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3FCF" w14:textId="77777777" w:rsidR="00126D15" w:rsidRPr="00435E2A" w:rsidRDefault="00993568" w:rsidP="006E65D5">
      <w:pPr>
        <w:spacing w:after="0" w:line="288" w:lineRule="auto"/>
        <w:jc w:val="center"/>
        <w:rPr>
          <w:rFonts w:ascii="Times New Roman" w:hAnsi="Times New Roman" w:cs="Times New Roman"/>
          <w:b/>
        </w:rPr>
      </w:pPr>
      <w:r>
        <w:rPr>
          <w:rFonts w:ascii="Times New Roman" w:hAnsi="Times New Roman"/>
          <w:b/>
          <w:noProof/>
        </w:rPr>
        <mc:AlternateContent>
          <mc:Choice Requires="wps">
            <w:drawing>
              <wp:anchor distT="0" distB="0" distL="114300" distR="114300" simplePos="0" relativeHeight="251683840" behindDoc="1" locked="0" layoutInCell="0" allowOverlap="1" wp14:anchorId="07C61835" wp14:editId="559B656C">
                <wp:simplePos x="0" y="0"/>
                <wp:positionH relativeFrom="page">
                  <wp:posOffset>6770536</wp:posOffset>
                </wp:positionH>
                <wp:positionV relativeFrom="page">
                  <wp:posOffset>10082254</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066EE" w14:textId="77777777" w:rsidR="003A301E" w:rsidRPr="00260E65" w:rsidRDefault="003A301E">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61835" id="_x0000_t202" coordsize="21600,21600" o:spt="202" path="m,l,21600r21600,l21600,xe">
                <v:stroke joinstyle="miter"/>
                <v:path gradientshapeok="t" o:connecttype="rect"/>
              </v:shapetype>
              <v:shape id="Text Box 17" o:spid="_x0000_s1026" type="#_x0000_t202" style="position:absolute;left:0;text-align:left;margin-left:533.1pt;margin-top:793.9pt;width:51pt;height:31.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" o:allowincell="f" filled="f" stroked="f">
                <v:textbox>
                  <w:txbxContent>
                    <w:p w14:paraId="58C066EE" w14:textId="77777777" w:rsidR="003A301E" w:rsidRPr="00260E65" w:rsidRDefault="003A301E">
                      <w:pPr>
                        <w:jc w:val="center"/>
                        <w:rPr>
                          <w:rFonts w:ascii="Arial" w:hAnsi="Arial" w:cs="Arial"/>
                          <w:b/>
                          <w:bCs/>
                          <w:sz w:val="48"/>
                        </w:rPr>
                      </w:pPr>
                      <w:r>
                        <w:rPr>
                          <w:rFonts w:ascii="Arial" w:hAnsi="Arial"/>
                          <w:b/>
                          <w:sz w:val="48"/>
                        </w:rPr>
                        <w:t>FR</w:t>
                      </w:r>
                    </w:p>
                  </w:txbxContent>
                </v:textbox>
                <w10:wrap anchorx="page" anchory="page"/>
              </v:shape>
            </w:pict>
          </mc:Fallback>
        </mc:AlternateContent>
      </w:r>
      <w:r>
        <w:rPr>
          <w:rFonts w:ascii="Times New Roman" w:hAnsi="Times New Roman"/>
          <w:b/>
        </w:rPr>
        <w:t>Section «Agriculture, développement rural et environnement» (NAT) du CESE</w:t>
      </w:r>
    </w:p>
    <w:p w14:paraId="7E10B645" w14:textId="14152E13" w:rsidR="00DB4F2C" w:rsidRPr="00435E2A" w:rsidRDefault="00C2269C" w:rsidP="006E65D5">
      <w:pPr>
        <w:spacing w:after="0" w:line="288" w:lineRule="auto"/>
        <w:jc w:val="center"/>
        <w:rPr>
          <w:rFonts w:ascii="Times New Roman" w:hAnsi="Times New Roman" w:cs="Times New Roman"/>
          <w:b/>
        </w:rPr>
      </w:pPr>
      <w:r>
        <w:rPr>
          <w:rFonts w:ascii="Times New Roman" w:hAnsi="Times New Roman"/>
          <w:noProof/>
        </w:rPr>
        <w:drawing>
          <wp:anchor distT="0" distB="0" distL="114300" distR="114300" simplePos="0" relativeHeight="251681792" behindDoc="0" locked="0" layoutInCell="1" allowOverlap="1" wp14:anchorId="135D7AC7" wp14:editId="387B05AE">
            <wp:simplePos x="0" y="0"/>
            <wp:positionH relativeFrom="margin">
              <wp:align>right</wp:align>
            </wp:positionH>
            <wp:positionV relativeFrom="paragraph">
              <wp:posOffset>195580</wp:posOffset>
            </wp:positionV>
            <wp:extent cx="493395" cy="524510"/>
            <wp:effectExtent l="0" t="0" r="1905" b="8890"/>
            <wp:wrapSquare wrapText="bothSides"/>
            <wp:docPr id="3" name="Picture 3" descr="Image result for Un SDG Goal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Un SDG Goal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 cy="524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rPr>
        <w:t>Groupe permanent (GP) sur des systèmes alimentaires durables</w:t>
      </w:r>
    </w:p>
    <w:p w14:paraId="622D7F9B" w14:textId="2CE97AB5" w:rsidR="00DB4F2C" w:rsidRPr="00435E2A" w:rsidRDefault="00C2269C" w:rsidP="006E65D5">
      <w:pPr>
        <w:spacing w:after="0" w:line="288" w:lineRule="auto"/>
        <w:jc w:val="center"/>
        <w:rPr>
          <w:rFonts w:ascii="Times New Roman" w:hAnsi="Times New Roman" w:cs="Times New Roman"/>
          <w:b/>
        </w:rPr>
      </w:pPr>
      <w:r>
        <w:rPr>
          <w:rFonts w:ascii="Times New Roman" w:hAnsi="Times New Roman"/>
          <w:noProof/>
        </w:rPr>
        <w:drawing>
          <wp:anchor distT="0" distB="0" distL="114300" distR="114300" simplePos="0" relativeHeight="251680768" behindDoc="0" locked="0" layoutInCell="1" allowOverlap="1" wp14:anchorId="24EB4B22" wp14:editId="45F2003D">
            <wp:simplePos x="0" y="0"/>
            <wp:positionH relativeFrom="column">
              <wp:posOffset>4040505</wp:posOffset>
            </wp:positionH>
            <wp:positionV relativeFrom="paragraph">
              <wp:posOffset>6985</wp:posOffset>
            </wp:positionV>
            <wp:extent cx="513080" cy="523240"/>
            <wp:effectExtent l="0" t="0" r="1270" b="0"/>
            <wp:wrapSquare wrapText="bothSides"/>
            <wp:docPr id="2" name="Picture 2" descr="Image result for sdg 12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dg 12 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080" cy="523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rPr>
        <w:drawing>
          <wp:anchor distT="0" distB="0" distL="114300" distR="114300" simplePos="0" relativeHeight="251667456" behindDoc="0" locked="0" layoutInCell="1" allowOverlap="1" wp14:anchorId="4171442E" wp14:editId="6BAD283A">
            <wp:simplePos x="0" y="0"/>
            <wp:positionH relativeFrom="column">
              <wp:posOffset>4687405</wp:posOffset>
            </wp:positionH>
            <wp:positionV relativeFrom="paragraph">
              <wp:posOffset>13970</wp:posOffset>
            </wp:positionV>
            <wp:extent cx="513080" cy="513080"/>
            <wp:effectExtent l="0" t="0" r="127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_SDG goals_icons-individual-rgb-1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080" cy="5130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rPr>
        <w:drawing>
          <wp:anchor distT="0" distB="0" distL="114300" distR="114300" simplePos="0" relativeHeight="251645952" behindDoc="0" locked="0" layoutInCell="1" allowOverlap="1" wp14:anchorId="06BA7347" wp14:editId="3DED4BA5">
            <wp:simplePos x="0" y="0"/>
            <wp:positionH relativeFrom="column">
              <wp:posOffset>605155</wp:posOffset>
            </wp:positionH>
            <wp:positionV relativeFrom="paragraph">
              <wp:posOffset>10160</wp:posOffset>
            </wp:positionV>
            <wp:extent cx="513080" cy="513080"/>
            <wp:effectExtent l="0" t="0" r="127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_SDG goals_icons-individual-rgb-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080" cy="5130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rPr>
        <w:drawing>
          <wp:anchor distT="0" distB="0" distL="114300" distR="114300" simplePos="0" relativeHeight="251673600" behindDoc="0" locked="0" layoutInCell="1" allowOverlap="1" wp14:anchorId="458EB49B" wp14:editId="2DA6FC1C">
            <wp:simplePos x="0" y="0"/>
            <wp:positionH relativeFrom="column">
              <wp:posOffset>635</wp:posOffset>
            </wp:positionH>
            <wp:positionV relativeFrom="paragraph">
              <wp:posOffset>8255</wp:posOffset>
            </wp:positionV>
            <wp:extent cx="518160" cy="5181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_SDG goals_icons-individual-rgb-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rPr>
        <w:drawing>
          <wp:anchor distT="0" distB="0" distL="114300" distR="114300" simplePos="0" relativeHeight="251655168" behindDoc="0" locked="0" layoutInCell="1" allowOverlap="1" wp14:anchorId="24E6D8D4" wp14:editId="21907536">
            <wp:simplePos x="0" y="0"/>
            <wp:positionH relativeFrom="column">
              <wp:posOffset>1207604</wp:posOffset>
            </wp:positionH>
            <wp:positionV relativeFrom="paragraph">
              <wp:posOffset>8255</wp:posOffset>
            </wp:positionV>
            <wp:extent cx="513080" cy="513080"/>
            <wp:effectExtent l="0" t="0" r="1270" b="12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_SDG goals_icons-individual-rgb-1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3080" cy="5130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rPr>
        <w:t xml:space="preserve">Plan de travail 2025-2027 </w:t>
      </w:r>
    </w:p>
    <w:p w14:paraId="068557F8" w14:textId="77777777" w:rsidR="00F460C4" w:rsidRPr="00435E2A" w:rsidRDefault="00F460C4" w:rsidP="006E65D5">
      <w:pPr>
        <w:spacing w:after="0" w:line="288" w:lineRule="auto"/>
        <w:jc w:val="both"/>
        <w:rPr>
          <w:rFonts w:ascii="Times New Roman" w:hAnsi="Times New Roman" w:cs="Times New Roman"/>
          <w:b/>
          <w:lang w:val="en-GB"/>
        </w:rPr>
      </w:pPr>
    </w:p>
    <w:p w14:paraId="448C85D5" w14:textId="77777777" w:rsidR="00757858" w:rsidRPr="00435E2A" w:rsidRDefault="00757858" w:rsidP="006E65D5">
      <w:pPr>
        <w:keepNext/>
        <w:spacing w:after="0" w:line="288" w:lineRule="auto"/>
        <w:jc w:val="both"/>
        <w:rPr>
          <w:rFonts w:ascii="Times New Roman" w:hAnsi="Times New Roman" w:cs="Times New Roman"/>
          <w:b/>
          <w:u w:val="single"/>
          <w:lang w:val="en-GB"/>
        </w:rPr>
      </w:pPr>
    </w:p>
    <w:p w14:paraId="5DF713D2" w14:textId="77777777" w:rsidR="00757858" w:rsidRPr="00435E2A" w:rsidRDefault="00757858" w:rsidP="006E65D5">
      <w:pPr>
        <w:spacing w:after="0" w:line="288" w:lineRule="auto"/>
        <w:jc w:val="both"/>
        <w:rPr>
          <w:rFonts w:ascii="Times New Roman" w:hAnsi="Times New Roman" w:cs="Times New Roman"/>
          <w:b/>
          <w:u w:val="single"/>
          <w:lang w:val="en-GB"/>
        </w:rPr>
      </w:pPr>
    </w:p>
    <w:p w14:paraId="6AC03827" w14:textId="77777777" w:rsidR="008B7B7F" w:rsidRPr="00435E2A" w:rsidRDefault="008B7B7F" w:rsidP="006E65D5">
      <w:pPr>
        <w:spacing w:after="0" w:line="288" w:lineRule="auto"/>
        <w:jc w:val="both"/>
        <w:rPr>
          <w:rFonts w:ascii="Times New Roman" w:hAnsi="Times New Roman" w:cs="Times New Roman"/>
          <w:b/>
          <w:u w:val="single"/>
          <w:lang w:val="en-GB"/>
        </w:rPr>
      </w:pPr>
    </w:p>
    <w:p w14:paraId="6B371A57" w14:textId="77777777" w:rsidR="00126D15" w:rsidRPr="00435E2A" w:rsidRDefault="00F460C4" w:rsidP="006E65D5">
      <w:pPr>
        <w:keepNext/>
        <w:spacing w:after="0" w:line="288" w:lineRule="auto"/>
        <w:jc w:val="both"/>
        <w:rPr>
          <w:rFonts w:ascii="Times New Roman" w:hAnsi="Times New Roman" w:cs="Times New Roman"/>
          <w:b/>
          <w:u w:val="single"/>
        </w:rPr>
      </w:pPr>
      <w:r>
        <w:rPr>
          <w:rFonts w:ascii="Times New Roman" w:hAnsi="Times New Roman"/>
          <w:b/>
          <w:u w:val="single"/>
        </w:rPr>
        <w:t>Contexte:</w:t>
      </w:r>
    </w:p>
    <w:p w14:paraId="3BFA6435" w14:textId="77777777" w:rsidR="00757858" w:rsidRPr="00435E2A" w:rsidRDefault="00757858" w:rsidP="006E65D5">
      <w:pPr>
        <w:spacing w:after="0" w:line="288" w:lineRule="auto"/>
        <w:jc w:val="both"/>
        <w:rPr>
          <w:rFonts w:ascii="Times New Roman" w:hAnsi="Times New Roman" w:cs="Times New Roman"/>
          <w:b/>
          <w:lang w:val="en-GB"/>
        </w:rPr>
      </w:pPr>
    </w:p>
    <w:p w14:paraId="5261FEB5" w14:textId="1D926D5C" w:rsidR="00FA1D41" w:rsidRPr="00435E2A" w:rsidRDefault="00FA1D41" w:rsidP="00FA1D41">
      <w:pPr>
        <w:spacing w:after="0" w:line="288" w:lineRule="auto"/>
        <w:jc w:val="both"/>
        <w:rPr>
          <w:rFonts w:ascii="Times New Roman" w:hAnsi="Times New Roman" w:cs="Times New Roman"/>
        </w:rPr>
      </w:pPr>
      <w:r>
        <w:rPr>
          <w:rFonts w:ascii="Times New Roman" w:hAnsi="Times New Roman"/>
        </w:rPr>
        <w:t>Le groupe permanent (GP) du CESE sur des systèmes alimentaires durables se concentre sur les conséquences économiques, environnementales et sociales de la production et de la consommation alimentaires en adoptant une approche stratégique plus globale. Cet objectif général reflète également les objectifs de développement durable tels qu’établis dans le programme de développement durable des Nations unies à l’horizon 2030, lesquels fournissent un cadre essentiel à des actions conjointes en vue de parvenir à nourrir le monde de manière durable d’ici à 2030.</w:t>
      </w:r>
    </w:p>
    <w:p w14:paraId="1475454A" w14:textId="77777777" w:rsidR="00FA1D41" w:rsidRPr="00435E2A" w:rsidRDefault="00FA1D41" w:rsidP="00FA1D41">
      <w:pPr>
        <w:spacing w:after="0" w:line="288" w:lineRule="auto"/>
        <w:jc w:val="both"/>
        <w:rPr>
          <w:rFonts w:ascii="Times New Roman" w:hAnsi="Times New Roman" w:cs="Times New Roman"/>
          <w:lang w:val="en-GB"/>
        </w:rPr>
      </w:pPr>
    </w:p>
    <w:p w14:paraId="68377262" w14:textId="41F15CA4" w:rsidR="00FA1D41" w:rsidRPr="00B212DF" w:rsidRDefault="00FA1D41" w:rsidP="00342D28">
      <w:pPr>
        <w:spacing w:after="0" w:line="288" w:lineRule="auto"/>
        <w:jc w:val="both"/>
        <w:rPr>
          <w:rFonts w:ascii="Times New Roman" w:hAnsi="Times New Roman" w:cs="Times New Roman"/>
        </w:rPr>
      </w:pPr>
      <w:r>
        <w:rPr>
          <w:rFonts w:ascii="Times New Roman" w:hAnsi="Times New Roman"/>
        </w:rPr>
        <w:t xml:space="preserve">Le mandat 2025-2027 du GP s’appuiera sur les travaux du mandat précédent, dans le but de favoriser des </w:t>
      </w:r>
      <w:r>
        <w:rPr>
          <w:rFonts w:ascii="Times New Roman" w:hAnsi="Times New Roman"/>
          <w:b/>
        </w:rPr>
        <w:t>systèmes alimentaires productifs, compétitifs, durables, résilients, régénératifs et plus équitables</w:t>
      </w:r>
      <w:r>
        <w:rPr>
          <w:rFonts w:ascii="Times New Roman" w:hAnsi="Times New Roman"/>
        </w:rPr>
        <w:t xml:space="preserve"> dans tous les territoires de l’UE. Il </w:t>
      </w:r>
      <w:r>
        <w:rPr>
          <w:rFonts w:ascii="Times New Roman" w:hAnsi="Times New Roman"/>
          <w:b/>
        </w:rPr>
        <w:t>contribuera</w:t>
      </w:r>
      <w:r>
        <w:rPr>
          <w:rFonts w:ascii="Times New Roman" w:hAnsi="Times New Roman"/>
        </w:rPr>
        <w:t xml:space="preserve"> dans le même temps aux </w:t>
      </w:r>
      <w:r>
        <w:rPr>
          <w:rFonts w:ascii="Times New Roman" w:hAnsi="Times New Roman"/>
          <w:b/>
        </w:rPr>
        <w:t>initiatives de la Commission européenne</w:t>
      </w:r>
      <w:r>
        <w:rPr>
          <w:rFonts w:ascii="Times New Roman" w:hAnsi="Times New Roman"/>
        </w:rPr>
        <w:t xml:space="preserve">, comme annoncé dans la </w:t>
      </w:r>
      <w:hyperlink r:id="rId14" w:history="1">
        <w:r>
          <w:rPr>
            <w:rStyle w:val="Hyperlink"/>
            <w:rFonts w:ascii="Times New Roman" w:hAnsi="Times New Roman"/>
          </w:rPr>
          <w:t>vision pour l’agriculture et l’alimentation</w:t>
        </w:r>
      </w:hyperlink>
      <w:r>
        <w:rPr>
          <w:rFonts w:ascii="Times New Roman" w:hAnsi="Times New Roman"/>
        </w:rPr>
        <w:t xml:space="preserve"> et dans le programme de travail de la Commission.</w:t>
      </w:r>
    </w:p>
    <w:p w14:paraId="5D015262" w14:textId="224C7F9B" w:rsidR="00FA1D41" w:rsidRPr="00B212DF" w:rsidRDefault="00FA1D41" w:rsidP="007561F8">
      <w:pPr>
        <w:spacing w:after="0" w:line="288" w:lineRule="auto"/>
        <w:jc w:val="both"/>
        <w:rPr>
          <w:rFonts w:ascii="Times New Roman" w:hAnsi="Times New Roman" w:cs="Times New Roman"/>
        </w:rPr>
      </w:pPr>
    </w:p>
    <w:p w14:paraId="4B1E5419" w14:textId="6A8F81AB" w:rsidR="007561F8" w:rsidRPr="00435E2A" w:rsidRDefault="007561F8" w:rsidP="007561F8">
      <w:pPr>
        <w:spacing w:after="0" w:line="288" w:lineRule="auto"/>
        <w:jc w:val="both"/>
        <w:rPr>
          <w:rFonts w:ascii="Times New Roman" w:hAnsi="Times New Roman" w:cs="Times New Roman"/>
        </w:rPr>
      </w:pPr>
      <w:r>
        <w:rPr>
          <w:rFonts w:ascii="Times New Roman" w:hAnsi="Times New Roman"/>
        </w:rPr>
        <w:t xml:space="preserve">Les tensions géopolitiques, le changement climatique, les inégalités sociales et la dégradation de l’environnement exercent une pression accrue sur les secteurs de l’agriculture, de la pêche et de l’alimentation de l’Union, qui demeurent néanmoins stratégiques pour la sécurité alimentaire, l’économie et la vitalité des zones rurales. Ces dernières années, leur situation économique s’est fortement détériorée, de sorte que des mesures urgentes s’imposent pour stabiliser la production, garantir des revenus équitables, soutenir le renouvellement des générations et renforcer la souveraineté alimentaire ainsi que l’autonomie stratégique de l’UE. Il convient de soutenir les zones rurales, qui abritent quelque 30 % de la population de l’Union, afin de les aider à surmonter les problèmes de dépeuplement et de déclin social, tout en s’appuyant sur leur rôle clé et leur potentiel inexploité en matière de développement durable et de transition écologique. L’alimentation forme de plus un fil conducteur qui relie les 17 objectifs de développement durable, de sorte que la transformation des systèmes alimentaires constitue un puissant levier pour mettre en œuvre les programmes en matière de développement durable et de climat dans leur ensemble. </w:t>
      </w:r>
    </w:p>
    <w:p w14:paraId="6BC80F95" w14:textId="44181B69" w:rsidR="007561F8" w:rsidRPr="00435E2A" w:rsidRDefault="007561F8" w:rsidP="007561F8">
      <w:pPr>
        <w:spacing w:after="0" w:line="288" w:lineRule="auto"/>
        <w:jc w:val="both"/>
        <w:rPr>
          <w:rStyle w:val="Hyperlink"/>
          <w:rFonts w:ascii="Times New Roman" w:hAnsi="Times New Roman" w:cs="Times New Roman"/>
          <w:lang w:val="en-GB"/>
        </w:rPr>
      </w:pPr>
    </w:p>
    <w:p w14:paraId="6D96FA22" w14:textId="22C09EFE" w:rsidR="007561F8" w:rsidRPr="00435E2A" w:rsidRDefault="007561F8" w:rsidP="007561F8">
      <w:pPr>
        <w:spacing w:after="0" w:line="288" w:lineRule="auto"/>
        <w:jc w:val="both"/>
        <w:rPr>
          <w:rFonts w:ascii="Times New Roman" w:hAnsi="Times New Roman" w:cs="Times New Roman"/>
        </w:rPr>
      </w:pPr>
      <w:r>
        <w:rPr>
          <w:rFonts w:ascii="Times New Roman" w:hAnsi="Times New Roman"/>
          <w:b/>
        </w:rPr>
        <w:t>Au niveau international</w:t>
      </w:r>
      <w:r>
        <w:rPr>
          <w:rFonts w:ascii="Times New Roman" w:hAnsi="Times New Roman"/>
        </w:rPr>
        <w:t xml:space="preserve">, le secteur agroalimentaire fait face à une combinaison de contraintes interdépendantes, notamment la nécessité de garantir la sécurité alimentaire mondiale dans un contexte de croissance démographique, de changement climatique, de sollicitation accrue des ressources naturelles, de tensions géopolitiques, de perturbations commerciales et de volatilité des marchés. Les droits de douane imposés par les États-Unis soulignent plus que jamais la nécessité de renforcer les synergies et d’agir de manière coordonnée entre partenaires stratégiques, en particulier avec des organisations telles que l’Organisation des Nations unies pour l’alimentation et l’agriculture (FAO), afin de garantir ensemble la sécurité alimentaire mondiale et de promouvoir un système agroalimentaire stable. Le suivi du </w:t>
      </w:r>
      <w:hyperlink r:id="rId15" w:history="1">
        <w:r>
          <w:rPr>
            <w:rStyle w:val="Hyperlink"/>
            <w:rFonts w:ascii="Times New Roman" w:hAnsi="Times New Roman"/>
          </w:rPr>
          <w:t>sommet des Nations unies sur les systèmes alimentaires</w:t>
        </w:r>
      </w:hyperlink>
      <w:r>
        <w:rPr>
          <w:rFonts w:ascii="Times New Roman" w:hAnsi="Times New Roman"/>
        </w:rPr>
        <w:t xml:space="preserve"> convoqué par le secrétaire général de l’ONU en 2021 dans le cadre des exercices de bilan bisannuels, des travaux </w:t>
      </w:r>
      <w:r>
        <w:rPr>
          <w:rFonts w:ascii="Times New Roman" w:hAnsi="Times New Roman"/>
        </w:rPr>
        <w:lastRenderedPageBreak/>
        <w:t>du Comité de la sécurité alimentaire mondiale (CSA) et de l’espace croissant consacré aux systèmes alimentaires dans le contexte de la COP sur le changement climatique et la biodiversité constituera la pierre angulaire du programme de travail du GP au cours du demi-mandat 2025-2027. Dans le même temps, le GP approfondira son dialogue avec la FAO, passant de moments d’échange ponctuels, comme ceux prévus au sein du CSA et du WFF, à des échanges plus réguliers entre le président du GP et les représentants de haut niveau de la FAO, afin de discuter des travaux de l’agence et de leur alignement sur les positions et recommandations du CESE sur diverses questions d’intérêt commun.</w:t>
      </w:r>
    </w:p>
    <w:p w14:paraId="34072B9A" w14:textId="77777777" w:rsidR="00215C44" w:rsidRPr="00860AE8" w:rsidRDefault="00215C44" w:rsidP="007561F8">
      <w:pPr>
        <w:spacing w:after="0" w:line="288" w:lineRule="auto"/>
        <w:jc w:val="both"/>
        <w:rPr>
          <w:rFonts w:ascii="Times New Roman" w:hAnsi="Times New Roman" w:cs="Times New Roman"/>
          <w:lang w:val="en-GB"/>
        </w:rPr>
      </w:pPr>
    </w:p>
    <w:p w14:paraId="62AE9FD3" w14:textId="31D69BE8" w:rsidR="00935170" w:rsidRPr="00860AE8" w:rsidRDefault="007561F8" w:rsidP="007561F8">
      <w:pPr>
        <w:spacing w:after="0" w:line="288" w:lineRule="auto"/>
        <w:jc w:val="both"/>
        <w:rPr>
          <w:rFonts w:ascii="Times New Roman" w:hAnsi="Times New Roman" w:cs="Times New Roman"/>
        </w:rPr>
      </w:pPr>
      <w:r>
        <w:rPr>
          <w:rFonts w:ascii="Times New Roman" w:hAnsi="Times New Roman"/>
          <w:b/>
        </w:rPr>
        <w:t>Au niveau de l’UE</w:t>
      </w:r>
      <w:r>
        <w:rPr>
          <w:rFonts w:ascii="Times New Roman" w:hAnsi="Times New Roman"/>
        </w:rPr>
        <w:t xml:space="preserve">, le secteur agroalimentaire se trouve de plus en plus exposé à la concurrence internationale en provenance de marchés ouverts et découlant d’accords commerciaux comme celui conclu entre l’Union et le Mercosur, soulignant plus que jamais la nécessité urgente de garantir une concurrence loyale et la réciprocité des normes dans des domaines tels que la protection de l’environnement, la sécurité alimentaire et le bien-être animal. Parallèlement, la proposition relative au prochain cadre financier pluriannuel (CFP 2028-2034) suscite des inquiétudes quant au risque de voir les budgets de la politique agricole commune (PAC) et de la politique commune de la pêche (PCP) se réduire ou leurs priorités être redéfinies, dans un contexte d’exigences et de pressions croissantes sur les producteurs de denrées alimentaires. Parmi les principales préoccupations du secteur figure un soutien insuffisant pour garantir des revenus équitables, réagir à la hausse des coûts de production et à la volatilité du marché, accélérer le renouvellement des générations, garantir des ressources suffisantes pour la transition vers des systèmes agroalimentaires plus durables, plus résilients et plus régénératifs, et répondre à l’évolution des attentes des consommateurs, le tout dans un contexte de contraintes budgétaires et de complexité réglementaire accrue. Les </w:t>
      </w:r>
      <w:r>
        <w:rPr>
          <w:rFonts w:ascii="Times New Roman" w:hAnsi="Times New Roman"/>
          <w:b/>
        </w:rPr>
        <w:t>dialogues annuels sur l’alimentation</w:t>
      </w:r>
      <w:r>
        <w:rPr>
          <w:rFonts w:ascii="Times New Roman" w:hAnsi="Times New Roman"/>
        </w:rPr>
        <w:t xml:space="preserve"> annoncés par la Commission dans sa vision pour l’agriculture et l’alimentation marqueront eux aussi le demi-mandat 2025-2027 du groupe permanent. Ce groupe a déjà permis au CESE de contribuer aux travaux de la Commission en organisant un débat sur «Les contributions de la société civile en vue des dialogues sur l’alimentation». Le Comité entend soutenir davantage les travaux de la Commission et faire valoir les points de vue et priorités des organisations de la société civile, en s’assurant dans le même temps de disposer d’un forum élargi pour collaborer étroitement avec d’autres partenaires comme les collectivités locales et régionales</w:t>
      </w:r>
      <w:r w:rsidR="00F1597C" w:rsidRPr="00860AE8">
        <w:rPr>
          <w:rStyle w:val="FootnoteReference"/>
          <w:rFonts w:ascii="Times New Roman" w:hAnsi="Times New Roman" w:cs="Times New Roman"/>
          <w:lang w:val="en-GB"/>
        </w:rPr>
        <w:footnoteReference w:id="1"/>
      </w:r>
      <w:r>
        <w:rPr>
          <w:rFonts w:ascii="Times New Roman" w:hAnsi="Times New Roman"/>
        </w:rPr>
        <w:t>. Le GP se tient disposé à proposer un forum en vue de préparer les dialogues sur l’alimentation. Les synergies avec d’importants partenaires institutionnels, comme le Comité des régions et diverses directions générales de la Commission, seront maintenues et renforcées.</w:t>
      </w:r>
    </w:p>
    <w:p w14:paraId="7F2544F9" w14:textId="77777777" w:rsidR="00614988" w:rsidRPr="00435E2A" w:rsidRDefault="00614988" w:rsidP="006E65D5">
      <w:pPr>
        <w:spacing w:after="0" w:line="288" w:lineRule="auto"/>
        <w:jc w:val="both"/>
        <w:rPr>
          <w:rFonts w:ascii="Times New Roman" w:hAnsi="Times New Roman" w:cs="Times New Roman"/>
          <w:lang w:val="en-GB"/>
        </w:rPr>
      </w:pPr>
    </w:p>
    <w:p w14:paraId="64C5B29A" w14:textId="47E87C90" w:rsidR="00B24876" w:rsidRPr="00435E2A" w:rsidRDefault="004436A0" w:rsidP="006E65D5">
      <w:pPr>
        <w:spacing w:after="0" w:line="288" w:lineRule="auto"/>
        <w:jc w:val="both"/>
        <w:rPr>
          <w:rFonts w:ascii="Times New Roman" w:hAnsi="Times New Roman" w:cs="Times New Roman"/>
          <w:color w:val="000000"/>
        </w:rPr>
      </w:pPr>
      <w:r>
        <w:rPr>
          <w:rFonts w:ascii="Times New Roman" w:hAnsi="Times New Roman"/>
        </w:rPr>
        <w:t xml:space="preserve">En résumé, le GP s’emploiera — au cours du demi-mandat 2025-2027 — à maintenir et renforcer les synergies avec tous les acteurs, parties prenantes et organisations intervenant dans le secteur agroalimentaire et travaillant sur des systèmes alimentaires durables, tout en proposant des exemples spécifiques de mesures et de voies à suivre qui alimenteront le programme de travail de la section NAT. </w:t>
      </w:r>
    </w:p>
    <w:p w14:paraId="0F61A32D" w14:textId="77777777" w:rsidR="00757858" w:rsidRPr="00435E2A" w:rsidRDefault="00757858" w:rsidP="006E65D5">
      <w:pPr>
        <w:spacing w:after="0" w:line="288" w:lineRule="auto"/>
        <w:jc w:val="both"/>
        <w:rPr>
          <w:rFonts w:ascii="Times New Roman" w:hAnsi="Times New Roman" w:cs="Times New Roman"/>
          <w:b/>
          <w:color w:val="000000"/>
          <w:u w:val="single"/>
          <w:lang w:val="en-GB"/>
        </w:rPr>
      </w:pPr>
    </w:p>
    <w:p w14:paraId="2FBDB809" w14:textId="77777777" w:rsidR="00534D87" w:rsidRPr="00435E2A" w:rsidRDefault="00534D87" w:rsidP="006E65D5">
      <w:pPr>
        <w:keepNext/>
        <w:spacing w:after="0" w:line="288" w:lineRule="auto"/>
        <w:jc w:val="both"/>
        <w:rPr>
          <w:rFonts w:ascii="Times New Roman" w:hAnsi="Times New Roman" w:cs="Times New Roman"/>
          <w:u w:val="single"/>
        </w:rPr>
      </w:pPr>
      <w:r>
        <w:rPr>
          <w:rFonts w:ascii="Times New Roman" w:hAnsi="Times New Roman"/>
          <w:b/>
          <w:color w:val="000000"/>
          <w:u w:val="single"/>
        </w:rPr>
        <w:t>Objectif général et actions proposées:</w:t>
      </w:r>
    </w:p>
    <w:p w14:paraId="1C49FE13" w14:textId="77777777" w:rsidR="00757858" w:rsidRPr="00435E2A" w:rsidRDefault="00757858" w:rsidP="006E65D5">
      <w:pPr>
        <w:spacing w:after="0" w:line="288" w:lineRule="auto"/>
        <w:jc w:val="both"/>
        <w:rPr>
          <w:rFonts w:ascii="Times New Roman" w:hAnsi="Times New Roman" w:cs="Times New Roman"/>
          <w:lang w:val="en-GB"/>
        </w:rPr>
      </w:pPr>
    </w:p>
    <w:p w14:paraId="5DA4D958" w14:textId="641AF0FB" w:rsidR="00534D87" w:rsidRPr="00435E2A" w:rsidRDefault="00EA2053" w:rsidP="006E65D5">
      <w:pPr>
        <w:spacing w:after="0" w:line="288" w:lineRule="auto"/>
        <w:jc w:val="both"/>
        <w:rPr>
          <w:rFonts w:ascii="Times New Roman" w:hAnsi="Times New Roman" w:cs="Times New Roman"/>
        </w:rPr>
      </w:pPr>
      <w:r>
        <w:rPr>
          <w:rFonts w:ascii="Times New Roman" w:hAnsi="Times New Roman"/>
        </w:rPr>
        <w:t>Le groupe permanent sur des systèmes alimentaires durables contribuera, entre autres, à la troisième priorité stratégique du programme de travail de la section NAT intitulée «</w:t>
      </w:r>
      <w:r>
        <w:rPr>
          <w:rFonts w:ascii="Times New Roman" w:hAnsi="Times New Roman"/>
          <w:b/>
        </w:rPr>
        <w:t>Promouvoir une politique alimentaire globale — vers une politique agricole commune (PAC) et une politique commune de la pêche (PCP) plus durables</w:t>
      </w:r>
      <w:r>
        <w:rPr>
          <w:rFonts w:ascii="Times New Roman" w:hAnsi="Times New Roman"/>
        </w:rPr>
        <w:t>», ainsi qu’au développement rural et urbain durable. Une coopération étroite avec l’observatoire du développement durable sera maintenue et renforcée, avec une attention particulière portée à l’ODD 2 (faim «zéro»). Des synergies pourraient également être explorées avec le groupe «Jeunesse» du CESE et les chapitres nationaux de la FAO consacrés à la jeunesse, dans le cadre de l’engagement constant du CESE à mieux prendre en compte, d’une manière structurée et significative, la voix des jeunes Européens dans ses travaux et dans le processus décisionnel de l’Union. Le CESE pourrait alors servir de forum d’échange.</w:t>
      </w:r>
    </w:p>
    <w:p w14:paraId="726EFC06" w14:textId="77777777" w:rsidR="00614988" w:rsidRPr="00435E2A" w:rsidRDefault="00614988" w:rsidP="00FA1D41">
      <w:pPr>
        <w:spacing w:after="0" w:line="288" w:lineRule="auto"/>
        <w:jc w:val="both"/>
        <w:rPr>
          <w:rFonts w:ascii="Times New Roman" w:hAnsi="Times New Roman" w:cs="Times New Roman"/>
          <w:lang w:val="en-GB"/>
        </w:rPr>
      </w:pPr>
    </w:p>
    <w:p w14:paraId="058922FB" w14:textId="4248BFEC" w:rsidR="00757858" w:rsidRPr="00435E2A" w:rsidRDefault="00FA1D41" w:rsidP="00FA1D41">
      <w:pPr>
        <w:spacing w:after="0" w:line="288" w:lineRule="auto"/>
        <w:jc w:val="both"/>
        <w:rPr>
          <w:rFonts w:ascii="Times New Roman" w:hAnsi="Times New Roman" w:cs="Times New Roman"/>
        </w:rPr>
      </w:pPr>
      <w:r>
        <w:rPr>
          <w:rFonts w:ascii="Times New Roman" w:hAnsi="Times New Roman"/>
        </w:rPr>
        <w:t>Pour que son message passe de manière efficace et ait un réel impact, le travail du GP doit rester solidement ancré dans la réalité. Le GP devrait présenter de nouvelles idées, grâce à la participation significative d’un éventail large et équilibré de parties prenantes représentant tous les points de vue pertinents, de manière systématique, transparente et cohérente.</w:t>
      </w:r>
    </w:p>
    <w:p w14:paraId="4A3D0537" w14:textId="77777777" w:rsidR="00614988" w:rsidRPr="00435E2A" w:rsidRDefault="00614988" w:rsidP="00FA1D41">
      <w:pPr>
        <w:spacing w:after="0" w:line="288" w:lineRule="auto"/>
        <w:jc w:val="both"/>
        <w:rPr>
          <w:rFonts w:ascii="Times New Roman" w:hAnsi="Times New Roman" w:cs="Times New Roman"/>
          <w:lang w:val="en-GB"/>
        </w:rPr>
      </w:pPr>
    </w:p>
    <w:p w14:paraId="5843A033" w14:textId="7BF7A416" w:rsidR="00B7335B" w:rsidRPr="00435E2A" w:rsidRDefault="008908CB" w:rsidP="00FA1D41">
      <w:pPr>
        <w:spacing w:after="0" w:line="288" w:lineRule="auto"/>
        <w:jc w:val="both"/>
        <w:rPr>
          <w:rFonts w:ascii="Times New Roman" w:hAnsi="Times New Roman" w:cs="Times New Roman"/>
        </w:rPr>
      </w:pPr>
      <w:r>
        <w:rPr>
          <w:rFonts w:ascii="Times New Roman" w:hAnsi="Times New Roman"/>
        </w:rPr>
        <w:t xml:space="preserve">Plus spécifiquement, les travaux du GP se concentreront sur les domaines suivants: </w:t>
      </w:r>
    </w:p>
    <w:tbl>
      <w:tblPr>
        <w:tblStyle w:val="TableGrid"/>
        <w:tblW w:w="0" w:type="auto"/>
        <w:tblLook w:val="04A0" w:firstRow="1" w:lastRow="0" w:firstColumn="1" w:lastColumn="0" w:noHBand="0" w:noVBand="1"/>
      </w:tblPr>
      <w:tblGrid>
        <w:gridCol w:w="3048"/>
        <w:gridCol w:w="6012"/>
      </w:tblGrid>
      <w:tr w:rsidR="00474652" w:rsidRPr="00435E2A" w14:paraId="285B8AA2" w14:textId="77777777" w:rsidTr="00614988">
        <w:trPr>
          <w:cantSplit/>
        </w:trPr>
        <w:tc>
          <w:tcPr>
            <w:tcW w:w="3048" w:type="dxa"/>
          </w:tcPr>
          <w:p w14:paraId="4863594D" w14:textId="665EDAA6" w:rsidR="00474652" w:rsidRPr="00435E2A" w:rsidRDefault="00E9753A" w:rsidP="006E65D5">
            <w:pPr>
              <w:spacing w:line="288" w:lineRule="auto"/>
              <w:rPr>
                <w:rFonts w:ascii="Times New Roman" w:hAnsi="Times New Roman" w:cs="Times New Roman"/>
                <w:b/>
                <w:highlight w:val="yellow"/>
              </w:rPr>
            </w:pPr>
            <w:r>
              <w:rPr>
                <w:rFonts w:ascii="Times New Roman" w:hAnsi="Times New Roman"/>
                <w:b/>
              </w:rPr>
              <w:t>Promouvoir des systèmes alimentaires productifs, compétitifs, durables, résilients, régénératifs et plus équitables, selon une approche pragmatique et réaliste</w:t>
            </w:r>
          </w:p>
        </w:tc>
        <w:tc>
          <w:tcPr>
            <w:tcW w:w="6012" w:type="dxa"/>
          </w:tcPr>
          <w:p w14:paraId="2D4667F0" w14:textId="20CDC218" w:rsidR="00333FD0" w:rsidRPr="00435E2A" w:rsidRDefault="0032383C" w:rsidP="00F21B82">
            <w:pPr>
              <w:pStyle w:val="ListParagraph"/>
              <w:numPr>
                <w:ilvl w:val="0"/>
                <w:numId w:val="27"/>
              </w:numPr>
              <w:spacing w:after="120" w:line="288" w:lineRule="auto"/>
              <w:ind w:left="387" w:hanging="357"/>
              <w:contextualSpacing w:val="0"/>
              <w:jc w:val="both"/>
              <w:rPr>
                <w:rFonts w:ascii="Times New Roman" w:hAnsi="Times New Roman" w:cs="Times New Roman"/>
              </w:rPr>
            </w:pPr>
            <w:r>
              <w:rPr>
                <w:rFonts w:ascii="Times New Roman" w:hAnsi="Times New Roman"/>
              </w:rPr>
              <w:t xml:space="preserve">Promouvoir et aborder au niveau interinstitutionnel, au moyen de débats thématiques lors des réunions du GP et de contributions aux avis de la section NAT, des aspects tels que les </w:t>
            </w:r>
            <w:r>
              <w:rPr>
                <w:rFonts w:ascii="Times New Roman" w:hAnsi="Times New Roman"/>
                <w:b/>
              </w:rPr>
              <w:t>formes régénératives d’agriculture</w:t>
            </w:r>
            <w:r>
              <w:rPr>
                <w:rFonts w:ascii="Times New Roman" w:hAnsi="Times New Roman"/>
              </w:rPr>
              <w:t xml:space="preserve">, la révision de la </w:t>
            </w:r>
            <w:r>
              <w:rPr>
                <w:rFonts w:ascii="Times New Roman" w:hAnsi="Times New Roman"/>
                <w:b/>
              </w:rPr>
              <w:t>directive sur les pratiques commerciales déloyales</w:t>
            </w:r>
            <w:r>
              <w:rPr>
                <w:rFonts w:ascii="Times New Roman" w:hAnsi="Times New Roman"/>
              </w:rPr>
              <w:t xml:space="preserve"> et la manière de lutter contre la répartition inégale du pouvoir le long de la chaîne et les abus de marché, la </w:t>
            </w:r>
            <w:r>
              <w:rPr>
                <w:rFonts w:ascii="Times New Roman" w:hAnsi="Times New Roman"/>
                <w:b/>
              </w:rPr>
              <w:t>stratégie de l’Union en matière d’approvisionnement en protéines</w:t>
            </w:r>
            <w:r>
              <w:rPr>
                <w:rFonts w:ascii="Times New Roman" w:hAnsi="Times New Roman"/>
              </w:rPr>
              <w:t xml:space="preserve"> (sur la base de l’appel déjà lancé en ce sens — une priorité désormais reconnue dans la vision), la </w:t>
            </w:r>
            <w:r>
              <w:rPr>
                <w:rFonts w:ascii="Times New Roman" w:hAnsi="Times New Roman"/>
                <w:b/>
              </w:rPr>
              <w:t>stratégie à long terme en matière d’élevage</w:t>
            </w:r>
            <w:r>
              <w:rPr>
                <w:rFonts w:ascii="Times New Roman" w:hAnsi="Times New Roman"/>
              </w:rPr>
              <w:t xml:space="preserve"> et la </w:t>
            </w:r>
            <w:r>
              <w:rPr>
                <w:rFonts w:ascii="Times New Roman" w:hAnsi="Times New Roman"/>
                <w:b/>
              </w:rPr>
              <w:t>décarbonation dans le secteur agroalimentaire</w:t>
            </w:r>
            <w:r>
              <w:rPr>
                <w:rFonts w:ascii="Times New Roman" w:hAnsi="Times New Roman"/>
              </w:rPr>
              <w:t>;</w:t>
            </w:r>
            <w:r>
              <w:rPr>
                <w:rFonts w:ascii="Times New Roman" w:hAnsi="Times New Roman"/>
                <w:b/>
                <w:color w:val="000000"/>
              </w:rPr>
              <w:t xml:space="preserve"> </w:t>
            </w:r>
          </w:p>
          <w:p w14:paraId="59D1AE4C" w14:textId="480B846A" w:rsidR="00295CFF" w:rsidRPr="00435E2A" w:rsidRDefault="0032383C" w:rsidP="00F21B82">
            <w:pPr>
              <w:pStyle w:val="ListParagraph"/>
              <w:numPr>
                <w:ilvl w:val="0"/>
                <w:numId w:val="27"/>
              </w:numPr>
              <w:spacing w:after="120" w:line="288" w:lineRule="auto"/>
              <w:ind w:left="387" w:hanging="357"/>
              <w:contextualSpacing w:val="0"/>
              <w:jc w:val="both"/>
              <w:rPr>
                <w:rFonts w:ascii="Times New Roman" w:hAnsi="Times New Roman" w:cs="Times New Roman"/>
              </w:rPr>
            </w:pPr>
            <w:r>
              <w:rPr>
                <w:rFonts w:ascii="Times New Roman" w:hAnsi="Times New Roman"/>
              </w:rPr>
              <w:t xml:space="preserve">Continuer de défendre </w:t>
            </w:r>
            <w:r>
              <w:rPr>
                <w:rFonts w:ascii="Times New Roman" w:hAnsi="Times New Roman"/>
                <w:b/>
              </w:rPr>
              <w:t>une politique alimentaire globale</w:t>
            </w:r>
            <w:r>
              <w:rPr>
                <w:rFonts w:ascii="Times New Roman" w:hAnsi="Times New Roman"/>
              </w:rPr>
              <w:t xml:space="preserve"> à même de garantir des chaînes d’approvisionnement équitables, des conditions de vie et de travail décentes (y compris pour la santé mentale), une production et une transformation durables des aliments, des régimes alimentaires sains, des revenus équitables et des prix abordables des denrées alimentaires, le droit à l’alimentation et un plus grand pouvoir de négociation pour les acteurs les plus vulnérables de la chaîne de l’alimentation; soutenir le recours à des emballages alimentaires durables et œuvrer à la défense du bien-être animal; </w:t>
            </w:r>
          </w:p>
          <w:p w14:paraId="2050D826" w14:textId="0128D11C" w:rsidR="000943CA" w:rsidRPr="00435E2A" w:rsidRDefault="000943CA" w:rsidP="00F21B82">
            <w:pPr>
              <w:pStyle w:val="ListParagraph"/>
              <w:numPr>
                <w:ilvl w:val="0"/>
                <w:numId w:val="27"/>
              </w:numPr>
              <w:spacing w:after="120" w:line="288" w:lineRule="auto"/>
              <w:ind w:left="387" w:hanging="357"/>
              <w:contextualSpacing w:val="0"/>
              <w:jc w:val="both"/>
              <w:rPr>
                <w:rFonts w:ascii="Times New Roman" w:hAnsi="Times New Roman" w:cs="Times New Roman"/>
              </w:rPr>
            </w:pPr>
            <w:r>
              <w:rPr>
                <w:rFonts w:ascii="Times New Roman" w:hAnsi="Times New Roman"/>
              </w:rPr>
              <w:t>Se pencher plus avant sur la dimension sociale des systèmes alimentaires durables, en mettant l’accent sur les conditions de travail, la santé mentale des agriculteurs et des travailleurs, l’égalité entre les hommes et les femmes et le renforcement de la position des jeunes dans les zones rurales et côtières. Des revenus équitables et stables restent une condition préalable à la viabilité à long terme et à la légitimité sociale du secteur;</w:t>
            </w:r>
          </w:p>
          <w:p w14:paraId="74B87ABA" w14:textId="05BD281C" w:rsidR="00F21B82" w:rsidRPr="00435E2A" w:rsidRDefault="00295CFF" w:rsidP="00F21B82">
            <w:pPr>
              <w:pStyle w:val="ListParagraph"/>
              <w:numPr>
                <w:ilvl w:val="0"/>
                <w:numId w:val="27"/>
              </w:numPr>
              <w:spacing w:after="120" w:line="288" w:lineRule="auto"/>
              <w:ind w:left="387" w:hanging="357"/>
              <w:contextualSpacing w:val="0"/>
              <w:jc w:val="both"/>
              <w:rPr>
                <w:rFonts w:ascii="Times New Roman" w:hAnsi="Times New Roman" w:cs="Times New Roman"/>
              </w:rPr>
            </w:pPr>
            <w:r>
              <w:rPr>
                <w:rFonts w:ascii="Times New Roman" w:hAnsi="Times New Roman"/>
              </w:rPr>
              <w:t>Traiter des questions relatives à la prochaine PAC en tenant compte de l’ensemble de la chaîne d’approvisionnement alimentaire, au moyen d’auditions lors des réunions du GP, et mettre en avant les recommandations du CESE à la Commission européenne dans le contexte du nouveau cadre financier pluriannuel, en soulignant l’inadéquation entre, d’une part, les enjeux auxquels le secteur est confronté et, d’autre part, le fait que le budget proposé pour la PAC soit inférieur au budget actuel;</w:t>
            </w:r>
          </w:p>
          <w:p w14:paraId="7AA10A7D" w14:textId="143F3409" w:rsidR="00F21B82" w:rsidRPr="00435E2A" w:rsidRDefault="00333FD0" w:rsidP="00F21B82">
            <w:pPr>
              <w:pStyle w:val="ListParagraph"/>
              <w:numPr>
                <w:ilvl w:val="0"/>
                <w:numId w:val="27"/>
              </w:numPr>
              <w:spacing w:after="120" w:line="288" w:lineRule="auto"/>
              <w:ind w:left="387"/>
              <w:contextualSpacing w:val="0"/>
              <w:jc w:val="both"/>
              <w:rPr>
                <w:rFonts w:ascii="Times New Roman" w:hAnsi="Times New Roman" w:cs="Times New Roman"/>
              </w:rPr>
            </w:pPr>
            <w:r>
              <w:rPr>
                <w:rFonts w:ascii="Times New Roman" w:hAnsi="Times New Roman"/>
              </w:rPr>
              <w:t xml:space="preserve">Tenter de </w:t>
            </w:r>
            <w:r>
              <w:rPr>
                <w:rFonts w:ascii="Times New Roman" w:hAnsi="Times New Roman"/>
                <w:b/>
              </w:rPr>
              <w:t>faire évoluer le discours sur l’agriculture</w:t>
            </w:r>
            <w:r>
              <w:rPr>
                <w:rFonts w:ascii="Times New Roman" w:hAnsi="Times New Roman"/>
              </w:rPr>
              <w:t xml:space="preserve"> en rétablissant un débat public fondé sur des faits et équilibré, notamment en mettant en évidence les aspects positifs de la PAC. Des revenus agricoles équitables et stables s’avèrent essentiels pour rendre le secteur attrayant, en particulier auprès des jeunes (en vue du </w:t>
            </w:r>
            <w:r>
              <w:rPr>
                <w:rFonts w:ascii="Times New Roman" w:hAnsi="Times New Roman"/>
                <w:b/>
              </w:rPr>
              <w:t>renouvellement des générations</w:t>
            </w:r>
            <w:r>
              <w:rPr>
                <w:rFonts w:ascii="Times New Roman" w:hAnsi="Times New Roman"/>
              </w:rPr>
              <w:t>), et pour garantir sa viabilité à long terme. Les agriculteurs sont trop souvent présentés sous un jour négatif, comme des ennemis de l’environnement, tandis que la désinformation, faite entre autres de fausses allégations sur la part du budget de l’Union consacrée à la PAC, continue d’entacher l’image et de nuire à la crédibilité du secteur.</w:t>
            </w:r>
          </w:p>
          <w:p w14:paraId="74C9AA80" w14:textId="66368B3F" w:rsidR="000943CA" w:rsidRPr="00435E2A" w:rsidRDefault="00C5244C" w:rsidP="009219A7">
            <w:pPr>
              <w:pStyle w:val="ListParagraph"/>
              <w:numPr>
                <w:ilvl w:val="0"/>
                <w:numId w:val="27"/>
              </w:numPr>
              <w:spacing w:after="120" w:line="288" w:lineRule="auto"/>
              <w:ind w:left="387"/>
              <w:contextualSpacing w:val="0"/>
              <w:jc w:val="both"/>
              <w:rPr>
                <w:rFonts w:ascii="Times New Roman" w:hAnsi="Times New Roman" w:cs="Times New Roman"/>
              </w:rPr>
            </w:pPr>
            <w:r>
              <w:rPr>
                <w:rFonts w:ascii="Times New Roman" w:hAnsi="Times New Roman"/>
              </w:rPr>
              <w:t xml:space="preserve">Contribuer aux travaux du CESE consacrés à la </w:t>
            </w:r>
            <w:r>
              <w:rPr>
                <w:rFonts w:ascii="Times New Roman" w:hAnsi="Times New Roman"/>
                <w:b/>
              </w:rPr>
              <w:t>révision de la directive sur les marchés publics</w:t>
            </w:r>
            <w:r>
              <w:rPr>
                <w:rFonts w:ascii="Times New Roman" w:hAnsi="Times New Roman"/>
              </w:rPr>
              <w:t xml:space="preserve"> (et sa partie relative à l’approvisionnement alimentaire);</w:t>
            </w:r>
          </w:p>
          <w:p w14:paraId="2665BEF5" w14:textId="18FEC79C" w:rsidR="00295CFF" w:rsidRPr="00435E2A" w:rsidRDefault="00F21B82" w:rsidP="00295CFF">
            <w:pPr>
              <w:pStyle w:val="ListParagraph"/>
              <w:numPr>
                <w:ilvl w:val="0"/>
                <w:numId w:val="27"/>
              </w:numPr>
              <w:spacing w:after="120" w:line="288" w:lineRule="auto"/>
              <w:ind w:left="387"/>
              <w:contextualSpacing w:val="0"/>
              <w:jc w:val="both"/>
              <w:rPr>
                <w:rFonts w:ascii="Times New Roman" w:hAnsi="Times New Roman" w:cs="Times New Roman"/>
              </w:rPr>
            </w:pPr>
            <w:r>
              <w:rPr>
                <w:rFonts w:ascii="Times New Roman" w:hAnsi="Times New Roman"/>
              </w:rPr>
              <w:t xml:space="preserve">Explorer les moyens de lutter efficacement contre le </w:t>
            </w:r>
            <w:r>
              <w:rPr>
                <w:rFonts w:ascii="Times New Roman" w:hAnsi="Times New Roman"/>
                <w:b/>
              </w:rPr>
              <w:t>gaspillage alimentaire</w:t>
            </w:r>
            <w:r>
              <w:rPr>
                <w:rFonts w:ascii="Times New Roman" w:hAnsi="Times New Roman"/>
              </w:rPr>
              <w:t xml:space="preserve"> et recenser les bonnes pratiques, dans la droite ligne des approches relatives aux dons alimentaires et à la circularité; participer de manière plus active à la plateforme de l’UE sur les pertes et le gaspillage alimentaires;</w:t>
            </w:r>
          </w:p>
        </w:tc>
      </w:tr>
      <w:tr w:rsidR="00474652" w:rsidRPr="00435E2A" w14:paraId="2755EA2A" w14:textId="77777777" w:rsidTr="00614988">
        <w:trPr>
          <w:cantSplit/>
        </w:trPr>
        <w:tc>
          <w:tcPr>
            <w:tcW w:w="3048" w:type="dxa"/>
          </w:tcPr>
          <w:p w14:paraId="3B623BE5" w14:textId="013C685E" w:rsidR="000E5751" w:rsidRPr="00435E2A" w:rsidRDefault="00474652" w:rsidP="000E5751">
            <w:pPr>
              <w:spacing w:line="288" w:lineRule="auto"/>
              <w:rPr>
                <w:rFonts w:ascii="Times New Roman" w:hAnsi="Times New Roman" w:cs="Times New Roman"/>
                <w:b/>
                <w:highlight w:val="yellow"/>
              </w:rPr>
            </w:pPr>
            <w:r>
              <w:rPr>
                <w:rFonts w:ascii="Times New Roman" w:hAnsi="Times New Roman"/>
                <w:b/>
              </w:rPr>
              <w:t>Renforcer la souveraineté alimentaire, la préparation, la sécurité alimentaire et l’autonomie stratégique de l’Union dans le contexte du commerce international</w:t>
            </w:r>
          </w:p>
        </w:tc>
        <w:tc>
          <w:tcPr>
            <w:tcW w:w="6012" w:type="dxa"/>
          </w:tcPr>
          <w:p w14:paraId="7A418558" w14:textId="25A6CF45" w:rsidR="00F21B82" w:rsidRPr="00435E2A" w:rsidRDefault="00373A0C" w:rsidP="00F21B82">
            <w:pPr>
              <w:pStyle w:val="Default"/>
              <w:numPr>
                <w:ilvl w:val="0"/>
                <w:numId w:val="4"/>
              </w:numPr>
              <w:spacing w:after="120" w:line="288" w:lineRule="auto"/>
              <w:ind w:left="357" w:hanging="357"/>
              <w:jc w:val="both"/>
              <w:rPr>
                <w:sz w:val="22"/>
                <w:szCs w:val="22"/>
              </w:rPr>
            </w:pPr>
            <w:r>
              <w:rPr>
                <w:sz w:val="22"/>
              </w:rPr>
              <w:t>Analyser l’évolution du secteur agroalimentaire en tenant compte du contexte géopolitique (importations et exportations avec l’Ukraine) et des accords commerciaux internationaux, par exemple avec le Mercosur (alignement des normes d’importation sur les normes de production de l’Union et réciprocité réelle des normes);</w:t>
            </w:r>
          </w:p>
          <w:p w14:paraId="7C582BC0" w14:textId="00431E6F" w:rsidR="00474652" w:rsidRPr="00435E2A" w:rsidRDefault="00F21B82" w:rsidP="00F21B82">
            <w:pPr>
              <w:pStyle w:val="Default"/>
              <w:numPr>
                <w:ilvl w:val="0"/>
                <w:numId w:val="4"/>
              </w:numPr>
              <w:spacing w:after="120" w:line="288" w:lineRule="auto"/>
              <w:ind w:left="357" w:hanging="357"/>
              <w:jc w:val="both"/>
              <w:rPr>
                <w:sz w:val="22"/>
                <w:szCs w:val="22"/>
              </w:rPr>
            </w:pPr>
            <w:r>
              <w:rPr>
                <w:sz w:val="22"/>
              </w:rPr>
              <w:t>Cartographier les outils et les fonds permettant de gérer les risques liés à la volatilité et à d’autres types de perturbations du marché; intégrer la chaîne d’approvisionnement dans des modèles durables (en particulier pour les petits agriculteurs); garantir la compétitivité et la préparation du secteur agroalimentaire européen;</w:t>
            </w:r>
          </w:p>
          <w:p w14:paraId="42A0A139" w14:textId="00C8402F" w:rsidR="001C3697" w:rsidRPr="00435E2A" w:rsidRDefault="004C300F" w:rsidP="007D7711">
            <w:pPr>
              <w:pStyle w:val="Default"/>
              <w:numPr>
                <w:ilvl w:val="0"/>
                <w:numId w:val="4"/>
              </w:numPr>
              <w:spacing w:after="120" w:line="288" w:lineRule="auto"/>
              <w:ind w:left="357" w:hanging="357"/>
              <w:jc w:val="both"/>
              <w:rPr>
                <w:sz w:val="22"/>
                <w:szCs w:val="22"/>
              </w:rPr>
            </w:pPr>
            <w:r>
              <w:rPr>
                <w:sz w:val="22"/>
              </w:rPr>
              <w:t xml:space="preserve">Promouvoir une plus grande transparence et une meilleure traçabilité tout au long de la chaîne du marché alimentaire et continuer de dénoncer la </w:t>
            </w:r>
            <w:r>
              <w:rPr>
                <w:b/>
                <w:sz w:val="22"/>
              </w:rPr>
              <w:t>financiarisation du secteur alimentaire</w:t>
            </w:r>
            <w:r>
              <w:rPr>
                <w:sz w:val="22"/>
              </w:rPr>
              <w:t xml:space="preserve">, qui alimente la spéculation sur les prix des denrées; </w:t>
            </w:r>
          </w:p>
        </w:tc>
      </w:tr>
      <w:tr w:rsidR="00474652" w:rsidRPr="00435E2A" w14:paraId="3DBAD0CC" w14:textId="77777777" w:rsidTr="00614988">
        <w:trPr>
          <w:cantSplit/>
        </w:trPr>
        <w:tc>
          <w:tcPr>
            <w:tcW w:w="3048" w:type="dxa"/>
          </w:tcPr>
          <w:p w14:paraId="1DD2CA0E" w14:textId="70322DAE" w:rsidR="00E9753A" w:rsidRPr="00435E2A" w:rsidRDefault="00474652" w:rsidP="00333FD0">
            <w:pPr>
              <w:pStyle w:val="Default"/>
            </w:pPr>
            <w:r>
              <w:rPr>
                <w:b/>
                <w:sz w:val="22"/>
              </w:rPr>
              <w:t xml:space="preserve">Renforcer les secteurs de la pêche et des aliments bleus — vers une pêche et une aquaculture durables </w:t>
            </w:r>
          </w:p>
          <w:p w14:paraId="09467D3C" w14:textId="3A9E4E2F" w:rsidR="00474652" w:rsidRPr="00435E2A" w:rsidRDefault="00474652" w:rsidP="00474652">
            <w:pPr>
              <w:spacing w:line="288" w:lineRule="auto"/>
              <w:rPr>
                <w:rFonts w:ascii="Times New Roman" w:hAnsi="Times New Roman" w:cs="Times New Roman"/>
                <w:b/>
                <w:lang w:val="en-GB"/>
              </w:rPr>
            </w:pPr>
          </w:p>
        </w:tc>
        <w:tc>
          <w:tcPr>
            <w:tcW w:w="6012" w:type="dxa"/>
          </w:tcPr>
          <w:p w14:paraId="5D9F0B4E" w14:textId="23E0A854" w:rsidR="00E9753A" w:rsidRPr="00435E2A" w:rsidRDefault="00333FD0" w:rsidP="00132957">
            <w:pPr>
              <w:pStyle w:val="ListParagraph"/>
              <w:numPr>
                <w:ilvl w:val="0"/>
                <w:numId w:val="4"/>
              </w:numPr>
              <w:spacing w:after="120" w:line="288" w:lineRule="auto"/>
              <w:ind w:left="357" w:hanging="357"/>
              <w:jc w:val="both"/>
              <w:rPr>
                <w:rFonts w:ascii="Times New Roman" w:hAnsi="Times New Roman" w:cs="Times New Roman"/>
              </w:rPr>
            </w:pPr>
            <w:r>
              <w:rPr>
                <w:rFonts w:ascii="Times New Roman" w:hAnsi="Times New Roman"/>
              </w:rPr>
              <w:t xml:space="preserve">Améliorer la visibilité du secteur de la pêche et de l’aquaculture en organisant des débats spécifiques lors des réunions du GP abordant les questions clés qui assaillent le secteur, comme celle des revenus équitables pour les pêcheurs, le besoin de simplification, les produits de la pêche au sein de l’UE et la concurrence déloyale de pays tiers (70 % d’importations), ou encore le réchauffement des eaux (qui pousse les réserves vers le nord) et le changement climatique; </w:t>
            </w:r>
          </w:p>
          <w:p w14:paraId="52D6976A" w14:textId="75630F0B" w:rsidR="007D7711" w:rsidRPr="00435E2A" w:rsidRDefault="00132957" w:rsidP="00132957">
            <w:pPr>
              <w:numPr>
                <w:ilvl w:val="0"/>
                <w:numId w:val="4"/>
              </w:numPr>
              <w:autoSpaceDE w:val="0"/>
              <w:autoSpaceDN w:val="0"/>
              <w:adjustRightInd w:val="0"/>
              <w:spacing w:after="120" w:line="288" w:lineRule="auto"/>
              <w:ind w:left="357" w:hanging="357"/>
              <w:rPr>
                <w:rFonts w:ascii="Times New Roman" w:hAnsi="Times New Roman" w:cs="Times New Roman"/>
              </w:rPr>
            </w:pPr>
            <w:r>
              <w:rPr>
                <w:rFonts w:ascii="Times New Roman" w:hAnsi="Times New Roman"/>
              </w:rPr>
              <w:t xml:space="preserve">Contribuer à l’élaboration d’une </w:t>
            </w:r>
            <w:r>
              <w:rPr>
                <w:rFonts w:ascii="Times New Roman" w:hAnsi="Times New Roman"/>
                <w:b/>
              </w:rPr>
              <w:t>vision globale de l’UE</w:t>
            </w:r>
            <w:r>
              <w:rPr>
                <w:rFonts w:ascii="Times New Roman" w:hAnsi="Times New Roman"/>
              </w:rPr>
              <w:t xml:space="preserve"> qui promeuve une transition juste pour le secteur tout en favorisant le renouvellement des générations et la décarbonation (en lien avec l’évaluation à venir de la PCP, qui alimentera une vision à l’horizon 2040 pour la pêche et l’aquaculture), ainsi que des perspectives pour les zones rurales et côtières; </w:t>
            </w:r>
          </w:p>
          <w:p w14:paraId="703F0BF6" w14:textId="1765A20A" w:rsidR="00E9753A" w:rsidRPr="00435E2A" w:rsidRDefault="007D7711" w:rsidP="00132957">
            <w:pPr>
              <w:numPr>
                <w:ilvl w:val="0"/>
                <w:numId w:val="4"/>
              </w:numPr>
              <w:autoSpaceDE w:val="0"/>
              <w:autoSpaceDN w:val="0"/>
              <w:adjustRightInd w:val="0"/>
              <w:spacing w:after="120" w:line="288" w:lineRule="auto"/>
              <w:ind w:left="357" w:hanging="357"/>
              <w:rPr>
                <w:rFonts w:ascii="Times New Roman" w:hAnsi="Times New Roman" w:cs="Times New Roman"/>
              </w:rPr>
            </w:pPr>
            <w:r>
              <w:rPr>
                <w:rFonts w:ascii="Times New Roman" w:hAnsi="Times New Roman"/>
              </w:rPr>
              <w:t xml:space="preserve">Contribuer au plan d’action pour les aliments bleus et à la réflexion sur la manière de renforcer la sécurité alimentaire et l’autonomie stratégique, en soulignant la valeur de ces produits en matière de santé, leur qualité nutritionnelle et leur caractère durable; </w:t>
            </w:r>
          </w:p>
        </w:tc>
      </w:tr>
      <w:tr w:rsidR="00474652" w:rsidRPr="00435E2A" w14:paraId="1D1FB32D" w14:textId="77777777" w:rsidTr="00614988">
        <w:trPr>
          <w:cantSplit/>
        </w:trPr>
        <w:tc>
          <w:tcPr>
            <w:tcW w:w="3048" w:type="dxa"/>
          </w:tcPr>
          <w:p w14:paraId="26262AED" w14:textId="74451DFE" w:rsidR="00474652" w:rsidRPr="00435E2A" w:rsidRDefault="00474652" w:rsidP="006E65D5">
            <w:pPr>
              <w:spacing w:line="288" w:lineRule="auto"/>
              <w:rPr>
                <w:rFonts w:ascii="Times New Roman" w:hAnsi="Times New Roman" w:cs="Times New Roman"/>
                <w:b/>
                <w:highlight w:val="yellow"/>
              </w:rPr>
            </w:pPr>
            <w:r>
              <w:rPr>
                <w:rFonts w:ascii="Times New Roman" w:hAnsi="Times New Roman"/>
                <w:b/>
              </w:rPr>
              <w:t>Relier les systèmes alimentaires aux questions liées à l’environnement, au climat, aux ODD et au programme à l’horizon 2030</w:t>
            </w:r>
          </w:p>
        </w:tc>
        <w:tc>
          <w:tcPr>
            <w:tcW w:w="6012" w:type="dxa"/>
          </w:tcPr>
          <w:p w14:paraId="63D954BD" w14:textId="7B89F80B" w:rsidR="00521764" w:rsidRPr="00435E2A" w:rsidRDefault="00521764" w:rsidP="00521764">
            <w:pPr>
              <w:pStyle w:val="ListParagraph"/>
              <w:numPr>
                <w:ilvl w:val="0"/>
                <w:numId w:val="30"/>
              </w:numPr>
              <w:spacing w:after="120" w:line="288" w:lineRule="auto"/>
              <w:ind w:left="357" w:hanging="357"/>
              <w:contextualSpacing w:val="0"/>
              <w:jc w:val="both"/>
              <w:rPr>
                <w:rFonts w:ascii="Times New Roman" w:hAnsi="Times New Roman" w:cs="Times New Roman"/>
              </w:rPr>
            </w:pPr>
            <w:r>
              <w:rPr>
                <w:rFonts w:ascii="Times New Roman" w:hAnsi="Times New Roman"/>
              </w:rPr>
              <w:t>Travailler en étroite collaboration avec l’observatoire du développement durable (lors de réunions conjointes), en mettant particulièrement l’accent sur l’ODD 2; évaluer les progrès accomplis et mettre le doigt sur les failles dans la voie de l’Union vers des systèmes alimentaires plus équitables, plus inclusifs et durables, conformément au programme à l’horizon 2030 et aux ODD;</w:t>
            </w:r>
          </w:p>
          <w:p w14:paraId="7284AF6C" w14:textId="66CD2CA4" w:rsidR="00E9753A" w:rsidRPr="00435E2A" w:rsidRDefault="00910DC2" w:rsidP="0003203D">
            <w:pPr>
              <w:pStyle w:val="ListParagraph"/>
              <w:numPr>
                <w:ilvl w:val="0"/>
                <w:numId w:val="30"/>
              </w:numPr>
              <w:spacing w:after="120" w:line="288" w:lineRule="auto"/>
              <w:ind w:left="357" w:hanging="357"/>
              <w:contextualSpacing w:val="0"/>
              <w:jc w:val="both"/>
              <w:rPr>
                <w:rFonts w:ascii="Times New Roman" w:hAnsi="Times New Roman" w:cs="Times New Roman"/>
              </w:rPr>
            </w:pPr>
            <w:r>
              <w:rPr>
                <w:rFonts w:ascii="Times New Roman" w:hAnsi="Times New Roman"/>
              </w:rPr>
              <w:t>Étudier les scénarios énoncés dans le rapport du Centre commun de recherche intitulé «</w:t>
            </w:r>
            <w:hyperlink r:id="rId16" w:history="1">
              <w:r>
                <w:rPr>
                  <w:rStyle w:val="Hyperlink"/>
                  <w:rFonts w:ascii="Times New Roman" w:hAnsi="Times New Roman"/>
                </w:rPr>
                <w:t>EU agriculture 2040: no easy fix for environmental and socio-economic aspects</w:t>
              </w:r>
            </w:hyperlink>
            <w:r>
              <w:rPr>
                <w:rFonts w:ascii="Times New Roman" w:hAnsi="Times New Roman"/>
              </w:rPr>
              <w:t xml:space="preserve"> (L’agriculture de l’UE à l’horizon 2040: les limites des réponses aux questions environnementales et socio-économiques)», y compris en ce qui concerne l’agriculture économe en carbone; </w:t>
            </w:r>
          </w:p>
          <w:p w14:paraId="21498929" w14:textId="0A2FD16E" w:rsidR="000943CA" w:rsidRPr="00435E2A" w:rsidRDefault="000943CA" w:rsidP="0003203D">
            <w:pPr>
              <w:pStyle w:val="ListParagraph"/>
              <w:numPr>
                <w:ilvl w:val="0"/>
                <w:numId w:val="30"/>
              </w:numPr>
              <w:spacing w:after="120" w:line="288" w:lineRule="auto"/>
              <w:ind w:left="357" w:hanging="357"/>
              <w:contextualSpacing w:val="0"/>
              <w:jc w:val="both"/>
              <w:rPr>
                <w:rFonts w:ascii="Times New Roman" w:hAnsi="Times New Roman" w:cs="Times New Roman"/>
              </w:rPr>
            </w:pPr>
            <w:r>
              <w:rPr>
                <w:rFonts w:ascii="Times New Roman" w:hAnsi="Times New Roman"/>
              </w:rPr>
              <w:t xml:space="preserve">S’assurer que les priorités du groupe soient alignées sur la </w:t>
            </w:r>
            <w:r>
              <w:rPr>
                <w:rFonts w:ascii="Times New Roman" w:hAnsi="Times New Roman"/>
                <w:b/>
              </w:rPr>
              <w:t>directive-cadre sur l’eau</w:t>
            </w:r>
            <w:r>
              <w:rPr>
                <w:rFonts w:ascii="Times New Roman" w:hAnsi="Times New Roman"/>
              </w:rPr>
              <w:t xml:space="preserve"> (dont une révision est prévue au deuxième trimestre 2026);</w:t>
            </w:r>
          </w:p>
        </w:tc>
      </w:tr>
      <w:tr w:rsidR="00474652" w:rsidRPr="00435E2A" w14:paraId="4CE025C4" w14:textId="77777777" w:rsidTr="00614988">
        <w:trPr>
          <w:cantSplit/>
        </w:trPr>
        <w:tc>
          <w:tcPr>
            <w:tcW w:w="3048" w:type="dxa"/>
          </w:tcPr>
          <w:p w14:paraId="0EB19B08" w14:textId="54C33E3A" w:rsidR="00474652" w:rsidRPr="00435E2A" w:rsidRDefault="0003203D" w:rsidP="006E65D5">
            <w:pPr>
              <w:spacing w:line="288" w:lineRule="auto"/>
              <w:rPr>
                <w:rFonts w:ascii="Times New Roman" w:hAnsi="Times New Roman" w:cs="Times New Roman"/>
                <w:b/>
                <w:highlight w:val="yellow"/>
              </w:rPr>
            </w:pPr>
            <w:r>
              <w:rPr>
                <w:rFonts w:ascii="Times New Roman" w:hAnsi="Times New Roman"/>
                <w:b/>
              </w:rPr>
              <w:t>Intégrer les systèmes alimentaires dans l’approche «Une seule santé» et promouvoir un étiquetage des denrées alimentaires durables pour permettre aux consommateurs de choisir des aliments plus durables et plus sains (adopter des «régimes alimentaires sains»)</w:t>
            </w:r>
          </w:p>
        </w:tc>
        <w:tc>
          <w:tcPr>
            <w:tcW w:w="6012" w:type="dxa"/>
          </w:tcPr>
          <w:p w14:paraId="351FD480" w14:textId="36491855" w:rsidR="0003203D" w:rsidRPr="00435E2A" w:rsidRDefault="0003203D" w:rsidP="004521BA">
            <w:pPr>
              <w:pStyle w:val="ListParagraph"/>
              <w:numPr>
                <w:ilvl w:val="0"/>
                <w:numId w:val="4"/>
              </w:numPr>
              <w:spacing w:after="120" w:line="288" w:lineRule="auto"/>
              <w:ind w:left="357" w:hanging="357"/>
              <w:jc w:val="both"/>
              <w:rPr>
                <w:rFonts w:ascii="Times New Roman" w:hAnsi="Times New Roman" w:cs="Times New Roman"/>
              </w:rPr>
            </w:pPr>
            <w:r>
              <w:rPr>
                <w:rFonts w:ascii="Times New Roman" w:hAnsi="Times New Roman"/>
              </w:rPr>
              <w:t>Renforcer le lien entre l’alimentation et la santé: intégrer l’approche «Une seule santé» dans les habitudes alimentaires, les régimes alimentaires sains, la prévention des maladies, la santé mentale et la prévention des zoonoses et de la résistance aux antimicrobiens (RAM);</w:t>
            </w:r>
          </w:p>
          <w:p w14:paraId="208B0409" w14:textId="2FB69627" w:rsidR="00D03B2B" w:rsidRPr="00435E2A" w:rsidRDefault="004521BA" w:rsidP="004521BA">
            <w:pPr>
              <w:pStyle w:val="ListParagraph"/>
              <w:numPr>
                <w:ilvl w:val="0"/>
                <w:numId w:val="4"/>
              </w:numPr>
              <w:spacing w:after="120" w:line="288" w:lineRule="auto"/>
              <w:ind w:left="357" w:hanging="357"/>
              <w:jc w:val="both"/>
              <w:rPr>
                <w:rFonts w:ascii="Times New Roman" w:hAnsi="Times New Roman" w:cs="Times New Roman"/>
              </w:rPr>
            </w:pPr>
            <w:r>
              <w:rPr>
                <w:rFonts w:ascii="Times New Roman" w:hAnsi="Times New Roman"/>
              </w:rPr>
              <w:t>Mettre l’accent sur les consommateurs en se penchant sur la proposition de règlement concernant l’information des consommateurs sur les denrées alimentaires — en attente de publication par la Commission —, les informations relatives à l’origine des denrées alimentaires en tant qu’outil au service de systèmes alimentaires durables et sains, l’étiquetage de durabilité et la sensibilisation des consommateurs aux aliments durables (y compris les produits de la pêche), le renforcement du rôle de la certification biologique et des indications géographiques — et la manière de s’appuyer sur ces secteurs pour orienter la prise de décision —, et l’analyse de la manière dont les variations de prix influent sur les choix des consommateurs et de leur cohérence par rapport à l’objectif de nutrition durable;</w:t>
            </w:r>
          </w:p>
          <w:p w14:paraId="4E95335C" w14:textId="19CB7ED5" w:rsidR="004521BA" w:rsidRPr="00435E2A" w:rsidRDefault="00C2269C" w:rsidP="004521BA">
            <w:pPr>
              <w:pStyle w:val="ListParagraph"/>
              <w:numPr>
                <w:ilvl w:val="0"/>
                <w:numId w:val="4"/>
              </w:numPr>
              <w:spacing w:after="120" w:line="288" w:lineRule="auto"/>
              <w:ind w:left="357" w:hanging="357"/>
              <w:jc w:val="both"/>
              <w:rPr>
                <w:rFonts w:ascii="Times New Roman" w:hAnsi="Times New Roman" w:cs="Times New Roman"/>
              </w:rPr>
            </w:pPr>
            <w:r>
              <w:rPr>
                <w:rFonts w:ascii="Times New Roman" w:hAnsi="Times New Roman"/>
              </w:rPr>
              <w:t xml:space="preserve">Évaluer la mise en œuvre de la campagne «Achetez des denrées alimentaires européennes» de la Commission; </w:t>
            </w:r>
          </w:p>
        </w:tc>
      </w:tr>
      <w:tr w:rsidR="00474652" w:rsidRPr="00435E2A" w14:paraId="79FCD611" w14:textId="77777777" w:rsidTr="00614988">
        <w:trPr>
          <w:cantSplit/>
        </w:trPr>
        <w:tc>
          <w:tcPr>
            <w:tcW w:w="3048" w:type="dxa"/>
          </w:tcPr>
          <w:p w14:paraId="38B500F4" w14:textId="6928CDBD" w:rsidR="00474652" w:rsidRPr="00435E2A" w:rsidRDefault="00085668" w:rsidP="006E65D5">
            <w:pPr>
              <w:spacing w:line="288" w:lineRule="auto"/>
              <w:rPr>
                <w:rFonts w:ascii="Times New Roman" w:hAnsi="Times New Roman" w:cs="Times New Roman"/>
                <w:b/>
              </w:rPr>
            </w:pPr>
            <w:r>
              <w:rPr>
                <w:rFonts w:ascii="Times New Roman" w:hAnsi="Times New Roman"/>
                <w:b/>
              </w:rPr>
              <w:t>Pour un développement rural et urbain durable</w:t>
            </w:r>
          </w:p>
        </w:tc>
        <w:tc>
          <w:tcPr>
            <w:tcW w:w="6012" w:type="dxa"/>
          </w:tcPr>
          <w:p w14:paraId="12F2719A" w14:textId="2A43613A" w:rsidR="00474652" w:rsidRPr="00435E2A" w:rsidRDefault="00440C1D" w:rsidP="00474652">
            <w:pPr>
              <w:pStyle w:val="ListParagraph"/>
              <w:numPr>
                <w:ilvl w:val="0"/>
                <w:numId w:val="4"/>
              </w:numPr>
              <w:spacing w:after="240" w:line="288" w:lineRule="auto"/>
              <w:jc w:val="both"/>
              <w:rPr>
                <w:rFonts w:ascii="Times New Roman" w:hAnsi="Times New Roman" w:cs="Times New Roman"/>
              </w:rPr>
            </w:pPr>
            <w:r>
              <w:rPr>
                <w:rFonts w:ascii="Times New Roman" w:hAnsi="Times New Roman"/>
              </w:rPr>
              <w:t xml:space="preserve">Contribuer au </w:t>
            </w:r>
            <w:r>
              <w:rPr>
                <w:rFonts w:ascii="Times New Roman" w:hAnsi="Times New Roman"/>
                <w:b/>
              </w:rPr>
              <w:t>plan d’action rural</w:t>
            </w:r>
            <w:r>
              <w:rPr>
                <w:rFonts w:ascii="Times New Roman" w:hAnsi="Times New Roman"/>
              </w:rPr>
              <w:t xml:space="preserve"> actualisé, tel qu’annoncé dans la vision, en examinant le rôle des systèmes alimentaires durables dans le développement rural et urbain durable;</w:t>
            </w:r>
          </w:p>
        </w:tc>
      </w:tr>
      <w:tr w:rsidR="00474652" w:rsidRPr="00435E2A" w14:paraId="23A353B4" w14:textId="77777777" w:rsidTr="00614988">
        <w:trPr>
          <w:cantSplit/>
        </w:trPr>
        <w:tc>
          <w:tcPr>
            <w:tcW w:w="3048" w:type="dxa"/>
          </w:tcPr>
          <w:p w14:paraId="1B646204" w14:textId="4D621A27" w:rsidR="00474652" w:rsidRPr="00435E2A" w:rsidRDefault="00281960" w:rsidP="006E65D5">
            <w:pPr>
              <w:spacing w:line="288" w:lineRule="auto"/>
              <w:rPr>
                <w:rFonts w:ascii="Times New Roman" w:hAnsi="Times New Roman" w:cs="Times New Roman"/>
                <w:b/>
              </w:rPr>
            </w:pPr>
            <w:r>
              <w:rPr>
                <w:rFonts w:ascii="Times New Roman" w:hAnsi="Times New Roman"/>
                <w:b/>
              </w:rPr>
              <w:t>Évaluer le potentiel des nouvelles technologies durables et promouvoir l’éducation</w:t>
            </w:r>
          </w:p>
        </w:tc>
        <w:tc>
          <w:tcPr>
            <w:tcW w:w="6012" w:type="dxa"/>
          </w:tcPr>
          <w:p w14:paraId="3B4D1EDD" w14:textId="15AC764F" w:rsidR="00D03B2B" w:rsidRPr="00435E2A" w:rsidRDefault="00281960" w:rsidP="00D03B2B">
            <w:pPr>
              <w:pStyle w:val="ListParagraph"/>
              <w:numPr>
                <w:ilvl w:val="0"/>
                <w:numId w:val="4"/>
              </w:numPr>
              <w:spacing w:after="120" w:line="288" w:lineRule="auto"/>
              <w:ind w:left="357" w:hanging="357"/>
              <w:jc w:val="both"/>
              <w:rPr>
                <w:rFonts w:ascii="Times New Roman" w:hAnsi="Times New Roman" w:cs="Times New Roman"/>
              </w:rPr>
            </w:pPr>
            <w:r>
              <w:rPr>
                <w:rFonts w:ascii="Times New Roman" w:hAnsi="Times New Roman"/>
              </w:rPr>
              <w:t xml:space="preserve">Évaluer le potentiel des nouvelles technologies (comme l’agriculture intelligente, les technologies numériques, le potentiel et les limites de l’intelligence artificielle, etc.) en matière de productivité, de durabilité et de compétitivité, ainsi que des initiatives connexes de l’Union comme la future </w:t>
            </w:r>
            <w:r>
              <w:rPr>
                <w:rFonts w:ascii="Times New Roman" w:hAnsi="Times New Roman"/>
                <w:b/>
              </w:rPr>
              <w:t>stratégie numérique de l’UE pour l’agriculture</w:t>
            </w:r>
            <w:r>
              <w:rPr>
                <w:rFonts w:ascii="Times New Roman" w:hAnsi="Times New Roman"/>
              </w:rPr>
              <w:t xml:space="preserve">; </w:t>
            </w:r>
          </w:p>
          <w:p w14:paraId="72FD9FB1" w14:textId="14437391" w:rsidR="000943CA" w:rsidRPr="00435E2A" w:rsidRDefault="00D03B2B" w:rsidP="00860AE8">
            <w:pPr>
              <w:pStyle w:val="ListParagraph"/>
              <w:numPr>
                <w:ilvl w:val="0"/>
                <w:numId w:val="4"/>
              </w:numPr>
              <w:spacing w:after="120" w:line="288" w:lineRule="auto"/>
              <w:ind w:left="357" w:hanging="357"/>
              <w:jc w:val="both"/>
              <w:rPr>
                <w:rFonts w:ascii="Times New Roman" w:hAnsi="Times New Roman" w:cs="Times New Roman"/>
              </w:rPr>
            </w:pPr>
            <w:r>
              <w:rPr>
                <w:rFonts w:ascii="Times New Roman" w:hAnsi="Times New Roman"/>
              </w:rPr>
              <w:t>Aborder la question des compétences dans le secteur et la manière de les acquérir;</w:t>
            </w:r>
          </w:p>
          <w:p w14:paraId="7510E162" w14:textId="1006DED2" w:rsidR="009404A5" w:rsidRPr="00435E2A" w:rsidRDefault="009404A5" w:rsidP="00D03B2B">
            <w:pPr>
              <w:pStyle w:val="ListParagraph"/>
              <w:numPr>
                <w:ilvl w:val="0"/>
                <w:numId w:val="4"/>
              </w:numPr>
              <w:spacing w:after="120" w:line="288" w:lineRule="auto"/>
              <w:ind w:left="357" w:hanging="357"/>
              <w:jc w:val="both"/>
              <w:rPr>
                <w:rFonts w:ascii="Times New Roman" w:hAnsi="Times New Roman" w:cs="Times New Roman"/>
              </w:rPr>
            </w:pPr>
            <w:r>
              <w:rPr>
                <w:rFonts w:ascii="Times New Roman" w:hAnsi="Times New Roman"/>
              </w:rPr>
              <w:t>S’intéresser à des outils tels que la boussole pour la durabilité de l’agriculture et le programme d’étalonnage connexe pour rendre les exploitations agricoles plus durables;</w:t>
            </w:r>
          </w:p>
        </w:tc>
      </w:tr>
      <w:tr w:rsidR="00085668" w:rsidRPr="00435E2A" w14:paraId="50CC753C" w14:textId="77777777" w:rsidTr="00614988">
        <w:trPr>
          <w:cantSplit/>
        </w:trPr>
        <w:tc>
          <w:tcPr>
            <w:tcW w:w="3048" w:type="dxa"/>
          </w:tcPr>
          <w:p w14:paraId="549A6B48" w14:textId="77777777" w:rsidR="00085668" w:rsidRPr="00435E2A" w:rsidRDefault="00085668" w:rsidP="00085668">
            <w:pPr>
              <w:spacing w:line="288" w:lineRule="auto"/>
              <w:rPr>
                <w:rFonts w:ascii="Times New Roman" w:hAnsi="Times New Roman" w:cs="Times New Roman"/>
                <w:b/>
              </w:rPr>
            </w:pPr>
            <w:r>
              <w:rPr>
                <w:rFonts w:ascii="Times New Roman" w:hAnsi="Times New Roman"/>
                <w:b/>
              </w:rPr>
              <w:t>Une participation active et significative aux forums et plateformes européens et internationaux — renforcer et créer des synergies</w:t>
            </w:r>
          </w:p>
          <w:p w14:paraId="5C630A3C" w14:textId="77777777" w:rsidR="00085668" w:rsidRPr="00435E2A" w:rsidRDefault="00085668" w:rsidP="00085668">
            <w:pPr>
              <w:spacing w:line="288" w:lineRule="auto"/>
              <w:rPr>
                <w:rFonts w:ascii="Times New Roman" w:hAnsi="Times New Roman" w:cs="Times New Roman"/>
                <w:b/>
                <w:lang w:val="en-GB"/>
              </w:rPr>
            </w:pPr>
          </w:p>
        </w:tc>
        <w:tc>
          <w:tcPr>
            <w:tcW w:w="6012" w:type="dxa"/>
          </w:tcPr>
          <w:p w14:paraId="43127CC7" w14:textId="46D89656" w:rsidR="00085668" w:rsidRPr="00435E2A" w:rsidRDefault="00085668" w:rsidP="00085668">
            <w:pPr>
              <w:pStyle w:val="ListParagraph"/>
              <w:numPr>
                <w:ilvl w:val="0"/>
                <w:numId w:val="5"/>
              </w:numPr>
              <w:spacing w:after="120" w:line="288" w:lineRule="auto"/>
              <w:ind w:left="357" w:hanging="357"/>
              <w:jc w:val="both"/>
              <w:rPr>
                <w:rFonts w:ascii="Times New Roman" w:hAnsi="Times New Roman" w:cs="Times New Roman"/>
                <w:b/>
              </w:rPr>
            </w:pPr>
            <w:r>
              <w:rPr>
                <w:rFonts w:ascii="Times New Roman" w:hAnsi="Times New Roman"/>
              </w:rPr>
              <w:t xml:space="preserve">Participer activement aux </w:t>
            </w:r>
            <w:r>
              <w:rPr>
                <w:rFonts w:ascii="Times New Roman" w:hAnsi="Times New Roman"/>
                <w:b/>
              </w:rPr>
              <w:t>dialogues annuels sur l’alimentation</w:t>
            </w:r>
            <w:r>
              <w:rPr>
                <w:rFonts w:ascii="Times New Roman" w:hAnsi="Times New Roman"/>
              </w:rPr>
              <w:t xml:space="preserve"> de la Commission lors de débats préparatoires;</w:t>
            </w:r>
          </w:p>
          <w:p w14:paraId="3749AD0B" w14:textId="7688F4F9" w:rsidR="00085668" w:rsidRPr="00435E2A" w:rsidRDefault="00085668" w:rsidP="00085668">
            <w:pPr>
              <w:pStyle w:val="ListParagraph"/>
              <w:numPr>
                <w:ilvl w:val="0"/>
                <w:numId w:val="5"/>
              </w:numPr>
              <w:spacing w:after="120" w:line="288" w:lineRule="auto"/>
              <w:ind w:left="357" w:hanging="357"/>
              <w:jc w:val="both"/>
              <w:rPr>
                <w:rFonts w:ascii="Times New Roman" w:hAnsi="Times New Roman" w:cs="Times New Roman"/>
                <w:b/>
              </w:rPr>
            </w:pPr>
            <w:r>
              <w:rPr>
                <w:rFonts w:ascii="Times New Roman" w:hAnsi="Times New Roman"/>
              </w:rPr>
              <w:t xml:space="preserve">Contribuer au suivi du </w:t>
            </w:r>
            <w:r>
              <w:rPr>
                <w:rFonts w:ascii="Times New Roman" w:hAnsi="Times New Roman"/>
                <w:b/>
              </w:rPr>
              <w:t>sommet des Nations unies sur les systèmes alimentaires</w:t>
            </w:r>
            <w:r>
              <w:rPr>
                <w:rFonts w:ascii="Times New Roman" w:hAnsi="Times New Roman"/>
              </w:rPr>
              <w:t xml:space="preserve"> convoqué par le secrétaire général de l’ONU en 2021 dans le cadre des exercices de bilan bisannuels prévus; </w:t>
            </w:r>
          </w:p>
          <w:p w14:paraId="2080552A" w14:textId="52491C13" w:rsidR="00085668" w:rsidRPr="00435E2A" w:rsidRDefault="00085668" w:rsidP="00085668">
            <w:pPr>
              <w:pStyle w:val="ListParagraph"/>
              <w:numPr>
                <w:ilvl w:val="0"/>
                <w:numId w:val="5"/>
              </w:numPr>
              <w:spacing w:after="120" w:line="288" w:lineRule="auto"/>
              <w:ind w:left="357" w:hanging="357"/>
              <w:jc w:val="both"/>
              <w:rPr>
                <w:rFonts w:ascii="Times New Roman" w:hAnsi="Times New Roman" w:cs="Times New Roman"/>
                <w:b/>
              </w:rPr>
            </w:pPr>
            <w:r>
              <w:rPr>
                <w:rFonts w:ascii="Times New Roman" w:hAnsi="Times New Roman"/>
              </w:rPr>
              <w:t xml:space="preserve">Mettre en évidence la question des systèmes alimentaires dans la préparation de la </w:t>
            </w:r>
            <w:r>
              <w:rPr>
                <w:rFonts w:ascii="Times New Roman" w:hAnsi="Times New Roman"/>
                <w:b/>
              </w:rPr>
              <w:t>COP sur la biodiversité et le climat</w:t>
            </w:r>
            <w:r>
              <w:rPr>
                <w:rFonts w:ascii="Times New Roman" w:hAnsi="Times New Roman"/>
              </w:rPr>
              <w:t xml:space="preserve">, par exemple en collaborant avec le GP sur la COP en vue de débats, de contributions écrites ou de l’organisation de manifestations parallèles; </w:t>
            </w:r>
          </w:p>
          <w:p w14:paraId="765001BF" w14:textId="7198D5C1" w:rsidR="00085668" w:rsidRPr="00435E2A" w:rsidRDefault="00085668" w:rsidP="00085668">
            <w:pPr>
              <w:pStyle w:val="ListParagraph"/>
              <w:numPr>
                <w:ilvl w:val="0"/>
                <w:numId w:val="5"/>
              </w:numPr>
              <w:spacing w:after="120" w:line="288" w:lineRule="auto"/>
              <w:ind w:left="357" w:hanging="357"/>
              <w:jc w:val="both"/>
              <w:rPr>
                <w:rFonts w:ascii="Times New Roman" w:hAnsi="Times New Roman" w:cs="Times New Roman"/>
                <w:b/>
              </w:rPr>
            </w:pPr>
            <w:r>
              <w:rPr>
                <w:rFonts w:ascii="Times New Roman" w:hAnsi="Times New Roman"/>
              </w:rPr>
              <w:t xml:space="preserve">Participer à la </w:t>
            </w:r>
            <w:r>
              <w:rPr>
                <w:rFonts w:ascii="Times New Roman" w:hAnsi="Times New Roman"/>
                <w:b/>
              </w:rPr>
              <w:t>réunion annuelle du Comité de la sécurité alimentaire mondiale (CSA) des Nations unies</w:t>
            </w:r>
            <w:r>
              <w:rPr>
                <w:rFonts w:ascii="Times New Roman" w:hAnsi="Times New Roman"/>
              </w:rPr>
              <w:t>, qui constitue la plus grande plateforme internationale et intergouvernementale ouverte à tous permettant à l’ensemble des parties prenantes de travailler ensemble pour garantir la sécurité alimentaire et la nutrition pour tous, avec éventuellement une contribution comme lors des COP; assurer la liaison avec le groupe «Questions alimentaires et agricoles internationales» du Conseil, chargé notamment de coordonner et de préparer les positions de l’Union dans le contexte du CSA;</w:t>
            </w:r>
          </w:p>
          <w:p w14:paraId="76600640" w14:textId="77777777" w:rsidR="00085668" w:rsidRPr="00435E2A" w:rsidRDefault="00085668" w:rsidP="00085668">
            <w:pPr>
              <w:pStyle w:val="ListParagraph"/>
              <w:numPr>
                <w:ilvl w:val="0"/>
                <w:numId w:val="5"/>
              </w:numPr>
              <w:spacing w:after="120" w:line="288" w:lineRule="auto"/>
              <w:ind w:left="357" w:hanging="357"/>
              <w:jc w:val="both"/>
              <w:rPr>
                <w:rFonts w:ascii="Times New Roman" w:hAnsi="Times New Roman" w:cs="Times New Roman"/>
                <w:b/>
              </w:rPr>
            </w:pPr>
            <w:r>
              <w:rPr>
                <w:rFonts w:ascii="Times New Roman" w:hAnsi="Times New Roman"/>
              </w:rPr>
              <w:t xml:space="preserve">Participer au </w:t>
            </w:r>
            <w:r>
              <w:rPr>
                <w:rFonts w:ascii="Times New Roman" w:hAnsi="Times New Roman"/>
                <w:b/>
              </w:rPr>
              <w:t>Forum mondial de l’alimentation (WFF) annuel</w:t>
            </w:r>
            <w:r>
              <w:rPr>
                <w:rFonts w:ascii="Times New Roman" w:hAnsi="Times New Roman"/>
              </w:rPr>
              <w:t>;</w:t>
            </w:r>
          </w:p>
          <w:p w14:paraId="5E8C8B64" w14:textId="32AE810C" w:rsidR="00085668" w:rsidRPr="00435E2A" w:rsidRDefault="00085668" w:rsidP="004521BA">
            <w:pPr>
              <w:pStyle w:val="ListParagraph"/>
              <w:numPr>
                <w:ilvl w:val="0"/>
                <w:numId w:val="5"/>
              </w:numPr>
              <w:spacing w:after="120" w:line="288" w:lineRule="auto"/>
              <w:jc w:val="both"/>
              <w:rPr>
                <w:rFonts w:ascii="Times New Roman" w:hAnsi="Times New Roman" w:cs="Times New Roman"/>
              </w:rPr>
            </w:pPr>
            <w:r>
              <w:rPr>
                <w:rFonts w:ascii="Times New Roman" w:hAnsi="Times New Roman"/>
              </w:rPr>
              <w:t xml:space="preserve">Renforcer et approfondir le </w:t>
            </w:r>
            <w:r>
              <w:rPr>
                <w:rFonts w:ascii="Times New Roman" w:hAnsi="Times New Roman"/>
                <w:b/>
              </w:rPr>
              <w:t>dialogue avec la FAO</w:t>
            </w:r>
            <w:r>
              <w:rPr>
                <w:rFonts w:ascii="Times New Roman" w:hAnsi="Times New Roman"/>
              </w:rPr>
              <w:t>, en passant d’échanges ponctuels, comme ceux prévus au sein du CSA et du WFF, à des échanges plus réguliers entre le président du GP et les représentants de haut niveau de la FAO, de manière à pouvoir mieux influencer l’évolution des travaux dans différentes enceintes.</w:t>
            </w:r>
          </w:p>
        </w:tc>
      </w:tr>
    </w:tbl>
    <w:p w14:paraId="277BB2C6" w14:textId="77777777" w:rsidR="00FB6675" w:rsidRPr="00435E2A" w:rsidRDefault="00FB6675" w:rsidP="006E65D5">
      <w:pPr>
        <w:spacing w:after="0" w:line="288" w:lineRule="auto"/>
        <w:jc w:val="both"/>
        <w:rPr>
          <w:rFonts w:ascii="Times New Roman" w:hAnsi="Times New Roman" w:cs="Times New Roman"/>
          <w:b/>
          <w:u w:val="single"/>
          <w:lang w:val="en-GB"/>
        </w:rPr>
      </w:pPr>
    </w:p>
    <w:p w14:paraId="4F8612D9" w14:textId="77777777" w:rsidR="00951B89" w:rsidRPr="00435E2A" w:rsidRDefault="00951B89" w:rsidP="006E65D5">
      <w:pPr>
        <w:keepNext/>
        <w:spacing w:after="0" w:line="288" w:lineRule="auto"/>
        <w:jc w:val="both"/>
        <w:rPr>
          <w:rFonts w:ascii="Times New Roman" w:hAnsi="Times New Roman" w:cs="Times New Roman"/>
          <w:b/>
          <w:u w:val="single"/>
        </w:rPr>
      </w:pPr>
      <w:r>
        <w:rPr>
          <w:rFonts w:ascii="Times New Roman" w:hAnsi="Times New Roman"/>
          <w:b/>
          <w:u w:val="single"/>
        </w:rPr>
        <w:t>Méthodes de travail:</w:t>
      </w:r>
    </w:p>
    <w:p w14:paraId="22DCC8DB" w14:textId="77777777" w:rsidR="00614988" w:rsidRPr="00435E2A" w:rsidRDefault="00614988" w:rsidP="006E65D5">
      <w:pPr>
        <w:spacing w:after="0" w:line="288" w:lineRule="auto"/>
        <w:jc w:val="both"/>
        <w:rPr>
          <w:rFonts w:ascii="Times New Roman" w:hAnsi="Times New Roman" w:cs="Times New Roman"/>
          <w:highlight w:val="yellow"/>
          <w:lang w:val="en-GB"/>
        </w:rPr>
      </w:pPr>
    </w:p>
    <w:p w14:paraId="0E43D5C2" w14:textId="73CFE095" w:rsidR="00951B89" w:rsidRPr="00435E2A" w:rsidRDefault="00951B89" w:rsidP="006E65D5">
      <w:pPr>
        <w:spacing w:after="0" w:line="288" w:lineRule="auto"/>
        <w:jc w:val="both"/>
        <w:rPr>
          <w:rFonts w:ascii="Times New Roman" w:hAnsi="Times New Roman" w:cs="Times New Roman"/>
        </w:rPr>
      </w:pPr>
      <w:r>
        <w:rPr>
          <w:rFonts w:ascii="Times New Roman" w:hAnsi="Times New Roman"/>
        </w:rPr>
        <w:t xml:space="preserve">Le président et les membres du GP, ainsi que le secrétariat, ont des rôles différents mais essentiels à jouer dans </w:t>
      </w:r>
      <w:r>
        <w:rPr>
          <w:rFonts w:ascii="Times New Roman" w:hAnsi="Times New Roman"/>
          <w:b/>
        </w:rPr>
        <w:t>la conception et la création conjointes</w:t>
      </w:r>
      <w:r>
        <w:rPr>
          <w:rFonts w:ascii="Times New Roman" w:hAnsi="Times New Roman"/>
        </w:rPr>
        <w:t xml:space="preserve"> des activités du GP. Le président et les membres du GP porteront un discours fort sur les systèmes alimentaires durables et seront invités à </w:t>
      </w:r>
      <w:r>
        <w:rPr>
          <w:rFonts w:ascii="Times New Roman" w:hAnsi="Times New Roman"/>
          <w:b/>
        </w:rPr>
        <w:t>se mobiliser</w:t>
      </w:r>
      <w:r>
        <w:rPr>
          <w:rFonts w:ascii="Times New Roman" w:hAnsi="Times New Roman"/>
        </w:rPr>
        <w:t xml:space="preserve"> à bon escient </w:t>
      </w:r>
      <w:r>
        <w:rPr>
          <w:rFonts w:ascii="Times New Roman" w:hAnsi="Times New Roman"/>
          <w:b/>
        </w:rPr>
        <w:t>sur les médias sociaux</w:t>
      </w:r>
      <w:r>
        <w:rPr>
          <w:rFonts w:ascii="Times New Roman" w:hAnsi="Times New Roman"/>
        </w:rPr>
        <w:t xml:space="preserve"> (X, Bluesky, Instagram). Le GP passera également </w:t>
      </w:r>
      <w:r>
        <w:rPr>
          <w:rFonts w:ascii="Times New Roman" w:hAnsi="Times New Roman"/>
          <w:b/>
        </w:rPr>
        <w:t>de la parole aux actes</w:t>
      </w:r>
      <w:r>
        <w:rPr>
          <w:rFonts w:ascii="Times New Roman" w:hAnsi="Times New Roman"/>
        </w:rPr>
        <w:t xml:space="preserve"> en ce qui concerne des méthodes de travail durables grâce à une coopération permanente avec la Commission européenne, le Comité européen des régions et les organisations de la société civile tout le long de la chaîne agroalimentaire, en veillant à ce que ses manifestations soient inclusives, par exemple en ce qui concerne l’équilibre entre les hommes et les femmes et la participation des jeunes, et en sortant de la «bulle bruxelloise». </w:t>
      </w:r>
    </w:p>
    <w:p w14:paraId="5B6C242E" w14:textId="77777777" w:rsidR="00F5422D" w:rsidRPr="00435E2A" w:rsidRDefault="00F5422D" w:rsidP="006E65D5">
      <w:pPr>
        <w:spacing w:after="0" w:line="288" w:lineRule="auto"/>
        <w:jc w:val="both"/>
        <w:rPr>
          <w:rFonts w:ascii="Times New Roman" w:hAnsi="Times New Roman" w:cs="Times New Roman"/>
          <w:highlight w:val="yellow"/>
          <w:lang w:val="en-GB"/>
        </w:rPr>
      </w:pPr>
    </w:p>
    <w:p w14:paraId="5EB4D519" w14:textId="3C2630D1" w:rsidR="00951B89" w:rsidRPr="00435E2A" w:rsidRDefault="005312E3" w:rsidP="006E65D5">
      <w:pPr>
        <w:spacing w:after="0" w:line="288" w:lineRule="auto"/>
        <w:jc w:val="both"/>
        <w:rPr>
          <w:rFonts w:ascii="Times New Roman" w:hAnsi="Times New Roman" w:cs="Times New Roman"/>
        </w:rPr>
      </w:pPr>
      <w:r>
        <w:rPr>
          <w:rFonts w:ascii="Times New Roman" w:hAnsi="Times New Roman"/>
        </w:rPr>
        <w:t>La durabilité alimentaire est indissociable de plusieurs autres questions sur lesquelles se penchent la section NAT et d’autres sections du CESE ainsi que la CCMI. Des échanges réguliers avec d’autres sections, organes et groupes pourraient dès lors être mis en place.</w:t>
      </w:r>
    </w:p>
    <w:p w14:paraId="56B8BA0B" w14:textId="7ADF7D22" w:rsidR="00F5422D" w:rsidRPr="00435E2A" w:rsidRDefault="00F5422D" w:rsidP="007F0E48">
      <w:pPr>
        <w:overflowPunct w:val="0"/>
        <w:autoSpaceDE w:val="0"/>
        <w:autoSpaceDN w:val="0"/>
        <w:adjustRightInd w:val="0"/>
        <w:spacing w:line="288" w:lineRule="auto"/>
        <w:jc w:val="center"/>
        <w:textAlignment w:val="baseline"/>
      </w:pPr>
      <w:r>
        <w:t>_____________</w:t>
      </w:r>
    </w:p>
    <w:sectPr w:rsidR="00F5422D" w:rsidRPr="00435E2A" w:rsidSect="00CC69D5">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E5BC" w14:textId="77777777" w:rsidR="00604F09" w:rsidRDefault="00604F09" w:rsidP="00534D87">
      <w:pPr>
        <w:spacing w:after="0" w:line="240" w:lineRule="auto"/>
      </w:pPr>
      <w:r>
        <w:separator/>
      </w:r>
    </w:p>
  </w:endnote>
  <w:endnote w:type="continuationSeparator" w:id="0">
    <w:p w14:paraId="384C869E" w14:textId="77777777" w:rsidR="00604F09" w:rsidRDefault="00604F09" w:rsidP="0053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D8CA" w14:textId="77777777" w:rsidR="00732545" w:rsidRDefault="00732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C88C" w14:textId="459BFC04" w:rsidR="0085234D" w:rsidRPr="008B7B7F" w:rsidRDefault="008B7B7F" w:rsidP="008B7B7F">
    <w:pPr>
      <w:pStyle w:val="Footer"/>
    </w:pPr>
    <w:r>
      <w:t xml:space="preserve">EESC-2026-00459-00-00-TCD-TRA (EN) </w:t>
    </w:r>
    <w:r>
      <w:fldChar w:fldCharType="begin"/>
    </w:r>
    <w:r>
      <w:instrText xml:space="preserve"> PAGE  \* Arabic  \* MERGEFORMAT </w:instrText>
    </w:r>
    <w:r>
      <w:fldChar w:fldCharType="separate"/>
    </w:r>
    <w:r w:rsidR="00A75177">
      <w:t>1</w:t>
    </w:r>
    <w:r>
      <w:fldChar w:fldCharType="end"/>
    </w:r>
    <w:r>
      <w:t>/</w:t>
    </w:r>
    <w:r w:rsidR="00FD62E5">
      <w:fldChar w:fldCharType="begin"/>
    </w:r>
    <w:r w:rsidR="00FD62E5">
      <w:instrText xml:space="preserve"> NUMPAGES </w:instrText>
    </w:r>
    <w:r w:rsidR="00FD62E5">
      <w:fldChar w:fldCharType="separate"/>
    </w:r>
    <w:r w:rsidR="00A75177">
      <w:t>1</w:t>
    </w:r>
    <w:r w:rsidR="00FD62E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58D6" w14:textId="77777777" w:rsidR="00732545" w:rsidRDefault="00732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7CEE" w14:textId="77777777" w:rsidR="00604F09" w:rsidRDefault="00604F09" w:rsidP="00534D87">
      <w:pPr>
        <w:spacing w:after="0" w:line="240" w:lineRule="auto"/>
      </w:pPr>
      <w:r>
        <w:separator/>
      </w:r>
    </w:p>
  </w:footnote>
  <w:footnote w:type="continuationSeparator" w:id="0">
    <w:p w14:paraId="4C03610A" w14:textId="77777777" w:rsidR="00604F09" w:rsidRDefault="00604F09" w:rsidP="00534D87">
      <w:pPr>
        <w:spacing w:after="0" w:line="240" w:lineRule="auto"/>
      </w:pPr>
      <w:r>
        <w:continuationSeparator/>
      </w:r>
    </w:p>
  </w:footnote>
  <w:footnote w:id="1">
    <w:p w14:paraId="408DA3FA" w14:textId="0F8A4517" w:rsidR="00F1597C" w:rsidRPr="004B4514" w:rsidRDefault="00F1597C" w:rsidP="0000021C">
      <w:pPr>
        <w:pStyle w:val="FootnoteText"/>
        <w:ind w:left="567" w:hanging="567"/>
      </w:pPr>
      <w:r>
        <w:rPr>
          <w:rStyle w:val="FootnoteReference"/>
          <w:rFonts w:ascii="Times New Roman" w:hAnsi="Times New Roman" w:cs="Times New Roman"/>
          <w:sz w:val="24"/>
          <w:szCs w:val="24"/>
        </w:rPr>
        <w:footnoteRef/>
      </w:r>
      <w:r>
        <w:rPr>
          <w:rFonts w:ascii="Times New Roman" w:hAnsi="Times New Roman"/>
          <w:sz w:val="24"/>
        </w:rPr>
        <w:t xml:space="preserve"> </w:t>
      </w:r>
      <w:r>
        <w:tab/>
      </w:r>
      <w:r>
        <w:rPr>
          <w:rFonts w:ascii="Times New Roman" w:hAnsi="Times New Roman"/>
          <w:sz w:val="16"/>
        </w:rPr>
        <w:t xml:space="preserve">Avis du CESE sur le thème </w:t>
      </w:r>
      <w:r>
        <w:t>«</w:t>
      </w:r>
      <w:hyperlink r:id="rId1" w:history="1">
        <w:r>
          <w:rPr>
            <w:rStyle w:val="Hyperlink"/>
            <w:rFonts w:ascii="Times New Roman" w:hAnsi="Times New Roman"/>
            <w:sz w:val="16"/>
          </w:rPr>
          <w:t>Vers un Conseil européen de la politique alimentaire en tant que nouveau modèle de gouvernance dans le futur cadre de l’Union pour des systèmes alimentaires durables</w:t>
        </w:r>
      </w:hyperlink>
      <w:r>
        <w:t>»</w:t>
      </w:r>
      <w:r>
        <w:rPr>
          <w:rFonts w:ascii="Times New Roman" w:hAnsi="Times New Roman"/>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922F" w14:textId="77777777" w:rsidR="00732545" w:rsidRDefault="00732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BC6E" w14:textId="77777777" w:rsidR="00732545" w:rsidRDefault="00732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6B68" w14:textId="77777777" w:rsidR="00732545" w:rsidRDefault="00732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C9B3D"/>
    <w:multiLevelType w:val="hybridMultilevel"/>
    <w:tmpl w:val="9EE9D0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E974DC"/>
    <w:multiLevelType w:val="hybridMultilevel"/>
    <w:tmpl w:val="AAB4D6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A78E6F"/>
    <w:multiLevelType w:val="hybridMultilevel"/>
    <w:tmpl w:val="E764BB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319C0B"/>
    <w:multiLevelType w:val="hybridMultilevel"/>
    <w:tmpl w:val="691D85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3B8E8F"/>
    <w:multiLevelType w:val="hybridMultilevel"/>
    <w:tmpl w:val="7FEEB0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BE39BAD"/>
    <w:multiLevelType w:val="hybridMultilevel"/>
    <w:tmpl w:val="2BEEBF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790F1D"/>
    <w:multiLevelType w:val="hybridMultilevel"/>
    <w:tmpl w:val="8D50D79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099E334C"/>
    <w:multiLevelType w:val="hybridMultilevel"/>
    <w:tmpl w:val="D97057D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163F2744"/>
    <w:multiLevelType w:val="hybridMultilevel"/>
    <w:tmpl w:val="0E8C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C0CFB"/>
    <w:multiLevelType w:val="hybridMultilevel"/>
    <w:tmpl w:val="C5D650B8"/>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0" w15:restartNumberingAfterBreak="0">
    <w:nsid w:val="2D029FAF"/>
    <w:multiLevelType w:val="hybridMultilevel"/>
    <w:tmpl w:val="1F6951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1A7719"/>
    <w:multiLevelType w:val="hybridMultilevel"/>
    <w:tmpl w:val="BD947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EA6BDD"/>
    <w:multiLevelType w:val="hybridMultilevel"/>
    <w:tmpl w:val="808C14E2"/>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39582CD1"/>
    <w:multiLevelType w:val="hybridMultilevel"/>
    <w:tmpl w:val="2E32BC9E"/>
    <w:lvl w:ilvl="0" w:tplc="08090003">
      <w:start w:val="1"/>
      <w:numFmt w:val="bullet"/>
      <w:lvlText w:val="o"/>
      <w:lvlJc w:val="left"/>
      <w:pPr>
        <w:ind w:left="824" w:hanging="360"/>
      </w:pPr>
      <w:rPr>
        <w:rFonts w:ascii="Courier New" w:hAnsi="Courier New" w:cs="Courier New"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4" w15:restartNumberingAfterBreak="0">
    <w:nsid w:val="3B267258"/>
    <w:multiLevelType w:val="hybridMultilevel"/>
    <w:tmpl w:val="B9845E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DB6E18"/>
    <w:multiLevelType w:val="hybridMultilevel"/>
    <w:tmpl w:val="C7A0BB34"/>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6" w15:restartNumberingAfterBreak="0">
    <w:nsid w:val="4BC04C33"/>
    <w:multiLevelType w:val="hybridMultilevel"/>
    <w:tmpl w:val="4F8295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093D3D"/>
    <w:multiLevelType w:val="hybridMultilevel"/>
    <w:tmpl w:val="1E7A7AA4"/>
    <w:lvl w:ilvl="0" w:tplc="08090001">
      <w:start w:val="1"/>
      <w:numFmt w:val="bullet"/>
      <w:lvlText w:val=""/>
      <w:lvlJc w:val="left"/>
      <w:pPr>
        <w:ind w:left="1107" w:hanging="360"/>
      </w:pPr>
      <w:rPr>
        <w:rFonts w:ascii="Symbol" w:hAnsi="Symbol" w:hint="default"/>
      </w:rPr>
    </w:lvl>
    <w:lvl w:ilvl="1" w:tplc="08090003" w:tentative="1">
      <w:start w:val="1"/>
      <w:numFmt w:val="bullet"/>
      <w:lvlText w:val="o"/>
      <w:lvlJc w:val="left"/>
      <w:pPr>
        <w:ind w:left="1827" w:hanging="360"/>
      </w:pPr>
      <w:rPr>
        <w:rFonts w:ascii="Courier New" w:hAnsi="Courier New" w:cs="Courier New" w:hint="default"/>
      </w:rPr>
    </w:lvl>
    <w:lvl w:ilvl="2" w:tplc="08090005" w:tentative="1">
      <w:start w:val="1"/>
      <w:numFmt w:val="bullet"/>
      <w:lvlText w:val=""/>
      <w:lvlJc w:val="left"/>
      <w:pPr>
        <w:ind w:left="2547" w:hanging="360"/>
      </w:pPr>
      <w:rPr>
        <w:rFonts w:ascii="Wingdings" w:hAnsi="Wingdings" w:hint="default"/>
      </w:rPr>
    </w:lvl>
    <w:lvl w:ilvl="3" w:tplc="08090001" w:tentative="1">
      <w:start w:val="1"/>
      <w:numFmt w:val="bullet"/>
      <w:lvlText w:val=""/>
      <w:lvlJc w:val="left"/>
      <w:pPr>
        <w:ind w:left="3267" w:hanging="360"/>
      </w:pPr>
      <w:rPr>
        <w:rFonts w:ascii="Symbol" w:hAnsi="Symbol" w:hint="default"/>
      </w:rPr>
    </w:lvl>
    <w:lvl w:ilvl="4" w:tplc="08090003" w:tentative="1">
      <w:start w:val="1"/>
      <w:numFmt w:val="bullet"/>
      <w:lvlText w:val="o"/>
      <w:lvlJc w:val="left"/>
      <w:pPr>
        <w:ind w:left="3987" w:hanging="360"/>
      </w:pPr>
      <w:rPr>
        <w:rFonts w:ascii="Courier New" w:hAnsi="Courier New" w:cs="Courier New" w:hint="default"/>
      </w:rPr>
    </w:lvl>
    <w:lvl w:ilvl="5" w:tplc="08090005" w:tentative="1">
      <w:start w:val="1"/>
      <w:numFmt w:val="bullet"/>
      <w:lvlText w:val=""/>
      <w:lvlJc w:val="left"/>
      <w:pPr>
        <w:ind w:left="4707" w:hanging="360"/>
      </w:pPr>
      <w:rPr>
        <w:rFonts w:ascii="Wingdings" w:hAnsi="Wingdings" w:hint="default"/>
      </w:rPr>
    </w:lvl>
    <w:lvl w:ilvl="6" w:tplc="08090001" w:tentative="1">
      <w:start w:val="1"/>
      <w:numFmt w:val="bullet"/>
      <w:lvlText w:val=""/>
      <w:lvlJc w:val="left"/>
      <w:pPr>
        <w:ind w:left="5427" w:hanging="360"/>
      </w:pPr>
      <w:rPr>
        <w:rFonts w:ascii="Symbol" w:hAnsi="Symbol" w:hint="default"/>
      </w:rPr>
    </w:lvl>
    <w:lvl w:ilvl="7" w:tplc="08090003" w:tentative="1">
      <w:start w:val="1"/>
      <w:numFmt w:val="bullet"/>
      <w:lvlText w:val="o"/>
      <w:lvlJc w:val="left"/>
      <w:pPr>
        <w:ind w:left="6147" w:hanging="360"/>
      </w:pPr>
      <w:rPr>
        <w:rFonts w:ascii="Courier New" w:hAnsi="Courier New" w:cs="Courier New" w:hint="default"/>
      </w:rPr>
    </w:lvl>
    <w:lvl w:ilvl="8" w:tplc="08090005" w:tentative="1">
      <w:start w:val="1"/>
      <w:numFmt w:val="bullet"/>
      <w:lvlText w:val=""/>
      <w:lvlJc w:val="left"/>
      <w:pPr>
        <w:ind w:left="6867" w:hanging="360"/>
      </w:pPr>
      <w:rPr>
        <w:rFonts w:ascii="Wingdings" w:hAnsi="Wingdings" w:hint="default"/>
      </w:rPr>
    </w:lvl>
  </w:abstractNum>
  <w:abstractNum w:abstractNumId="18" w15:restartNumberingAfterBreak="0">
    <w:nsid w:val="5FFF0AFB"/>
    <w:multiLevelType w:val="hybridMultilevel"/>
    <w:tmpl w:val="F27E7D4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60B83FF3"/>
    <w:multiLevelType w:val="hybridMultilevel"/>
    <w:tmpl w:val="731A4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5B00AD"/>
    <w:multiLevelType w:val="hybridMultilevel"/>
    <w:tmpl w:val="AA7838D4"/>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21" w15:restartNumberingAfterBreak="0">
    <w:nsid w:val="6C9E4B73"/>
    <w:multiLevelType w:val="hybridMultilevel"/>
    <w:tmpl w:val="45436A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FA153A8"/>
    <w:multiLevelType w:val="hybridMultilevel"/>
    <w:tmpl w:val="A28D0F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A851CAE"/>
    <w:multiLevelType w:val="hybridMultilevel"/>
    <w:tmpl w:val="D1FAE1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F17764D"/>
    <w:multiLevelType w:val="hybridMultilevel"/>
    <w:tmpl w:val="653AE3F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721247817">
    <w:abstractNumId w:val="24"/>
  </w:num>
  <w:num w:numId="2" w16cid:durableId="112604101">
    <w:abstractNumId w:val="6"/>
  </w:num>
  <w:num w:numId="3" w16cid:durableId="968515471">
    <w:abstractNumId w:val="18"/>
  </w:num>
  <w:num w:numId="4" w16cid:durableId="406728478">
    <w:abstractNumId w:val="12"/>
  </w:num>
  <w:num w:numId="5" w16cid:durableId="1323778">
    <w:abstractNumId w:val="7"/>
  </w:num>
  <w:num w:numId="6" w16cid:durableId="998774630">
    <w:abstractNumId w:val="18"/>
  </w:num>
  <w:num w:numId="7" w16cid:durableId="1261793488">
    <w:abstractNumId w:val="24"/>
  </w:num>
  <w:num w:numId="8" w16cid:durableId="1473214491">
    <w:abstractNumId w:val="6"/>
  </w:num>
  <w:num w:numId="9" w16cid:durableId="1909799883">
    <w:abstractNumId w:val="12"/>
  </w:num>
  <w:num w:numId="10" w16cid:durableId="1160733414">
    <w:abstractNumId w:val="18"/>
  </w:num>
  <w:num w:numId="11" w16cid:durableId="1487017423">
    <w:abstractNumId w:val="15"/>
  </w:num>
  <w:num w:numId="12" w16cid:durableId="348996232">
    <w:abstractNumId w:val="20"/>
  </w:num>
  <w:num w:numId="13" w16cid:durableId="1505973635">
    <w:abstractNumId w:val="8"/>
  </w:num>
  <w:num w:numId="14" w16cid:durableId="700472625">
    <w:abstractNumId w:val="11"/>
  </w:num>
  <w:num w:numId="15" w16cid:durableId="35006530">
    <w:abstractNumId w:val="19"/>
  </w:num>
  <w:num w:numId="16" w16cid:durableId="1295217824">
    <w:abstractNumId w:val="1"/>
  </w:num>
  <w:num w:numId="17" w16cid:durableId="21519580">
    <w:abstractNumId w:val="10"/>
  </w:num>
  <w:num w:numId="18" w16cid:durableId="445201196">
    <w:abstractNumId w:val="3"/>
  </w:num>
  <w:num w:numId="19" w16cid:durableId="891304487">
    <w:abstractNumId w:val="14"/>
  </w:num>
  <w:num w:numId="20" w16cid:durableId="821047335">
    <w:abstractNumId w:val="16"/>
  </w:num>
  <w:num w:numId="21" w16cid:durableId="766969099">
    <w:abstractNumId w:val="5"/>
  </w:num>
  <w:num w:numId="22" w16cid:durableId="1526627548">
    <w:abstractNumId w:val="4"/>
  </w:num>
  <w:num w:numId="23" w16cid:durableId="130170439">
    <w:abstractNumId w:val="0"/>
  </w:num>
  <w:num w:numId="24" w16cid:durableId="246424469">
    <w:abstractNumId w:val="2"/>
  </w:num>
  <w:num w:numId="25" w16cid:durableId="869142724">
    <w:abstractNumId w:val="22"/>
  </w:num>
  <w:num w:numId="26" w16cid:durableId="987439838">
    <w:abstractNumId w:val="21"/>
  </w:num>
  <w:num w:numId="27" w16cid:durableId="737942849">
    <w:abstractNumId w:val="9"/>
  </w:num>
  <w:num w:numId="28" w16cid:durableId="2077583508">
    <w:abstractNumId w:val="13"/>
  </w:num>
  <w:num w:numId="29" w16cid:durableId="758722529">
    <w:abstractNumId w:val="23"/>
  </w:num>
  <w:num w:numId="30" w16cid:durableId="10455193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6D"/>
    <w:rsid w:val="0000021C"/>
    <w:rsid w:val="00010C1C"/>
    <w:rsid w:val="00013D60"/>
    <w:rsid w:val="00016A19"/>
    <w:rsid w:val="00017DFD"/>
    <w:rsid w:val="00023C1F"/>
    <w:rsid w:val="000252D2"/>
    <w:rsid w:val="0003203D"/>
    <w:rsid w:val="00034B7E"/>
    <w:rsid w:val="0004301F"/>
    <w:rsid w:val="0005101F"/>
    <w:rsid w:val="00054376"/>
    <w:rsid w:val="000574BC"/>
    <w:rsid w:val="00060565"/>
    <w:rsid w:val="000725E7"/>
    <w:rsid w:val="00072A84"/>
    <w:rsid w:val="00081FE2"/>
    <w:rsid w:val="0008251E"/>
    <w:rsid w:val="00083B85"/>
    <w:rsid w:val="00083FD7"/>
    <w:rsid w:val="00085668"/>
    <w:rsid w:val="000943CA"/>
    <w:rsid w:val="000964FD"/>
    <w:rsid w:val="000B5059"/>
    <w:rsid w:val="000D7764"/>
    <w:rsid w:val="000E5751"/>
    <w:rsid w:val="000F3293"/>
    <w:rsid w:val="000F59D1"/>
    <w:rsid w:val="00101004"/>
    <w:rsid w:val="001014D3"/>
    <w:rsid w:val="00104FDB"/>
    <w:rsid w:val="00126654"/>
    <w:rsid w:val="00126D15"/>
    <w:rsid w:val="00127A57"/>
    <w:rsid w:val="00132957"/>
    <w:rsid w:val="00150F00"/>
    <w:rsid w:val="0015351B"/>
    <w:rsid w:val="00163F00"/>
    <w:rsid w:val="00165F9E"/>
    <w:rsid w:val="00173037"/>
    <w:rsid w:val="00183568"/>
    <w:rsid w:val="001B48C3"/>
    <w:rsid w:val="001B7B77"/>
    <w:rsid w:val="001C3697"/>
    <w:rsid w:val="001C7255"/>
    <w:rsid w:val="001C7EC1"/>
    <w:rsid w:val="001D2D5B"/>
    <w:rsid w:val="001D5361"/>
    <w:rsid w:val="001F1F2C"/>
    <w:rsid w:val="002005A9"/>
    <w:rsid w:val="00203D2F"/>
    <w:rsid w:val="002065C7"/>
    <w:rsid w:val="00207CA9"/>
    <w:rsid w:val="00210280"/>
    <w:rsid w:val="002113BE"/>
    <w:rsid w:val="002124B0"/>
    <w:rsid w:val="002150E8"/>
    <w:rsid w:val="00215C44"/>
    <w:rsid w:val="00221FA0"/>
    <w:rsid w:val="00226044"/>
    <w:rsid w:val="00227F61"/>
    <w:rsid w:val="00230289"/>
    <w:rsid w:val="00240345"/>
    <w:rsid w:val="002408D5"/>
    <w:rsid w:val="002415FB"/>
    <w:rsid w:val="00250853"/>
    <w:rsid w:val="00270023"/>
    <w:rsid w:val="0027329D"/>
    <w:rsid w:val="00275C6E"/>
    <w:rsid w:val="00276097"/>
    <w:rsid w:val="00281960"/>
    <w:rsid w:val="00283AE9"/>
    <w:rsid w:val="00290FAB"/>
    <w:rsid w:val="00295CFF"/>
    <w:rsid w:val="00297FFA"/>
    <w:rsid w:val="002A1AC5"/>
    <w:rsid w:val="002A22CD"/>
    <w:rsid w:val="002D3337"/>
    <w:rsid w:val="002D57CE"/>
    <w:rsid w:val="002D5EE3"/>
    <w:rsid w:val="002E1EB2"/>
    <w:rsid w:val="002E2D73"/>
    <w:rsid w:val="002E3AD4"/>
    <w:rsid w:val="002F26EA"/>
    <w:rsid w:val="00301601"/>
    <w:rsid w:val="00316F98"/>
    <w:rsid w:val="0032383C"/>
    <w:rsid w:val="0032446E"/>
    <w:rsid w:val="00325296"/>
    <w:rsid w:val="00326F1C"/>
    <w:rsid w:val="00327938"/>
    <w:rsid w:val="003321F3"/>
    <w:rsid w:val="00333FD0"/>
    <w:rsid w:val="00334BA5"/>
    <w:rsid w:val="00336AAD"/>
    <w:rsid w:val="00342D28"/>
    <w:rsid w:val="00342F14"/>
    <w:rsid w:val="00347D87"/>
    <w:rsid w:val="00373A0C"/>
    <w:rsid w:val="00374F2C"/>
    <w:rsid w:val="003804F0"/>
    <w:rsid w:val="00384788"/>
    <w:rsid w:val="003879DC"/>
    <w:rsid w:val="00387DB2"/>
    <w:rsid w:val="00393C98"/>
    <w:rsid w:val="003A00B1"/>
    <w:rsid w:val="003A1632"/>
    <w:rsid w:val="003A301E"/>
    <w:rsid w:val="003B23D4"/>
    <w:rsid w:val="003B2554"/>
    <w:rsid w:val="003C6F52"/>
    <w:rsid w:val="003E7CDE"/>
    <w:rsid w:val="003F5C2F"/>
    <w:rsid w:val="004033D1"/>
    <w:rsid w:val="00405262"/>
    <w:rsid w:val="00411199"/>
    <w:rsid w:val="004158D7"/>
    <w:rsid w:val="00435E2A"/>
    <w:rsid w:val="00440C1D"/>
    <w:rsid w:val="004436A0"/>
    <w:rsid w:val="00451891"/>
    <w:rsid w:val="004521BA"/>
    <w:rsid w:val="00463179"/>
    <w:rsid w:val="00472954"/>
    <w:rsid w:val="00474652"/>
    <w:rsid w:val="00476D5C"/>
    <w:rsid w:val="0047734C"/>
    <w:rsid w:val="00495C8E"/>
    <w:rsid w:val="004A0C1C"/>
    <w:rsid w:val="004A10B4"/>
    <w:rsid w:val="004B4514"/>
    <w:rsid w:val="004C300F"/>
    <w:rsid w:val="004C5E86"/>
    <w:rsid w:val="004C67D0"/>
    <w:rsid w:val="004D7BDA"/>
    <w:rsid w:val="004E2A69"/>
    <w:rsid w:val="004E6386"/>
    <w:rsid w:val="004F502A"/>
    <w:rsid w:val="004F6AEC"/>
    <w:rsid w:val="00507C4A"/>
    <w:rsid w:val="005148DB"/>
    <w:rsid w:val="00521764"/>
    <w:rsid w:val="00521B1F"/>
    <w:rsid w:val="00530870"/>
    <w:rsid w:val="00531023"/>
    <w:rsid w:val="005312E3"/>
    <w:rsid w:val="005345B6"/>
    <w:rsid w:val="00534D87"/>
    <w:rsid w:val="00536936"/>
    <w:rsid w:val="0054246A"/>
    <w:rsid w:val="00545F80"/>
    <w:rsid w:val="005521D3"/>
    <w:rsid w:val="0055343D"/>
    <w:rsid w:val="005602DD"/>
    <w:rsid w:val="005824BA"/>
    <w:rsid w:val="00582ABD"/>
    <w:rsid w:val="005A2AC6"/>
    <w:rsid w:val="005A6BD4"/>
    <w:rsid w:val="005B4D53"/>
    <w:rsid w:val="005B6B2F"/>
    <w:rsid w:val="005D1591"/>
    <w:rsid w:val="005D64AC"/>
    <w:rsid w:val="005E4341"/>
    <w:rsid w:val="005F2698"/>
    <w:rsid w:val="005F3A6F"/>
    <w:rsid w:val="005F4557"/>
    <w:rsid w:val="00601B9A"/>
    <w:rsid w:val="00602D6D"/>
    <w:rsid w:val="00604F09"/>
    <w:rsid w:val="00606C73"/>
    <w:rsid w:val="00614988"/>
    <w:rsid w:val="00635D70"/>
    <w:rsid w:val="00646938"/>
    <w:rsid w:val="00650386"/>
    <w:rsid w:val="00655F68"/>
    <w:rsid w:val="00657B2F"/>
    <w:rsid w:val="0066049C"/>
    <w:rsid w:val="00675B5D"/>
    <w:rsid w:val="006A78C9"/>
    <w:rsid w:val="006B2E58"/>
    <w:rsid w:val="006B6DF5"/>
    <w:rsid w:val="006C43C3"/>
    <w:rsid w:val="006C6279"/>
    <w:rsid w:val="006D6AD0"/>
    <w:rsid w:val="006E3D86"/>
    <w:rsid w:val="006E4F68"/>
    <w:rsid w:val="006E55B4"/>
    <w:rsid w:val="006E65D5"/>
    <w:rsid w:val="006E6796"/>
    <w:rsid w:val="0070763D"/>
    <w:rsid w:val="00712300"/>
    <w:rsid w:val="00726067"/>
    <w:rsid w:val="007274ED"/>
    <w:rsid w:val="00730CFA"/>
    <w:rsid w:val="00732545"/>
    <w:rsid w:val="00746FC8"/>
    <w:rsid w:val="007504AB"/>
    <w:rsid w:val="007561F8"/>
    <w:rsid w:val="00757858"/>
    <w:rsid w:val="0076156A"/>
    <w:rsid w:val="00790A5D"/>
    <w:rsid w:val="007A272A"/>
    <w:rsid w:val="007A513D"/>
    <w:rsid w:val="007B0F66"/>
    <w:rsid w:val="007C5A1C"/>
    <w:rsid w:val="007C74CF"/>
    <w:rsid w:val="007D0689"/>
    <w:rsid w:val="007D09A2"/>
    <w:rsid w:val="007D1B6E"/>
    <w:rsid w:val="007D7711"/>
    <w:rsid w:val="007F0E48"/>
    <w:rsid w:val="007F5D59"/>
    <w:rsid w:val="00804314"/>
    <w:rsid w:val="008062FB"/>
    <w:rsid w:val="00813C5D"/>
    <w:rsid w:val="0082006D"/>
    <w:rsid w:val="00823062"/>
    <w:rsid w:val="00823EC1"/>
    <w:rsid w:val="008253F9"/>
    <w:rsid w:val="0084065A"/>
    <w:rsid w:val="00844999"/>
    <w:rsid w:val="0084501D"/>
    <w:rsid w:val="0085234D"/>
    <w:rsid w:val="0085792B"/>
    <w:rsid w:val="00860AE8"/>
    <w:rsid w:val="0086514B"/>
    <w:rsid w:val="008746D2"/>
    <w:rsid w:val="0087722E"/>
    <w:rsid w:val="00885E81"/>
    <w:rsid w:val="008908CB"/>
    <w:rsid w:val="008B7B7F"/>
    <w:rsid w:val="008D56ED"/>
    <w:rsid w:val="008D603B"/>
    <w:rsid w:val="008E2106"/>
    <w:rsid w:val="008E2217"/>
    <w:rsid w:val="008E5A21"/>
    <w:rsid w:val="008E730D"/>
    <w:rsid w:val="00902482"/>
    <w:rsid w:val="00910DC2"/>
    <w:rsid w:val="009219A7"/>
    <w:rsid w:val="00927025"/>
    <w:rsid w:val="00935170"/>
    <w:rsid w:val="00937C72"/>
    <w:rsid w:val="009404A5"/>
    <w:rsid w:val="009448B8"/>
    <w:rsid w:val="00945060"/>
    <w:rsid w:val="00951B89"/>
    <w:rsid w:val="00952CA0"/>
    <w:rsid w:val="00952F11"/>
    <w:rsid w:val="00954BBC"/>
    <w:rsid w:val="0096654D"/>
    <w:rsid w:val="009757BF"/>
    <w:rsid w:val="00987A78"/>
    <w:rsid w:val="00993568"/>
    <w:rsid w:val="009952BA"/>
    <w:rsid w:val="009A560D"/>
    <w:rsid w:val="009B17E8"/>
    <w:rsid w:val="009B3845"/>
    <w:rsid w:val="009B6837"/>
    <w:rsid w:val="009C0AFC"/>
    <w:rsid w:val="009C1763"/>
    <w:rsid w:val="009C2A25"/>
    <w:rsid w:val="009C4FB0"/>
    <w:rsid w:val="009F2339"/>
    <w:rsid w:val="00A03256"/>
    <w:rsid w:val="00A26B04"/>
    <w:rsid w:val="00A26C11"/>
    <w:rsid w:val="00A305F5"/>
    <w:rsid w:val="00A44AB3"/>
    <w:rsid w:val="00A57E1A"/>
    <w:rsid w:val="00A61156"/>
    <w:rsid w:val="00A62A18"/>
    <w:rsid w:val="00A74587"/>
    <w:rsid w:val="00A75177"/>
    <w:rsid w:val="00A92A06"/>
    <w:rsid w:val="00A97619"/>
    <w:rsid w:val="00AB488B"/>
    <w:rsid w:val="00AB61B0"/>
    <w:rsid w:val="00AC13F6"/>
    <w:rsid w:val="00AC22BE"/>
    <w:rsid w:val="00B00F97"/>
    <w:rsid w:val="00B15703"/>
    <w:rsid w:val="00B165A1"/>
    <w:rsid w:val="00B212DF"/>
    <w:rsid w:val="00B21F5F"/>
    <w:rsid w:val="00B24698"/>
    <w:rsid w:val="00B24876"/>
    <w:rsid w:val="00B256D0"/>
    <w:rsid w:val="00B25F3D"/>
    <w:rsid w:val="00B31BEE"/>
    <w:rsid w:val="00B363B2"/>
    <w:rsid w:val="00B50CE9"/>
    <w:rsid w:val="00B5345E"/>
    <w:rsid w:val="00B567A2"/>
    <w:rsid w:val="00B6359F"/>
    <w:rsid w:val="00B7335B"/>
    <w:rsid w:val="00B83C89"/>
    <w:rsid w:val="00B8539A"/>
    <w:rsid w:val="00B87B1E"/>
    <w:rsid w:val="00B87BD8"/>
    <w:rsid w:val="00B87E9A"/>
    <w:rsid w:val="00B9200C"/>
    <w:rsid w:val="00B95A63"/>
    <w:rsid w:val="00BB4D92"/>
    <w:rsid w:val="00BC2304"/>
    <w:rsid w:val="00BE1054"/>
    <w:rsid w:val="00BF4B88"/>
    <w:rsid w:val="00C06A49"/>
    <w:rsid w:val="00C2269C"/>
    <w:rsid w:val="00C33DD4"/>
    <w:rsid w:val="00C5244C"/>
    <w:rsid w:val="00C6082A"/>
    <w:rsid w:val="00C662F3"/>
    <w:rsid w:val="00C74CD5"/>
    <w:rsid w:val="00C77C61"/>
    <w:rsid w:val="00C80DDE"/>
    <w:rsid w:val="00C9711F"/>
    <w:rsid w:val="00C979BD"/>
    <w:rsid w:val="00CA5D59"/>
    <w:rsid w:val="00CA78A4"/>
    <w:rsid w:val="00CA79F8"/>
    <w:rsid w:val="00CB431D"/>
    <w:rsid w:val="00CB6A9B"/>
    <w:rsid w:val="00CC3E91"/>
    <w:rsid w:val="00CC5DD7"/>
    <w:rsid w:val="00CC69D5"/>
    <w:rsid w:val="00CC723F"/>
    <w:rsid w:val="00CD63E0"/>
    <w:rsid w:val="00CE1B58"/>
    <w:rsid w:val="00CF10B8"/>
    <w:rsid w:val="00CF4FFF"/>
    <w:rsid w:val="00D03B2B"/>
    <w:rsid w:val="00D067A3"/>
    <w:rsid w:val="00D10CDE"/>
    <w:rsid w:val="00D14E97"/>
    <w:rsid w:val="00D23B8C"/>
    <w:rsid w:val="00D3151C"/>
    <w:rsid w:val="00D31EE3"/>
    <w:rsid w:val="00D331AF"/>
    <w:rsid w:val="00D359CC"/>
    <w:rsid w:val="00D541A3"/>
    <w:rsid w:val="00D5459F"/>
    <w:rsid w:val="00D55B1A"/>
    <w:rsid w:val="00D64EFE"/>
    <w:rsid w:val="00D70109"/>
    <w:rsid w:val="00D712F0"/>
    <w:rsid w:val="00D74893"/>
    <w:rsid w:val="00D86A7E"/>
    <w:rsid w:val="00DA068F"/>
    <w:rsid w:val="00DB4F2C"/>
    <w:rsid w:val="00E0448D"/>
    <w:rsid w:val="00E23A9C"/>
    <w:rsid w:val="00E23E4D"/>
    <w:rsid w:val="00E25677"/>
    <w:rsid w:val="00E30B56"/>
    <w:rsid w:val="00E31A55"/>
    <w:rsid w:val="00E409AB"/>
    <w:rsid w:val="00E42701"/>
    <w:rsid w:val="00E42CFD"/>
    <w:rsid w:val="00E62F52"/>
    <w:rsid w:val="00E72F88"/>
    <w:rsid w:val="00E75DFE"/>
    <w:rsid w:val="00E91391"/>
    <w:rsid w:val="00E9753A"/>
    <w:rsid w:val="00E97714"/>
    <w:rsid w:val="00EA2053"/>
    <w:rsid w:val="00EA4A21"/>
    <w:rsid w:val="00EA7B8D"/>
    <w:rsid w:val="00EB0582"/>
    <w:rsid w:val="00EC00F3"/>
    <w:rsid w:val="00EC6D73"/>
    <w:rsid w:val="00ED186D"/>
    <w:rsid w:val="00ED3F97"/>
    <w:rsid w:val="00EF34F7"/>
    <w:rsid w:val="00EF526B"/>
    <w:rsid w:val="00EF7004"/>
    <w:rsid w:val="00F071B7"/>
    <w:rsid w:val="00F145BE"/>
    <w:rsid w:val="00F1597C"/>
    <w:rsid w:val="00F21B82"/>
    <w:rsid w:val="00F310D4"/>
    <w:rsid w:val="00F460C4"/>
    <w:rsid w:val="00F467FD"/>
    <w:rsid w:val="00F5422D"/>
    <w:rsid w:val="00F60E77"/>
    <w:rsid w:val="00F67705"/>
    <w:rsid w:val="00F737CB"/>
    <w:rsid w:val="00F85EAD"/>
    <w:rsid w:val="00F8623C"/>
    <w:rsid w:val="00F902FD"/>
    <w:rsid w:val="00FA0E74"/>
    <w:rsid w:val="00FA1D41"/>
    <w:rsid w:val="00FA2292"/>
    <w:rsid w:val="00FA56DB"/>
    <w:rsid w:val="00FB085E"/>
    <w:rsid w:val="00FB4CA8"/>
    <w:rsid w:val="00FB6675"/>
    <w:rsid w:val="00FD52EB"/>
    <w:rsid w:val="00FD62E5"/>
    <w:rsid w:val="00FE7C58"/>
    <w:rsid w:val="00FF08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93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F5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4F2C"/>
    <w:rPr>
      <w:color w:val="0000FF" w:themeColor="hyperlink"/>
      <w:u w:val="single"/>
    </w:rPr>
  </w:style>
  <w:style w:type="paragraph" w:styleId="ListParagraph">
    <w:name w:val="List Paragraph"/>
    <w:aliases w:val="FooterText,Paragraphe de liste1,List Paragraph (bulleted list),Bullet 1 List,Lettre d'introduction,List Paragraph1,1st level - Bullet List Paragraph,Medium Grid 1 - Accent 21,Bullet List Paragraph,Paragrafo elenco numerato,Bullet point"/>
    <w:basedOn w:val="Normal"/>
    <w:link w:val="ListParagraphChar"/>
    <w:uiPriority w:val="34"/>
    <w:qFormat/>
    <w:rsid w:val="00DB4F2C"/>
    <w:pPr>
      <w:ind w:left="720"/>
      <w:contextualSpacing/>
    </w:pPr>
  </w:style>
  <w:style w:type="character" w:styleId="FollowedHyperlink">
    <w:name w:val="FollowedHyperlink"/>
    <w:basedOn w:val="DefaultParagraphFont"/>
    <w:uiPriority w:val="99"/>
    <w:semiHidden/>
    <w:unhideWhenUsed/>
    <w:rsid w:val="00104FDB"/>
    <w:rPr>
      <w:color w:val="800080" w:themeColor="followedHyperlink"/>
      <w:u w:val="single"/>
    </w:rPr>
  </w:style>
  <w:style w:type="paragraph" w:styleId="FootnoteText">
    <w:name w:val="footnote text"/>
    <w:basedOn w:val="Normal"/>
    <w:link w:val="FootnoteTextChar"/>
    <w:uiPriority w:val="99"/>
    <w:unhideWhenUsed/>
    <w:rsid w:val="00534D87"/>
    <w:pPr>
      <w:spacing w:after="0" w:line="240" w:lineRule="auto"/>
    </w:pPr>
    <w:rPr>
      <w:sz w:val="20"/>
      <w:szCs w:val="20"/>
    </w:rPr>
  </w:style>
  <w:style w:type="character" w:customStyle="1" w:styleId="FootnoteTextChar">
    <w:name w:val="Footnote Text Char"/>
    <w:basedOn w:val="DefaultParagraphFont"/>
    <w:link w:val="FootnoteText"/>
    <w:uiPriority w:val="99"/>
    <w:rsid w:val="00534D87"/>
    <w:rPr>
      <w:sz w:val="20"/>
      <w:szCs w:val="20"/>
    </w:rPr>
  </w:style>
  <w:style w:type="character" w:styleId="FootnoteReference">
    <w:name w:val="footnote reference"/>
    <w:basedOn w:val="DefaultParagraphFont"/>
    <w:uiPriority w:val="99"/>
    <w:semiHidden/>
    <w:unhideWhenUsed/>
    <w:rsid w:val="00534D87"/>
    <w:rPr>
      <w:vertAlign w:val="superscript"/>
    </w:rPr>
  </w:style>
  <w:style w:type="character" w:styleId="Strong">
    <w:name w:val="Strong"/>
    <w:basedOn w:val="DefaultParagraphFont"/>
    <w:uiPriority w:val="22"/>
    <w:qFormat/>
    <w:rsid w:val="00534D87"/>
    <w:rPr>
      <w:b/>
      <w:bCs/>
    </w:rPr>
  </w:style>
  <w:style w:type="paragraph" w:styleId="CommentText">
    <w:name w:val="annotation text"/>
    <w:basedOn w:val="Normal"/>
    <w:link w:val="CommentTextChar"/>
    <w:uiPriority w:val="99"/>
    <w:unhideWhenUsed/>
    <w:rsid w:val="00A26C11"/>
    <w:pPr>
      <w:spacing w:line="240" w:lineRule="auto"/>
    </w:pPr>
    <w:rPr>
      <w:sz w:val="20"/>
      <w:szCs w:val="20"/>
    </w:rPr>
  </w:style>
  <w:style w:type="character" w:customStyle="1" w:styleId="CommentTextChar">
    <w:name w:val="Comment Text Char"/>
    <w:basedOn w:val="DefaultParagraphFont"/>
    <w:link w:val="CommentText"/>
    <w:uiPriority w:val="99"/>
    <w:rsid w:val="00A26C11"/>
    <w:rPr>
      <w:sz w:val="20"/>
      <w:szCs w:val="20"/>
    </w:rPr>
  </w:style>
  <w:style w:type="character" w:styleId="CommentReference">
    <w:name w:val="annotation reference"/>
    <w:basedOn w:val="DefaultParagraphFont"/>
    <w:uiPriority w:val="99"/>
    <w:semiHidden/>
    <w:unhideWhenUsed/>
    <w:rsid w:val="00A26C11"/>
    <w:rPr>
      <w:sz w:val="16"/>
      <w:szCs w:val="16"/>
    </w:rPr>
  </w:style>
  <w:style w:type="paragraph" w:styleId="BalloonText">
    <w:name w:val="Balloon Text"/>
    <w:basedOn w:val="Normal"/>
    <w:link w:val="BalloonTextChar"/>
    <w:uiPriority w:val="99"/>
    <w:semiHidden/>
    <w:unhideWhenUsed/>
    <w:rsid w:val="00A26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C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2339"/>
    <w:rPr>
      <w:b/>
      <w:bCs/>
    </w:rPr>
  </w:style>
  <w:style w:type="character" w:customStyle="1" w:styleId="CommentSubjectChar">
    <w:name w:val="Comment Subject Char"/>
    <w:basedOn w:val="CommentTextChar"/>
    <w:link w:val="CommentSubject"/>
    <w:uiPriority w:val="99"/>
    <w:semiHidden/>
    <w:rsid w:val="009F2339"/>
    <w:rPr>
      <w:b/>
      <w:bCs/>
      <w:sz w:val="20"/>
      <w:szCs w:val="20"/>
    </w:rPr>
  </w:style>
  <w:style w:type="paragraph" w:styleId="Header">
    <w:name w:val="header"/>
    <w:basedOn w:val="Normal"/>
    <w:link w:val="HeaderChar"/>
    <w:uiPriority w:val="99"/>
    <w:unhideWhenUsed/>
    <w:rsid w:val="0085234D"/>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85234D"/>
    <w:rPr>
      <w:rFonts w:ascii="Times New Roman" w:hAnsi="Times New Roman" w:cs="Times New Roman"/>
    </w:rPr>
  </w:style>
  <w:style w:type="paragraph" w:styleId="Footer">
    <w:name w:val="footer"/>
    <w:basedOn w:val="Normal"/>
    <w:link w:val="FooterChar"/>
    <w:uiPriority w:val="99"/>
    <w:unhideWhenUsed/>
    <w:rsid w:val="0085234D"/>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85234D"/>
    <w:rPr>
      <w:rFonts w:ascii="Times New Roman" w:hAnsi="Times New Roman" w:cs="Times New Roman"/>
    </w:rPr>
  </w:style>
  <w:style w:type="character" w:customStyle="1" w:styleId="normaltextrun">
    <w:name w:val="normaltextrun"/>
    <w:basedOn w:val="DefaultParagraphFont"/>
    <w:rsid w:val="00650386"/>
  </w:style>
  <w:style w:type="character" w:customStyle="1" w:styleId="ListParagraphChar">
    <w:name w:val="List Paragraph Char"/>
    <w:aliases w:val="FooterText Char,Paragraphe de liste1 Char,List Paragraph (bulleted list) Char,Bullet 1 List Char,Lettre d'introduction Char,List Paragraph1 Char,1st level - Bullet List Paragraph Char,Medium Grid 1 - Accent 21 Char,Bullet point Char"/>
    <w:basedOn w:val="DefaultParagraphFont"/>
    <w:link w:val="ListParagraph"/>
    <w:uiPriority w:val="34"/>
    <w:qFormat/>
    <w:locked/>
    <w:rsid w:val="007A513D"/>
    <w:rPr>
      <w:lang w:val="fr-FR"/>
    </w:rPr>
  </w:style>
  <w:style w:type="character" w:customStyle="1" w:styleId="Mencinsinresolver1">
    <w:name w:val="Mención sin resolver1"/>
    <w:basedOn w:val="DefaultParagraphFont"/>
    <w:uiPriority w:val="99"/>
    <w:semiHidden/>
    <w:unhideWhenUsed/>
    <w:rsid w:val="00987A78"/>
    <w:rPr>
      <w:color w:val="605E5C"/>
      <w:shd w:val="clear" w:color="auto" w:fill="E1DFDD"/>
    </w:rPr>
  </w:style>
  <w:style w:type="paragraph" w:styleId="Revision">
    <w:name w:val="Revision"/>
    <w:hidden/>
    <w:uiPriority w:val="99"/>
    <w:semiHidden/>
    <w:rsid w:val="00B87E9A"/>
    <w:pPr>
      <w:spacing w:after="0" w:line="240" w:lineRule="auto"/>
    </w:pPr>
  </w:style>
  <w:style w:type="paragraph" w:customStyle="1" w:styleId="Default">
    <w:name w:val="Default"/>
    <w:rsid w:val="00E975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521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7184">
      <w:bodyDiv w:val="1"/>
      <w:marLeft w:val="0"/>
      <w:marRight w:val="0"/>
      <w:marTop w:val="0"/>
      <w:marBottom w:val="0"/>
      <w:divBdr>
        <w:top w:val="none" w:sz="0" w:space="0" w:color="auto"/>
        <w:left w:val="none" w:sz="0" w:space="0" w:color="auto"/>
        <w:bottom w:val="none" w:sz="0" w:space="0" w:color="auto"/>
        <w:right w:val="none" w:sz="0" w:space="0" w:color="auto"/>
      </w:divBdr>
    </w:div>
    <w:div w:id="84494394">
      <w:bodyDiv w:val="1"/>
      <w:marLeft w:val="0"/>
      <w:marRight w:val="0"/>
      <w:marTop w:val="0"/>
      <w:marBottom w:val="0"/>
      <w:divBdr>
        <w:top w:val="none" w:sz="0" w:space="0" w:color="auto"/>
        <w:left w:val="none" w:sz="0" w:space="0" w:color="auto"/>
        <w:bottom w:val="none" w:sz="0" w:space="0" w:color="auto"/>
        <w:right w:val="none" w:sz="0" w:space="0" w:color="auto"/>
      </w:divBdr>
    </w:div>
    <w:div w:id="136916959">
      <w:bodyDiv w:val="1"/>
      <w:marLeft w:val="0"/>
      <w:marRight w:val="0"/>
      <w:marTop w:val="0"/>
      <w:marBottom w:val="0"/>
      <w:divBdr>
        <w:top w:val="none" w:sz="0" w:space="0" w:color="auto"/>
        <w:left w:val="none" w:sz="0" w:space="0" w:color="auto"/>
        <w:bottom w:val="none" w:sz="0" w:space="0" w:color="auto"/>
        <w:right w:val="none" w:sz="0" w:space="0" w:color="auto"/>
      </w:divBdr>
    </w:div>
    <w:div w:id="159195059">
      <w:bodyDiv w:val="1"/>
      <w:marLeft w:val="0"/>
      <w:marRight w:val="0"/>
      <w:marTop w:val="0"/>
      <w:marBottom w:val="0"/>
      <w:divBdr>
        <w:top w:val="none" w:sz="0" w:space="0" w:color="auto"/>
        <w:left w:val="none" w:sz="0" w:space="0" w:color="auto"/>
        <w:bottom w:val="none" w:sz="0" w:space="0" w:color="auto"/>
        <w:right w:val="none" w:sz="0" w:space="0" w:color="auto"/>
      </w:divBdr>
    </w:div>
    <w:div w:id="522981756">
      <w:bodyDiv w:val="1"/>
      <w:marLeft w:val="0"/>
      <w:marRight w:val="0"/>
      <w:marTop w:val="0"/>
      <w:marBottom w:val="0"/>
      <w:divBdr>
        <w:top w:val="none" w:sz="0" w:space="0" w:color="auto"/>
        <w:left w:val="none" w:sz="0" w:space="0" w:color="auto"/>
        <w:bottom w:val="none" w:sz="0" w:space="0" w:color="auto"/>
        <w:right w:val="none" w:sz="0" w:space="0" w:color="auto"/>
      </w:divBdr>
    </w:div>
    <w:div w:id="1216162260">
      <w:bodyDiv w:val="1"/>
      <w:marLeft w:val="0"/>
      <w:marRight w:val="0"/>
      <w:marTop w:val="0"/>
      <w:marBottom w:val="0"/>
      <w:divBdr>
        <w:top w:val="none" w:sz="0" w:space="0" w:color="auto"/>
        <w:left w:val="none" w:sz="0" w:space="0" w:color="auto"/>
        <w:bottom w:val="none" w:sz="0" w:space="0" w:color="auto"/>
        <w:right w:val="none" w:sz="0" w:space="0" w:color="auto"/>
      </w:divBdr>
    </w:div>
    <w:div w:id="1347948308">
      <w:bodyDiv w:val="1"/>
      <w:marLeft w:val="0"/>
      <w:marRight w:val="0"/>
      <w:marTop w:val="0"/>
      <w:marBottom w:val="0"/>
      <w:divBdr>
        <w:top w:val="none" w:sz="0" w:space="0" w:color="auto"/>
        <w:left w:val="none" w:sz="0" w:space="0" w:color="auto"/>
        <w:bottom w:val="none" w:sz="0" w:space="0" w:color="auto"/>
        <w:right w:val="none" w:sz="0" w:space="0" w:color="auto"/>
      </w:divBdr>
    </w:div>
    <w:div w:id="1434209115">
      <w:bodyDiv w:val="1"/>
      <w:marLeft w:val="0"/>
      <w:marRight w:val="0"/>
      <w:marTop w:val="0"/>
      <w:marBottom w:val="0"/>
      <w:divBdr>
        <w:top w:val="none" w:sz="0" w:space="0" w:color="auto"/>
        <w:left w:val="none" w:sz="0" w:space="0" w:color="auto"/>
        <w:bottom w:val="none" w:sz="0" w:space="0" w:color="auto"/>
        <w:right w:val="none" w:sz="0" w:space="0" w:color="auto"/>
      </w:divBdr>
    </w:div>
    <w:div w:id="1517576179">
      <w:bodyDiv w:val="1"/>
      <w:marLeft w:val="0"/>
      <w:marRight w:val="0"/>
      <w:marTop w:val="0"/>
      <w:marBottom w:val="0"/>
      <w:divBdr>
        <w:top w:val="none" w:sz="0" w:space="0" w:color="auto"/>
        <w:left w:val="none" w:sz="0" w:space="0" w:color="auto"/>
        <w:bottom w:val="none" w:sz="0" w:space="0" w:color="auto"/>
        <w:right w:val="none" w:sz="0" w:space="0" w:color="auto"/>
      </w:divBdr>
    </w:div>
    <w:div w:id="1788810417">
      <w:bodyDiv w:val="1"/>
      <w:marLeft w:val="0"/>
      <w:marRight w:val="0"/>
      <w:marTop w:val="0"/>
      <w:marBottom w:val="0"/>
      <w:divBdr>
        <w:top w:val="none" w:sz="0" w:space="0" w:color="auto"/>
        <w:left w:val="none" w:sz="0" w:space="0" w:color="auto"/>
        <w:bottom w:val="none" w:sz="0" w:space="0" w:color="auto"/>
        <w:right w:val="none" w:sz="0" w:space="0" w:color="auto"/>
      </w:divBdr>
    </w:div>
    <w:div w:id="2037658037">
      <w:bodyDiv w:val="1"/>
      <w:marLeft w:val="0"/>
      <w:marRight w:val="0"/>
      <w:marTop w:val="0"/>
      <w:marBottom w:val="0"/>
      <w:divBdr>
        <w:top w:val="none" w:sz="0" w:space="0" w:color="auto"/>
        <w:left w:val="none" w:sz="0" w:space="0" w:color="auto"/>
        <w:bottom w:val="none" w:sz="0" w:space="0" w:color="auto"/>
        <w:right w:val="none" w:sz="0" w:space="0" w:color="auto"/>
      </w:divBdr>
    </w:div>
    <w:div w:id="2040741963">
      <w:bodyDiv w:val="1"/>
      <w:marLeft w:val="0"/>
      <w:marRight w:val="0"/>
      <w:marTop w:val="0"/>
      <w:marBottom w:val="0"/>
      <w:divBdr>
        <w:top w:val="none" w:sz="0" w:space="0" w:color="auto"/>
        <w:left w:val="none" w:sz="0" w:space="0" w:color="auto"/>
        <w:bottom w:val="none" w:sz="0" w:space="0" w:color="auto"/>
        <w:right w:val="none" w:sz="0" w:space="0" w:color="auto"/>
      </w:divBdr>
    </w:div>
    <w:div w:id="211000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joint-research-centre.ec.europa.eu/jrc-news-and-updates/eu-agriculture-2040-no-easy-fix-environmental-and-socio-economic-aspects-2025-10-27_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org/fr/food-systems-summit"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ur-lex.europa.eu/legal-content/FR/TXT/PDF/?uri=CELEX:52025DC0075" TargetMode="External"/><Relationship Id="rId22" Type="http://schemas.openxmlformats.org/officeDocument/2006/relationships/footer" Target="footer3.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eesc.europa.eu/fr/our-work/opinions-information-reports/opinions/vers-un-conseil-europeen-de-la-politique-alimentaire-en-tant-que-nouveau-modele-de-gouvernance-dans-le-futur-cadr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VP3JK3XSEPRV-2087481956-5578</_dlc_DocId>
    <_dlc_DocIdUrl xmlns="7d640e6d-779c-472f-a269-6b546787f1c9">
      <Url>http://dm/eesc/2026/_layouts/15/DocIdRedir.aspx?ID=VP3JK3XSEPRV-2087481956-5578</Url>
      <Description>VP3JK3XSEPRV-2087481956-5578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2026-03-25T12:00:00+00:00</ProductionDate>
    <DocumentNumber xmlns="a95533f8-59af-4217-bc7a-c1167744adb0">459</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2026-03-30T12:00:00+00:00</MeetingDate>
    <TaxCatchAll xmlns="7d640e6d-779c-472f-a269-6b546787f1c9">
      <Value>50</Value>
      <Value>29</Value>
      <Value>18</Value>
      <Value>11</Value>
      <Value>9</Value>
      <Value>144</Value>
      <Value>23</Value>
      <Value>4</Value>
      <Value>19</Value>
      <Value>1</Value>
      <Value>12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Obsolete</TermName>
          <TermId xmlns="http://schemas.microsoft.com/office/infopath/2007/PartnerControls">ef7b2089-53ec-4293-a3a0-fe07d3abc41e</TermId>
        </TermInfo>
      </Terms>
    </VersionStatus_0>
    <Rapporteur xmlns="7d640e6d-779c-472f-a269-6b546787f1c9" xsi:nil="true"/>
    <DocumentYear xmlns="7d640e6d-779c-472f-a269-6b546787f1c9">2026</DocumentYear>
    <FicheNumber xmlns="7d640e6d-779c-472f-a269-6b546787f1c9">301382</FicheNumber>
    <OriginalSender xmlns="7d640e6d-779c-472f-a269-6b546787f1c9">
      <UserInfo>
        <DisplayName>Masutti Valeria</DisplayName>
        <AccountId>1718</AccountId>
        <AccountType/>
      </UserInfo>
    </OriginalSender>
    <DocumentPart xmlns="7d640e6d-779c-472f-a269-6b546787f1c9">0</DocumentPart>
    <AdoptionDate xmlns="7d640e6d-779c-472f-a269-6b546787f1c9" xsi:nil="true"/>
    <RequestingService xmlns="7d640e6d-779c-472f-a269-6b546787f1c9">Systèmes alimentaires durables, environnement, dév. rural</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PG on food</TermName>
          <TermId xmlns="http://schemas.microsoft.com/office/infopath/2007/PartnerControls">2d683d6e-d85b-488d-89c3-3b91e47165b1</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1</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13F299A3-4D9C-4C9D-8263-3B41D17D5B79}">
  <ds:schemaRefs>
    <ds:schemaRef ds:uri="http://schemas.openxmlformats.org/officeDocument/2006/bibliography"/>
  </ds:schemaRefs>
</ds:datastoreItem>
</file>

<file path=customXml/itemProps2.xml><?xml version="1.0" encoding="utf-8"?>
<ds:datastoreItem xmlns:ds="http://schemas.openxmlformats.org/officeDocument/2006/customXml" ds:itemID="{739168F3-AD0D-4033-A5E0-6EBF24F6CC22}"/>
</file>

<file path=customXml/itemProps3.xml><?xml version="1.0" encoding="utf-8"?>
<ds:datastoreItem xmlns:ds="http://schemas.openxmlformats.org/officeDocument/2006/customXml" ds:itemID="{01EDDE20-BFC2-42D5-80F6-D88345A7193C}"/>
</file>

<file path=customXml/itemProps4.xml><?xml version="1.0" encoding="utf-8"?>
<ds:datastoreItem xmlns:ds="http://schemas.openxmlformats.org/officeDocument/2006/customXml" ds:itemID="{A1570DFC-1547-4D89-9BB0-9FB33C75C527}"/>
</file>

<file path=customXml/itemProps5.xml><?xml version="1.0" encoding="utf-8"?>
<ds:datastoreItem xmlns:ds="http://schemas.openxmlformats.org/officeDocument/2006/customXml" ds:itemID="{DB5FB604-6CD0-4C56-94C6-4D58940A64EA}"/>
</file>

<file path=docProps/app.xml><?xml version="1.0" encoding="utf-8"?>
<Properties xmlns="http://schemas.openxmlformats.org/officeDocument/2006/extended-properties" xmlns:vt="http://schemas.openxmlformats.org/officeDocument/2006/docPropsVTypes">
  <Template>Normal.dotm</Template>
  <TotalTime>4</TotalTime>
  <Pages>2</Pages>
  <Words>3162</Words>
  <Characters>17393</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Groupe permanent sur des systèmes alimentaires durables - Plan de travail 2025-2027</dc:title>
  <dc:subject/>
  <dc:creator/>
  <cp:keywords/>
  <dc:description/>
  <cp:lastModifiedBy/>
  <cp:revision>7</cp:revision>
  <dcterms:created xsi:type="dcterms:W3CDTF">2026-03-20T10:24:00Z</dcterms:created>
  <dcterms:modified xsi:type="dcterms:W3CDTF">2026-03-25T16:28:00Z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20/03/2026</vt:lpwstr>
  </property>
  <property fmtid="{D5CDD505-2E9C-101B-9397-08002B2CF9AE}" pid="4" name="Pref_Time">
    <vt:lpwstr>11:21:40</vt:lpwstr>
  </property>
  <property fmtid="{D5CDD505-2E9C-101B-9397-08002B2CF9AE}" pid="5" name="Pref_User">
    <vt:lpwstr>jhvi</vt:lpwstr>
  </property>
  <property fmtid="{D5CDD505-2E9C-101B-9397-08002B2CF9AE}" pid="6" name="Pref_FileName">
    <vt:lpwstr>EESC-2026-00459-00-00-TCD-ORI.docx</vt:lpwstr>
  </property>
  <property fmtid="{D5CDD505-2E9C-101B-9397-08002B2CF9AE}" pid="7" name="ContentTypeId">
    <vt:lpwstr>0x010100EA97B91038054C99906057A708A1480A0042CFDF3EA65A64469BBC042F89C9AB74</vt:lpwstr>
  </property>
  <property fmtid="{D5CDD505-2E9C-101B-9397-08002B2CF9AE}" pid="8" name="_dlc_DocIdItemGuid">
    <vt:lpwstr>0812d835-2f65-4a85-a871-7705a370f711</vt:lpwstr>
  </property>
  <property fmtid="{D5CDD505-2E9C-101B-9397-08002B2CF9AE}" pid="9" name="AvailableTranslations">
    <vt:lpwstr>12;#ES|e7a6b05b-ae16-40c8-add9-68b64b03aeba;#29;#CS|72f9705b-0217-4fd3-bea2-cbc7ed80e26e;#4;#EN|f2175f21-25d7-44a3-96da-d6a61b075e1b;#11;#DE|f6b31e5a-26fa-4935-b661-318e46daf27e;#23;#FR|d2afafd3-4c81-4f60-8f52-ee33f2f54ff3</vt:lpwstr>
  </property>
  <property fmtid="{D5CDD505-2E9C-101B-9397-08002B2CF9AE}" pid="10" name="DocumentType_0">
    <vt:lpwstr>TCD|cd9d6eb6-3f4f-424a-b2d1-57c9d450eaaf</vt:lpwstr>
  </property>
  <property fmtid="{D5CDD505-2E9C-101B-9397-08002B2CF9AE}" pid="11" name="MeetingNumber">
    <vt:i4>1</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459</vt:i4>
  </property>
  <property fmtid="{D5CDD505-2E9C-101B-9397-08002B2CF9AE}" pid="15" name="DocumentVersion">
    <vt:i4>0</vt:i4>
  </property>
  <property fmtid="{D5CDD505-2E9C-101B-9397-08002B2CF9AE}" pid="16" name="DocumentStatus">
    <vt:lpwstr>9;#TRA|150d2a88-1431-44e6-a8ca-0bb753ab8672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18;#TCD|cd9d6eb6-3f4f-424a-b2d1-57c9d450eaaf</vt:lpwstr>
  </property>
  <property fmtid="{D5CDD505-2E9C-101B-9397-08002B2CF9AE}" pid="22" name="RequestingService">
    <vt:lpwstr>Systèmes alimentaires durables, environnement, dév. rural</vt:lpwstr>
  </property>
  <property fmtid="{D5CDD505-2E9C-101B-9397-08002B2CF9AE}" pid="23" name="Confidentiality">
    <vt:lpwstr>19;#Unrestricted|826e22d7-d029-4ec0-a450-0c28ff673572</vt:lpwstr>
  </property>
  <property fmtid="{D5CDD505-2E9C-101B-9397-08002B2CF9AE}" pid="24" name="MeetingName_0">
    <vt:lpwstr>PG on food|2d683d6e-d85b-488d-89c3-3b91e47165b1</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144;#PG on food|2d683d6e-d85b-488d-89c3-3b91e47165b1</vt:lpwstr>
  </property>
  <property fmtid="{D5CDD505-2E9C-101B-9397-08002B2CF9AE}" pid="29" name="AvailableTranslations_0">
    <vt:lpwstr>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18;#TCD|cd9d6eb6-3f4f-424a-b2d1-57c9d450eaaf;#9;#TRA|150d2a88-1431-44e6-a8ca-0bb753ab8672;#144;#PG on food|2d683d6e-d85b-488d-89c3-3b91e47165b1;#7;#Final|ea5e6674-7b27-4bac-b091-73adbb394efe;#4;#EN|f2175f21-25d7-44a3-96da-d6a61b075e1b;#19;#Unrestricted|826e22d7-d029-4ec0-a450-0c28ff673572;#1;#EESC|422833ec-8d7e-4e65-8e4e-8bed07ffb729</vt:lpwstr>
  </property>
  <property fmtid="{D5CDD505-2E9C-101B-9397-08002B2CF9AE}" pid="33" name="VersionStatus_0">
    <vt:lpwstr>Final|ea5e6674-7b27-4bac-b091-73adbb394efe</vt:lpwstr>
  </property>
  <property fmtid="{D5CDD505-2E9C-101B-9397-08002B2CF9AE}" pid="34" name="VersionStatus">
    <vt:lpwstr>50;#Obsolete|ef7b2089-53ec-4293-a3a0-fe07d3abc41e</vt:lpwstr>
  </property>
  <property fmtid="{D5CDD505-2E9C-101B-9397-08002B2CF9AE}" pid="35" name="DocumentYear">
    <vt:i4>2026</vt:i4>
  </property>
  <property fmtid="{D5CDD505-2E9C-101B-9397-08002B2CF9AE}" pid="36" name="FicheNumber">
    <vt:i4>301382</vt:i4>
  </property>
  <property fmtid="{D5CDD505-2E9C-101B-9397-08002B2CF9AE}" pid="37" name="DocumentLanguage">
    <vt:lpwstr>23;#FR|d2afafd3-4c81-4f60-8f52-ee33f2f54ff3</vt:lpwstr>
  </property>
  <property fmtid="{D5CDD505-2E9C-101B-9397-08002B2CF9AE}" pid="38" name="_docset_NoMedatataSyncRequired">
    <vt:lpwstr>False</vt:lpwstr>
  </property>
</Properties>
</file>