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3FCF" w14:textId="77777777" w:rsidR="00126D15" w:rsidRPr="00435E2A" w:rsidRDefault="00993568" w:rsidP="006E65D5">
      <w:pPr>
        <w:spacing w:after="0" w:line="288" w:lineRule="auto"/>
        <w:jc w:val="center"/>
        <w:rPr>
          <w:rFonts w:ascii="Times New Roman" w:hAnsi="Times New Roman" w:cs="Times New Roman"/>
          <w:b/>
        </w:rPr>
      </w:pPr>
      <w:r>
        <w:rPr>
          <w:rFonts w:ascii="Times New Roman" w:hAnsi="Times New Roman"/>
          <w:b/>
          <w:noProof/>
        </w:rPr>
        <mc:AlternateContent>
          <mc:Choice Requires="wps">
            <w:drawing>
              <wp:anchor distT="0" distB="0" distL="114300" distR="114300" simplePos="0" relativeHeight="251683840" behindDoc="1" locked="0" layoutInCell="0" allowOverlap="1" wp14:anchorId="07C61835" wp14:editId="559B656C">
                <wp:simplePos x="0" y="0"/>
                <wp:positionH relativeFrom="page">
                  <wp:posOffset>6770536</wp:posOffset>
                </wp:positionH>
                <wp:positionV relativeFrom="page">
                  <wp:posOffset>10082254</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066EE" w14:textId="77777777" w:rsidR="003A301E" w:rsidRPr="00260E65" w:rsidRDefault="003A301E">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61835" id="_x0000_t202" coordsize="21600,21600" o:spt="202" path="m,l,21600r21600,l21600,xe">
                <v:stroke joinstyle="miter"/>
                <v:path gradientshapeok="t" o:connecttype="rect"/>
              </v:shapetype>
              <v:shape id="Text Box 17" o:spid="_x0000_s1026" type="#_x0000_t202" style="position:absolute;left:0;text-align:left;margin-left:533.1pt;margin-top:793.9pt;width:51pt;height:31.2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" o:allowincell="f" filled="f" stroked="f">
                <v:textbox>
                  <w:txbxContent>
                    <w:p w14:paraId="58C066EE" w14:textId="77777777" w:rsidR="003A301E" w:rsidRPr="00260E65" w:rsidRDefault="003A301E">
                      <w:pPr>
                        <w:jc w:val="center"/>
                        <w:rPr>
                          <w:rFonts w:ascii="Arial" w:hAnsi="Arial" w:cs="Arial"/>
                          <w:b/>
                          <w:bCs/>
                          <w:sz w:val="48"/>
                        </w:rPr>
                      </w:pPr>
                      <w:r>
                        <w:rPr>
                          <w:rFonts w:ascii="Arial" w:hAnsi="Arial"/>
                          <w:b/>
                          <w:sz w:val="48"/>
                        </w:rPr>
                        <w:t>ES</w:t>
                      </w:r>
                    </w:p>
                  </w:txbxContent>
                </v:textbox>
                <w10:wrap anchorx="page" anchory="page"/>
              </v:shape>
            </w:pict>
          </mc:Fallback>
        </mc:AlternateContent>
      </w:r>
      <w:r>
        <w:rPr>
          <w:rFonts w:ascii="Times New Roman" w:hAnsi="Times New Roman"/>
          <w:b/>
        </w:rPr>
        <w:t>Sección de Agricultura, Desarrollo Rural y Medio Ambiente (NAT) del CESE</w:t>
      </w:r>
    </w:p>
    <w:p w14:paraId="7E10B645" w14:textId="14152E13" w:rsidR="00DB4F2C" w:rsidRPr="00435E2A" w:rsidRDefault="00C2269C" w:rsidP="006E65D5">
      <w:pPr>
        <w:spacing w:after="0" w:line="288" w:lineRule="auto"/>
        <w:jc w:val="center"/>
        <w:rPr>
          <w:rFonts w:ascii="Times New Roman" w:hAnsi="Times New Roman" w:cs="Times New Roman"/>
          <w:b/>
        </w:rPr>
      </w:pPr>
      <w:r>
        <w:rPr>
          <w:rFonts w:ascii="Times New Roman" w:hAnsi="Times New Roman"/>
          <w:noProof/>
        </w:rPr>
        <w:drawing>
          <wp:anchor distT="0" distB="0" distL="114300" distR="114300" simplePos="0" relativeHeight="251681792" behindDoc="0" locked="0" layoutInCell="1" allowOverlap="1" wp14:anchorId="135D7AC7" wp14:editId="387B05AE">
            <wp:simplePos x="0" y="0"/>
            <wp:positionH relativeFrom="margin">
              <wp:align>right</wp:align>
            </wp:positionH>
            <wp:positionV relativeFrom="paragraph">
              <wp:posOffset>195580</wp:posOffset>
            </wp:positionV>
            <wp:extent cx="493395" cy="524510"/>
            <wp:effectExtent l="0" t="0" r="1905" b="8890"/>
            <wp:wrapSquare wrapText="bothSides"/>
            <wp:docPr id="3" name="Picture 3" descr="Image result for Un SDG Goal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Un SDG Goal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395" cy="524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rPr>
        <w:t>Grupo Permanente sobre los Sistemas Alimentarios Sostenibles</w:t>
      </w:r>
    </w:p>
    <w:p w14:paraId="622D7F9B" w14:textId="2CE97AB5" w:rsidR="00DB4F2C" w:rsidRPr="00435E2A" w:rsidRDefault="00C2269C" w:rsidP="006E65D5">
      <w:pPr>
        <w:spacing w:after="0" w:line="288" w:lineRule="auto"/>
        <w:jc w:val="center"/>
        <w:rPr>
          <w:rFonts w:ascii="Times New Roman" w:hAnsi="Times New Roman" w:cs="Times New Roman"/>
          <w:b/>
        </w:rPr>
      </w:pPr>
      <w:r>
        <w:rPr>
          <w:rFonts w:ascii="Times New Roman" w:hAnsi="Times New Roman"/>
          <w:noProof/>
        </w:rPr>
        <w:drawing>
          <wp:anchor distT="0" distB="0" distL="114300" distR="114300" simplePos="0" relativeHeight="251680768" behindDoc="0" locked="0" layoutInCell="1" allowOverlap="1" wp14:anchorId="24EB4B22" wp14:editId="45F2003D">
            <wp:simplePos x="0" y="0"/>
            <wp:positionH relativeFrom="column">
              <wp:posOffset>4040505</wp:posOffset>
            </wp:positionH>
            <wp:positionV relativeFrom="paragraph">
              <wp:posOffset>6985</wp:posOffset>
            </wp:positionV>
            <wp:extent cx="513080" cy="523240"/>
            <wp:effectExtent l="0" t="0" r="1270" b="0"/>
            <wp:wrapSquare wrapText="bothSides"/>
            <wp:docPr id="2" name="Picture 2" descr="Image result for sdg 12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dg 12 ic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3080" cy="523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rPr>
        <w:drawing>
          <wp:anchor distT="0" distB="0" distL="114300" distR="114300" simplePos="0" relativeHeight="251667456" behindDoc="0" locked="0" layoutInCell="1" allowOverlap="1" wp14:anchorId="4171442E" wp14:editId="6BAD283A">
            <wp:simplePos x="0" y="0"/>
            <wp:positionH relativeFrom="column">
              <wp:posOffset>4687405</wp:posOffset>
            </wp:positionH>
            <wp:positionV relativeFrom="paragraph">
              <wp:posOffset>13970</wp:posOffset>
            </wp:positionV>
            <wp:extent cx="513080" cy="513080"/>
            <wp:effectExtent l="0" t="0" r="1270"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_SDG goals_icons-individual-rgb-1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080" cy="5130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noProof/>
        </w:rPr>
        <w:drawing>
          <wp:anchor distT="0" distB="0" distL="114300" distR="114300" simplePos="0" relativeHeight="251645952" behindDoc="0" locked="0" layoutInCell="1" allowOverlap="1" wp14:anchorId="06BA7347" wp14:editId="11D91162">
            <wp:simplePos x="0" y="0"/>
            <wp:positionH relativeFrom="column">
              <wp:posOffset>605155</wp:posOffset>
            </wp:positionH>
            <wp:positionV relativeFrom="paragraph">
              <wp:posOffset>10160</wp:posOffset>
            </wp:positionV>
            <wp:extent cx="513080" cy="513080"/>
            <wp:effectExtent l="0" t="0" r="127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_SDG goals_icons-individual-rgb-0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080" cy="5130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noProof/>
        </w:rPr>
        <w:drawing>
          <wp:anchor distT="0" distB="0" distL="114300" distR="114300" simplePos="0" relativeHeight="251673600" behindDoc="0" locked="0" layoutInCell="1" allowOverlap="1" wp14:anchorId="458EB49B" wp14:editId="2DA6FC1C">
            <wp:simplePos x="0" y="0"/>
            <wp:positionH relativeFrom="column">
              <wp:posOffset>635</wp:posOffset>
            </wp:positionH>
            <wp:positionV relativeFrom="paragraph">
              <wp:posOffset>8255</wp:posOffset>
            </wp:positionV>
            <wp:extent cx="518160" cy="5181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_SDG goals_icons-individual-rgb-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noProof/>
        </w:rPr>
        <w:drawing>
          <wp:anchor distT="0" distB="0" distL="114300" distR="114300" simplePos="0" relativeHeight="251655168" behindDoc="0" locked="0" layoutInCell="1" allowOverlap="1" wp14:anchorId="24E6D8D4" wp14:editId="44FBFB00">
            <wp:simplePos x="0" y="0"/>
            <wp:positionH relativeFrom="column">
              <wp:posOffset>1207604</wp:posOffset>
            </wp:positionH>
            <wp:positionV relativeFrom="paragraph">
              <wp:posOffset>8255</wp:posOffset>
            </wp:positionV>
            <wp:extent cx="513080" cy="513080"/>
            <wp:effectExtent l="0" t="0" r="1270" b="127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_SDG goals_icons-individual-rgb-1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3080" cy="5130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rPr>
        <w:t xml:space="preserve">Plan de trabajo 2025-2027 </w:t>
      </w:r>
    </w:p>
    <w:p w14:paraId="068557F8" w14:textId="77777777" w:rsidR="00F460C4" w:rsidRPr="00435E2A" w:rsidRDefault="00F460C4" w:rsidP="006E65D5">
      <w:pPr>
        <w:spacing w:after="0" w:line="288" w:lineRule="auto"/>
        <w:jc w:val="both"/>
        <w:rPr>
          <w:rFonts w:ascii="Times New Roman" w:hAnsi="Times New Roman" w:cs="Times New Roman"/>
          <w:b/>
          <w:lang w:val="en-GB"/>
        </w:rPr>
      </w:pPr>
    </w:p>
    <w:p w14:paraId="448C85D5" w14:textId="77777777" w:rsidR="00757858" w:rsidRPr="00435E2A" w:rsidRDefault="00757858" w:rsidP="006E65D5">
      <w:pPr>
        <w:keepNext/>
        <w:spacing w:after="0" w:line="288" w:lineRule="auto"/>
        <w:jc w:val="both"/>
        <w:rPr>
          <w:rFonts w:ascii="Times New Roman" w:hAnsi="Times New Roman" w:cs="Times New Roman"/>
          <w:b/>
          <w:u w:val="single"/>
          <w:lang w:val="en-GB"/>
        </w:rPr>
      </w:pPr>
    </w:p>
    <w:p w14:paraId="5DF713D2" w14:textId="77777777" w:rsidR="00757858" w:rsidRPr="00435E2A" w:rsidRDefault="00757858" w:rsidP="006E65D5">
      <w:pPr>
        <w:spacing w:after="0" w:line="288" w:lineRule="auto"/>
        <w:jc w:val="both"/>
        <w:rPr>
          <w:rFonts w:ascii="Times New Roman" w:hAnsi="Times New Roman" w:cs="Times New Roman"/>
          <w:b/>
          <w:u w:val="single"/>
          <w:lang w:val="en-GB"/>
        </w:rPr>
      </w:pPr>
    </w:p>
    <w:p w14:paraId="6AC03827" w14:textId="77777777" w:rsidR="008B7B7F" w:rsidRPr="00435E2A" w:rsidRDefault="008B7B7F" w:rsidP="006E65D5">
      <w:pPr>
        <w:spacing w:after="0" w:line="288" w:lineRule="auto"/>
        <w:jc w:val="both"/>
        <w:rPr>
          <w:rFonts w:ascii="Times New Roman" w:hAnsi="Times New Roman" w:cs="Times New Roman"/>
          <w:b/>
          <w:u w:val="single"/>
          <w:lang w:val="en-GB"/>
        </w:rPr>
      </w:pPr>
    </w:p>
    <w:p w14:paraId="6B371A57" w14:textId="77777777" w:rsidR="00126D15" w:rsidRPr="00435E2A" w:rsidRDefault="00F460C4" w:rsidP="006E65D5">
      <w:pPr>
        <w:keepNext/>
        <w:spacing w:after="0" w:line="288" w:lineRule="auto"/>
        <w:jc w:val="both"/>
        <w:rPr>
          <w:rFonts w:ascii="Times New Roman" w:hAnsi="Times New Roman" w:cs="Times New Roman"/>
          <w:b/>
          <w:u w:val="single"/>
        </w:rPr>
      </w:pPr>
      <w:r>
        <w:rPr>
          <w:rFonts w:ascii="Times New Roman" w:hAnsi="Times New Roman"/>
          <w:b/>
          <w:u w:val="single"/>
        </w:rPr>
        <w:t>Contexto:</w:t>
      </w:r>
    </w:p>
    <w:p w14:paraId="3BFA6435" w14:textId="77777777" w:rsidR="00757858" w:rsidRPr="00D721EA" w:rsidRDefault="00757858" w:rsidP="006E65D5">
      <w:pPr>
        <w:spacing w:after="0" w:line="288" w:lineRule="auto"/>
        <w:jc w:val="both"/>
        <w:rPr>
          <w:rFonts w:ascii="Times New Roman" w:hAnsi="Times New Roman" w:cs="Times New Roman"/>
          <w:b/>
          <w:sz w:val="16"/>
          <w:szCs w:val="16"/>
          <w:lang w:val="en-GB"/>
        </w:rPr>
      </w:pPr>
    </w:p>
    <w:p w14:paraId="5261FEB5" w14:textId="1D926D5C" w:rsidR="00FA1D41" w:rsidRPr="00435E2A" w:rsidRDefault="00FA1D41" w:rsidP="00FA1D41">
      <w:pPr>
        <w:spacing w:after="0" w:line="288" w:lineRule="auto"/>
        <w:jc w:val="both"/>
        <w:rPr>
          <w:rFonts w:ascii="Times New Roman" w:hAnsi="Times New Roman" w:cs="Times New Roman"/>
        </w:rPr>
      </w:pPr>
      <w:r>
        <w:rPr>
          <w:rFonts w:ascii="Times New Roman" w:hAnsi="Times New Roman"/>
        </w:rPr>
        <w:t>El Grupo Permanente sobre los Sistemas Alimentarios Sostenibles del CESE se centra en las consecuencias económicas, medioambientales y sociales de la producción y el consumo de alimentos, siguiendo un enfoque estratégico más integral. En este objetivo general también se ven reflejados los Objetivos de Desarrollo Sostenible (ODS) de la Agenda 2030 de las Naciones Unidas, que proporcionan un marco fundamental para una acción conjunta dirigida a alimentar el mundo de forma sostenible de aquí a 2030.</w:t>
      </w:r>
    </w:p>
    <w:p w14:paraId="1475454A" w14:textId="77777777" w:rsidR="00FA1D41" w:rsidRPr="00D721EA" w:rsidRDefault="00FA1D41" w:rsidP="00FA1D41">
      <w:pPr>
        <w:spacing w:after="0" w:line="288" w:lineRule="auto"/>
        <w:jc w:val="both"/>
        <w:rPr>
          <w:rFonts w:ascii="Times New Roman" w:hAnsi="Times New Roman" w:cs="Times New Roman"/>
          <w:sz w:val="16"/>
          <w:szCs w:val="16"/>
          <w:lang w:val="en-GB"/>
        </w:rPr>
      </w:pPr>
    </w:p>
    <w:p w14:paraId="68377262" w14:textId="5C5F9D47" w:rsidR="00FA1D41" w:rsidRPr="00B212DF" w:rsidRDefault="00FA1D41" w:rsidP="00342D28">
      <w:pPr>
        <w:spacing w:after="0" w:line="288" w:lineRule="auto"/>
        <w:jc w:val="both"/>
        <w:rPr>
          <w:rFonts w:ascii="Times New Roman" w:hAnsi="Times New Roman" w:cs="Times New Roman"/>
        </w:rPr>
      </w:pPr>
      <w:r>
        <w:rPr>
          <w:rFonts w:ascii="Times New Roman" w:hAnsi="Times New Roman"/>
        </w:rPr>
        <w:t xml:space="preserve">El mandato 2025-2027 del Grupo Permanente se basará en la labor del mandato anterior, con el objetivo de fomentar </w:t>
      </w:r>
      <w:r>
        <w:rPr>
          <w:rFonts w:ascii="Times New Roman" w:hAnsi="Times New Roman"/>
          <w:b/>
        </w:rPr>
        <w:t>sistemas alimentarios productivos, competitivos, sostenibles, resilientes, regenerativos y más justos</w:t>
      </w:r>
      <w:r>
        <w:rPr>
          <w:rFonts w:ascii="Times New Roman" w:hAnsi="Times New Roman"/>
        </w:rPr>
        <w:t xml:space="preserve"> en todos los territorios de la UE. Al mismo tiempo, </w:t>
      </w:r>
      <w:r>
        <w:rPr>
          <w:rFonts w:ascii="Times New Roman" w:hAnsi="Times New Roman"/>
          <w:b/>
        </w:rPr>
        <w:t>contribuirá a las iniciativas de la Comisión Europea</w:t>
      </w:r>
      <w:r>
        <w:rPr>
          <w:rFonts w:ascii="Times New Roman" w:hAnsi="Times New Roman"/>
        </w:rPr>
        <w:t xml:space="preserve">, tal como se anunció en la </w:t>
      </w:r>
      <w:hyperlink r:id="rId14" w:history="1">
        <w:r>
          <w:rPr>
            <w:rStyle w:val="Hyperlink"/>
            <w:rFonts w:ascii="Times New Roman" w:hAnsi="Times New Roman"/>
          </w:rPr>
          <w:t>visión para la agricultura y la alimentación</w:t>
        </w:r>
      </w:hyperlink>
      <w:r>
        <w:rPr>
          <w:rFonts w:ascii="Times New Roman" w:hAnsi="Times New Roman"/>
        </w:rPr>
        <w:t xml:space="preserve"> y en el programa de trabajo de la Comisión.</w:t>
      </w:r>
    </w:p>
    <w:p w14:paraId="5D015262" w14:textId="224C7F9B" w:rsidR="00FA1D41" w:rsidRPr="00D721EA" w:rsidRDefault="00FA1D41" w:rsidP="007561F8">
      <w:pPr>
        <w:spacing w:after="0" w:line="288" w:lineRule="auto"/>
        <w:jc w:val="both"/>
        <w:rPr>
          <w:rFonts w:ascii="Times New Roman" w:hAnsi="Times New Roman" w:cs="Times New Roman"/>
          <w:sz w:val="16"/>
          <w:szCs w:val="16"/>
        </w:rPr>
      </w:pPr>
    </w:p>
    <w:p w14:paraId="4B1E5419" w14:textId="776E3A16" w:rsidR="007561F8" w:rsidRPr="00435E2A" w:rsidRDefault="007561F8" w:rsidP="007561F8">
      <w:pPr>
        <w:spacing w:after="0" w:line="288" w:lineRule="auto"/>
        <w:jc w:val="both"/>
        <w:rPr>
          <w:rFonts w:ascii="Times New Roman" w:hAnsi="Times New Roman" w:cs="Times New Roman"/>
        </w:rPr>
      </w:pPr>
      <w:r>
        <w:rPr>
          <w:rFonts w:ascii="Times New Roman" w:hAnsi="Times New Roman"/>
        </w:rPr>
        <w:t>Las tensiones geopolíticas, el cambio climático, las desigualdades sociales y la degradación del medio ambiente ejercen una presión cada vez mayor sobre los sectores agrícola, pesquero y alimentario de la UE, que, no obstante, son estratégicos para la seguridad alimentaria, la economía y la vitalidad de las zonas rurales. En los últimos años, la situación económica de estos sectores se ha deteriorado drásticamente y, por lo tanto, es necesario adoptar medidas urgentes para estabilizar la producción, garantizar unos ingresos justos, apoyar el relevo generacional y reforzar la soberanía alimentaria y la autonomía estratégica de la UE. Las zonas rurales, que albergan al 30 % de la población de la UE, deben recibir apoyo para superar la despoblación y el declive social y, al mismo tiempo, aprovechar su papel clave y su potencial sin explotar con respecto al desarrollo sostenible y la transición ecológica. Además, la alimentación es un hilo conductor que vincula los diecisiete ODS y, por consiguiente, la transformación de los sistemas alimentarios constituirá una poderosa palanca para la aplicación de las agendas climática y de desarrollo sostenible en su conjunto.</w:t>
      </w:r>
    </w:p>
    <w:p w14:paraId="6BC80F95" w14:textId="44181B69" w:rsidR="007561F8" w:rsidRPr="00D721EA" w:rsidRDefault="007561F8" w:rsidP="007561F8">
      <w:pPr>
        <w:spacing w:after="0" w:line="288" w:lineRule="auto"/>
        <w:jc w:val="both"/>
        <w:rPr>
          <w:rStyle w:val="Hyperlink"/>
          <w:rFonts w:ascii="Times New Roman" w:hAnsi="Times New Roman" w:cs="Times New Roman"/>
          <w:color w:val="auto"/>
          <w:sz w:val="16"/>
          <w:szCs w:val="16"/>
          <w:lang w:val="en-GB"/>
        </w:rPr>
      </w:pPr>
    </w:p>
    <w:p w14:paraId="6D96FA22" w14:textId="32A0CAB8" w:rsidR="007561F8" w:rsidRPr="00435E2A" w:rsidRDefault="007561F8" w:rsidP="007561F8">
      <w:pPr>
        <w:spacing w:after="0" w:line="288" w:lineRule="auto"/>
        <w:jc w:val="both"/>
        <w:rPr>
          <w:rFonts w:ascii="Times New Roman" w:hAnsi="Times New Roman" w:cs="Times New Roman"/>
        </w:rPr>
      </w:pPr>
      <w:r>
        <w:rPr>
          <w:rFonts w:ascii="Times New Roman" w:hAnsi="Times New Roman"/>
        </w:rPr>
        <w:t xml:space="preserve">A </w:t>
      </w:r>
      <w:r>
        <w:rPr>
          <w:rFonts w:ascii="Times New Roman" w:hAnsi="Times New Roman"/>
          <w:b/>
        </w:rPr>
        <w:t>escala internacional</w:t>
      </w:r>
      <w:r>
        <w:rPr>
          <w:rFonts w:ascii="Times New Roman" w:hAnsi="Times New Roman"/>
        </w:rPr>
        <w:t xml:space="preserve">, el sector agroalimentario se enfrenta a una combinación de retos interrelacionados, como garantizar la seguridad alimentaria mundial en un contexto de crecimiento de la población, cambio climático, presión creciente sobre los recursos naturales, tensiones geopolíticas, perturbaciones del comercio y volatilidad del mercado. Los aranceles impuestos por los Estados Unidos subrayan, más que nunca, la necesidad de reforzar las sinergias y la acción coordinada entre socios estratégicos, en particular con organizaciones como la Organización de las Naciones Unidas para la Alimentación y la Agricultura (FAO), a fin de salvaguardar conjuntamente la seguridad alimentaria mundial y promover la estabilidad del sistema agroalimentario. El seguimiento de la </w:t>
      </w:r>
      <w:hyperlink r:id="rId15" w:history="1">
        <w:r>
          <w:rPr>
            <w:rStyle w:val="Hyperlink"/>
            <w:rFonts w:ascii="Times New Roman" w:hAnsi="Times New Roman"/>
          </w:rPr>
          <w:t>Cumbre de las Na</w:t>
        </w:r>
        <w:r>
          <w:rPr>
            <w:rStyle w:val="Hyperlink"/>
            <w:rFonts w:ascii="Times New Roman" w:hAnsi="Times New Roman"/>
          </w:rPr>
          <w:t>c</w:t>
        </w:r>
        <w:r>
          <w:rPr>
            <w:rStyle w:val="Hyperlink"/>
            <w:rFonts w:ascii="Times New Roman" w:hAnsi="Times New Roman"/>
          </w:rPr>
          <w:t>iones Unidas sobre los Sistemas Alimentarios</w:t>
        </w:r>
      </w:hyperlink>
      <w:r>
        <w:rPr>
          <w:rFonts w:ascii="Times New Roman" w:hAnsi="Times New Roman"/>
        </w:rPr>
        <w:t xml:space="preserve">, convocada por el Secretario General de las Naciones Unidas en 2021, a través de sus ejercicios de balance bienales, así como la labor del Comité de Seguridad Alimentaria Mundial (CSA) y el creciente espacio dedicado a los sistemas alimentarios en la Conferencia de las Partes sobre el Cambio Climático y la Diversidad Biológica, </w:t>
      </w:r>
      <w:r>
        <w:rPr>
          <w:rFonts w:ascii="Times New Roman" w:hAnsi="Times New Roman"/>
        </w:rPr>
        <w:lastRenderedPageBreak/>
        <w:t>constituirá la piedra angular del programa de trabajo del Grupo Permanente durante la mitad del mandato 2025-2027. Al mismo tiempo, el Grupo Permanente intensificará su colaboración con la FAO, yendo más allá de los intercambios puntuales, como los que tienen lugar en el marco del CSA y el Foro Mundial de la Alimentación (WFF), hacia intercambios más regulares entre el presidente del Grupo Permanente y los representantes de alto nivel de la FAO, con el fin de debatir la labor de la FAO y su armonización con las posiciones y recomendaciones del CESE en diversas cuestiones de interés común.</w:t>
      </w:r>
    </w:p>
    <w:p w14:paraId="34072B9A" w14:textId="77777777" w:rsidR="00215C44" w:rsidRPr="00D721EA" w:rsidRDefault="00215C44" w:rsidP="007561F8">
      <w:pPr>
        <w:spacing w:after="0" w:line="288" w:lineRule="auto"/>
        <w:jc w:val="both"/>
        <w:rPr>
          <w:rFonts w:ascii="Times New Roman" w:hAnsi="Times New Roman" w:cs="Times New Roman"/>
          <w:sz w:val="16"/>
          <w:szCs w:val="16"/>
          <w:lang w:val="en-GB"/>
        </w:rPr>
      </w:pPr>
    </w:p>
    <w:p w14:paraId="62AE9FD3" w14:textId="31D69BE8" w:rsidR="00935170" w:rsidRPr="00860AE8" w:rsidRDefault="007561F8" w:rsidP="007561F8">
      <w:pPr>
        <w:spacing w:after="0" w:line="288" w:lineRule="auto"/>
        <w:jc w:val="both"/>
        <w:rPr>
          <w:rFonts w:ascii="Times New Roman" w:hAnsi="Times New Roman" w:cs="Times New Roman"/>
        </w:rPr>
      </w:pPr>
      <w:r>
        <w:rPr>
          <w:rFonts w:ascii="Times New Roman" w:hAnsi="Times New Roman"/>
        </w:rPr>
        <w:t xml:space="preserve">A </w:t>
      </w:r>
      <w:r>
        <w:rPr>
          <w:rFonts w:ascii="Times New Roman" w:hAnsi="Times New Roman"/>
          <w:b/>
        </w:rPr>
        <w:t>escala de la UE</w:t>
      </w:r>
      <w:r>
        <w:rPr>
          <w:rFonts w:ascii="Times New Roman" w:hAnsi="Times New Roman"/>
        </w:rPr>
        <w:t xml:space="preserve">, el sector agroalimentario se enfrenta a una mayor exposición a la competencia internacional derivada de los mercados abiertos y los acuerdos comerciales, como el acuerdo UE-Mercosur, lo que pone de relieve que la necesidad de garantizar una competencia leal y la reciprocidad de las normas en ámbitos como la protección del medio ambiente, la seguridad alimentaria y el bienestar animal es más acuciante que nunca. Al mismo tiempo, la propuesta para el próximo marco financiero plurianual (MFP 2028-2034) suscita preocupación por el riesgo de una reducción de los presupuestos de la política agrícola común (PAC) y la política pesquera común (PPC) o una redefinición de sus prioridades, en un contexto de crecientes exigencias y presión sobre los productores de alimentos. Entre las principales preocupaciones del sector figura un apoyo insuficiente para garantizar unos ingresos justos, responder al aumento de los costes de producción y a la volatilidad del mercado, acelerar el relevo generacional, garantizar recursos suficientes para la transición hacia sistemas agroalimentarios más sostenibles, resilientes y regenerativos y responder a las expectativas cambiantes de los consumidores, todo ello en un contexto de restricciones presupuestarias y aumento de la complejidad normativa. Los </w:t>
      </w:r>
      <w:r>
        <w:rPr>
          <w:rFonts w:ascii="Times New Roman" w:hAnsi="Times New Roman"/>
          <w:b/>
        </w:rPr>
        <w:t>diálogos anuales sobre alimentación</w:t>
      </w:r>
      <w:r>
        <w:rPr>
          <w:rFonts w:ascii="Times New Roman" w:hAnsi="Times New Roman"/>
        </w:rPr>
        <w:t>, anunciados por la Comisión Europea en su visión de la agricultura y la alimentación, también marcarán la mitad del mandato 2025-2027 del Grupo Permanente. A través de este Grupo, el CESE ya ha contribuido a la labor de la Comisión organizando un debate sobre las aportaciones de la sociedad civil a los diálogos sobre alimentación, y el Comité pretende seguir apoyando a la Comisión en su labor y exponer los puntos de vista y las prioridades de las organizaciones de la sociedad civil, garantizando al mismo tiempo un foro ampliado en el que colaborar estrechamente con otros socios, como los entes locales y regionales</w:t>
      </w:r>
      <w:r w:rsidR="00F1597C" w:rsidRPr="00860AE8">
        <w:rPr>
          <w:rStyle w:val="FootnoteReference"/>
          <w:rFonts w:ascii="Times New Roman" w:hAnsi="Times New Roman" w:cs="Times New Roman"/>
          <w:lang w:val="en-GB"/>
        </w:rPr>
        <w:footnoteReference w:id="1"/>
      </w:r>
      <w:r>
        <w:rPr>
          <w:rFonts w:ascii="Times New Roman" w:hAnsi="Times New Roman"/>
        </w:rPr>
        <w:t>. El Grupo Permanente está dispuesto a proporcionar un foro para la preparación de los diálogos sobre alimentación. Se mantendrán y seguirán reforzando las sinergias con socios institucionales importantes, como el Comité de las Regiones y diversas Direcciones Generales de la Comisión.</w:t>
      </w:r>
    </w:p>
    <w:p w14:paraId="7F2544F9" w14:textId="77777777" w:rsidR="00614988" w:rsidRPr="00D721EA" w:rsidRDefault="00614988" w:rsidP="006E65D5">
      <w:pPr>
        <w:spacing w:after="0" w:line="288" w:lineRule="auto"/>
        <w:jc w:val="both"/>
        <w:rPr>
          <w:rFonts w:ascii="Times New Roman" w:hAnsi="Times New Roman" w:cs="Times New Roman"/>
          <w:sz w:val="16"/>
          <w:szCs w:val="16"/>
          <w:lang w:val="en-GB"/>
        </w:rPr>
      </w:pPr>
    </w:p>
    <w:p w14:paraId="64C5B29A" w14:textId="5AB75307" w:rsidR="00B24876" w:rsidRPr="00435E2A" w:rsidRDefault="004436A0" w:rsidP="006E65D5">
      <w:pPr>
        <w:spacing w:after="0" w:line="288" w:lineRule="auto"/>
        <w:jc w:val="both"/>
        <w:rPr>
          <w:rFonts w:ascii="Times New Roman" w:hAnsi="Times New Roman" w:cs="Times New Roman"/>
          <w:color w:val="000000"/>
        </w:rPr>
      </w:pPr>
      <w:r>
        <w:rPr>
          <w:rFonts w:ascii="Times New Roman" w:hAnsi="Times New Roman"/>
        </w:rPr>
        <w:t>En resumen, durante la mitad del mandato 2025-2027, el Grupo Permanente trabajará para mantener y reforzar las sinergias con todos los agentes, partes interesadas y organizaciones que operan en el sector agroalimentario y trabajan en favor de sistemas alimentarios sostenibles, al tiempo que propondrá ejemplos concretos de medidas o vías de actuación que contribuirán al programa de trabajo de la Sección NAT.</w:t>
      </w:r>
    </w:p>
    <w:p w14:paraId="0F61A32D" w14:textId="77777777" w:rsidR="00757858" w:rsidRPr="00D721EA" w:rsidRDefault="00757858" w:rsidP="006E65D5">
      <w:pPr>
        <w:spacing w:after="0" w:line="288" w:lineRule="auto"/>
        <w:jc w:val="both"/>
        <w:rPr>
          <w:rFonts w:ascii="Times New Roman" w:hAnsi="Times New Roman" w:cs="Times New Roman"/>
          <w:b/>
          <w:color w:val="000000"/>
          <w:sz w:val="16"/>
          <w:szCs w:val="16"/>
          <w:u w:val="single"/>
          <w:lang w:val="en-GB"/>
        </w:rPr>
      </w:pPr>
    </w:p>
    <w:p w14:paraId="2FBDB809" w14:textId="77777777" w:rsidR="00534D87" w:rsidRPr="00435E2A" w:rsidRDefault="00534D87" w:rsidP="00D721EA">
      <w:pPr>
        <w:spacing w:after="0" w:line="288" w:lineRule="auto"/>
        <w:jc w:val="both"/>
        <w:rPr>
          <w:rFonts w:ascii="Times New Roman" w:hAnsi="Times New Roman" w:cs="Times New Roman"/>
          <w:u w:val="single"/>
        </w:rPr>
      </w:pPr>
      <w:r>
        <w:rPr>
          <w:rFonts w:ascii="Times New Roman" w:hAnsi="Times New Roman"/>
          <w:b/>
          <w:color w:val="000000"/>
          <w:u w:val="single"/>
        </w:rPr>
        <w:t>Objetivos globales y acciones propuestas:</w:t>
      </w:r>
    </w:p>
    <w:p w14:paraId="1C49FE13" w14:textId="77777777" w:rsidR="00757858" w:rsidRPr="00C86F57" w:rsidRDefault="00757858" w:rsidP="00D721EA">
      <w:pPr>
        <w:spacing w:after="0" w:line="288" w:lineRule="auto"/>
        <w:jc w:val="both"/>
        <w:rPr>
          <w:rFonts w:ascii="Times New Roman" w:hAnsi="Times New Roman" w:cs="Times New Roman"/>
          <w:sz w:val="8"/>
          <w:szCs w:val="8"/>
          <w:lang w:val="en-GB"/>
        </w:rPr>
      </w:pPr>
    </w:p>
    <w:p w14:paraId="5DA4D958" w14:textId="641AF0FB" w:rsidR="00534D87" w:rsidRPr="00435E2A" w:rsidRDefault="00EA2053" w:rsidP="00D721EA">
      <w:pPr>
        <w:spacing w:after="0" w:line="288" w:lineRule="auto"/>
        <w:jc w:val="both"/>
        <w:rPr>
          <w:rFonts w:ascii="Times New Roman" w:hAnsi="Times New Roman" w:cs="Times New Roman"/>
        </w:rPr>
      </w:pPr>
      <w:r>
        <w:rPr>
          <w:rFonts w:ascii="Times New Roman" w:hAnsi="Times New Roman"/>
        </w:rPr>
        <w:t xml:space="preserve">El Grupo Permanente sobre los Sistemas Alimentarios Sostenibles contribuirá, entre otras cosas, a la tercera prioridad estratégica del programa de trabajo de la Sección NAT: </w:t>
      </w:r>
      <w:r>
        <w:rPr>
          <w:rFonts w:ascii="Times New Roman" w:hAnsi="Times New Roman"/>
          <w:b/>
        </w:rPr>
        <w:t>Impulsar una política alimentaria integral – Hacia una política agrícola común (PAC) y una política pesquera común (PPC) más sostenibles</w:t>
      </w:r>
      <w:r>
        <w:rPr>
          <w:rFonts w:ascii="Times New Roman" w:hAnsi="Times New Roman"/>
        </w:rPr>
        <w:t>,</w:t>
      </w:r>
      <w:r>
        <w:rPr>
          <w:rFonts w:ascii="Times New Roman" w:hAnsi="Times New Roman"/>
          <w:b/>
        </w:rPr>
        <w:t xml:space="preserve"> </w:t>
      </w:r>
      <w:r>
        <w:rPr>
          <w:rFonts w:ascii="Times New Roman" w:hAnsi="Times New Roman"/>
        </w:rPr>
        <w:t xml:space="preserve">así como al desarrollo rural y urbano sostenible. Se mantendrá y reforzará una </w:t>
      </w:r>
      <w:r>
        <w:rPr>
          <w:rFonts w:ascii="Times New Roman" w:hAnsi="Times New Roman"/>
        </w:rPr>
        <w:lastRenderedPageBreak/>
        <w:t>estrecha cooperación con el Observatorio del Desarrollo Sostenible, prestando especial atención al ODS 2 (hambre cero). También podrían explorarse sinergias con el Grupo sobre la Juventud del CESE y los Capítulos Nacionales de Juventud de la FAO en la UE, como parte de los esfuerzos continuos del CESE por integrar mejor la voz de la juventud europea en su labor y en el proceso de toma de decisiones de la UE de un modo estructurado y significativo. El CESE podría actuar como foro para cualquier intercambio entre ambos.</w:t>
      </w:r>
    </w:p>
    <w:p w14:paraId="726EFC06" w14:textId="77777777" w:rsidR="00614988" w:rsidRPr="00D721EA" w:rsidRDefault="00614988" w:rsidP="00FA1D41">
      <w:pPr>
        <w:spacing w:after="0" w:line="288" w:lineRule="auto"/>
        <w:jc w:val="both"/>
        <w:rPr>
          <w:rFonts w:ascii="Times New Roman" w:hAnsi="Times New Roman" w:cs="Times New Roman"/>
          <w:lang w:val="en-GB"/>
        </w:rPr>
      </w:pPr>
    </w:p>
    <w:p w14:paraId="058922FB" w14:textId="4248BFEC" w:rsidR="00757858" w:rsidRPr="00435E2A" w:rsidRDefault="00FA1D41" w:rsidP="00FA1D41">
      <w:pPr>
        <w:spacing w:after="0" w:line="288" w:lineRule="auto"/>
        <w:jc w:val="both"/>
        <w:rPr>
          <w:rFonts w:ascii="Times New Roman" w:hAnsi="Times New Roman" w:cs="Times New Roman"/>
        </w:rPr>
      </w:pPr>
      <w:r>
        <w:rPr>
          <w:rFonts w:ascii="Times New Roman" w:hAnsi="Times New Roman"/>
        </w:rPr>
        <w:t>A fin de garantizar que su mensaje se transmita de forma eficaz y tenga un impacto tangible, la labor del Grupo Permanente debe seguir estando firmemente basado en el realismo. Se espera que el Grupo Permanente presente nuevas ideas, mediante la participación significativa de una gama amplia y equilibrada de agentes que representen todas las perspectivas pertinentes, de manera sistemática, transparente y coherente.</w:t>
      </w:r>
    </w:p>
    <w:p w14:paraId="4A3D0537" w14:textId="77777777" w:rsidR="00614988" w:rsidRPr="00D721EA" w:rsidRDefault="00614988" w:rsidP="00FA1D41">
      <w:pPr>
        <w:spacing w:after="0" w:line="288" w:lineRule="auto"/>
        <w:jc w:val="both"/>
        <w:rPr>
          <w:rFonts w:ascii="Times New Roman" w:hAnsi="Times New Roman" w:cs="Times New Roman"/>
          <w:lang w:val="en-GB"/>
        </w:rPr>
      </w:pPr>
    </w:p>
    <w:p w14:paraId="5843A033" w14:textId="43A98B4A" w:rsidR="00B7335B" w:rsidRDefault="008908CB" w:rsidP="00FA1D41">
      <w:pPr>
        <w:spacing w:after="0" w:line="288" w:lineRule="auto"/>
        <w:jc w:val="both"/>
        <w:rPr>
          <w:rFonts w:ascii="Times New Roman" w:hAnsi="Times New Roman"/>
        </w:rPr>
      </w:pPr>
      <w:r>
        <w:rPr>
          <w:rFonts w:ascii="Times New Roman" w:hAnsi="Times New Roman"/>
        </w:rPr>
        <w:t>Más concretamente, la labor del Grupo Permanente se centrará en los siguientes ámbitos:</w:t>
      </w:r>
    </w:p>
    <w:p w14:paraId="175F48BA" w14:textId="77777777" w:rsidR="00D721EA" w:rsidRPr="00D721EA" w:rsidRDefault="00D721EA" w:rsidP="00FA1D41">
      <w:pPr>
        <w:spacing w:after="0" w:line="288" w:lineRule="auto"/>
        <w:jc w:val="both"/>
        <w:rPr>
          <w:rFonts w:ascii="Times New Roman" w:hAnsi="Times New Roman" w:cs="Times New Roman"/>
        </w:rPr>
      </w:pPr>
    </w:p>
    <w:tbl>
      <w:tblPr>
        <w:tblStyle w:val="TableGrid"/>
        <w:tblW w:w="9072" w:type="dxa"/>
        <w:tblInd w:w="108" w:type="dxa"/>
        <w:tblLook w:val="04A0" w:firstRow="1" w:lastRow="0" w:firstColumn="1" w:lastColumn="0" w:noHBand="0" w:noVBand="1"/>
      </w:tblPr>
      <w:tblGrid>
        <w:gridCol w:w="2977"/>
        <w:gridCol w:w="6095"/>
      </w:tblGrid>
      <w:tr w:rsidR="00AD1AEB" w14:paraId="515FCAD1" w14:textId="77777777" w:rsidTr="00AD1AEB">
        <w:tc>
          <w:tcPr>
            <w:tcW w:w="2977" w:type="dxa"/>
          </w:tcPr>
          <w:p w14:paraId="79E41F79" w14:textId="450383E8" w:rsidR="00AD1AEB" w:rsidRDefault="00AD1AEB" w:rsidP="00D721EA">
            <w:pPr>
              <w:spacing w:after="120" w:line="288" w:lineRule="auto"/>
              <w:rPr>
                <w:rFonts w:ascii="Times New Roman" w:hAnsi="Times New Roman" w:cs="Times New Roman"/>
              </w:rPr>
            </w:pPr>
            <w:r>
              <w:rPr>
                <w:rFonts w:ascii="Times New Roman" w:hAnsi="Times New Roman"/>
                <w:b/>
              </w:rPr>
              <w:t>Fomentar sistemas alimentarios productivos, competitivos, sostenibles, resilientes, regenerativos y más justos, siguiendo un enfoque pragmático y realista</w:t>
            </w:r>
          </w:p>
        </w:tc>
        <w:tc>
          <w:tcPr>
            <w:tcW w:w="6095" w:type="dxa"/>
          </w:tcPr>
          <w:p w14:paraId="32E83113" w14:textId="03442BDE" w:rsidR="00AD1AEB" w:rsidRPr="00435E2A" w:rsidRDefault="00AD1AEB" w:rsidP="005E1B52">
            <w:pPr>
              <w:pStyle w:val="ListParagraph"/>
              <w:numPr>
                <w:ilvl w:val="0"/>
                <w:numId w:val="27"/>
              </w:numPr>
              <w:spacing w:after="200" w:line="288" w:lineRule="auto"/>
              <w:ind w:left="385" w:hanging="357"/>
              <w:contextualSpacing w:val="0"/>
              <w:jc w:val="both"/>
              <w:rPr>
                <w:rFonts w:ascii="Times New Roman" w:hAnsi="Times New Roman" w:cs="Times New Roman"/>
              </w:rPr>
            </w:pPr>
            <w:r>
              <w:rPr>
                <w:rFonts w:ascii="Times New Roman" w:hAnsi="Times New Roman"/>
              </w:rPr>
              <w:t xml:space="preserve">Promover y debatir a nivel interinstitucional, mediante debates temáticos en las reuniones del Grupo Permanente y contribuciones a los dictámenes de la Sección NAT, aspectos como las </w:t>
            </w:r>
            <w:r>
              <w:rPr>
                <w:rFonts w:ascii="Times New Roman" w:hAnsi="Times New Roman"/>
                <w:b/>
              </w:rPr>
              <w:t>formas regenerativas de agricultura</w:t>
            </w:r>
            <w:r>
              <w:rPr>
                <w:rFonts w:ascii="Times New Roman" w:hAnsi="Times New Roman"/>
              </w:rPr>
              <w:t xml:space="preserve">, la revisión de la </w:t>
            </w:r>
            <w:r>
              <w:rPr>
                <w:rFonts w:ascii="Times New Roman" w:hAnsi="Times New Roman"/>
                <w:b/>
              </w:rPr>
              <w:t xml:space="preserve">Directiva sobre las prácticas comerciales desleales </w:t>
            </w:r>
            <w:r>
              <w:rPr>
                <w:rFonts w:ascii="Times New Roman" w:hAnsi="Times New Roman"/>
              </w:rPr>
              <w:t>y cómo abordar</w:t>
            </w:r>
            <w:r>
              <w:rPr>
                <w:rFonts w:ascii="Times New Roman" w:hAnsi="Times New Roman"/>
                <w:b/>
              </w:rPr>
              <w:t xml:space="preserve"> </w:t>
            </w:r>
            <w:r>
              <w:rPr>
                <w:rFonts w:ascii="Times New Roman" w:hAnsi="Times New Roman"/>
              </w:rPr>
              <w:t>la distribución desigual</w:t>
            </w:r>
            <w:r>
              <w:rPr>
                <w:rFonts w:ascii="Times New Roman" w:hAnsi="Times New Roman"/>
                <w:b/>
              </w:rPr>
              <w:t xml:space="preserve"> </w:t>
            </w:r>
            <w:r>
              <w:rPr>
                <w:rFonts w:ascii="Times New Roman" w:hAnsi="Times New Roman"/>
              </w:rPr>
              <w:t xml:space="preserve">del poder en la cadena y el abuso de mercado, la </w:t>
            </w:r>
            <w:r>
              <w:rPr>
                <w:rFonts w:ascii="Times New Roman" w:hAnsi="Times New Roman"/>
                <w:b/>
              </w:rPr>
              <w:t>estrategia de suministro de proteínas de la UE</w:t>
            </w:r>
            <w:r>
              <w:rPr>
                <w:rFonts w:ascii="Times New Roman" w:hAnsi="Times New Roman"/>
              </w:rPr>
              <w:t xml:space="preserve"> </w:t>
            </w:r>
            <w:r>
              <w:rPr>
                <w:rFonts w:ascii="Times New Roman" w:hAnsi="Times New Roman"/>
                <w:color w:val="000000"/>
              </w:rPr>
              <w:t xml:space="preserve">(basada en nuestro anterior llamamiento en favor de una estrategia europea en materia de proteínas, una prioridad reconocida ahora en la visión), la </w:t>
            </w:r>
            <w:r>
              <w:rPr>
                <w:rFonts w:ascii="Times New Roman" w:hAnsi="Times New Roman"/>
                <w:b/>
                <w:color w:val="000000"/>
              </w:rPr>
              <w:t>estrategia a largo plazo sobre la cría de ganado</w:t>
            </w:r>
            <w:r>
              <w:rPr>
                <w:rFonts w:ascii="Times New Roman" w:hAnsi="Times New Roman"/>
                <w:color w:val="000000"/>
              </w:rPr>
              <w:t xml:space="preserve"> y la </w:t>
            </w:r>
            <w:r>
              <w:rPr>
                <w:rFonts w:ascii="Times New Roman" w:hAnsi="Times New Roman"/>
                <w:b/>
                <w:color w:val="000000"/>
              </w:rPr>
              <w:t>descarbonización del sector agroalimentario</w:t>
            </w:r>
            <w:r>
              <w:rPr>
                <w:rFonts w:ascii="Times New Roman" w:hAnsi="Times New Roman"/>
                <w:color w:val="000000"/>
              </w:rPr>
              <w:t>.</w:t>
            </w:r>
          </w:p>
          <w:p w14:paraId="10AF7EEC" w14:textId="69538B35" w:rsidR="00AD1AEB" w:rsidRPr="00435E2A" w:rsidRDefault="00AD1AEB" w:rsidP="005E1B52">
            <w:pPr>
              <w:pStyle w:val="ListParagraph"/>
              <w:numPr>
                <w:ilvl w:val="0"/>
                <w:numId w:val="27"/>
              </w:numPr>
              <w:spacing w:after="200" w:line="288" w:lineRule="auto"/>
              <w:ind w:left="385" w:hanging="357"/>
              <w:contextualSpacing w:val="0"/>
              <w:jc w:val="both"/>
              <w:rPr>
                <w:rFonts w:ascii="Times New Roman" w:hAnsi="Times New Roman" w:cs="Times New Roman"/>
              </w:rPr>
            </w:pPr>
            <w:r>
              <w:rPr>
                <w:rFonts w:ascii="Times New Roman" w:hAnsi="Times New Roman"/>
              </w:rPr>
              <w:t xml:space="preserve">Seguir abogando por una </w:t>
            </w:r>
            <w:r>
              <w:rPr>
                <w:rFonts w:ascii="Times New Roman" w:hAnsi="Times New Roman"/>
                <w:b/>
              </w:rPr>
              <w:t>política alimentaria integral</w:t>
            </w:r>
            <w:r>
              <w:rPr>
                <w:rFonts w:ascii="Times New Roman" w:hAnsi="Times New Roman"/>
              </w:rPr>
              <w:t xml:space="preserve"> que garantice unas cadenas de suministro justas, unas condiciones laborales y de vida dignas (incluida la salud mental), la producción y transformación sostenibles de alimentos, unas dietas saludables, unos ingresos justos y precios asequibles de los alimentos, el derecho a la alimentación y un mayor poder de negociación para los agentes más vulnerables de la cadena alimentaria; trabajar en el envasado sostenible de alimentos y en el bienestar animal.</w:t>
            </w:r>
          </w:p>
          <w:p w14:paraId="6D99FE2F" w14:textId="6E9DEDDC" w:rsidR="00D721EA" w:rsidRPr="00D721EA" w:rsidRDefault="00AD1AEB" w:rsidP="005E1B52">
            <w:pPr>
              <w:pStyle w:val="ListParagraph"/>
              <w:keepLines/>
              <w:numPr>
                <w:ilvl w:val="0"/>
                <w:numId w:val="27"/>
              </w:numPr>
              <w:spacing w:after="200" w:line="288" w:lineRule="auto"/>
              <w:ind w:left="385" w:hanging="357"/>
              <w:contextualSpacing w:val="0"/>
              <w:jc w:val="both"/>
              <w:rPr>
                <w:rFonts w:ascii="Times New Roman" w:hAnsi="Times New Roman" w:cs="Times New Roman"/>
              </w:rPr>
            </w:pPr>
            <w:r>
              <w:rPr>
                <w:rFonts w:ascii="Times New Roman" w:hAnsi="Times New Roman"/>
              </w:rPr>
              <w:t>Seguir estudiando la dimensión social de los sistemas alimentarios sostenibles, centrándose en las condiciones de trabajo, la salud mental de los agricultores y los trabajadores, la igualdad de género y el refuerzo de la posición de la juventud en las zonas rurales y costeras. Unos ingresos justos y estables siguen siendo un requisito previo para la viabilidad a largo plazo y la legitimidad social del sector.</w:t>
            </w:r>
          </w:p>
          <w:p w14:paraId="48AA9242" w14:textId="77777777" w:rsidR="00AD1AEB" w:rsidRPr="00435E2A" w:rsidRDefault="00AD1AEB" w:rsidP="00D721EA">
            <w:pPr>
              <w:pStyle w:val="ListParagraph"/>
              <w:numPr>
                <w:ilvl w:val="0"/>
                <w:numId w:val="27"/>
              </w:numPr>
              <w:spacing w:after="60" w:line="276" w:lineRule="auto"/>
              <w:ind w:left="385" w:hanging="357"/>
              <w:contextualSpacing w:val="0"/>
              <w:jc w:val="both"/>
              <w:rPr>
                <w:rFonts w:ascii="Times New Roman" w:hAnsi="Times New Roman" w:cs="Times New Roman"/>
              </w:rPr>
            </w:pPr>
            <w:r>
              <w:rPr>
                <w:rFonts w:ascii="Times New Roman" w:hAnsi="Times New Roman"/>
              </w:rPr>
              <w:lastRenderedPageBreak/>
              <w:t>Debatir la evolución en relación con la próxima PAC teniendo en cuenta toda la cadena de suministro alimentario, mediante audiencias en las reuniones del Grupo Permanente, y promover las recomendaciones del CESE a la Comisión Europea en el contexto del nuevo marco financiero plurianual, destacando el desajuste entre, por un lado, los retos a los que se enfrenta el sector y, por otro, el hecho de que el presupuesto propuesto reservado para la PAC es inferior al presupuesto actual.</w:t>
            </w:r>
          </w:p>
          <w:p w14:paraId="52B9B814" w14:textId="77777777" w:rsidR="00AD1AEB" w:rsidRPr="00435E2A" w:rsidRDefault="00AD1AEB" w:rsidP="00D721EA">
            <w:pPr>
              <w:pStyle w:val="ListParagraph"/>
              <w:numPr>
                <w:ilvl w:val="0"/>
                <w:numId w:val="27"/>
              </w:numPr>
              <w:spacing w:after="60" w:line="276" w:lineRule="auto"/>
              <w:ind w:left="386"/>
              <w:contextualSpacing w:val="0"/>
              <w:jc w:val="both"/>
              <w:rPr>
                <w:rFonts w:ascii="Times New Roman" w:hAnsi="Times New Roman" w:cs="Times New Roman"/>
              </w:rPr>
            </w:pPr>
            <w:r>
              <w:rPr>
                <w:rFonts w:ascii="Times New Roman" w:hAnsi="Times New Roman"/>
              </w:rPr>
              <w:t xml:space="preserve">Trabajar para </w:t>
            </w:r>
            <w:r>
              <w:rPr>
                <w:rFonts w:ascii="Times New Roman" w:hAnsi="Times New Roman"/>
                <w:b/>
              </w:rPr>
              <w:t>cambiar el discurso en torno a la agricultura</w:t>
            </w:r>
            <w:r>
              <w:rPr>
                <w:rFonts w:ascii="Times New Roman" w:hAnsi="Times New Roman"/>
              </w:rPr>
              <w:t xml:space="preserve"> mediante el restablecimiento de un discurso público equilibrado y basado en hechos, en particular destacando los aspectos positivos de la PAC. Unos ingresos justos y estables de los agricultores son esenciales para que el sector resulte atractivo, en particular para la juventud (</w:t>
            </w:r>
            <w:r>
              <w:rPr>
                <w:rFonts w:ascii="Times New Roman" w:hAnsi="Times New Roman"/>
                <w:b/>
              </w:rPr>
              <w:t>relevo generacional</w:t>
            </w:r>
            <w:r>
              <w:rPr>
                <w:rFonts w:ascii="Times New Roman" w:hAnsi="Times New Roman"/>
              </w:rPr>
              <w:t>), así como para garantizar su viabilidad a largo plazo. Con demasiada frecuencia se presenta negativamente a los agricultores, sobre todo como enemigos del medio ambiente, mientras que la información errónea, como las afirmaciones falsas sobre el porcentaje que representa la PAC en el presupuesto de la UE, sigue socavando la imagen y la credibilidad del sector.</w:t>
            </w:r>
          </w:p>
          <w:p w14:paraId="5ECBC868" w14:textId="77777777" w:rsidR="007629D5" w:rsidRPr="007629D5" w:rsidRDefault="00AD1AEB" w:rsidP="00D721EA">
            <w:pPr>
              <w:pStyle w:val="ListParagraph"/>
              <w:numPr>
                <w:ilvl w:val="0"/>
                <w:numId w:val="27"/>
              </w:numPr>
              <w:spacing w:after="60" w:line="276" w:lineRule="auto"/>
              <w:ind w:left="386"/>
              <w:contextualSpacing w:val="0"/>
              <w:jc w:val="both"/>
              <w:rPr>
                <w:rFonts w:ascii="Times New Roman" w:hAnsi="Times New Roman" w:cs="Times New Roman"/>
              </w:rPr>
            </w:pPr>
            <w:r>
              <w:rPr>
                <w:rFonts w:ascii="Times New Roman" w:hAnsi="Times New Roman"/>
              </w:rPr>
              <w:t xml:space="preserve">Contribuir a los trabajos del CESE en torno a la </w:t>
            </w:r>
            <w:r>
              <w:rPr>
                <w:rFonts w:ascii="Times New Roman" w:hAnsi="Times New Roman"/>
                <w:b/>
              </w:rPr>
              <w:t xml:space="preserve">revisión de la Directiva sobre contratación pública </w:t>
            </w:r>
            <w:r>
              <w:rPr>
                <w:rFonts w:ascii="Times New Roman" w:hAnsi="Times New Roman"/>
              </w:rPr>
              <w:t>(parte relativa a la adquisición de alimentos).</w:t>
            </w:r>
          </w:p>
          <w:p w14:paraId="3F9850C7" w14:textId="67AC79DC" w:rsidR="00AD1AEB" w:rsidRPr="007629D5" w:rsidRDefault="00AD1AEB" w:rsidP="00D721EA">
            <w:pPr>
              <w:pStyle w:val="ListParagraph"/>
              <w:numPr>
                <w:ilvl w:val="0"/>
                <w:numId w:val="27"/>
              </w:numPr>
              <w:spacing w:after="60" w:line="276" w:lineRule="auto"/>
              <w:ind w:left="386"/>
              <w:contextualSpacing w:val="0"/>
              <w:jc w:val="both"/>
              <w:rPr>
                <w:rFonts w:ascii="Times New Roman" w:hAnsi="Times New Roman" w:cs="Times New Roman"/>
              </w:rPr>
            </w:pPr>
            <w:r w:rsidRPr="007629D5">
              <w:rPr>
                <w:rFonts w:ascii="Times New Roman" w:hAnsi="Times New Roman"/>
              </w:rPr>
              <w:t xml:space="preserve">Estudiar formas de luchar eficazmente contra el </w:t>
            </w:r>
            <w:r w:rsidRPr="007629D5">
              <w:rPr>
                <w:rFonts w:ascii="Times New Roman" w:hAnsi="Times New Roman"/>
                <w:b/>
              </w:rPr>
              <w:t>desperdicio de alimentos</w:t>
            </w:r>
            <w:r w:rsidRPr="007629D5">
              <w:rPr>
                <w:rFonts w:ascii="Times New Roman" w:hAnsi="Times New Roman"/>
              </w:rPr>
              <w:t xml:space="preserve"> y determinar las mejores prácticas, en consonancia con la donación de alimentos y los enfoques circulares; participar de forma más activa en la Plataforma de la UE sobre pérdidas y desperdicio de alimentos.</w:t>
            </w:r>
          </w:p>
        </w:tc>
      </w:tr>
      <w:tr w:rsidR="00C86F57" w14:paraId="5984298A" w14:textId="77777777" w:rsidTr="00AD1AEB">
        <w:tc>
          <w:tcPr>
            <w:tcW w:w="2977" w:type="dxa"/>
          </w:tcPr>
          <w:p w14:paraId="09CD2C01" w14:textId="32CFFC01" w:rsidR="00C86F57" w:rsidRDefault="00C86F57" w:rsidP="00D721EA">
            <w:pPr>
              <w:spacing w:after="0" w:line="278" w:lineRule="auto"/>
              <w:rPr>
                <w:rFonts w:ascii="Times New Roman" w:hAnsi="Times New Roman"/>
                <w:b/>
              </w:rPr>
            </w:pPr>
            <w:r>
              <w:rPr>
                <w:rFonts w:ascii="Times New Roman" w:hAnsi="Times New Roman"/>
                <w:b/>
              </w:rPr>
              <w:t>Reforzar la soberanía alimentaria, la preparación, la seguridad alimentaria y la autonomía estratégica de la UE en el contexto del comercio internacional</w:t>
            </w:r>
          </w:p>
        </w:tc>
        <w:tc>
          <w:tcPr>
            <w:tcW w:w="6095" w:type="dxa"/>
          </w:tcPr>
          <w:p w14:paraId="46BCE532" w14:textId="77777777" w:rsidR="00C86F57" w:rsidRPr="00435E2A" w:rsidRDefault="00C86F57" w:rsidP="00D721EA">
            <w:pPr>
              <w:pStyle w:val="Default"/>
              <w:numPr>
                <w:ilvl w:val="0"/>
                <w:numId w:val="4"/>
              </w:numPr>
              <w:spacing w:after="60" w:line="276" w:lineRule="auto"/>
              <w:ind w:left="357" w:hanging="357"/>
              <w:jc w:val="both"/>
              <w:rPr>
                <w:sz w:val="22"/>
                <w:szCs w:val="22"/>
              </w:rPr>
            </w:pPr>
            <w:r>
              <w:rPr>
                <w:sz w:val="22"/>
              </w:rPr>
              <w:t>Analizar la evolución del sector agroalimentario, habida cuenta del contexto geopolítico (importaciones/exportaciones con Ucrania) y los acuerdos comerciales internacionales, por ejemplo, el Mercosur (armonización de las normas de importación con las normas de producción de la UE/verdadera reciprocidad de las normas).</w:t>
            </w:r>
          </w:p>
          <w:p w14:paraId="57B188A1" w14:textId="77777777" w:rsidR="00C86F57" w:rsidRPr="00C86F57" w:rsidRDefault="00C86F57" w:rsidP="00D721EA">
            <w:pPr>
              <w:pStyle w:val="Default"/>
              <w:numPr>
                <w:ilvl w:val="0"/>
                <w:numId w:val="4"/>
              </w:numPr>
              <w:spacing w:after="60" w:line="276" w:lineRule="auto"/>
              <w:ind w:left="357" w:hanging="357"/>
              <w:jc w:val="both"/>
              <w:rPr>
                <w:sz w:val="22"/>
                <w:szCs w:val="22"/>
              </w:rPr>
            </w:pPr>
            <w:r w:rsidRPr="00C86F57">
              <w:rPr>
                <w:sz w:val="22"/>
              </w:rPr>
              <w:t>Estudiar herramientas y fondos para gestionar el riesgo ante la volatilidad del mercado y otros tipos de perturbaciones del mercado; integrar la cadena de suministro en modelos sostenibles (especialmente para los pequeños agricultores); garantizar la competitividad y la preparación del sector agroalimentario de la UE.</w:t>
            </w:r>
          </w:p>
          <w:p w14:paraId="1F1DE919" w14:textId="50D35DAE" w:rsidR="00C86F57" w:rsidRDefault="00C86F57" w:rsidP="00D721EA">
            <w:pPr>
              <w:pStyle w:val="ListParagraph"/>
              <w:numPr>
                <w:ilvl w:val="0"/>
                <w:numId w:val="27"/>
              </w:numPr>
              <w:spacing w:after="60" w:line="276" w:lineRule="auto"/>
              <w:ind w:left="387" w:hanging="357"/>
              <w:contextualSpacing w:val="0"/>
              <w:jc w:val="both"/>
              <w:rPr>
                <w:rFonts w:ascii="Times New Roman" w:hAnsi="Times New Roman"/>
              </w:rPr>
            </w:pPr>
            <w:r w:rsidRPr="00C86F57">
              <w:rPr>
                <w:rFonts w:ascii="Times New Roman" w:hAnsi="Times New Roman" w:cs="Times New Roman"/>
              </w:rPr>
              <w:t xml:space="preserve">Apoyar una mayor transparencia y trazabilidad a lo largo de toda la cadena del mercado alimentario y seguir abogando contra la </w:t>
            </w:r>
            <w:r w:rsidRPr="00C86F57">
              <w:rPr>
                <w:rFonts w:ascii="Times New Roman" w:hAnsi="Times New Roman" w:cs="Times New Roman"/>
                <w:b/>
              </w:rPr>
              <w:t>financierización del sector alimentario</w:t>
            </w:r>
            <w:r w:rsidRPr="00C86F57">
              <w:rPr>
                <w:rFonts w:ascii="Times New Roman" w:hAnsi="Times New Roman" w:cs="Times New Roman"/>
              </w:rPr>
              <w:t>, que impulsa la especulación con los precios de los alimentos.</w:t>
            </w:r>
          </w:p>
        </w:tc>
      </w:tr>
      <w:tr w:rsidR="00C86F57" w14:paraId="5D509638" w14:textId="77777777" w:rsidTr="00AD1AEB">
        <w:tc>
          <w:tcPr>
            <w:tcW w:w="2977" w:type="dxa"/>
          </w:tcPr>
          <w:p w14:paraId="024936AE" w14:textId="4C6768EA" w:rsidR="00C86F57" w:rsidRDefault="00C86F57" w:rsidP="00D721EA">
            <w:pPr>
              <w:spacing w:after="120" w:line="288" w:lineRule="auto"/>
              <w:rPr>
                <w:rFonts w:ascii="Times New Roman" w:hAnsi="Times New Roman"/>
                <w:b/>
              </w:rPr>
            </w:pPr>
            <w:r w:rsidRPr="00C86F57">
              <w:rPr>
                <w:rFonts w:ascii="Times New Roman" w:hAnsi="Times New Roman"/>
                <w:b/>
              </w:rPr>
              <w:lastRenderedPageBreak/>
              <w:t>Reforzar los sectores de la pesca y los alimentos azules: hacia una pesca y una acuicultura sostenibles</w:t>
            </w:r>
          </w:p>
        </w:tc>
        <w:tc>
          <w:tcPr>
            <w:tcW w:w="6095" w:type="dxa"/>
          </w:tcPr>
          <w:p w14:paraId="6D6E9522" w14:textId="77777777" w:rsidR="00C86F57" w:rsidRPr="00C86F57" w:rsidRDefault="00C86F57" w:rsidP="005E1B52">
            <w:pPr>
              <w:pStyle w:val="ListParagraph"/>
              <w:numPr>
                <w:ilvl w:val="0"/>
                <w:numId w:val="4"/>
              </w:numPr>
              <w:spacing w:after="200" w:line="288" w:lineRule="auto"/>
              <w:ind w:left="357" w:hanging="357"/>
              <w:contextualSpacing w:val="0"/>
              <w:jc w:val="both"/>
              <w:rPr>
                <w:rFonts w:ascii="Times New Roman" w:hAnsi="Times New Roman" w:cs="Times New Roman"/>
              </w:rPr>
            </w:pPr>
            <w:r w:rsidRPr="00C86F57">
              <w:rPr>
                <w:rFonts w:ascii="Times New Roman" w:hAnsi="Times New Roman"/>
              </w:rPr>
              <w:t>Dar mayor visibilidad al sector de la pesca y la acuicultura mediante debates específicos en las reuniones del Grupo Permanente, en los que se aborden las cuestiones clave del sector, como unos ingresos justos para los pescadores, la necesidad de simplificar el sector, los productos de la pesca en toda la UE y la competencia desleal con terceros países (el 70 % son importados), y el calentamiento de las aguas (las poblaciones de peces se desplazan al norte) y el cambio climático.</w:t>
            </w:r>
          </w:p>
          <w:p w14:paraId="465C1C42" w14:textId="77777777" w:rsidR="00C86F57" w:rsidRPr="00C86F57" w:rsidRDefault="00C86F57" w:rsidP="005E1B52">
            <w:pPr>
              <w:numPr>
                <w:ilvl w:val="0"/>
                <w:numId w:val="4"/>
              </w:numPr>
              <w:autoSpaceDE w:val="0"/>
              <w:autoSpaceDN w:val="0"/>
              <w:adjustRightInd w:val="0"/>
              <w:spacing w:after="200" w:line="288" w:lineRule="auto"/>
              <w:ind w:left="357" w:hanging="357"/>
              <w:rPr>
                <w:rFonts w:ascii="Times New Roman" w:hAnsi="Times New Roman" w:cs="Times New Roman"/>
              </w:rPr>
            </w:pPr>
            <w:r w:rsidRPr="00C86F57">
              <w:rPr>
                <w:rFonts w:ascii="Times New Roman" w:hAnsi="Times New Roman"/>
              </w:rPr>
              <w:t xml:space="preserve">Contribuir al desarrollo de una </w:t>
            </w:r>
            <w:r w:rsidRPr="00C86F57">
              <w:rPr>
                <w:rFonts w:ascii="Times New Roman" w:hAnsi="Times New Roman"/>
                <w:b/>
              </w:rPr>
              <w:t>visión global de la UE</w:t>
            </w:r>
            <w:r w:rsidRPr="00C86F57">
              <w:rPr>
                <w:rFonts w:ascii="Times New Roman" w:hAnsi="Times New Roman"/>
              </w:rPr>
              <w:t xml:space="preserve"> que promueva una transición justa para el sector, al tiempo que fomenta el relevo generacional y la descarbonización (</w:t>
            </w:r>
            <w:r w:rsidRPr="00C86F57">
              <w:rPr>
                <w:rFonts w:ascii="Times New Roman" w:hAnsi="Times New Roman"/>
                <w:color w:val="000000"/>
              </w:rPr>
              <w:t xml:space="preserve">en relación con la próxima evaluación de la PPC, que se incorporará a una visión 2040 para la pesca y la acuicultura), así como </w:t>
            </w:r>
            <w:r w:rsidRPr="00C86F57">
              <w:rPr>
                <w:rFonts w:ascii="Times New Roman" w:hAnsi="Times New Roman"/>
              </w:rPr>
              <w:t>las oportunidades para las zonas rurales y costeras</w:t>
            </w:r>
            <w:r w:rsidRPr="00C86F57">
              <w:rPr>
                <w:rFonts w:ascii="Times New Roman" w:hAnsi="Times New Roman"/>
                <w:color w:val="000000"/>
              </w:rPr>
              <w:t>.</w:t>
            </w:r>
          </w:p>
          <w:p w14:paraId="4DC36D9A" w14:textId="56B4E0D3" w:rsidR="00C86F57" w:rsidRDefault="00C86F57" w:rsidP="005E1B52">
            <w:pPr>
              <w:pStyle w:val="Default"/>
              <w:numPr>
                <w:ilvl w:val="0"/>
                <w:numId w:val="4"/>
              </w:numPr>
              <w:spacing w:after="200" w:line="288" w:lineRule="auto"/>
              <w:ind w:left="357" w:hanging="357"/>
              <w:jc w:val="both"/>
              <w:rPr>
                <w:sz w:val="22"/>
              </w:rPr>
            </w:pPr>
            <w:r w:rsidRPr="00C86F57">
              <w:rPr>
                <w:sz w:val="22"/>
                <w:szCs w:val="22"/>
              </w:rPr>
              <w:t>Contribuir al plan de acción para los alimentos azules y a la forma de reforzar la seguridad alimentaria y la autonomía estratégica, destacando lo saludables, nutritivos y sostenibles que son estos productos.</w:t>
            </w:r>
          </w:p>
        </w:tc>
      </w:tr>
      <w:tr w:rsidR="00C86F57" w14:paraId="79F2F49C" w14:textId="77777777" w:rsidTr="00AD1AEB">
        <w:tc>
          <w:tcPr>
            <w:tcW w:w="2977" w:type="dxa"/>
          </w:tcPr>
          <w:p w14:paraId="55DE7C6D" w14:textId="69A0327B" w:rsidR="00C86F57" w:rsidRPr="00C86F57" w:rsidRDefault="00C86F57" w:rsidP="00D721EA">
            <w:pPr>
              <w:spacing w:after="120" w:line="288" w:lineRule="auto"/>
              <w:rPr>
                <w:rFonts w:ascii="Times New Roman" w:hAnsi="Times New Roman"/>
                <w:b/>
              </w:rPr>
            </w:pPr>
            <w:r>
              <w:rPr>
                <w:rFonts w:ascii="Times New Roman" w:hAnsi="Times New Roman"/>
                <w:b/>
              </w:rPr>
              <w:t>Vincular los sistemas alimentarios con el medio ambiente, el clima, los ODS y la Agenda 2030</w:t>
            </w:r>
          </w:p>
        </w:tc>
        <w:tc>
          <w:tcPr>
            <w:tcW w:w="6095" w:type="dxa"/>
          </w:tcPr>
          <w:p w14:paraId="744AD074" w14:textId="77777777" w:rsidR="00C86F57" w:rsidRPr="00435E2A" w:rsidRDefault="00C86F57" w:rsidP="005E1B52">
            <w:pPr>
              <w:pStyle w:val="ListParagraph"/>
              <w:numPr>
                <w:ilvl w:val="0"/>
                <w:numId w:val="4"/>
              </w:numPr>
              <w:spacing w:after="200" w:line="288" w:lineRule="auto"/>
              <w:contextualSpacing w:val="0"/>
              <w:jc w:val="both"/>
              <w:rPr>
                <w:rFonts w:ascii="Times New Roman" w:hAnsi="Times New Roman" w:cs="Times New Roman"/>
              </w:rPr>
            </w:pPr>
            <w:r>
              <w:rPr>
                <w:rFonts w:ascii="Times New Roman" w:hAnsi="Times New Roman"/>
              </w:rPr>
              <w:t>Trabajar en estrecha colaboración con el Observatorio del Desarrollo Sostenible (reuniones conjuntas), prestando especial atención al ODS 2; evaluar los avances y detectar las deficiencias en el camino de la UE hacia unos sistemas alimentarios más justos, inclusivos y sostenibles, en consonancia con la Agenda 2030 y los ODS.</w:t>
            </w:r>
          </w:p>
          <w:p w14:paraId="752BDA5D" w14:textId="77777777" w:rsidR="00C86F57" w:rsidRPr="00435E2A" w:rsidRDefault="00C86F57" w:rsidP="005E1B52">
            <w:pPr>
              <w:pStyle w:val="ListParagraph"/>
              <w:numPr>
                <w:ilvl w:val="0"/>
                <w:numId w:val="4"/>
              </w:numPr>
              <w:spacing w:after="200" w:line="288" w:lineRule="auto"/>
              <w:contextualSpacing w:val="0"/>
              <w:jc w:val="both"/>
              <w:rPr>
                <w:rFonts w:ascii="Times New Roman" w:hAnsi="Times New Roman" w:cs="Times New Roman"/>
              </w:rPr>
            </w:pPr>
            <w:r>
              <w:rPr>
                <w:rFonts w:ascii="Times New Roman" w:hAnsi="Times New Roman"/>
              </w:rPr>
              <w:t>Analizar los escenarios recogidos en el informe del Centro Común de Investigación sobre la agricultura de la UE en 2040, titulado «</w:t>
            </w:r>
            <w:hyperlink r:id="rId16" w:history="1">
              <w:r>
                <w:rPr>
                  <w:rStyle w:val="Hyperlink"/>
                  <w:rFonts w:ascii="Times New Roman" w:hAnsi="Times New Roman"/>
                </w:rPr>
                <w:t>EU a</w:t>
              </w:r>
              <w:r>
                <w:rPr>
                  <w:rStyle w:val="Hyperlink"/>
                  <w:rFonts w:ascii="Times New Roman" w:hAnsi="Times New Roman"/>
                </w:rPr>
                <w:t>g</w:t>
              </w:r>
              <w:r>
                <w:rPr>
                  <w:rStyle w:val="Hyperlink"/>
                  <w:rFonts w:ascii="Times New Roman" w:hAnsi="Times New Roman"/>
                </w:rPr>
                <w:t>riculture 2040: no easy fix for environmental and socio-economic aspects</w:t>
              </w:r>
            </w:hyperlink>
            <w:r>
              <w:rPr>
                <w:rFonts w:ascii="Times New Roman" w:hAnsi="Times New Roman"/>
              </w:rPr>
              <w:t>»,</w:t>
            </w:r>
            <w:r>
              <w:rPr>
                <w:rFonts w:ascii="Times New Roman" w:hAnsi="Times New Roman"/>
                <w:b/>
              </w:rPr>
              <w:t xml:space="preserve"> </w:t>
            </w:r>
            <w:r>
              <w:rPr>
                <w:rFonts w:ascii="Times New Roman" w:hAnsi="Times New Roman"/>
              </w:rPr>
              <w:t>incluida la agricultura eficiente en materia de carbono.</w:t>
            </w:r>
          </w:p>
          <w:p w14:paraId="535834EB" w14:textId="2E65151A" w:rsidR="00C86F57" w:rsidRPr="00C86F57" w:rsidRDefault="00C86F57" w:rsidP="005E1B52">
            <w:pPr>
              <w:pStyle w:val="ListParagraph"/>
              <w:numPr>
                <w:ilvl w:val="0"/>
                <w:numId w:val="4"/>
              </w:numPr>
              <w:spacing w:after="200" w:line="288" w:lineRule="auto"/>
              <w:contextualSpacing w:val="0"/>
              <w:jc w:val="both"/>
              <w:rPr>
                <w:rFonts w:ascii="Times New Roman" w:hAnsi="Times New Roman"/>
              </w:rPr>
            </w:pPr>
            <w:r>
              <w:rPr>
                <w:rFonts w:ascii="Times New Roman" w:hAnsi="Times New Roman"/>
              </w:rPr>
              <w:t xml:space="preserve">Garantizar que las prioridades de este Grupo se ajusten a la </w:t>
            </w:r>
            <w:r>
              <w:rPr>
                <w:rFonts w:ascii="Times New Roman" w:hAnsi="Times New Roman"/>
                <w:b/>
              </w:rPr>
              <w:t>Directiva marco sobre el agua</w:t>
            </w:r>
            <w:r>
              <w:rPr>
                <w:rFonts w:ascii="Times New Roman" w:hAnsi="Times New Roman"/>
              </w:rPr>
              <w:t xml:space="preserve"> (revisión prevista para el segundo trimestre de 2026).</w:t>
            </w:r>
          </w:p>
        </w:tc>
      </w:tr>
    </w:tbl>
    <w:p w14:paraId="338E65BC" w14:textId="77777777" w:rsidR="00AD1AEB" w:rsidRPr="00435E2A" w:rsidRDefault="00AD1AEB" w:rsidP="00FA1D41">
      <w:pPr>
        <w:spacing w:after="0" w:line="288" w:lineRule="auto"/>
        <w:jc w:val="both"/>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2940"/>
        <w:gridCol w:w="6132"/>
      </w:tblGrid>
      <w:tr w:rsidR="00474652" w:rsidRPr="00435E2A" w14:paraId="4CE025C4" w14:textId="77777777" w:rsidTr="00C86F57">
        <w:trPr>
          <w:cantSplit/>
        </w:trPr>
        <w:tc>
          <w:tcPr>
            <w:tcW w:w="2940" w:type="dxa"/>
          </w:tcPr>
          <w:p w14:paraId="0EB19B08" w14:textId="293448C5" w:rsidR="00474652" w:rsidRPr="00435E2A" w:rsidRDefault="0003203D" w:rsidP="00D721EA">
            <w:pPr>
              <w:spacing w:after="120" w:line="288" w:lineRule="auto"/>
              <w:rPr>
                <w:rFonts w:ascii="Times New Roman" w:hAnsi="Times New Roman" w:cs="Times New Roman"/>
                <w:b/>
                <w:highlight w:val="yellow"/>
              </w:rPr>
            </w:pPr>
            <w:r>
              <w:rPr>
                <w:rFonts w:ascii="Times New Roman" w:hAnsi="Times New Roman"/>
                <w:b/>
              </w:rPr>
              <w:lastRenderedPageBreak/>
              <w:t>Vincular los sistemas alimentarios con el enfoque de «Una sola salud» y fomentar el etiquetado de alimentos sostenibles con el fin de capacitar a los consumidores para que elijan alimentos más sostenibles</w:t>
            </w:r>
            <w:r w:rsidR="007629D5">
              <w:rPr>
                <w:rFonts w:ascii="Times New Roman" w:hAnsi="Times New Roman"/>
                <w:b/>
              </w:rPr>
              <w:br/>
            </w:r>
            <w:r>
              <w:rPr>
                <w:rFonts w:ascii="Times New Roman" w:hAnsi="Times New Roman"/>
                <w:b/>
              </w:rPr>
              <w:t>y saludables («dietas</w:t>
            </w:r>
            <w:r w:rsidR="007629D5">
              <w:rPr>
                <w:rFonts w:ascii="Times New Roman" w:hAnsi="Times New Roman"/>
                <w:b/>
              </w:rPr>
              <w:t> </w:t>
            </w:r>
            <w:r>
              <w:rPr>
                <w:rFonts w:ascii="Times New Roman" w:hAnsi="Times New Roman"/>
                <w:b/>
              </w:rPr>
              <w:t>saludables»)</w:t>
            </w:r>
          </w:p>
        </w:tc>
        <w:tc>
          <w:tcPr>
            <w:tcW w:w="6132" w:type="dxa"/>
          </w:tcPr>
          <w:p w14:paraId="2ED88E59" w14:textId="77777777" w:rsidR="007629D5" w:rsidRPr="007629D5" w:rsidRDefault="0003203D" w:rsidP="005E1B52">
            <w:pPr>
              <w:pStyle w:val="ListParagraph"/>
              <w:numPr>
                <w:ilvl w:val="0"/>
                <w:numId w:val="4"/>
              </w:numPr>
              <w:spacing w:after="200" w:line="288" w:lineRule="auto"/>
              <w:ind w:left="357" w:hanging="357"/>
              <w:contextualSpacing w:val="0"/>
              <w:jc w:val="both"/>
              <w:rPr>
                <w:rFonts w:ascii="Times New Roman" w:hAnsi="Times New Roman" w:cs="Times New Roman"/>
              </w:rPr>
            </w:pPr>
            <w:r w:rsidRPr="007629D5">
              <w:rPr>
                <w:rFonts w:ascii="Times New Roman" w:hAnsi="Times New Roman"/>
              </w:rPr>
              <w:t xml:space="preserve">Reforzar el nexo entre la alimentación y la salud: integrar el enfoque de «Una sola salud» en los hábitos alimentarios, las dietas saludables, la prevención de enfermedades, la salud mental y la </w:t>
            </w:r>
            <w:r w:rsidRPr="007629D5">
              <w:rPr>
                <w:rFonts w:ascii="Times New Roman" w:hAnsi="Times New Roman"/>
                <w:color w:val="000000"/>
              </w:rPr>
              <w:t>prevención de las zoonosis y la resistencia a los antimicrobianos (RAM).</w:t>
            </w:r>
          </w:p>
          <w:p w14:paraId="208B0409" w14:textId="13B55708" w:rsidR="00D03B2B" w:rsidRPr="007629D5" w:rsidRDefault="004521BA" w:rsidP="005E1B52">
            <w:pPr>
              <w:pStyle w:val="ListParagraph"/>
              <w:numPr>
                <w:ilvl w:val="0"/>
                <w:numId w:val="4"/>
              </w:numPr>
              <w:spacing w:after="200" w:line="288" w:lineRule="auto"/>
              <w:ind w:left="357" w:hanging="357"/>
              <w:contextualSpacing w:val="0"/>
              <w:jc w:val="both"/>
              <w:rPr>
                <w:rFonts w:ascii="Times New Roman" w:hAnsi="Times New Roman" w:cs="Times New Roman"/>
              </w:rPr>
            </w:pPr>
            <w:r w:rsidRPr="007629D5">
              <w:rPr>
                <w:rFonts w:ascii="Times New Roman" w:hAnsi="Times New Roman"/>
              </w:rPr>
              <w:t>Centrarse en el lado del consumidor trabajando en la propuesta de Reglamento sobre la información alimentaria facilitada al consumidor (IAC), pendiente de publicación por parte de la Comisión; la información sobre el origen de los alimentos, como herramienta para lograr sistemas alimentarios sostenibles y saludables; el etiquetado de sostenibilidad y la sensibilización de los consumidores sobre los alimentos sostenibles (incluidos los productos de la pesca); el refuerzo del papel de la certificación ecológica y las indicaciones geográficas, y cómo utilizar estos sectores como guía; el análisis de cómo las variaciones de precios afectan a las decisiones de los consumidores y en qué medida son coherentes con el objetivo de una nutrición sostenible.</w:t>
            </w:r>
          </w:p>
          <w:p w14:paraId="4E95335C" w14:textId="011A3678" w:rsidR="004521BA" w:rsidRPr="00435E2A" w:rsidRDefault="00C2269C" w:rsidP="005E1B52">
            <w:pPr>
              <w:pStyle w:val="ListParagraph"/>
              <w:numPr>
                <w:ilvl w:val="0"/>
                <w:numId w:val="4"/>
              </w:numPr>
              <w:spacing w:after="200" w:line="288" w:lineRule="auto"/>
              <w:ind w:left="357" w:hanging="357"/>
              <w:contextualSpacing w:val="0"/>
              <w:jc w:val="both"/>
              <w:rPr>
                <w:rFonts w:ascii="Times New Roman" w:hAnsi="Times New Roman" w:cs="Times New Roman"/>
              </w:rPr>
            </w:pPr>
            <w:r>
              <w:rPr>
                <w:rFonts w:ascii="Times New Roman" w:hAnsi="Times New Roman"/>
              </w:rPr>
              <w:t>Evaluar la ejecución de la campaña «Buy EU food» de la Comisión.</w:t>
            </w:r>
          </w:p>
        </w:tc>
      </w:tr>
      <w:tr w:rsidR="00474652" w:rsidRPr="00435E2A" w14:paraId="79FCD611" w14:textId="77777777" w:rsidTr="00C86F57">
        <w:trPr>
          <w:cantSplit/>
        </w:trPr>
        <w:tc>
          <w:tcPr>
            <w:tcW w:w="2940" w:type="dxa"/>
          </w:tcPr>
          <w:p w14:paraId="38B500F4" w14:textId="5F7ABEE0" w:rsidR="00474652" w:rsidRPr="00435E2A" w:rsidRDefault="00085668" w:rsidP="00D721EA">
            <w:pPr>
              <w:spacing w:after="120" w:line="288" w:lineRule="auto"/>
              <w:rPr>
                <w:rFonts w:ascii="Times New Roman" w:hAnsi="Times New Roman" w:cs="Times New Roman"/>
                <w:b/>
              </w:rPr>
            </w:pPr>
            <w:r>
              <w:rPr>
                <w:rFonts w:ascii="Times New Roman" w:hAnsi="Times New Roman"/>
                <w:b/>
              </w:rPr>
              <w:t>Hacia un desarrollo rural</w:t>
            </w:r>
            <w:r w:rsidR="007629D5">
              <w:rPr>
                <w:rFonts w:ascii="Times New Roman" w:hAnsi="Times New Roman"/>
                <w:b/>
              </w:rPr>
              <w:br/>
            </w:r>
            <w:r>
              <w:rPr>
                <w:rFonts w:ascii="Times New Roman" w:hAnsi="Times New Roman"/>
                <w:b/>
              </w:rPr>
              <w:t>y urbano sostenible</w:t>
            </w:r>
          </w:p>
        </w:tc>
        <w:tc>
          <w:tcPr>
            <w:tcW w:w="6132" w:type="dxa"/>
          </w:tcPr>
          <w:p w14:paraId="12F2719A" w14:textId="2A43613A" w:rsidR="00474652" w:rsidRPr="00435E2A" w:rsidRDefault="00440C1D" w:rsidP="005E1B52">
            <w:pPr>
              <w:pStyle w:val="ListParagraph"/>
              <w:numPr>
                <w:ilvl w:val="0"/>
                <w:numId w:val="4"/>
              </w:numPr>
              <w:spacing w:after="200" w:line="288" w:lineRule="auto"/>
              <w:contextualSpacing w:val="0"/>
              <w:jc w:val="both"/>
              <w:rPr>
                <w:rFonts w:ascii="Times New Roman" w:hAnsi="Times New Roman" w:cs="Times New Roman"/>
              </w:rPr>
            </w:pPr>
            <w:r>
              <w:rPr>
                <w:rFonts w:ascii="Times New Roman" w:hAnsi="Times New Roman"/>
              </w:rPr>
              <w:t xml:space="preserve">Contribuir al </w:t>
            </w:r>
            <w:r>
              <w:rPr>
                <w:rFonts w:ascii="Times New Roman" w:hAnsi="Times New Roman"/>
                <w:b/>
              </w:rPr>
              <w:t>Plan de Acción Rural</w:t>
            </w:r>
            <w:r>
              <w:rPr>
                <w:rFonts w:ascii="Times New Roman" w:hAnsi="Times New Roman"/>
              </w:rPr>
              <w:t xml:space="preserve"> actualizado, tal como se anunció en la visión, examinando el papel que desempeñan los sistemas alimentarios sostenibles en el desarrollo urbano y rural sostenible.</w:t>
            </w:r>
          </w:p>
        </w:tc>
      </w:tr>
      <w:tr w:rsidR="00C86F57" w:rsidRPr="00435E2A" w14:paraId="26414F6E" w14:textId="77777777" w:rsidTr="00C86F57">
        <w:trPr>
          <w:cantSplit/>
        </w:trPr>
        <w:tc>
          <w:tcPr>
            <w:tcW w:w="2940" w:type="dxa"/>
          </w:tcPr>
          <w:p w14:paraId="02682FB0" w14:textId="12A370D3" w:rsidR="00C86F57" w:rsidRDefault="00C86F57" w:rsidP="00D721EA">
            <w:pPr>
              <w:spacing w:after="120" w:line="288" w:lineRule="auto"/>
              <w:rPr>
                <w:rFonts w:ascii="Times New Roman" w:hAnsi="Times New Roman"/>
                <w:b/>
              </w:rPr>
            </w:pPr>
            <w:r>
              <w:rPr>
                <w:rFonts w:ascii="Times New Roman" w:hAnsi="Times New Roman"/>
                <w:b/>
              </w:rPr>
              <w:t>Evaluar las nuevas tecnologías sostenibles y promover la educación</w:t>
            </w:r>
          </w:p>
        </w:tc>
        <w:tc>
          <w:tcPr>
            <w:tcW w:w="6132" w:type="dxa"/>
          </w:tcPr>
          <w:p w14:paraId="37FD2050" w14:textId="77777777" w:rsidR="00C86F57" w:rsidRPr="00435E2A" w:rsidRDefault="00C86F57" w:rsidP="005E1B52">
            <w:pPr>
              <w:pStyle w:val="ListParagraph"/>
              <w:numPr>
                <w:ilvl w:val="0"/>
                <w:numId w:val="4"/>
              </w:numPr>
              <w:spacing w:after="200" w:line="288" w:lineRule="auto"/>
              <w:ind w:left="357" w:hanging="357"/>
              <w:contextualSpacing w:val="0"/>
              <w:jc w:val="both"/>
              <w:rPr>
                <w:rFonts w:ascii="Times New Roman" w:hAnsi="Times New Roman" w:cs="Times New Roman"/>
              </w:rPr>
            </w:pPr>
            <w:r>
              <w:rPr>
                <w:rFonts w:ascii="Times New Roman" w:hAnsi="Times New Roman"/>
              </w:rPr>
              <w:t xml:space="preserve">Evaluar las nuevas tecnologías (por ejemplo, la agricultura inteligente, las tecnologías digitales, el potencial y las deficiencias de la inteligencia artificial, etc.) para la productividad, la sostenibilidad y la competitividad, así como las iniciativas conexas de la UE, como la próxima </w:t>
            </w:r>
            <w:r>
              <w:rPr>
                <w:rFonts w:ascii="Times New Roman" w:hAnsi="Times New Roman"/>
                <w:b/>
              </w:rPr>
              <w:t>estrategia digital de la UE para la agricultura</w:t>
            </w:r>
            <w:r>
              <w:rPr>
                <w:rFonts w:ascii="Times New Roman" w:hAnsi="Times New Roman"/>
              </w:rPr>
              <w:t xml:space="preserve">. </w:t>
            </w:r>
          </w:p>
          <w:p w14:paraId="04CD6B97" w14:textId="77777777" w:rsidR="00C86F57" w:rsidRPr="00435E2A" w:rsidRDefault="00C86F57" w:rsidP="005E1B52">
            <w:pPr>
              <w:pStyle w:val="ListParagraph"/>
              <w:numPr>
                <w:ilvl w:val="0"/>
                <w:numId w:val="4"/>
              </w:numPr>
              <w:spacing w:after="200" w:line="288" w:lineRule="auto"/>
              <w:ind w:left="357" w:hanging="357"/>
              <w:contextualSpacing w:val="0"/>
              <w:jc w:val="both"/>
              <w:rPr>
                <w:rFonts w:ascii="Times New Roman" w:hAnsi="Times New Roman" w:cs="Times New Roman"/>
              </w:rPr>
            </w:pPr>
            <w:r>
              <w:rPr>
                <w:rFonts w:ascii="Times New Roman" w:hAnsi="Times New Roman"/>
              </w:rPr>
              <w:t>Abordar la cuestión de las competencias en el sector y cómo adquirirlas.</w:t>
            </w:r>
          </w:p>
          <w:p w14:paraId="71FA3146" w14:textId="57A5411E" w:rsidR="00C86F57" w:rsidRDefault="00C86F57" w:rsidP="005E1B52">
            <w:pPr>
              <w:pStyle w:val="ListParagraph"/>
              <w:numPr>
                <w:ilvl w:val="0"/>
                <w:numId w:val="4"/>
              </w:numPr>
              <w:spacing w:after="200" w:line="288" w:lineRule="auto"/>
              <w:contextualSpacing w:val="0"/>
              <w:jc w:val="both"/>
              <w:rPr>
                <w:rFonts w:ascii="Times New Roman" w:hAnsi="Times New Roman"/>
              </w:rPr>
            </w:pPr>
            <w:r>
              <w:rPr>
                <w:rFonts w:ascii="Times New Roman" w:hAnsi="Times New Roman"/>
              </w:rPr>
              <w:t>Estudiar herramientas como la Brújula para la Sostenibilidad en las explotaciones agrícolas y la evaluación comparativa para mejorar la sostenibilidad de las explotaciones.</w:t>
            </w:r>
          </w:p>
        </w:tc>
      </w:tr>
    </w:tbl>
    <w:p w14:paraId="639C439F" w14:textId="622B4F50" w:rsidR="00C86F57" w:rsidRDefault="00C86F57">
      <w:pPr>
        <w:spacing w:after="200" w:line="276" w:lineRule="auto"/>
        <w:rPr>
          <w:rFonts w:ascii="Times New Roman" w:hAnsi="Times New Roman" w:cs="Times New Roman"/>
          <w:b/>
          <w:u w:val="single"/>
          <w:lang w:val="en-GB"/>
        </w:rPr>
      </w:pPr>
    </w:p>
    <w:tbl>
      <w:tblPr>
        <w:tblStyle w:val="TableGrid"/>
        <w:tblW w:w="0" w:type="auto"/>
        <w:tblInd w:w="108" w:type="dxa"/>
        <w:tblLook w:val="04A0" w:firstRow="1" w:lastRow="0" w:firstColumn="1" w:lastColumn="0" w:noHBand="0" w:noVBand="1"/>
      </w:tblPr>
      <w:tblGrid>
        <w:gridCol w:w="2940"/>
        <w:gridCol w:w="6132"/>
      </w:tblGrid>
      <w:tr w:rsidR="00C86F57" w:rsidRPr="00435E2A" w14:paraId="6CD85DF0" w14:textId="77777777" w:rsidTr="00C86F57">
        <w:trPr>
          <w:cantSplit/>
        </w:trPr>
        <w:tc>
          <w:tcPr>
            <w:tcW w:w="2940" w:type="dxa"/>
          </w:tcPr>
          <w:p w14:paraId="00A7E57C" w14:textId="2FF1A4BB" w:rsidR="00C86F57" w:rsidRDefault="00C86F57" w:rsidP="00D721EA">
            <w:pPr>
              <w:spacing w:after="120" w:line="288" w:lineRule="auto"/>
              <w:rPr>
                <w:rFonts w:ascii="Times New Roman" w:hAnsi="Times New Roman"/>
                <w:b/>
              </w:rPr>
            </w:pPr>
            <w:r>
              <w:rPr>
                <w:rFonts w:ascii="Times New Roman" w:hAnsi="Times New Roman"/>
                <w:b/>
              </w:rPr>
              <w:lastRenderedPageBreak/>
              <w:t>Participación activa y significativa en foros y plataformas europeos e internacionales: refuerzo y creación de sinergias</w:t>
            </w:r>
          </w:p>
        </w:tc>
        <w:tc>
          <w:tcPr>
            <w:tcW w:w="6132" w:type="dxa"/>
          </w:tcPr>
          <w:p w14:paraId="2CA2CEF1" w14:textId="77777777" w:rsidR="00C86F57" w:rsidRPr="00435E2A" w:rsidRDefault="00C86F57" w:rsidP="005E1B52">
            <w:pPr>
              <w:pStyle w:val="ListParagraph"/>
              <w:numPr>
                <w:ilvl w:val="0"/>
                <w:numId w:val="4"/>
              </w:numPr>
              <w:spacing w:after="200" w:line="288" w:lineRule="auto"/>
              <w:contextualSpacing w:val="0"/>
              <w:jc w:val="both"/>
              <w:rPr>
                <w:rFonts w:ascii="Times New Roman" w:hAnsi="Times New Roman" w:cs="Times New Roman"/>
                <w:b/>
              </w:rPr>
            </w:pPr>
            <w:r>
              <w:rPr>
                <w:rFonts w:ascii="Times New Roman" w:hAnsi="Times New Roman"/>
              </w:rPr>
              <w:t xml:space="preserve">Participar activamente en los </w:t>
            </w:r>
            <w:r>
              <w:rPr>
                <w:rFonts w:ascii="Times New Roman" w:hAnsi="Times New Roman"/>
                <w:b/>
              </w:rPr>
              <w:t>diálogos anuales sobre alimentación</w:t>
            </w:r>
            <w:r>
              <w:rPr>
                <w:rFonts w:ascii="Times New Roman" w:hAnsi="Times New Roman"/>
              </w:rPr>
              <w:t xml:space="preserve"> de la Comisión a través de debates preparatorios.</w:t>
            </w:r>
          </w:p>
          <w:p w14:paraId="7CE9C119" w14:textId="77777777" w:rsidR="00C86F57" w:rsidRPr="00435E2A" w:rsidRDefault="00C86F57" w:rsidP="005E1B52">
            <w:pPr>
              <w:pStyle w:val="ListParagraph"/>
              <w:numPr>
                <w:ilvl w:val="0"/>
                <w:numId w:val="4"/>
              </w:numPr>
              <w:spacing w:after="200" w:line="288" w:lineRule="auto"/>
              <w:contextualSpacing w:val="0"/>
              <w:jc w:val="both"/>
              <w:rPr>
                <w:rFonts w:ascii="Times New Roman" w:hAnsi="Times New Roman" w:cs="Times New Roman"/>
                <w:b/>
              </w:rPr>
            </w:pPr>
            <w:r>
              <w:rPr>
                <w:rFonts w:ascii="Times New Roman" w:hAnsi="Times New Roman"/>
              </w:rPr>
              <w:t xml:space="preserve">Contribuir al seguimiento de la </w:t>
            </w:r>
            <w:r>
              <w:rPr>
                <w:rFonts w:ascii="Times New Roman" w:hAnsi="Times New Roman"/>
                <w:b/>
              </w:rPr>
              <w:t>Cumbre de las Naciones Unidas sobre los Sistemas Alimentarios</w:t>
            </w:r>
            <w:r>
              <w:rPr>
                <w:rFonts w:ascii="Times New Roman" w:hAnsi="Times New Roman"/>
              </w:rPr>
              <w:t xml:space="preserve">, convocada por el Secretario General de las Naciones Unidas en 2021, a través de sus ejercicios de balance bienales previstos. </w:t>
            </w:r>
          </w:p>
          <w:p w14:paraId="2EA1DC36" w14:textId="77777777" w:rsidR="00C86F57" w:rsidRDefault="00C86F57" w:rsidP="005E1B52">
            <w:pPr>
              <w:pStyle w:val="ListParagraph"/>
              <w:numPr>
                <w:ilvl w:val="0"/>
                <w:numId w:val="4"/>
              </w:numPr>
              <w:spacing w:after="200" w:line="288" w:lineRule="auto"/>
              <w:contextualSpacing w:val="0"/>
              <w:jc w:val="both"/>
              <w:rPr>
                <w:rFonts w:ascii="Times New Roman" w:hAnsi="Times New Roman"/>
              </w:rPr>
            </w:pPr>
            <w:r>
              <w:rPr>
                <w:rFonts w:ascii="Times New Roman" w:hAnsi="Times New Roman"/>
              </w:rPr>
              <w:t xml:space="preserve">Destacar la cuestión de los sistemas alimentarios en los preparativos para la </w:t>
            </w:r>
            <w:r>
              <w:rPr>
                <w:rFonts w:ascii="Times New Roman" w:hAnsi="Times New Roman"/>
                <w:b/>
              </w:rPr>
              <w:t>Conferencia de las Partes sobre la Diversidad Biológica y el Cambio Climático</w:t>
            </w:r>
            <w:r>
              <w:rPr>
                <w:rFonts w:ascii="Times New Roman" w:hAnsi="Times New Roman"/>
              </w:rPr>
              <w:t>, por ejemplo, trabajando con el Grupo Permanente sobre la Conferencia de las Partes en debates, contribuciones escritas o la organización de actos paralelos.</w:t>
            </w:r>
          </w:p>
          <w:p w14:paraId="1289CE79" w14:textId="77777777" w:rsidR="00C86F57" w:rsidRDefault="00C86F57" w:rsidP="005E1B52">
            <w:pPr>
              <w:pStyle w:val="ListParagraph"/>
              <w:numPr>
                <w:ilvl w:val="0"/>
                <w:numId w:val="4"/>
              </w:numPr>
              <w:spacing w:after="200" w:line="288" w:lineRule="auto"/>
              <w:contextualSpacing w:val="0"/>
              <w:jc w:val="both"/>
              <w:rPr>
                <w:rFonts w:ascii="Times New Roman" w:hAnsi="Times New Roman"/>
              </w:rPr>
            </w:pPr>
            <w:r>
              <w:rPr>
                <w:rFonts w:ascii="Times New Roman" w:hAnsi="Times New Roman"/>
              </w:rPr>
              <w:t xml:space="preserve">Participar en la </w:t>
            </w:r>
            <w:r>
              <w:rPr>
                <w:rFonts w:ascii="Times New Roman" w:hAnsi="Times New Roman"/>
                <w:b/>
              </w:rPr>
              <w:t>reunión anual del Comité de Seguridad Alimentaria Mundial (CSA) de las Naciones Unidas</w:t>
            </w:r>
            <w:r>
              <w:rPr>
                <w:rFonts w:ascii="Times New Roman" w:hAnsi="Times New Roman"/>
              </w:rPr>
              <w:t>, que es la principal plataforma internacional e intergubernamental inclusiva que permite a todas las partes interesadas colaborar para garantizar la seguridad alimentaria y la nutrición para todos, posiblemente con una contribución similar a la que se realiza para las Conferencias de las Partes; servir de enlace con el Grupo «Cuestiones Alimentarias y Agrarias Internacionales» del Consejo, que se encarga de coordinar y preparar las posiciones de la UE para el CSA (entre otras cosas).</w:t>
            </w:r>
          </w:p>
          <w:p w14:paraId="37713F5D" w14:textId="77777777" w:rsidR="00C86F57" w:rsidRDefault="00C86F57" w:rsidP="005E1B52">
            <w:pPr>
              <w:pStyle w:val="ListParagraph"/>
              <w:numPr>
                <w:ilvl w:val="0"/>
                <w:numId w:val="4"/>
              </w:numPr>
              <w:spacing w:after="200" w:line="288" w:lineRule="auto"/>
              <w:ind w:left="357" w:hanging="357"/>
              <w:contextualSpacing w:val="0"/>
              <w:jc w:val="both"/>
              <w:rPr>
                <w:rFonts w:ascii="Times New Roman" w:hAnsi="Times New Roman"/>
              </w:rPr>
            </w:pPr>
            <w:r>
              <w:rPr>
                <w:rFonts w:ascii="Times New Roman" w:hAnsi="Times New Roman"/>
              </w:rPr>
              <w:t xml:space="preserve">Participar en el </w:t>
            </w:r>
            <w:r>
              <w:rPr>
                <w:rFonts w:ascii="Times New Roman" w:hAnsi="Times New Roman"/>
                <w:b/>
              </w:rPr>
              <w:t>Foro Mundial de la Alimentación (WFF) anual</w:t>
            </w:r>
            <w:r>
              <w:rPr>
                <w:rFonts w:ascii="Times New Roman" w:hAnsi="Times New Roman"/>
              </w:rPr>
              <w:t>.</w:t>
            </w:r>
          </w:p>
          <w:p w14:paraId="441B7806" w14:textId="377FF2C4" w:rsidR="00C86F57" w:rsidRDefault="00C86F57" w:rsidP="005E1B52">
            <w:pPr>
              <w:pStyle w:val="ListParagraph"/>
              <w:numPr>
                <w:ilvl w:val="0"/>
                <w:numId w:val="4"/>
              </w:numPr>
              <w:spacing w:after="200" w:line="288" w:lineRule="auto"/>
              <w:ind w:left="357" w:hanging="357"/>
              <w:contextualSpacing w:val="0"/>
              <w:jc w:val="both"/>
              <w:rPr>
                <w:rFonts w:ascii="Times New Roman" w:hAnsi="Times New Roman"/>
              </w:rPr>
            </w:pPr>
            <w:r>
              <w:rPr>
                <w:rFonts w:ascii="Times New Roman" w:hAnsi="Times New Roman"/>
              </w:rPr>
              <w:t xml:space="preserve">Seguir reforzando e intensificando la </w:t>
            </w:r>
            <w:r>
              <w:rPr>
                <w:rFonts w:ascii="Times New Roman" w:hAnsi="Times New Roman"/>
                <w:b/>
                <w:bCs/>
              </w:rPr>
              <w:t>colaboración con la FAO</w:t>
            </w:r>
            <w:r>
              <w:rPr>
                <w:rFonts w:ascii="Times New Roman" w:hAnsi="Times New Roman"/>
              </w:rPr>
              <w:t>, yendo más allá de los intercambios puntuales, como los que tienen lugar en el marco del CSA y el WFF, hacia intercambios más regulares entre el presidente del Grupo Permanente y los representantes alto nivel de la FAO, lo que permitirá configurar mejor la evolución en los distintos foros.</w:t>
            </w:r>
          </w:p>
        </w:tc>
      </w:tr>
    </w:tbl>
    <w:p w14:paraId="76401A44" w14:textId="77777777" w:rsidR="00D721EA" w:rsidRDefault="00D721EA" w:rsidP="006E65D5">
      <w:pPr>
        <w:keepNext/>
        <w:spacing w:after="0" w:line="288" w:lineRule="auto"/>
        <w:jc w:val="both"/>
        <w:rPr>
          <w:rFonts w:ascii="Times New Roman" w:hAnsi="Times New Roman"/>
          <w:b/>
          <w:u w:val="single"/>
        </w:rPr>
      </w:pPr>
    </w:p>
    <w:p w14:paraId="54482E20" w14:textId="77777777" w:rsidR="00D721EA" w:rsidRDefault="00D721EA">
      <w:pPr>
        <w:spacing w:after="200" w:line="276" w:lineRule="auto"/>
        <w:rPr>
          <w:rFonts w:ascii="Times New Roman" w:hAnsi="Times New Roman"/>
          <w:b/>
          <w:u w:val="single"/>
        </w:rPr>
      </w:pPr>
      <w:r>
        <w:rPr>
          <w:rFonts w:ascii="Times New Roman" w:hAnsi="Times New Roman"/>
          <w:b/>
          <w:u w:val="single"/>
        </w:rPr>
        <w:br w:type="page"/>
      </w:r>
    </w:p>
    <w:p w14:paraId="4F8612D9" w14:textId="34058EE8" w:rsidR="00951B89" w:rsidRPr="00435E2A" w:rsidRDefault="00951B89" w:rsidP="006E65D5">
      <w:pPr>
        <w:keepNext/>
        <w:spacing w:after="0" w:line="288" w:lineRule="auto"/>
        <w:jc w:val="both"/>
        <w:rPr>
          <w:rFonts w:ascii="Times New Roman" w:hAnsi="Times New Roman" w:cs="Times New Roman"/>
          <w:b/>
          <w:u w:val="single"/>
        </w:rPr>
      </w:pPr>
      <w:r>
        <w:rPr>
          <w:rFonts w:ascii="Times New Roman" w:hAnsi="Times New Roman"/>
          <w:b/>
          <w:u w:val="single"/>
        </w:rPr>
        <w:lastRenderedPageBreak/>
        <w:t>Métodos de trabajo:</w:t>
      </w:r>
    </w:p>
    <w:p w14:paraId="22DCC8DB" w14:textId="77777777" w:rsidR="00614988" w:rsidRPr="00435E2A" w:rsidRDefault="00614988" w:rsidP="006E65D5">
      <w:pPr>
        <w:spacing w:after="0" w:line="288" w:lineRule="auto"/>
        <w:jc w:val="both"/>
        <w:rPr>
          <w:rFonts w:ascii="Times New Roman" w:hAnsi="Times New Roman" w:cs="Times New Roman"/>
          <w:highlight w:val="yellow"/>
          <w:lang w:val="en-GB"/>
        </w:rPr>
      </w:pPr>
    </w:p>
    <w:p w14:paraId="0E43D5C2" w14:textId="73CFE095" w:rsidR="00951B89" w:rsidRPr="00435E2A" w:rsidRDefault="00951B89" w:rsidP="006E65D5">
      <w:pPr>
        <w:spacing w:after="0" w:line="288" w:lineRule="auto"/>
        <w:jc w:val="both"/>
        <w:rPr>
          <w:rFonts w:ascii="Times New Roman" w:hAnsi="Times New Roman" w:cs="Times New Roman"/>
        </w:rPr>
      </w:pPr>
      <w:r>
        <w:rPr>
          <w:rFonts w:ascii="Times New Roman" w:hAnsi="Times New Roman"/>
        </w:rPr>
        <w:t xml:space="preserve">El presidente y los miembros del Grupo Permanente, así como la Secretaría, desempeñan papeles diferentes, pero cruciales en </w:t>
      </w:r>
      <w:r>
        <w:rPr>
          <w:rFonts w:ascii="Times New Roman" w:hAnsi="Times New Roman"/>
          <w:b/>
        </w:rPr>
        <w:t>el codiseño y la cocreación</w:t>
      </w:r>
      <w:r>
        <w:rPr>
          <w:rFonts w:ascii="Times New Roman" w:hAnsi="Times New Roman"/>
        </w:rPr>
        <w:t xml:space="preserve"> de las actividades del Grupo. El presidente y los miembros del Grupo Permanente se encargarán de difundir una argumentación solida sobre los sistemas alimentarios sostenibles, y se les invitará a </w:t>
      </w:r>
      <w:r>
        <w:rPr>
          <w:rFonts w:ascii="Times New Roman" w:hAnsi="Times New Roman"/>
          <w:b/>
        </w:rPr>
        <w:t>participar en las redes sociales</w:t>
      </w:r>
      <w:r>
        <w:rPr>
          <w:rFonts w:ascii="Times New Roman" w:hAnsi="Times New Roman"/>
        </w:rPr>
        <w:t xml:space="preserve"> (X, BlueSky, Instagram) en las ocasiones pertinentes. El Grupo Permanente también «</w:t>
      </w:r>
      <w:r>
        <w:rPr>
          <w:rFonts w:ascii="Times New Roman" w:hAnsi="Times New Roman"/>
          <w:b/>
        </w:rPr>
        <w:t>predicará con el ejemplo</w:t>
      </w:r>
      <w:r>
        <w:rPr>
          <w:rFonts w:ascii="Times New Roman" w:hAnsi="Times New Roman"/>
        </w:rPr>
        <w:t>»</w:t>
      </w:r>
      <w:r>
        <w:rPr>
          <w:rFonts w:ascii="Times New Roman" w:hAnsi="Times New Roman"/>
          <w:b/>
        </w:rPr>
        <w:t xml:space="preserve"> </w:t>
      </w:r>
      <w:r>
        <w:rPr>
          <w:rFonts w:ascii="Times New Roman" w:hAnsi="Times New Roman"/>
        </w:rPr>
        <w:t xml:space="preserve">en lo que respecta a los métodos de trabajo sostenibles, prosiguiendo la cooperación continua con la Comisión Europea, el Comité Europeo de las Regiones y las organizaciones de la sociedad civil de toda la cadena agroalimentaria, velando por que sus actos sean inclusivos, por ejemplo en términos de equilibrio entre mujeres y hombres y participación juvenil, y yendo más allá de la «burbuja» de Bruselas. </w:t>
      </w:r>
    </w:p>
    <w:p w14:paraId="5B6C242E" w14:textId="77777777" w:rsidR="00F5422D" w:rsidRPr="00435E2A" w:rsidRDefault="00F5422D" w:rsidP="006E65D5">
      <w:pPr>
        <w:spacing w:after="0" w:line="288" w:lineRule="auto"/>
        <w:jc w:val="both"/>
        <w:rPr>
          <w:rFonts w:ascii="Times New Roman" w:hAnsi="Times New Roman" w:cs="Times New Roman"/>
          <w:highlight w:val="yellow"/>
          <w:lang w:val="en-GB"/>
        </w:rPr>
      </w:pPr>
    </w:p>
    <w:p w14:paraId="5EB4D519" w14:textId="3C2630D1" w:rsidR="00951B89" w:rsidRPr="00435E2A" w:rsidRDefault="005312E3" w:rsidP="006E65D5">
      <w:pPr>
        <w:spacing w:after="0" w:line="288" w:lineRule="auto"/>
        <w:jc w:val="both"/>
        <w:rPr>
          <w:rFonts w:ascii="Times New Roman" w:hAnsi="Times New Roman" w:cs="Times New Roman"/>
        </w:rPr>
      </w:pPr>
      <w:r>
        <w:rPr>
          <w:rFonts w:ascii="Times New Roman" w:hAnsi="Times New Roman"/>
        </w:rPr>
        <w:t>La sostenibilidad alimentaria está relacionada con otras cuestiones en las que están trabajando la Sección NAT y otras secciones del CESE y la CCMI. Por consiguiente, podrían desarrollarse intercambios regulares con otras secciones, organismos y grupos.</w:t>
      </w:r>
    </w:p>
    <w:p w14:paraId="230D016A" w14:textId="77777777" w:rsidR="00AD1AEB" w:rsidRDefault="00AD1AEB" w:rsidP="007F0E48">
      <w:pPr>
        <w:overflowPunct w:val="0"/>
        <w:autoSpaceDE w:val="0"/>
        <w:autoSpaceDN w:val="0"/>
        <w:adjustRightInd w:val="0"/>
        <w:spacing w:line="288" w:lineRule="auto"/>
        <w:jc w:val="center"/>
        <w:textAlignment w:val="baseline"/>
      </w:pPr>
    </w:p>
    <w:p w14:paraId="5B6264AD" w14:textId="5703DC01" w:rsidR="00C86F57" w:rsidRPr="00435E2A" w:rsidRDefault="00F5422D" w:rsidP="007F0E48">
      <w:pPr>
        <w:overflowPunct w:val="0"/>
        <w:autoSpaceDE w:val="0"/>
        <w:autoSpaceDN w:val="0"/>
        <w:adjustRightInd w:val="0"/>
        <w:spacing w:line="288" w:lineRule="auto"/>
        <w:jc w:val="center"/>
        <w:textAlignment w:val="baseline"/>
      </w:pPr>
      <w:r>
        <w:t>_____________</w:t>
      </w:r>
    </w:p>
    <w:sectPr w:rsidR="00C86F57" w:rsidRPr="00435E2A" w:rsidSect="00D721EA">
      <w:footerReference w:type="default" r:id="rId17"/>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1A8A5" w14:textId="77777777" w:rsidR="00FB6719" w:rsidRDefault="00FB6719" w:rsidP="00534D87">
      <w:pPr>
        <w:spacing w:after="0" w:line="240" w:lineRule="auto"/>
      </w:pPr>
      <w:r>
        <w:separator/>
      </w:r>
    </w:p>
  </w:endnote>
  <w:endnote w:type="continuationSeparator" w:id="0">
    <w:p w14:paraId="4EBCA466" w14:textId="77777777" w:rsidR="00FB6719" w:rsidRDefault="00FB6719" w:rsidP="00534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C88C" w14:textId="3C9AF0A9" w:rsidR="0085234D" w:rsidRPr="008B7B7F" w:rsidRDefault="008B7B7F" w:rsidP="00D721EA">
    <w:pPr>
      <w:pStyle w:val="Footer"/>
      <w:spacing w:before="240"/>
    </w:pPr>
    <w:r>
      <w:t xml:space="preserve">EESC-2026-00459-00-00-TCD-TRA (EN) </w:t>
    </w:r>
    <w:r>
      <w:fldChar w:fldCharType="begin"/>
    </w:r>
    <w:r>
      <w:instrText xml:space="preserve"> PAGE  \* Arabic  \* MERGEFORMAT </w:instrText>
    </w:r>
    <w:r>
      <w:fldChar w:fldCharType="separate"/>
    </w:r>
    <w:r w:rsidR="00A75177">
      <w:t>1</w:t>
    </w:r>
    <w:r>
      <w:fldChar w:fldCharType="end"/>
    </w:r>
    <w:r>
      <w:t>/</w:t>
    </w:r>
    <w:fldSimple w:instr=" NUMPAGES ">
      <w:r w:rsidR="00A75177">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DC8BC" w14:textId="77777777" w:rsidR="00FB6719" w:rsidRDefault="00FB6719" w:rsidP="00534D87">
      <w:pPr>
        <w:spacing w:after="0" w:line="240" w:lineRule="auto"/>
      </w:pPr>
      <w:r>
        <w:separator/>
      </w:r>
    </w:p>
  </w:footnote>
  <w:footnote w:type="continuationSeparator" w:id="0">
    <w:p w14:paraId="6B33931D" w14:textId="77777777" w:rsidR="00FB6719" w:rsidRDefault="00FB6719" w:rsidP="00534D87">
      <w:pPr>
        <w:spacing w:after="0" w:line="240" w:lineRule="auto"/>
      </w:pPr>
      <w:r>
        <w:continuationSeparator/>
      </w:r>
    </w:p>
  </w:footnote>
  <w:footnote w:id="1">
    <w:p w14:paraId="408DA3FA" w14:textId="6AB883EA" w:rsidR="00F1597C" w:rsidRPr="004B4514" w:rsidRDefault="00F1597C" w:rsidP="0000021C">
      <w:pPr>
        <w:pStyle w:val="FootnoteText"/>
        <w:ind w:left="567" w:hanging="567"/>
      </w:pPr>
      <w:r>
        <w:rPr>
          <w:rStyle w:val="FootnoteReference"/>
          <w:rFonts w:ascii="Times New Roman" w:hAnsi="Times New Roman" w:cs="Times New Roman"/>
          <w:sz w:val="24"/>
          <w:szCs w:val="24"/>
        </w:rPr>
        <w:footnoteRef/>
      </w:r>
      <w:r>
        <w:tab/>
      </w:r>
      <w:r>
        <w:rPr>
          <w:rFonts w:ascii="Times New Roman" w:hAnsi="Times New Roman"/>
          <w:sz w:val="16"/>
        </w:rPr>
        <w:t xml:space="preserve">Dictamen del CESE </w:t>
      </w:r>
      <w:hyperlink r:id="rId1" w:history="1">
        <w:r>
          <w:rPr>
            <w:rStyle w:val="Hyperlink"/>
            <w:rFonts w:ascii="Times New Roman" w:hAnsi="Times New Roman"/>
            <w:sz w:val="16"/>
          </w:rPr>
          <w:t>«Hacia un Consejo Europeo de Política Alimentaria como nuevo modelo de gobernanza en el futuro Marco de la UE sobre Sistemas Alimentarios</w:t>
        </w:r>
        <w:r>
          <w:rPr>
            <w:rStyle w:val="Hyperlink"/>
            <w:rFonts w:ascii="Times New Roman" w:hAnsi="Times New Roman"/>
            <w:sz w:val="16"/>
          </w:rPr>
          <w:t xml:space="preserve"> </w:t>
        </w:r>
        <w:r>
          <w:rPr>
            <w:rStyle w:val="Hyperlink"/>
            <w:rFonts w:ascii="Times New Roman" w:hAnsi="Times New Roman"/>
            <w:sz w:val="16"/>
          </w:rPr>
          <w:t>Sostenibles»</w:t>
        </w:r>
      </w:hyperlink>
      <w:r>
        <w:rPr>
          <w:rFonts w:ascii="Times New Roman" w:hAnsi="Times New Roman"/>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1C9B3D"/>
    <w:multiLevelType w:val="hybridMultilevel"/>
    <w:tmpl w:val="9EE9D0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E974DC"/>
    <w:multiLevelType w:val="hybridMultilevel"/>
    <w:tmpl w:val="AAB4D6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A78E6F"/>
    <w:multiLevelType w:val="hybridMultilevel"/>
    <w:tmpl w:val="E764BB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8319C0B"/>
    <w:multiLevelType w:val="hybridMultilevel"/>
    <w:tmpl w:val="691D85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B3B8E8F"/>
    <w:multiLevelType w:val="hybridMultilevel"/>
    <w:tmpl w:val="7FEEB0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BE39BAD"/>
    <w:multiLevelType w:val="hybridMultilevel"/>
    <w:tmpl w:val="2BEEBF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790F1D"/>
    <w:multiLevelType w:val="hybridMultilevel"/>
    <w:tmpl w:val="8D50D79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099E334C"/>
    <w:multiLevelType w:val="hybridMultilevel"/>
    <w:tmpl w:val="D97057D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163F2744"/>
    <w:multiLevelType w:val="hybridMultilevel"/>
    <w:tmpl w:val="0E8C4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C0CFB"/>
    <w:multiLevelType w:val="hybridMultilevel"/>
    <w:tmpl w:val="C5D650B8"/>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0" w15:restartNumberingAfterBreak="0">
    <w:nsid w:val="2D029FAF"/>
    <w:multiLevelType w:val="hybridMultilevel"/>
    <w:tmpl w:val="1F6951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1A7719"/>
    <w:multiLevelType w:val="hybridMultilevel"/>
    <w:tmpl w:val="BD9473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6EA6BDD"/>
    <w:multiLevelType w:val="hybridMultilevel"/>
    <w:tmpl w:val="808C14E2"/>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39582CD1"/>
    <w:multiLevelType w:val="hybridMultilevel"/>
    <w:tmpl w:val="2E32BC9E"/>
    <w:lvl w:ilvl="0" w:tplc="08090003">
      <w:start w:val="1"/>
      <w:numFmt w:val="bullet"/>
      <w:lvlText w:val="o"/>
      <w:lvlJc w:val="left"/>
      <w:pPr>
        <w:ind w:left="824" w:hanging="360"/>
      </w:pPr>
      <w:rPr>
        <w:rFonts w:ascii="Courier New" w:hAnsi="Courier New" w:cs="Courier New"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4" w15:restartNumberingAfterBreak="0">
    <w:nsid w:val="3B267258"/>
    <w:multiLevelType w:val="hybridMultilevel"/>
    <w:tmpl w:val="B9845E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DB6E18"/>
    <w:multiLevelType w:val="hybridMultilevel"/>
    <w:tmpl w:val="C7A0BB34"/>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16" w15:restartNumberingAfterBreak="0">
    <w:nsid w:val="4BC04C33"/>
    <w:multiLevelType w:val="hybridMultilevel"/>
    <w:tmpl w:val="4F8295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3093D3D"/>
    <w:multiLevelType w:val="hybridMultilevel"/>
    <w:tmpl w:val="1E7A7AA4"/>
    <w:lvl w:ilvl="0" w:tplc="08090001">
      <w:start w:val="1"/>
      <w:numFmt w:val="bullet"/>
      <w:lvlText w:val=""/>
      <w:lvlJc w:val="left"/>
      <w:pPr>
        <w:ind w:left="1107" w:hanging="360"/>
      </w:pPr>
      <w:rPr>
        <w:rFonts w:ascii="Symbol" w:hAnsi="Symbol" w:hint="default"/>
      </w:rPr>
    </w:lvl>
    <w:lvl w:ilvl="1" w:tplc="08090003" w:tentative="1">
      <w:start w:val="1"/>
      <w:numFmt w:val="bullet"/>
      <w:lvlText w:val="o"/>
      <w:lvlJc w:val="left"/>
      <w:pPr>
        <w:ind w:left="1827" w:hanging="360"/>
      </w:pPr>
      <w:rPr>
        <w:rFonts w:ascii="Courier New" w:hAnsi="Courier New" w:cs="Courier New" w:hint="default"/>
      </w:rPr>
    </w:lvl>
    <w:lvl w:ilvl="2" w:tplc="08090005" w:tentative="1">
      <w:start w:val="1"/>
      <w:numFmt w:val="bullet"/>
      <w:lvlText w:val=""/>
      <w:lvlJc w:val="left"/>
      <w:pPr>
        <w:ind w:left="2547" w:hanging="360"/>
      </w:pPr>
      <w:rPr>
        <w:rFonts w:ascii="Wingdings" w:hAnsi="Wingdings" w:hint="default"/>
      </w:rPr>
    </w:lvl>
    <w:lvl w:ilvl="3" w:tplc="08090001" w:tentative="1">
      <w:start w:val="1"/>
      <w:numFmt w:val="bullet"/>
      <w:lvlText w:val=""/>
      <w:lvlJc w:val="left"/>
      <w:pPr>
        <w:ind w:left="3267" w:hanging="360"/>
      </w:pPr>
      <w:rPr>
        <w:rFonts w:ascii="Symbol" w:hAnsi="Symbol" w:hint="default"/>
      </w:rPr>
    </w:lvl>
    <w:lvl w:ilvl="4" w:tplc="08090003" w:tentative="1">
      <w:start w:val="1"/>
      <w:numFmt w:val="bullet"/>
      <w:lvlText w:val="o"/>
      <w:lvlJc w:val="left"/>
      <w:pPr>
        <w:ind w:left="3987" w:hanging="360"/>
      </w:pPr>
      <w:rPr>
        <w:rFonts w:ascii="Courier New" w:hAnsi="Courier New" w:cs="Courier New" w:hint="default"/>
      </w:rPr>
    </w:lvl>
    <w:lvl w:ilvl="5" w:tplc="08090005" w:tentative="1">
      <w:start w:val="1"/>
      <w:numFmt w:val="bullet"/>
      <w:lvlText w:val=""/>
      <w:lvlJc w:val="left"/>
      <w:pPr>
        <w:ind w:left="4707" w:hanging="360"/>
      </w:pPr>
      <w:rPr>
        <w:rFonts w:ascii="Wingdings" w:hAnsi="Wingdings" w:hint="default"/>
      </w:rPr>
    </w:lvl>
    <w:lvl w:ilvl="6" w:tplc="08090001" w:tentative="1">
      <w:start w:val="1"/>
      <w:numFmt w:val="bullet"/>
      <w:lvlText w:val=""/>
      <w:lvlJc w:val="left"/>
      <w:pPr>
        <w:ind w:left="5427" w:hanging="360"/>
      </w:pPr>
      <w:rPr>
        <w:rFonts w:ascii="Symbol" w:hAnsi="Symbol" w:hint="default"/>
      </w:rPr>
    </w:lvl>
    <w:lvl w:ilvl="7" w:tplc="08090003" w:tentative="1">
      <w:start w:val="1"/>
      <w:numFmt w:val="bullet"/>
      <w:lvlText w:val="o"/>
      <w:lvlJc w:val="left"/>
      <w:pPr>
        <w:ind w:left="6147" w:hanging="360"/>
      </w:pPr>
      <w:rPr>
        <w:rFonts w:ascii="Courier New" w:hAnsi="Courier New" w:cs="Courier New" w:hint="default"/>
      </w:rPr>
    </w:lvl>
    <w:lvl w:ilvl="8" w:tplc="08090005" w:tentative="1">
      <w:start w:val="1"/>
      <w:numFmt w:val="bullet"/>
      <w:lvlText w:val=""/>
      <w:lvlJc w:val="left"/>
      <w:pPr>
        <w:ind w:left="6867" w:hanging="360"/>
      </w:pPr>
      <w:rPr>
        <w:rFonts w:ascii="Wingdings" w:hAnsi="Wingdings" w:hint="default"/>
      </w:rPr>
    </w:lvl>
  </w:abstractNum>
  <w:abstractNum w:abstractNumId="18" w15:restartNumberingAfterBreak="0">
    <w:nsid w:val="5FFF0AFB"/>
    <w:multiLevelType w:val="hybridMultilevel"/>
    <w:tmpl w:val="F27E7D4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60B83FF3"/>
    <w:multiLevelType w:val="hybridMultilevel"/>
    <w:tmpl w:val="731A4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A5B00AD"/>
    <w:multiLevelType w:val="hybridMultilevel"/>
    <w:tmpl w:val="AA7838D4"/>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21" w15:restartNumberingAfterBreak="0">
    <w:nsid w:val="6C9E4B73"/>
    <w:multiLevelType w:val="hybridMultilevel"/>
    <w:tmpl w:val="45436A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FA153A8"/>
    <w:multiLevelType w:val="hybridMultilevel"/>
    <w:tmpl w:val="A28D0F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A851CAE"/>
    <w:multiLevelType w:val="hybridMultilevel"/>
    <w:tmpl w:val="D1FAE19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F17764D"/>
    <w:multiLevelType w:val="hybridMultilevel"/>
    <w:tmpl w:val="653AE3F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412779890">
    <w:abstractNumId w:val="24"/>
  </w:num>
  <w:num w:numId="2" w16cid:durableId="1993410398">
    <w:abstractNumId w:val="6"/>
  </w:num>
  <w:num w:numId="3" w16cid:durableId="1039814126">
    <w:abstractNumId w:val="18"/>
  </w:num>
  <w:num w:numId="4" w16cid:durableId="170294810">
    <w:abstractNumId w:val="12"/>
  </w:num>
  <w:num w:numId="5" w16cid:durableId="619651411">
    <w:abstractNumId w:val="7"/>
  </w:num>
  <w:num w:numId="6" w16cid:durableId="1040518072">
    <w:abstractNumId w:val="18"/>
  </w:num>
  <w:num w:numId="7" w16cid:durableId="1599218170">
    <w:abstractNumId w:val="24"/>
  </w:num>
  <w:num w:numId="8" w16cid:durableId="1746762333">
    <w:abstractNumId w:val="6"/>
  </w:num>
  <w:num w:numId="9" w16cid:durableId="717625326">
    <w:abstractNumId w:val="12"/>
  </w:num>
  <w:num w:numId="10" w16cid:durableId="764808732">
    <w:abstractNumId w:val="18"/>
  </w:num>
  <w:num w:numId="11" w16cid:durableId="109520110">
    <w:abstractNumId w:val="15"/>
  </w:num>
  <w:num w:numId="12" w16cid:durableId="1925911728">
    <w:abstractNumId w:val="20"/>
  </w:num>
  <w:num w:numId="13" w16cid:durableId="38894633">
    <w:abstractNumId w:val="8"/>
  </w:num>
  <w:num w:numId="14" w16cid:durableId="1950509574">
    <w:abstractNumId w:val="11"/>
  </w:num>
  <w:num w:numId="15" w16cid:durableId="1513912634">
    <w:abstractNumId w:val="19"/>
  </w:num>
  <w:num w:numId="16" w16cid:durableId="843519295">
    <w:abstractNumId w:val="1"/>
  </w:num>
  <w:num w:numId="17" w16cid:durableId="1790977220">
    <w:abstractNumId w:val="10"/>
  </w:num>
  <w:num w:numId="18" w16cid:durableId="1850635029">
    <w:abstractNumId w:val="3"/>
  </w:num>
  <w:num w:numId="19" w16cid:durableId="388916130">
    <w:abstractNumId w:val="14"/>
  </w:num>
  <w:num w:numId="20" w16cid:durableId="628324454">
    <w:abstractNumId w:val="16"/>
  </w:num>
  <w:num w:numId="21" w16cid:durableId="1251694908">
    <w:abstractNumId w:val="5"/>
  </w:num>
  <w:num w:numId="22" w16cid:durableId="541401442">
    <w:abstractNumId w:val="4"/>
  </w:num>
  <w:num w:numId="23" w16cid:durableId="1344086341">
    <w:abstractNumId w:val="0"/>
  </w:num>
  <w:num w:numId="24" w16cid:durableId="952631656">
    <w:abstractNumId w:val="2"/>
  </w:num>
  <w:num w:numId="25" w16cid:durableId="1707027791">
    <w:abstractNumId w:val="22"/>
  </w:num>
  <w:num w:numId="26" w16cid:durableId="1278099315">
    <w:abstractNumId w:val="21"/>
  </w:num>
  <w:num w:numId="27" w16cid:durableId="913779451">
    <w:abstractNumId w:val="9"/>
  </w:num>
  <w:num w:numId="28" w16cid:durableId="364722063">
    <w:abstractNumId w:val="13"/>
  </w:num>
  <w:num w:numId="29" w16cid:durableId="1137650228">
    <w:abstractNumId w:val="23"/>
  </w:num>
  <w:num w:numId="30" w16cid:durableId="10168803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06D"/>
    <w:rsid w:val="0000021C"/>
    <w:rsid w:val="0000617B"/>
    <w:rsid w:val="00010C1C"/>
    <w:rsid w:val="00013D60"/>
    <w:rsid w:val="00016A19"/>
    <w:rsid w:val="00017DFD"/>
    <w:rsid w:val="00023C1F"/>
    <w:rsid w:val="000252D2"/>
    <w:rsid w:val="0003203D"/>
    <w:rsid w:val="00034B7E"/>
    <w:rsid w:val="0004301F"/>
    <w:rsid w:val="0005101F"/>
    <w:rsid w:val="00054376"/>
    <w:rsid w:val="000574BC"/>
    <w:rsid w:val="00060565"/>
    <w:rsid w:val="000725E7"/>
    <w:rsid w:val="00072A84"/>
    <w:rsid w:val="00081FE2"/>
    <w:rsid w:val="0008251E"/>
    <w:rsid w:val="00083B85"/>
    <w:rsid w:val="00083FD7"/>
    <w:rsid w:val="00085668"/>
    <w:rsid w:val="000943CA"/>
    <w:rsid w:val="000964FD"/>
    <w:rsid w:val="000B5059"/>
    <w:rsid w:val="000D7764"/>
    <w:rsid w:val="000E5751"/>
    <w:rsid w:val="000F3293"/>
    <w:rsid w:val="000F59D1"/>
    <w:rsid w:val="00101004"/>
    <w:rsid w:val="001014D3"/>
    <w:rsid w:val="00104FDB"/>
    <w:rsid w:val="00126654"/>
    <w:rsid w:val="00126D15"/>
    <w:rsid w:val="00127A57"/>
    <w:rsid w:val="00132957"/>
    <w:rsid w:val="00150F00"/>
    <w:rsid w:val="0015351B"/>
    <w:rsid w:val="00163F00"/>
    <w:rsid w:val="00165F9E"/>
    <w:rsid w:val="00173037"/>
    <w:rsid w:val="00183568"/>
    <w:rsid w:val="001B48C3"/>
    <w:rsid w:val="001B7B77"/>
    <w:rsid w:val="001C3697"/>
    <w:rsid w:val="001C7255"/>
    <w:rsid w:val="001C7EC1"/>
    <w:rsid w:val="001D2D5B"/>
    <w:rsid w:val="001D5361"/>
    <w:rsid w:val="001F1F2C"/>
    <w:rsid w:val="002005A9"/>
    <w:rsid w:val="00203D2F"/>
    <w:rsid w:val="002065C7"/>
    <w:rsid w:val="00207CA9"/>
    <w:rsid w:val="00210280"/>
    <w:rsid w:val="002113BE"/>
    <w:rsid w:val="002124B0"/>
    <w:rsid w:val="002150E8"/>
    <w:rsid w:val="00215C44"/>
    <w:rsid w:val="00221FA0"/>
    <w:rsid w:val="00226044"/>
    <w:rsid w:val="00227F61"/>
    <w:rsid w:val="00230289"/>
    <w:rsid w:val="00240345"/>
    <w:rsid w:val="002408D5"/>
    <w:rsid w:val="002415FB"/>
    <w:rsid w:val="00247FDD"/>
    <w:rsid w:val="00250853"/>
    <w:rsid w:val="00270023"/>
    <w:rsid w:val="0027329D"/>
    <w:rsid w:val="00275C6E"/>
    <w:rsid w:val="00276097"/>
    <w:rsid w:val="00281960"/>
    <w:rsid w:val="00283AE9"/>
    <w:rsid w:val="00290FAB"/>
    <w:rsid w:val="00295CFF"/>
    <w:rsid w:val="00297FFA"/>
    <w:rsid w:val="002A1AC5"/>
    <w:rsid w:val="002A22CD"/>
    <w:rsid w:val="002D3337"/>
    <w:rsid w:val="002D57CE"/>
    <w:rsid w:val="002D5EE3"/>
    <w:rsid w:val="002E1EB2"/>
    <w:rsid w:val="002E2D73"/>
    <w:rsid w:val="002E3AD4"/>
    <w:rsid w:val="002F26EA"/>
    <w:rsid w:val="00301601"/>
    <w:rsid w:val="00316F98"/>
    <w:rsid w:val="0032383C"/>
    <w:rsid w:val="0032446E"/>
    <w:rsid w:val="00325296"/>
    <w:rsid w:val="00326F1C"/>
    <w:rsid w:val="00327938"/>
    <w:rsid w:val="003321F3"/>
    <w:rsid w:val="00333FD0"/>
    <w:rsid w:val="00334BA5"/>
    <w:rsid w:val="00336AAD"/>
    <w:rsid w:val="00342D28"/>
    <w:rsid w:val="00342F14"/>
    <w:rsid w:val="00347D87"/>
    <w:rsid w:val="00373A0C"/>
    <w:rsid w:val="00374F2C"/>
    <w:rsid w:val="003804F0"/>
    <w:rsid w:val="00384788"/>
    <w:rsid w:val="003879DC"/>
    <w:rsid w:val="00387DB2"/>
    <w:rsid w:val="00393C98"/>
    <w:rsid w:val="003A00B1"/>
    <w:rsid w:val="003A1632"/>
    <w:rsid w:val="003A301E"/>
    <w:rsid w:val="003B23D4"/>
    <w:rsid w:val="003B2554"/>
    <w:rsid w:val="003C6F52"/>
    <w:rsid w:val="003E7CDE"/>
    <w:rsid w:val="003F5C2F"/>
    <w:rsid w:val="004033D1"/>
    <w:rsid w:val="00405262"/>
    <w:rsid w:val="00411199"/>
    <w:rsid w:val="004158D7"/>
    <w:rsid w:val="00435E2A"/>
    <w:rsid w:val="00440C1D"/>
    <w:rsid w:val="004436A0"/>
    <w:rsid w:val="00451891"/>
    <w:rsid w:val="004521BA"/>
    <w:rsid w:val="00463179"/>
    <w:rsid w:val="00472954"/>
    <w:rsid w:val="00474652"/>
    <w:rsid w:val="00476D5C"/>
    <w:rsid w:val="0047734C"/>
    <w:rsid w:val="00495C8E"/>
    <w:rsid w:val="004A0C1C"/>
    <w:rsid w:val="004A10B4"/>
    <w:rsid w:val="004B4514"/>
    <w:rsid w:val="004C300F"/>
    <w:rsid w:val="004C5E86"/>
    <w:rsid w:val="004C67D0"/>
    <w:rsid w:val="004D7BDA"/>
    <w:rsid w:val="004E2A69"/>
    <w:rsid w:val="004E6386"/>
    <w:rsid w:val="004F6AEC"/>
    <w:rsid w:val="00507C4A"/>
    <w:rsid w:val="005148DB"/>
    <w:rsid w:val="00521764"/>
    <w:rsid w:val="00521B1F"/>
    <w:rsid w:val="00530870"/>
    <w:rsid w:val="00531023"/>
    <w:rsid w:val="005312E3"/>
    <w:rsid w:val="005345B6"/>
    <w:rsid w:val="00534D87"/>
    <w:rsid w:val="00536936"/>
    <w:rsid w:val="0054246A"/>
    <w:rsid w:val="00545F80"/>
    <w:rsid w:val="005521D3"/>
    <w:rsid w:val="0055343D"/>
    <w:rsid w:val="005602DD"/>
    <w:rsid w:val="005824BA"/>
    <w:rsid w:val="00582ABD"/>
    <w:rsid w:val="005A2AC6"/>
    <w:rsid w:val="005A6BD4"/>
    <w:rsid w:val="005B4D53"/>
    <w:rsid w:val="005B6B2F"/>
    <w:rsid w:val="005D1591"/>
    <w:rsid w:val="005D64AC"/>
    <w:rsid w:val="005E1B52"/>
    <w:rsid w:val="005E4341"/>
    <w:rsid w:val="005F2698"/>
    <w:rsid w:val="005F3A6F"/>
    <w:rsid w:val="005F4557"/>
    <w:rsid w:val="00601B9A"/>
    <w:rsid w:val="00602D6D"/>
    <w:rsid w:val="00604F09"/>
    <w:rsid w:val="00606C73"/>
    <w:rsid w:val="00614988"/>
    <w:rsid w:val="00635D70"/>
    <w:rsid w:val="00646938"/>
    <w:rsid w:val="00650386"/>
    <w:rsid w:val="00655F68"/>
    <w:rsid w:val="00657B2F"/>
    <w:rsid w:val="0066049C"/>
    <w:rsid w:val="00675B5D"/>
    <w:rsid w:val="006A78C9"/>
    <w:rsid w:val="006B2E58"/>
    <w:rsid w:val="006B6DF5"/>
    <w:rsid w:val="006C43C3"/>
    <w:rsid w:val="006C6279"/>
    <w:rsid w:val="006D6AD0"/>
    <w:rsid w:val="006E3D86"/>
    <w:rsid w:val="006E4F68"/>
    <w:rsid w:val="006E55B4"/>
    <w:rsid w:val="006E65D5"/>
    <w:rsid w:val="006E6796"/>
    <w:rsid w:val="0070763D"/>
    <w:rsid w:val="00712300"/>
    <w:rsid w:val="00726067"/>
    <w:rsid w:val="007274ED"/>
    <w:rsid w:val="00730CFA"/>
    <w:rsid w:val="00732545"/>
    <w:rsid w:val="00746FC8"/>
    <w:rsid w:val="007504AB"/>
    <w:rsid w:val="007561F8"/>
    <w:rsid w:val="00757858"/>
    <w:rsid w:val="0076156A"/>
    <w:rsid w:val="007629D5"/>
    <w:rsid w:val="00790A5D"/>
    <w:rsid w:val="007A272A"/>
    <w:rsid w:val="007A513D"/>
    <w:rsid w:val="007B0F66"/>
    <w:rsid w:val="007C5A1C"/>
    <w:rsid w:val="007C74CF"/>
    <w:rsid w:val="007D0689"/>
    <w:rsid w:val="007D09A2"/>
    <w:rsid w:val="007D1B6E"/>
    <w:rsid w:val="007D7711"/>
    <w:rsid w:val="007F0E48"/>
    <w:rsid w:val="007F5D59"/>
    <w:rsid w:val="00804314"/>
    <w:rsid w:val="008062FB"/>
    <w:rsid w:val="00813C5D"/>
    <w:rsid w:val="0082006D"/>
    <w:rsid w:val="00823062"/>
    <w:rsid w:val="00823EC1"/>
    <w:rsid w:val="008253F9"/>
    <w:rsid w:val="0084065A"/>
    <w:rsid w:val="00844999"/>
    <w:rsid w:val="0084501D"/>
    <w:rsid w:val="0085234D"/>
    <w:rsid w:val="0085792B"/>
    <w:rsid w:val="00860AE8"/>
    <w:rsid w:val="0086514B"/>
    <w:rsid w:val="008746D2"/>
    <w:rsid w:val="0087722E"/>
    <w:rsid w:val="00885E81"/>
    <w:rsid w:val="008908CB"/>
    <w:rsid w:val="008B7B7F"/>
    <w:rsid w:val="008D56ED"/>
    <w:rsid w:val="008D603B"/>
    <w:rsid w:val="008E2106"/>
    <w:rsid w:val="008E2217"/>
    <w:rsid w:val="008E5A21"/>
    <w:rsid w:val="008E730D"/>
    <w:rsid w:val="00902482"/>
    <w:rsid w:val="00910DC2"/>
    <w:rsid w:val="009219A7"/>
    <w:rsid w:val="00927025"/>
    <w:rsid w:val="00935170"/>
    <w:rsid w:val="00937C72"/>
    <w:rsid w:val="009404A5"/>
    <w:rsid w:val="00945060"/>
    <w:rsid w:val="00951B89"/>
    <w:rsid w:val="00952CA0"/>
    <w:rsid w:val="00952F11"/>
    <w:rsid w:val="00954BBC"/>
    <w:rsid w:val="0096654D"/>
    <w:rsid w:val="009757BF"/>
    <w:rsid w:val="00987A78"/>
    <w:rsid w:val="00993568"/>
    <w:rsid w:val="009952BA"/>
    <w:rsid w:val="009A560D"/>
    <w:rsid w:val="009B17E8"/>
    <w:rsid w:val="009B3845"/>
    <w:rsid w:val="009B6837"/>
    <w:rsid w:val="009C0AFC"/>
    <w:rsid w:val="009C1763"/>
    <w:rsid w:val="009C2A25"/>
    <w:rsid w:val="009C4FB0"/>
    <w:rsid w:val="009F2339"/>
    <w:rsid w:val="00A03256"/>
    <w:rsid w:val="00A26B04"/>
    <w:rsid w:val="00A26C11"/>
    <w:rsid w:val="00A305F5"/>
    <w:rsid w:val="00A44AB3"/>
    <w:rsid w:val="00A57E1A"/>
    <w:rsid w:val="00A61156"/>
    <w:rsid w:val="00A62A18"/>
    <w:rsid w:val="00A74587"/>
    <w:rsid w:val="00A75177"/>
    <w:rsid w:val="00A92A06"/>
    <w:rsid w:val="00A97619"/>
    <w:rsid w:val="00AB488B"/>
    <w:rsid w:val="00AB61B0"/>
    <w:rsid w:val="00AC13F6"/>
    <w:rsid w:val="00AC22BE"/>
    <w:rsid w:val="00AD1AEB"/>
    <w:rsid w:val="00B00F97"/>
    <w:rsid w:val="00B15703"/>
    <w:rsid w:val="00B165A1"/>
    <w:rsid w:val="00B212DF"/>
    <w:rsid w:val="00B21F5F"/>
    <w:rsid w:val="00B245FF"/>
    <w:rsid w:val="00B24698"/>
    <w:rsid w:val="00B24876"/>
    <w:rsid w:val="00B256D0"/>
    <w:rsid w:val="00B25F3D"/>
    <w:rsid w:val="00B31BEE"/>
    <w:rsid w:val="00B363B2"/>
    <w:rsid w:val="00B50CE9"/>
    <w:rsid w:val="00B5345E"/>
    <w:rsid w:val="00B567A2"/>
    <w:rsid w:val="00B6359F"/>
    <w:rsid w:val="00B7335B"/>
    <w:rsid w:val="00B83C89"/>
    <w:rsid w:val="00B8539A"/>
    <w:rsid w:val="00B87B1E"/>
    <w:rsid w:val="00B87BD8"/>
    <w:rsid w:val="00B87E9A"/>
    <w:rsid w:val="00B9200C"/>
    <w:rsid w:val="00B95A63"/>
    <w:rsid w:val="00BB4D92"/>
    <w:rsid w:val="00BC2304"/>
    <w:rsid w:val="00BE1054"/>
    <w:rsid w:val="00BF4B88"/>
    <w:rsid w:val="00C06A49"/>
    <w:rsid w:val="00C2269C"/>
    <w:rsid w:val="00C27B00"/>
    <w:rsid w:val="00C33DD4"/>
    <w:rsid w:val="00C5244C"/>
    <w:rsid w:val="00C6082A"/>
    <w:rsid w:val="00C662F3"/>
    <w:rsid w:val="00C74CD5"/>
    <w:rsid w:val="00C77C61"/>
    <w:rsid w:val="00C80DDE"/>
    <w:rsid w:val="00C86F57"/>
    <w:rsid w:val="00C9711F"/>
    <w:rsid w:val="00C979BD"/>
    <w:rsid w:val="00CA5D59"/>
    <w:rsid w:val="00CA78A4"/>
    <w:rsid w:val="00CA79F8"/>
    <w:rsid w:val="00CB431D"/>
    <w:rsid w:val="00CB6A9B"/>
    <w:rsid w:val="00CC5DD7"/>
    <w:rsid w:val="00CC69D5"/>
    <w:rsid w:val="00CC723F"/>
    <w:rsid w:val="00CD63E0"/>
    <w:rsid w:val="00CE1B58"/>
    <w:rsid w:val="00CF10B8"/>
    <w:rsid w:val="00CF4FFF"/>
    <w:rsid w:val="00D03B2B"/>
    <w:rsid w:val="00D067A3"/>
    <w:rsid w:val="00D10CDE"/>
    <w:rsid w:val="00D14E97"/>
    <w:rsid w:val="00D23B8C"/>
    <w:rsid w:val="00D31EE3"/>
    <w:rsid w:val="00D331AF"/>
    <w:rsid w:val="00D359CC"/>
    <w:rsid w:val="00D541A3"/>
    <w:rsid w:val="00D5459F"/>
    <w:rsid w:val="00D55B1A"/>
    <w:rsid w:val="00D64EFE"/>
    <w:rsid w:val="00D70109"/>
    <w:rsid w:val="00D712F0"/>
    <w:rsid w:val="00D721EA"/>
    <w:rsid w:val="00D74893"/>
    <w:rsid w:val="00D86A7E"/>
    <w:rsid w:val="00DA068F"/>
    <w:rsid w:val="00DB4F2C"/>
    <w:rsid w:val="00E0448D"/>
    <w:rsid w:val="00E23A9C"/>
    <w:rsid w:val="00E23E4D"/>
    <w:rsid w:val="00E25677"/>
    <w:rsid w:val="00E30B56"/>
    <w:rsid w:val="00E31A55"/>
    <w:rsid w:val="00E409AB"/>
    <w:rsid w:val="00E42701"/>
    <w:rsid w:val="00E42CFD"/>
    <w:rsid w:val="00E62F52"/>
    <w:rsid w:val="00E72F88"/>
    <w:rsid w:val="00E75DFE"/>
    <w:rsid w:val="00E91391"/>
    <w:rsid w:val="00E9753A"/>
    <w:rsid w:val="00E97714"/>
    <w:rsid w:val="00EA2053"/>
    <w:rsid w:val="00EA4A21"/>
    <w:rsid w:val="00EA7B8D"/>
    <w:rsid w:val="00EB0582"/>
    <w:rsid w:val="00EC00F3"/>
    <w:rsid w:val="00EC6D73"/>
    <w:rsid w:val="00ED186D"/>
    <w:rsid w:val="00ED3F97"/>
    <w:rsid w:val="00EF34F7"/>
    <w:rsid w:val="00EF526B"/>
    <w:rsid w:val="00EF7004"/>
    <w:rsid w:val="00F071B7"/>
    <w:rsid w:val="00F145BE"/>
    <w:rsid w:val="00F1597C"/>
    <w:rsid w:val="00F21B82"/>
    <w:rsid w:val="00F310D4"/>
    <w:rsid w:val="00F460C4"/>
    <w:rsid w:val="00F467FD"/>
    <w:rsid w:val="00F5422D"/>
    <w:rsid w:val="00F67705"/>
    <w:rsid w:val="00F737CB"/>
    <w:rsid w:val="00F85EAD"/>
    <w:rsid w:val="00F8623C"/>
    <w:rsid w:val="00F902FD"/>
    <w:rsid w:val="00FA0E74"/>
    <w:rsid w:val="00FA1D41"/>
    <w:rsid w:val="00FA2292"/>
    <w:rsid w:val="00FA56DB"/>
    <w:rsid w:val="00FB085E"/>
    <w:rsid w:val="00FB4CA8"/>
    <w:rsid w:val="00FB6675"/>
    <w:rsid w:val="00FB6719"/>
    <w:rsid w:val="00FD62E5"/>
    <w:rsid w:val="00FE7C58"/>
    <w:rsid w:val="00FF08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93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F5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4F2C"/>
    <w:rPr>
      <w:color w:val="0000FF" w:themeColor="hyperlink"/>
      <w:u w:val="single"/>
    </w:rPr>
  </w:style>
  <w:style w:type="paragraph" w:styleId="ListParagraph">
    <w:name w:val="List Paragraph"/>
    <w:aliases w:val="FooterText,Paragraphe de liste1,List Paragraph (bulleted list),Bullet 1 List,Lettre d'introduction,List Paragraph1,1st level - Bullet List Paragraph,Medium Grid 1 - Accent 21,Bullet List Paragraph,Paragrafo elenco numerato,Bullet point"/>
    <w:basedOn w:val="Normal"/>
    <w:link w:val="ListParagraphChar"/>
    <w:uiPriority w:val="34"/>
    <w:qFormat/>
    <w:rsid w:val="00DB4F2C"/>
    <w:pPr>
      <w:ind w:left="720"/>
      <w:contextualSpacing/>
    </w:pPr>
  </w:style>
  <w:style w:type="character" w:styleId="FollowedHyperlink">
    <w:name w:val="FollowedHyperlink"/>
    <w:basedOn w:val="DefaultParagraphFont"/>
    <w:uiPriority w:val="99"/>
    <w:semiHidden/>
    <w:unhideWhenUsed/>
    <w:rsid w:val="00104FDB"/>
    <w:rPr>
      <w:color w:val="800080" w:themeColor="followedHyperlink"/>
      <w:u w:val="single"/>
    </w:rPr>
  </w:style>
  <w:style w:type="paragraph" w:styleId="FootnoteText">
    <w:name w:val="footnote text"/>
    <w:basedOn w:val="Normal"/>
    <w:link w:val="FootnoteTextChar"/>
    <w:uiPriority w:val="99"/>
    <w:unhideWhenUsed/>
    <w:rsid w:val="00534D87"/>
    <w:pPr>
      <w:spacing w:after="0" w:line="240" w:lineRule="auto"/>
    </w:pPr>
    <w:rPr>
      <w:sz w:val="20"/>
      <w:szCs w:val="20"/>
    </w:rPr>
  </w:style>
  <w:style w:type="character" w:customStyle="1" w:styleId="FootnoteTextChar">
    <w:name w:val="Footnote Text Char"/>
    <w:basedOn w:val="DefaultParagraphFont"/>
    <w:link w:val="FootnoteText"/>
    <w:uiPriority w:val="99"/>
    <w:rsid w:val="00534D87"/>
    <w:rPr>
      <w:sz w:val="20"/>
      <w:szCs w:val="20"/>
    </w:rPr>
  </w:style>
  <w:style w:type="character" w:styleId="FootnoteReference">
    <w:name w:val="footnote reference"/>
    <w:basedOn w:val="DefaultParagraphFont"/>
    <w:uiPriority w:val="99"/>
    <w:semiHidden/>
    <w:unhideWhenUsed/>
    <w:rsid w:val="00534D87"/>
    <w:rPr>
      <w:vertAlign w:val="superscript"/>
    </w:rPr>
  </w:style>
  <w:style w:type="character" w:styleId="Strong">
    <w:name w:val="Strong"/>
    <w:basedOn w:val="DefaultParagraphFont"/>
    <w:uiPriority w:val="22"/>
    <w:qFormat/>
    <w:rsid w:val="00534D87"/>
    <w:rPr>
      <w:b/>
      <w:bCs/>
    </w:rPr>
  </w:style>
  <w:style w:type="paragraph" w:styleId="CommentText">
    <w:name w:val="annotation text"/>
    <w:basedOn w:val="Normal"/>
    <w:link w:val="CommentTextChar"/>
    <w:uiPriority w:val="99"/>
    <w:unhideWhenUsed/>
    <w:rsid w:val="00A26C11"/>
    <w:pPr>
      <w:spacing w:line="240" w:lineRule="auto"/>
    </w:pPr>
    <w:rPr>
      <w:sz w:val="20"/>
      <w:szCs w:val="20"/>
    </w:rPr>
  </w:style>
  <w:style w:type="character" w:customStyle="1" w:styleId="CommentTextChar">
    <w:name w:val="Comment Text Char"/>
    <w:basedOn w:val="DefaultParagraphFont"/>
    <w:link w:val="CommentText"/>
    <w:uiPriority w:val="99"/>
    <w:rsid w:val="00A26C11"/>
    <w:rPr>
      <w:sz w:val="20"/>
      <w:szCs w:val="20"/>
    </w:rPr>
  </w:style>
  <w:style w:type="character" w:styleId="CommentReference">
    <w:name w:val="annotation reference"/>
    <w:basedOn w:val="DefaultParagraphFont"/>
    <w:uiPriority w:val="99"/>
    <w:semiHidden/>
    <w:unhideWhenUsed/>
    <w:rsid w:val="00A26C11"/>
    <w:rPr>
      <w:sz w:val="16"/>
      <w:szCs w:val="16"/>
    </w:rPr>
  </w:style>
  <w:style w:type="paragraph" w:styleId="BalloonText">
    <w:name w:val="Balloon Text"/>
    <w:basedOn w:val="Normal"/>
    <w:link w:val="BalloonTextChar"/>
    <w:uiPriority w:val="99"/>
    <w:semiHidden/>
    <w:unhideWhenUsed/>
    <w:rsid w:val="00A26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C1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2339"/>
    <w:rPr>
      <w:b/>
      <w:bCs/>
    </w:rPr>
  </w:style>
  <w:style w:type="character" w:customStyle="1" w:styleId="CommentSubjectChar">
    <w:name w:val="Comment Subject Char"/>
    <w:basedOn w:val="CommentTextChar"/>
    <w:link w:val="CommentSubject"/>
    <w:uiPriority w:val="99"/>
    <w:semiHidden/>
    <w:rsid w:val="009F2339"/>
    <w:rPr>
      <w:b/>
      <w:bCs/>
      <w:sz w:val="20"/>
      <w:szCs w:val="20"/>
    </w:rPr>
  </w:style>
  <w:style w:type="paragraph" w:styleId="Header">
    <w:name w:val="header"/>
    <w:basedOn w:val="Normal"/>
    <w:link w:val="HeaderChar"/>
    <w:uiPriority w:val="99"/>
    <w:unhideWhenUsed/>
    <w:rsid w:val="0085234D"/>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85234D"/>
    <w:rPr>
      <w:rFonts w:ascii="Times New Roman" w:hAnsi="Times New Roman" w:cs="Times New Roman"/>
    </w:rPr>
  </w:style>
  <w:style w:type="paragraph" w:styleId="Footer">
    <w:name w:val="footer"/>
    <w:basedOn w:val="Normal"/>
    <w:link w:val="FooterChar"/>
    <w:uiPriority w:val="99"/>
    <w:unhideWhenUsed/>
    <w:rsid w:val="0085234D"/>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85234D"/>
    <w:rPr>
      <w:rFonts w:ascii="Times New Roman" w:hAnsi="Times New Roman" w:cs="Times New Roman"/>
    </w:rPr>
  </w:style>
  <w:style w:type="character" w:customStyle="1" w:styleId="normaltextrun">
    <w:name w:val="normaltextrun"/>
    <w:basedOn w:val="DefaultParagraphFont"/>
    <w:rsid w:val="00650386"/>
  </w:style>
  <w:style w:type="character" w:customStyle="1" w:styleId="ListParagraphChar">
    <w:name w:val="List Paragraph Char"/>
    <w:aliases w:val="FooterText Char,Paragraphe de liste1 Char,List Paragraph (bulleted list) Char,Bullet 1 List Char,Lettre d'introduction Char,List Paragraph1 Char,1st level - Bullet List Paragraph Char,Medium Grid 1 - Accent 21 Char,Bullet point Char"/>
    <w:basedOn w:val="DefaultParagraphFont"/>
    <w:link w:val="ListParagraph"/>
    <w:uiPriority w:val="34"/>
    <w:qFormat/>
    <w:locked/>
    <w:rsid w:val="007A513D"/>
    <w:rPr>
      <w:lang w:val="es-ES"/>
    </w:rPr>
  </w:style>
  <w:style w:type="character" w:customStyle="1" w:styleId="Mencinsinresolver1">
    <w:name w:val="Mención sin resolver1"/>
    <w:basedOn w:val="DefaultParagraphFont"/>
    <w:uiPriority w:val="99"/>
    <w:semiHidden/>
    <w:unhideWhenUsed/>
    <w:rsid w:val="00987A78"/>
    <w:rPr>
      <w:color w:val="605E5C"/>
      <w:shd w:val="clear" w:color="auto" w:fill="E1DFDD"/>
    </w:rPr>
  </w:style>
  <w:style w:type="paragraph" w:styleId="Revision">
    <w:name w:val="Revision"/>
    <w:hidden/>
    <w:uiPriority w:val="99"/>
    <w:semiHidden/>
    <w:rsid w:val="00B87E9A"/>
    <w:pPr>
      <w:spacing w:after="0" w:line="240" w:lineRule="auto"/>
    </w:pPr>
  </w:style>
  <w:style w:type="paragraph" w:customStyle="1" w:styleId="Default">
    <w:name w:val="Default"/>
    <w:rsid w:val="00E975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521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7184">
      <w:bodyDiv w:val="1"/>
      <w:marLeft w:val="0"/>
      <w:marRight w:val="0"/>
      <w:marTop w:val="0"/>
      <w:marBottom w:val="0"/>
      <w:divBdr>
        <w:top w:val="none" w:sz="0" w:space="0" w:color="auto"/>
        <w:left w:val="none" w:sz="0" w:space="0" w:color="auto"/>
        <w:bottom w:val="none" w:sz="0" w:space="0" w:color="auto"/>
        <w:right w:val="none" w:sz="0" w:space="0" w:color="auto"/>
      </w:divBdr>
    </w:div>
    <w:div w:id="84494394">
      <w:bodyDiv w:val="1"/>
      <w:marLeft w:val="0"/>
      <w:marRight w:val="0"/>
      <w:marTop w:val="0"/>
      <w:marBottom w:val="0"/>
      <w:divBdr>
        <w:top w:val="none" w:sz="0" w:space="0" w:color="auto"/>
        <w:left w:val="none" w:sz="0" w:space="0" w:color="auto"/>
        <w:bottom w:val="none" w:sz="0" w:space="0" w:color="auto"/>
        <w:right w:val="none" w:sz="0" w:space="0" w:color="auto"/>
      </w:divBdr>
    </w:div>
    <w:div w:id="136916959">
      <w:bodyDiv w:val="1"/>
      <w:marLeft w:val="0"/>
      <w:marRight w:val="0"/>
      <w:marTop w:val="0"/>
      <w:marBottom w:val="0"/>
      <w:divBdr>
        <w:top w:val="none" w:sz="0" w:space="0" w:color="auto"/>
        <w:left w:val="none" w:sz="0" w:space="0" w:color="auto"/>
        <w:bottom w:val="none" w:sz="0" w:space="0" w:color="auto"/>
        <w:right w:val="none" w:sz="0" w:space="0" w:color="auto"/>
      </w:divBdr>
    </w:div>
    <w:div w:id="159195059">
      <w:bodyDiv w:val="1"/>
      <w:marLeft w:val="0"/>
      <w:marRight w:val="0"/>
      <w:marTop w:val="0"/>
      <w:marBottom w:val="0"/>
      <w:divBdr>
        <w:top w:val="none" w:sz="0" w:space="0" w:color="auto"/>
        <w:left w:val="none" w:sz="0" w:space="0" w:color="auto"/>
        <w:bottom w:val="none" w:sz="0" w:space="0" w:color="auto"/>
        <w:right w:val="none" w:sz="0" w:space="0" w:color="auto"/>
      </w:divBdr>
    </w:div>
    <w:div w:id="522981756">
      <w:bodyDiv w:val="1"/>
      <w:marLeft w:val="0"/>
      <w:marRight w:val="0"/>
      <w:marTop w:val="0"/>
      <w:marBottom w:val="0"/>
      <w:divBdr>
        <w:top w:val="none" w:sz="0" w:space="0" w:color="auto"/>
        <w:left w:val="none" w:sz="0" w:space="0" w:color="auto"/>
        <w:bottom w:val="none" w:sz="0" w:space="0" w:color="auto"/>
        <w:right w:val="none" w:sz="0" w:space="0" w:color="auto"/>
      </w:divBdr>
    </w:div>
    <w:div w:id="1216162260">
      <w:bodyDiv w:val="1"/>
      <w:marLeft w:val="0"/>
      <w:marRight w:val="0"/>
      <w:marTop w:val="0"/>
      <w:marBottom w:val="0"/>
      <w:divBdr>
        <w:top w:val="none" w:sz="0" w:space="0" w:color="auto"/>
        <w:left w:val="none" w:sz="0" w:space="0" w:color="auto"/>
        <w:bottom w:val="none" w:sz="0" w:space="0" w:color="auto"/>
        <w:right w:val="none" w:sz="0" w:space="0" w:color="auto"/>
      </w:divBdr>
    </w:div>
    <w:div w:id="1347948308">
      <w:bodyDiv w:val="1"/>
      <w:marLeft w:val="0"/>
      <w:marRight w:val="0"/>
      <w:marTop w:val="0"/>
      <w:marBottom w:val="0"/>
      <w:divBdr>
        <w:top w:val="none" w:sz="0" w:space="0" w:color="auto"/>
        <w:left w:val="none" w:sz="0" w:space="0" w:color="auto"/>
        <w:bottom w:val="none" w:sz="0" w:space="0" w:color="auto"/>
        <w:right w:val="none" w:sz="0" w:space="0" w:color="auto"/>
      </w:divBdr>
    </w:div>
    <w:div w:id="1434209115">
      <w:bodyDiv w:val="1"/>
      <w:marLeft w:val="0"/>
      <w:marRight w:val="0"/>
      <w:marTop w:val="0"/>
      <w:marBottom w:val="0"/>
      <w:divBdr>
        <w:top w:val="none" w:sz="0" w:space="0" w:color="auto"/>
        <w:left w:val="none" w:sz="0" w:space="0" w:color="auto"/>
        <w:bottom w:val="none" w:sz="0" w:space="0" w:color="auto"/>
        <w:right w:val="none" w:sz="0" w:space="0" w:color="auto"/>
      </w:divBdr>
    </w:div>
    <w:div w:id="1517576179">
      <w:bodyDiv w:val="1"/>
      <w:marLeft w:val="0"/>
      <w:marRight w:val="0"/>
      <w:marTop w:val="0"/>
      <w:marBottom w:val="0"/>
      <w:divBdr>
        <w:top w:val="none" w:sz="0" w:space="0" w:color="auto"/>
        <w:left w:val="none" w:sz="0" w:space="0" w:color="auto"/>
        <w:bottom w:val="none" w:sz="0" w:space="0" w:color="auto"/>
        <w:right w:val="none" w:sz="0" w:space="0" w:color="auto"/>
      </w:divBdr>
    </w:div>
    <w:div w:id="1788810417">
      <w:bodyDiv w:val="1"/>
      <w:marLeft w:val="0"/>
      <w:marRight w:val="0"/>
      <w:marTop w:val="0"/>
      <w:marBottom w:val="0"/>
      <w:divBdr>
        <w:top w:val="none" w:sz="0" w:space="0" w:color="auto"/>
        <w:left w:val="none" w:sz="0" w:space="0" w:color="auto"/>
        <w:bottom w:val="none" w:sz="0" w:space="0" w:color="auto"/>
        <w:right w:val="none" w:sz="0" w:space="0" w:color="auto"/>
      </w:divBdr>
    </w:div>
    <w:div w:id="2037658037">
      <w:bodyDiv w:val="1"/>
      <w:marLeft w:val="0"/>
      <w:marRight w:val="0"/>
      <w:marTop w:val="0"/>
      <w:marBottom w:val="0"/>
      <w:divBdr>
        <w:top w:val="none" w:sz="0" w:space="0" w:color="auto"/>
        <w:left w:val="none" w:sz="0" w:space="0" w:color="auto"/>
        <w:bottom w:val="none" w:sz="0" w:space="0" w:color="auto"/>
        <w:right w:val="none" w:sz="0" w:space="0" w:color="auto"/>
      </w:divBdr>
    </w:div>
    <w:div w:id="2040741963">
      <w:bodyDiv w:val="1"/>
      <w:marLeft w:val="0"/>
      <w:marRight w:val="0"/>
      <w:marTop w:val="0"/>
      <w:marBottom w:val="0"/>
      <w:divBdr>
        <w:top w:val="none" w:sz="0" w:space="0" w:color="auto"/>
        <w:left w:val="none" w:sz="0" w:space="0" w:color="auto"/>
        <w:bottom w:val="none" w:sz="0" w:space="0" w:color="auto"/>
        <w:right w:val="none" w:sz="0" w:space="0" w:color="auto"/>
      </w:divBdr>
    </w:div>
    <w:div w:id="211000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int-research-centre.ec.europa.eu/jrc-news-and-updates/eu-agriculture-2040-no-easy-fix-environmental-and-socio-economic-aspects-2025-10-27_en"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un.org/es/food-systems-summit" TargetMode="External"/><Relationship Id="rId23" Type="http://schemas.openxmlformats.org/officeDocument/2006/relationships/customXml" Target="../customXml/item5.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ur-lex.europa.eu/legal-content/ES/TXT/PDF/?uri=CELEX:52025DC0075" TargetMode="Externa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eesc.europa.eu/es/our-work/opinions-information-reports/opinions/towards-european-food-policy-council-new-governance-model-future-eu-framework-sustainable-food-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VP3JK3XSEPRV-2087481956-5739</_dlc_DocId>
    <_dlc_DocIdUrl xmlns="7d640e6d-779c-472f-a269-6b546787f1c9">
      <Url>http://dm/eesc/2026/_layouts/15/DocIdRedir.aspx?ID=VP3JK3XSEPRV-2087481956-5739</Url>
      <Description>VP3JK3XSEPRV-2087481956-5739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2026-03-27T12:00:00+00:00</ProductionDate>
    <DocumentNumber xmlns="a95533f8-59af-4217-bc7a-c1167744adb0">459</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2026-03-30T12:00:00+00:00</MeetingDate>
    <TaxCatchAll xmlns="7d640e6d-779c-472f-a269-6b546787f1c9">
      <Value>50</Value>
      <Value>29</Value>
      <Value>18</Value>
      <Value>11</Value>
      <Value>9</Value>
      <Value>144</Value>
      <Value>23</Value>
      <Value>4</Value>
      <Value>19</Value>
      <Value>1</Value>
      <Value>12</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Obsolete</TermName>
          <TermId xmlns="http://schemas.microsoft.com/office/infopath/2007/PartnerControls">ef7b2089-53ec-4293-a3a0-fe07d3abc41e</TermId>
        </TermInfo>
      </Terms>
    </VersionStatus_0>
    <Rapporteur xmlns="7d640e6d-779c-472f-a269-6b546787f1c9" xsi:nil="true"/>
    <DocumentYear xmlns="7d640e6d-779c-472f-a269-6b546787f1c9">2026</DocumentYear>
    <FicheNumber xmlns="7d640e6d-779c-472f-a269-6b546787f1c9">301382</FicheNumber>
    <OriginalSender xmlns="7d640e6d-779c-472f-a269-6b546787f1c9">
      <UserInfo>
        <DisplayName>Piedra Molina Graciela</DisplayName>
        <AccountId>1621</AccountId>
        <AccountType/>
      </UserInfo>
    </OriginalSender>
    <DocumentPart xmlns="7d640e6d-779c-472f-a269-6b546787f1c9">0</DocumentPart>
    <AdoptionDate xmlns="7d640e6d-779c-472f-a269-6b546787f1c9" xsi:nil="true"/>
    <RequestingService xmlns="7d640e6d-779c-472f-a269-6b546787f1c9">Systèmes alimentaires durables, environnement, dév. rural</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PG on food</TermName>
          <TermId xmlns="http://schemas.microsoft.com/office/infopath/2007/PartnerControls">2d683d6e-d85b-488d-89c3-3b91e47165b1</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1</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Props1.xml><?xml version="1.0" encoding="utf-8"?>
<ds:datastoreItem xmlns:ds="http://schemas.openxmlformats.org/officeDocument/2006/customXml" ds:itemID="{13F299A3-4D9C-4C9D-8263-3B41D17D5B79}">
  <ds:schemaRefs>
    <ds:schemaRef ds:uri="http://schemas.openxmlformats.org/officeDocument/2006/bibliography"/>
  </ds:schemaRefs>
</ds:datastoreItem>
</file>

<file path=customXml/itemProps2.xml><?xml version="1.0" encoding="utf-8"?>
<ds:datastoreItem xmlns:ds="http://schemas.openxmlformats.org/officeDocument/2006/customXml" ds:itemID="{6E681927-39A0-41F6-8859-A1F554D4647F}"/>
</file>

<file path=customXml/itemProps3.xml><?xml version="1.0" encoding="utf-8"?>
<ds:datastoreItem xmlns:ds="http://schemas.openxmlformats.org/officeDocument/2006/customXml" ds:itemID="{E4775C5F-E959-4B0B-897E-C2D4D921DA76}"/>
</file>

<file path=customXml/itemProps4.xml><?xml version="1.0" encoding="utf-8"?>
<ds:datastoreItem xmlns:ds="http://schemas.openxmlformats.org/officeDocument/2006/customXml" ds:itemID="{5BD623AB-8C43-4A11-B13B-636B479FE0DE}"/>
</file>

<file path=customXml/itemProps5.xml><?xml version="1.0" encoding="utf-8"?>
<ds:datastoreItem xmlns:ds="http://schemas.openxmlformats.org/officeDocument/2006/customXml" ds:itemID="{75871C1A-B7A1-4562-B938-8C61F780EBAA}"/>
</file>

<file path=docProps/app.xml><?xml version="1.0" encoding="utf-8"?>
<Properties xmlns="http://schemas.openxmlformats.org/officeDocument/2006/extended-properties" xmlns:vt="http://schemas.openxmlformats.org/officeDocument/2006/docPropsVTypes">
  <Template>Normal</Template>
  <TotalTime>42</TotalTime>
  <Pages>8</Pages>
  <Words>2977</Words>
  <Characters>17153</Characters>
  <Application>Microsoft Office Word</Application>
  <DocSecurity>0</DocSecurity>
  <Lines>357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Grupo Permanente sobre los Sistemas Alimentarios Sostenibles - Plan de trabajo 2025-2027</dc:title>
  <dc:subject/>
  <dc:creator/>
  <cp:keywords/>
  <dc:description/>
  <cp:lastModifiedBy/>
  <cp:revision>7</cp:revision>
  <dcterms:created xsi:type="dcterms:W3CDTF">2026-03-20T10:24:00Z</dcterms:created>
  <dcterms:modified xsi:type="dcterms:W3CDTF">2026-03-27T15:13:00Z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20/03/2026</vt:lpwstr>
  </property>
  <property fmtid="{D5CDD505-2E9C-101B-9397-08002B2CF9AE}" pid="4" name="Pref_Time">
    <vt:lpwstr>11:21:40</vt:lpwstr>
  </property>
  <property fmtid="{D5CDD505-2E9C-101B-9397-08002B2CF9AE}" pid="5" name="Pref_User">
    <vt:lpwstr>jhvi</vt:lpwstr>
  </property>
  <property fmtid="{D5CDD505-2E9C-101B-9397-08002B2CF9AE}" pid="6" name="Pref_FileName">
    <vt:lpwstr>EESC-2026-00459-00-00-TCD-ORI.docx</vt:lpwstr>
  </property>
  <property fmtid="{D5CDD505-2E9C-101B-9397-08002B2CF9AE}" pid="7" name="ContentTypeId">
    <vt:lpwstr>0x010100EA97B91038054C99906057A708A1480A0042CFDF3EA65A64469BBC042F89C9AB74</vt:lpwstr>
  </property>
  <property fmtid="{D5CDD505-2E9C-101B-9397-08002B2CF9AE}" pid="8" name="_dlc_DocIdItemGuid">
    <vt:lpwstr>90f14db0-7756-4fb7-9d2f-07c997aaa53f</vt:lpwstr>
  </property>
  <property fmtid="{D5CDD505-2E9C-101B-9397-08002B2CF9AE}" pid="9" name="AvailableTranslations">
    <vt:lpwstr>12;#ES|e7a6b05b-ae16-40c8-add9-68b64b03aeba;#29;#CS|72f9705b-0217-4fd3-bea2-cbc7ed80e26e;#4;#EN|f2175f21-25d7-44a3-96da-d6a61b075e1b;#11;#DE|f6b31e5a-26fa-4935-b661-318e46daf27e;#23;#FR|d2afafd3-4c81-4f60-8f52-ee33f2f54ff3</vt:lpwstr>
  </property>
  <property fmtid="{D5CDD505-2E9C-101B-9397-08002B2CF9AE}" pid="10" name="DocumentType_0">
    <vt:lpwstr>TCD|cd9d6eb6-3f4f-424a-b2d1-57c9d450eaaf</vt:lpwstr>
  </property>
  <property fmtid="{D5CDD505-2E9C-101B-9397-08002B2CF9AE}" pid="11" name="MeetingNumber">
    <vt:i4>1</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459</vt:i4>
  </property>
  <property fmtid="{D5CDD505-2E9C-101B-9397-08002B2CF9AE}" pid="15" name="DocumentVersion">
    <vt:i4>0</vt:i4>
  </property>
  <property fmtid="{D5CDD505-2E9C-101B-9397-08002B2CF9AE}" pid="16" name="DocumentStatus">
    <vt:lpwstr>9;#TRA|150d2a88-1431-44e6-a8ca-0bb753ab8672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18;#TCD|cd9d6eb6-3f4f-424a-b2d1-57c9d450eaaf</vt:lpwstr>
  </property>
  <property fmtid="{D5CDD505-2E9C-101B-9397-08002B2CF9AE}" pid="22" name="RequestingService">
    <vt:lpwstr>Systèmes alimentaires durables, environnement, dév. rural</vt:lpwstr>
  </property>
  <property fmtid="{D5CDD505-2E9C-101B-9397-08002B2CF9AE}" pid="23" name="Confidentiality">
    <vt:lpwstr>19;#Unrestricted|826e22d7-d029-4ec0-a450-0c28ff673572</vt:lpwstr>
  </property>
  <property fmtid="{D5CDD505-2E9C-101B-9397-08002B2CF9AE}" pid="24" name="MeetingName_0">
    <vt:lpwstr>PG on food|2d683d6e-d85b-488d-89c3-3b91e47165b1</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144;#PG on food|2d683d6e-d85b-488d-89c3-3b91e47165b1</vt:lpwstr>
  </property>
  <property fmtid="{D5CDD505-2E9C-101B-9397-08002B2CF9AE}" pid="28" name="MeetingDate">
    <vt:filetime>2026-03-30T12:00:00Z</vt:filetime>
  </property>
  <property fmtid="{D5CDD505-2E9C-101B-9397-08002B2CF9AE}" pid="29" name="AvailableTranslations_0">
    <vt:lpwstr>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18;#TCD|cd9d6eb6-3f4f-424a-b2d1-57c9d450eaaf;#9;#TRA|150d2a88-1431-44e6-a8ca-0bb753ab8672;#144;#PG on food|2d683d6e-d85b-488d-89c3-3b91e47165b1;#7;#Final|ea5e6674-7b27-4bac-b091-73adbb394efe;#4;#EN|f2175f21-25d7-44a3-96da-d6a61b075e1b;#19;#Unrestricted|826e22d7-d029-4ec0-a450-0c28ff673572;#1;#EESC|422833ec-8d7e-4e65-8e4e-8bed07ffb729</vt:lpwstr>
  </property>
  <property fmtid="{D5CDD505-2E9C-101B-9397-08002B2CF9AE}" pid="33" name="VersionStatus_0">
    <vt:lpwstr>Final|ea5e6674-7b27-4bac-b091-73adbb394efe</vt:lpwstr>
  </property>
  <property fmtid="{D5CDD505-2E9C-101B-9397-08002B2CF9AE}" pid="34" name="VersionStatus">
    <vt:lpwstr>50;#Obsolete|ef7b2089-53ec-4293-a3a0-fe07d3abc41e</vt:lpwstr>
  </property>
  <property fmtid="{D5CDD505-2E9C-101B-9397-08002B2CF9AE}" pid="35" name="DocumentYear">
    <vt:i4>2026</vt:i4>
  </property>
  <property fmtid="{D5CDD505-2E9C-101B-9397-08002B2CF9AE}" pid="36" name="FicheNumber">
    <vt:i4>301382</vt:i4>
  </property>
  <property fmtid="{D5CDD505-2E9C-101B-9397-08002B2CF9AE}" pid="37" name="DocumentLanguage">
    <vt:lpwstr>12;#ES|e7a6b05b-ae16-40c8-add9-68b64b03aeba</vt:lpwstr>
  </property>
  <property fmtid="{D5CDD505-2E9C-101B-9397-08002B2CF9AE}" pid="38" name="_docset_NoMedatataSyncRequired">
    <vt:lpwstr>False</vt:lpwstr>
  </property>
</Properties>
</file>