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5E2A" w:rsidR="00126D15" w:rsidP="006E65D5" w:rsidRDefault="00993568" w14:paraId="40043FCF" w14:textId="77777777">
      <w:pPr>
        <w:spacing w:after="0" w:line="288" w:lineRule="auto"/>
        <w:jc w:val="center"/>
        <w:rPr>
          <w:rFonts w:ascii="Times New Roman" w:hAnsi="Times New Roman" w:cs="Times New Roman"/>
          <w:b/>
          <w:lang w:val="en-GB"/>
        </w:rPr>
      </w:pPr>
      <w:bookmarkStart w:name="_GoBack" w:id="0"/>
      <w:bookmarkEnd w:id="0"/>
      <w:r w:rsidRPr="00860AE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editId="559B656C" wp14:anchorId="07C61835">
                <wp:simplePos x="0" y="0"/>
                <wp:positionH relativeFrom="page">
                  <wp:posOffset>6770536</wp:posOffset>
                </wp:positionH>
                <wp:positionV relativeFrom="page">
                  <wp:posOffset>10082254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3A301E" w:rsidRDefault="003A301E" w14:paraId="58C066E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C61835">
                <v:stroke joinstyle="miter"/>
                <v:path gradientshapeok="t" o:connecttype="rect"/>
              </v:shapetype>
              <v:shape id="Text Box 17" style="position:absolute;left:0;text-align:left;margin-left:533.1pt;margin-top:793.9pt;width:51pt;height:31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CdDXSN4A&#10;AAAPAQAADwAAAAAAAAAAAAAAAAAQBQAAZHJzL2Rvd25yZXYueG1sUEsFBgAAAAAEAAQA8wAAABsG&#10;AAAAAA==&#10;">
                <v:textbox>
                  <w:txbxContent>
                    <w:p w:rsidRPr="00260E65" w:rsidR="003A301E" w:rsidRDefault="003A301E" w14:paraId="58C066E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5E2A" w:rsidR="00126D15">
        <w:rPr>
          <w:rFonts w:ascii="Times New Roman" w:hAnsi="Times New Roman" w:cs="Times New Roman"/>
          <w:b/>
          <w:lang w:val="en-GB"/>
        </w:rPr>
        <w:t>EESC Section for Agriculture, Rural Development and the Environment (NAT)</w:t>
      </w:r>
    </w:p>
    <w:p w:rsidRPr="00435E2A" w:rsidR="00DB4F2C" w:rsidP="006E65D5" w:rsidRDefault="00C2269C" w14:paraId="7E10B645" w14:textId="14152E13">
      <w:pPr>
        <w:spacing w:after="0" w:line="288" w:lineRule="auto"/>
        <w:jc w:val="center"/>
        <w:rPr>
          <w:rFonts w:ascii="Times New Roman" w:hAnsi="Times New Roman" w:cs="Times New Roman"/>
          <w:b/>
          <w:lang w:val="en-GB"/>
        </w:rPr>
      </w:pPr>
      <w:r w:rsidRPr="00860A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1" wp14:editId="387B05AE" wp14:anchorId="135D7AC7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493395" cy="524510"/>
            <wp:effectExtent l="0" t="0" r="1905" b="8890"/>
            <wp:wrapSquare wrapText="bothSides"/>
            <wp:docPr id="3" name="Picture 3" descr="Image result for Un SDG Goal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Un SDG Goal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E2A" w:rsidR="002E3AD4">
        <w:rPr>
          <w:rFonts w:ascii="Times New Roman" w:hAnsi="Times New Roman" w:cs="Times New Roman"/>
          <w:b/>
          <w:lang w:val="en-GB"/>
        </w:rPr>
        <w:t>Permanent</w:t>
      </w:r>
      <w:r w:rsidRPr="00435E2A" w:rsidR="00301601">
        <w:rPr>
          <w:rFonts w:ascii="Times New Roman" w:hAnsi="Times New Roman" w:cs="Times New Roman"/>
          <w:b/>
          <w:lang w:val="en-GB"/>
        </w:rPr>
        <w:t xml:space="preserve"> </w:t>
      </w:r>
      <w:r w:rsidRPr="00435E2A" w:rsidR="00DB4F2C">
        <w:rPr>
          <w:rFonts w:ascii="Times New Roman" w:hAnsi="Times New Roman" w:cs="Times New Roman"/>
          <w:b/>
          <w:lang w:val="en-GB"/>
        </w:rPr>
        <w:t>Group</w:t>
      </w:r>
      <w:r w:rsidRPr="00435E2A" w:rsidR="00CB431D">
        <w:rPr>
          <w:rFonts w:ascii="Times New Roman" w:hAnsi="Times New Roman" w:cs="Times New Roman"/>
          <w:b/>
          <w:lang w:val="en-GB"/>
        </w:rPr>
        <w:t xml:space="preserve"> (</w:t>
      </w:r>
      <w:r w:rsidRPr="00435E2A" w:rsidR="002E3AD4">
        <w:rPr>
          <w:rFonts w:ascii="Times New Roman" w:hAnsi="Times New Roman" w:cs="Times New Roman"/>
          <w:b/>
          <w:lang w:val="en-GB"/>
        </w:rPr>
        <w:t>PG</w:t>
      </w:r>
      <w:r w:rsidRPr="00435E2A" w:rsidR="00CB431D">
        <w:rPr>
          <w:rFonts w:ascii="Times New Roman" w:hAnsi="Times New Roman" w:cs="Times New Roman"/>
          <w:b/>
          <w:lang w:val="en-GB"/>
        </w:rPr>
        <w:t>)</w:t>
      </w:r>
      <w:r w:rsidRPr="00435E2A" w:rsidR="00DB4F2C">
        <w:rPr>
          <w:rFonts w:ascii="Times New Roman" w:hAnsi="Times New Roman" w:cs="Times New Roman"/>
          <w:b/>
          <w:lang w:val="en-GB"/>
        </w:rPr>
        <w:t xml:space="preserve"> on Sustainable Food Systems</w:t>
      </w:r>
    </w:p>
    <w:p w:rsidRPr="00435E2A" w:rsidR="00DB4F2C" w:rsidP="006E65D5" w:rsidRDefault="00C2269C" w14:paraId="622D7F9B" w14:textId="2CE97AB5">
      <w:pPr>
        <w:spacing w:after="0" w:line="288" w:lineRule="auto"/>
        <w:jc w:val="center"/>
        <w:rPr>
          <w:rFonts w:ascii="Times New Roman" w:hAnsi="Times New Roman" w:cs="Times New Roman"/>
          <w:b/>
          <w:lang w:val="en-GB"/>
        </w:rPr>
      </w:pPr>
      <w:r w:rsidRPr="00860A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 wp14:editId="45F2003D" wp14:anchorId="24EB4B22">
            <wp:simplePos x="0" y="0"/>
            <wp:positionH relativeFrom="column">
              <wp:posOffset>4040505</wp:posOffset>
            </wp:positionH>
            <wp:positionV relativeFrom="paragraph">
              <wp:posOffset>6985</wp:posOffset>
            </wp:positionV>
            <wp:extent cx="513080" cy="523240"/>
            <wp:effectExtent l="0" t="0" r="1270" b="0"/>
            <wp:wrapSquare wrapText="bothSides"/>
            <wp:docPr id="2" name="Picture 2" descr="Image result for sdg 12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dg 12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A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editId="6BAD283A" wp14:anchorId="4171442E">
            <wp:simplePos x="0" y="0"/>
            <wp:positionH relativeFrom="column">
              <wp:posOffset>4687405</wp:posOffset>
            </wp:positionH>
            <wp:positionV relativeFrom="paragraph">
              <wp:posOffset>13970</wp:posOffset>
            </wp:positionV>
            <wp:extent cx="513080" cy="513080"/>
            <wp:effectExtent l="0" t="0" r="127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_SDG goals_icons-individual-rgb-1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AE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45952" behindDoc="0" locked="0" layoutInCell="1" allowOverlap="1" wp14:editId="7EAC9BB5" wp14:anchorId="06BA7347">
            <wp:simplePos x="0" y="0"/>
            <wp:positionH relativeFrom="column">
              <wp:posOffset>605155</wp:posOffset>
            </wp:positionH>
            <wp:positionV relativeFrom="paragraph">
              <wp:posOffset>10160</wp:posOffset>
            </wp:positionV>
            <wp:extent cx="513080" cy="513080"/>
            <wp:effectExtent l="0" t="0" r="127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_SDG goals_icons-individual-rgb-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AE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3600" behindDoc="0" locked="0" layoutInCell="1" allowOverlap="1" wp14:editId="2DA6FC1C" wp14:anchorId="458EB49B">
            <wp:simplePos x="0" y="0"/>
            <wp:positionH relativeFrom="column">
              <wp:posOffset>635</wp:posOffset>
            </wp:positionH>
            <wp:positionV relativeFrom="paragraph">
              <wp:posOffset>8255</wp:posOffset>
            </wp:positionV>
            <wp:extent cx="518160" cy="5181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_SDG goals_icons-individual-rgb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AE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5168" behindDoc="0" locked="0" layoutInCell="1" allowOverlap="1" wp14:editId="3387E017" wp14:anchorId="24E6D8D4">
            <wp:simplePos x="0" y="0"/>
            <wp:positionH relativeFrom="column">
              <wp:posOffset>1207604</wp:posOffset>
            </wp:positionH>
            <wp:positionV relativeFrom="paragraph">
              <wp:posOffset>8255</wp:posOffset>
            </wp:positionV>
            <wp:extent cx="513080" cy="513080"/>
            <wp:effectExtent l="0" t="0" r="127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_SDG goals_icons-individual-rgb-1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E2A" w:rsidR="00CF4FFF">
        <w:rPr>
          <w:rFonts w:ascii="Times New Roman" w:hAnsi="Times New Roman" w:cs="Times New Roman"/>
          <w:b/>
          <w:lang w:val="en-GB"/>
        </w:rPr>
        <w:t>Work Plan 202</w:t>
      </w:r>
      <w:r w:rsidRPr="00435E2A" w:rsidR="00813C5D">
        <w:rPr>
          <w:rFonts w:ascii="Times New Roman" w:hAnsi="Times New Roman" w:cs="Times New Roman"/>
          <w:b/>
          <w:lang w:val="en-GB"/>
        </w:rPr>
        <w:t>5</w:t>
      </w:r>
      <w:r w:rsidRPr="00435E2A" w:rsidR="002E3AD4">
        <w:rPr>
          <w:rFonts w:ascii="Times New Roman" w:hAnsi="Times New Roman" w:cs="Times New Roman"/>
          <w:b/>
          <w:lang w:val="en-GB"/>
        </w:rPr>
        <w:t>-202</w:t>
      </w:r>
      <w:r w:rsidRPr="00435E2A" w:rsidR="00813C5D">
        <w:rPr>
          <w:rFonts w:ascii="Times New Roman" w:hAnsi="Times New Roman" w:cs="Times New Roman"/>
          <w:b/>
          <w:lang w:val="en-GB"/>
        </w:rPr>
        <w:t>7</w:t>
      </w:r>
      <w:r w:rsidRPr="00435E2A" w:rsidR="00CF4FFF">
        <w:rPr>
          <w:rFonts w:ascii="Times New Roman" w:hAnsi="Times New Roman" w:cs="Times New Roman"/>
          <w:b/>
          <w:lang w:val="en-GB"/>
        </w:rPr>
        <w:t xml:space="preserve"> </w:t>
      </w:r>
    </w:p>
    <w:p w:rsidRPr="00435E2A" w:rsidR="00F460C4" w:rsidP="006E65D5" w:rsidRDefault="00F460C4" w14:paraId="068557F8" w14:textId="77777777">
      <w:pPr>
        <w:spacing w:after="0" w:line="288" w:lineRule="auto"/>
        <w:jc w:val="both"/>
        <w:rPr>
          <w:rFonts w:ascii="Times New Roman" w:hAnsi="Times New Roman" w:cs="Times New Roman"/>
          <w:b/>
          <w:lang w:val="en-GB"/>
        </w:rPr>
      </w:pPr>
    </w:p>
    <w:p w:rsidRPr="00435E2A" w:rsidR="00757858" w:rsidP="006E65D5" w:rsidRDefault="00757858" w14:paraId="448C85D5" w14:textId="77777777">
      <w:pPr>
        <w:keepNext/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Pr="00435E2A" w:rsidR="00757858" w:rsidP="006E65D5" w:rsidRDefault="00757858" w14:paraId="5DF713D2" w14:textId="77777777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Pr="00435E2A" w:rsidR="008B7B7F" w:rsidP="006E65D5" w:rsidRDefault="008B7B7F" w14:paraId="6AC03827" w14:textId="77777777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Pr="00435E2A" w:rsidR="00126D15" w:rsidP="006E65D5" w:rsidRDefault="00F460C4" w14:paraId="6B371A57" w14:textId="77777777">
      <w:pPr>
        <w:keepNext/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435E2A">
        <w:rPr>
          <w:rFonts w:ascii="Times New Roman" w:hAnsi="Times New Roman" w:cs="Times New Roman"/>
          <w:b/>
          <w:u w:val="single"/>
          <w:lang w:val="en-GB"/>
        </w:rPr>
        <w:t>Context</w:t>
      </w:r>
      <w:r w:rsidRPr="00435E2A" w:rsidR="00951B89">
        <w:rPr>
          <w:rFonts w:ascii="Times New Roman" w:hAnsi="Times New Roman" w:cs="Times New Roman"/>
          <w:b/>
          <w:u w:val="single"/>
          <w:lang w:val="en-GB"/>
        </w:rPr>
        <w:t>:</w:t>
      </w:r>
    </w:p>
    <w:p w:rsidRPr="00435E2A" w:rsidR="00757858" w:rsidP="006E65D5" w:rsidRDefault="00757858" w14:paraId="3BFA6435" w14:textId="77777777">
      <w:pPr>
        <w:spacing w:after="0" w:line="288" w:lineRule="auto"/>
        <w:jc w:val="both"/>
        <w:rPr>
          <w:rFonts w:ascii="Times New Roman" w:hAnsi="Times New Roman" w:cs="Times New Roman"/>
          <w:b/>
          <w:lang w:val="en-GB"/>
        </w:rPr>
      </w:pPr>
    </w:p>
    <w:p w:rsidRPr="00435E2A" w:rsidR="00FA1D41" w:rsidP="00FA1D41" w:rsidRDefault="00FA1D41" w14:paraId="5261FEB5" w14:textId="1D926D5C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860AE8">
        <w:rPr>
          <w:rFonts w:ascii="Times New Roman" w:hAnsi="Times New Roman" w:cs="Times New Roman"/>
          <w:lang w:val="en-GB"/>
        </w:rPr>
        <w:t>The EESC</w:t>
      </w:r>
      <w:r w:rsidRPr="00860AE8" w:rsidR="002D5EE3">
        <w:rPr>
          <w:rFonts w:ascii="Times New Roman" w:hAnsi="Times New Roman" w:cs="Times New Roman"/>
          <w:lang w:val="en-GB"/>
        </w:rPr>
        <w:t>’</w:t>
      </w:r>
      <w:r w:rsidRPr="00860AE8">
        <w:rPr>
          <w:rFonts w:ascii="Times New Roman" w:hAnsi="Times New Roman" w:cs="Times New Roman"/>
          <w:lang w:val="en-GB"/>
        </w:rPr>
        <w:t xml:space="preserve">s Permanent Group (PG) on Sustainable Food Systems </w:t>
      </w:r>
      <w:r w:rsidRPr="00860AE8" w:rsidR="007561F8">
        <w:rPr>
          <w:rFonts w:ascii="Times New Roman" w:hAnsi="Times New Roman" w:cs="Times New Roman"/>
          <w:lang w:val="en-GB"/>
        </w:rPr>
        <w:t>focuses on</w:t>
      </w:r>
      <w:r w:rsidRPr="00860AE8">
        <w:rPr>
          <w:rFonts w:ascii="Times New Roman" w:hAnsi="Times New Roman" w:cs="Times New Roman"/>
          <w:lang w:val="en-GB"/>
        </w:rPr>
        <w:t xml:space="preserve"> the economic, environmental and social consequences of food production and consumption </w:t>
      </w:r>
      <w:r w:rsidRPr="00860AE8" w:rsidR="00D64EFE">
        <w:rPr>
          <w:rFonts w:ascii="Times New Roman" w:hAnsi="Times New Roman" w:cs="Times New Roman"/>
          <w:lang w:val="en-GB"/>
        </w:rPr>
        <w:t>using</w:t>
      </w:r>
      <w:r w:rsidRPr="00860AE8">
        <w:rPr>
          <w:rFonts w:ascii="Times New Roman" w:hAnsi="Times New Roman" w:cs="Times New Roman"/>
          <w:lang w:val="en-GB"/>
        </w:rPr>
        <w:t xml:space="preserve"> a more comprehensive policy approach. This overall objective </w:t>
      </w:r>
      <w:r w:rsidRPr="00860AE8" w:rsidR="002D5EE3">
        <w:rPr>
          <w:rFonts w:ascii="Times New Roman" w:hAnsi="Times New Roman" w:cs="Times New Roman"/>
          <w:lang w:val="en-GB"/>
        </w:rPr>
        <w:t xml:space="preserve">also </w:t>
      </w:r>
      <w:r w:rsidRPr="00860AE8">
        <w:rPr>
          <w:rFonts w:ascii="Times New Roman" w:hAnsi="Times New Roman" w:cs="Times New Roman"/>
          <w:lang w:val="en-GB"/>
        </w:rPr>
        <w:t xml:space="preserve">reflects the Sustainable Development Goals </w:t>
      </w:r>
      <w:r w:rsidRPr="00860AE8" w:rsidR="00D64EFE">
        <w:rPr>
          <w:rFonts w:ascii="Times New Roman" w:hAnsi="Times New Roman" w:cs="Times New Roman"/>
          <w:lang w:val="en-GB"/>
        </w:rPr>
        <w:t>under</w:t>
      </w:r>
      <w:r w:rsidRPr="00860AE8">
        <w:rPr>
          <w:rFonts w:ascii="Times New Roman" w:hAnsi="Times New Roman" w:cs="Times New Roman"/>
          <w:lang w:val="en-GB"/>
        </w:rPr>
        <w:t xml:space="preserve"> the UN 2030 Agenda, which provide a crucial framework for joint action to feed the world sustainably by 2030.</w:t>
      </w:r>
    </w:p>
    <w:p w:rsidRPr="00435E2A" w:rsidR="00FA1D41" w:rsidP="00FA1D41" w:rsidRDefault="00FA1D41" w14:paraId="1475454A" w14:textId="77777777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:rsidRPr="00B212DF" w:rsidR="00FA1D41" w:rsidP="00342D28" w:rsidRDefault="00FA1D41" w14:paraId="68377262" w14:textId="43B8C5A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35E2A">
        <w:rPr>
          <w:rFonts w:ascii="Times New Roman" w:hAnsi="Times New Roman" w:cs="Times New Roman"/>
          <w:lang w:val="en-GB"/>
        </w:rPr>
        <w:t>The 2025-2027 mandate of the PG will build on the work of the previous mandate</w:t>
      </w:r>
      <w:r w:rsidRPr="00435E2A" w:rsidR="007561F8">
        <w:rPr>
          <w:rFonts w:ascii="Times New Roman" w:hAnsi="Times New Roman" w:cs="Times New Roman"/>
          <w:lang w:val="en-GB"/>
        </w:rPr>
        <w:t xml:space="preserve">, with the aim </w:t>
      </w:r>
      <w:r w:rsidRPr="00435E2A" w:rsidR="002D5EE3">
        <w:rPr>
          <w:rFonts w:ascii="Times New Roman" w:hAnsi="Times New Roman" w:cs="Times New Roman"/>
          <w:lang w:val="en-GB"/>
        </w:rPr>
        <w:t>of</w:t>
      </w:r>
      <w:r w:rsidRPr="00435E2A" w:rsidR="007561F8">
        <w:rPr>
          <w:rFonts w:ascii="Times New Roman" w:hAnsi="Times New Roman" w:cs="Times New Roman"/>
          <w:lang w:val="en-GB"/>
        </w:rPr>
        <w:t xml:space="preserve"> foster</w:t>
      </w:r>
      <w:r w:rsidRPr="00435E2A" w:rsidR="002D5EE3">
        <w:rPr>
          <w:rFonts w:ascii="Times New Roman" w:hAnsi="Times New Roman" w:cs="Times New Roman"/>
          <w:lang w:val="en-GB"/>
        </w:rPr>
        <w:t>ing</w:t>
      </w:r>
      <w:r w:rsidRPr="00435E2A" w:rsidR="007561F8">
        <w:rPr>
          <w:rFonts w:ascii="Times New Roman" w:hAnsi="Times New Roman" w:cs="Times New Roman"/>
          <w:lang w:val="en-GB"/>
        </w:rPr>
        <w:t xml:space="preserve"> </w:t>
      </w:r>
      <w:r w:rsidRPr="00435E2A" w:rsidR="00C06A49">
        <w:rPr>
          <w:rFonts w:ascii="Times New Roman" w:hAnsi="Times New Roman" w:cs="Times New Roman"/>
          <w:b/>
          <w:bCs/>
          <w:lang w:val="en-GB"/>
        </w:rPr>
        <w:t>productive, competitive, sustainable, resilient, regenerative and fairer food systems</w:t>
      </w:r>
      <w:r w:rsidRPr="00435E2A" w:rsidR="00C06A49">
        <w:rPr>
          <w:rFonts w:ascii="Times New Roman" w:hAnsi="Times New Roman" w:cs="Times New Roman"/>
          <w:lang w:val="en-GB"/>
        </w:rPr>
        <w:t xml:space="preserve"> </w:t>
      </w:r>
      <w:r w:rsidRPr="00435E2A" w:rsidR="002D5EE3">
        <w:rPr>
          <w:rFonts w:ascii="Times New Roman" w:hAnsi="Times New Roman" w:cs="Times New Roman"/>
          <w:lang w:val="en-GB"/>
        </w:rPr>
        <w:t>across</w:t>
      </w:r>
      <w:r w:rsidRPr="00435E2A" w:rsidR="00C06A49">
        <w:rPr>
          <w:rFonts w:ascii="Times New Roman" w:hAnsi="Times New Roman" w:cs="Times New Roman"/>
          <w:lang w:val="en-GB"/>
        </w:rPr>
        <w:t xml:space="preserve"> all territories</w:t>
      </w:r>
      <w:r w:rsidRPr="00435E2A" w:rsidR="002D5EE3">
        <w:rPr>
          <w:rFonts w:ascii="Times New Roman" w:hAnsi="Times New Roman" w:cs="Times New Roman"/>
          <w:lang w:val="en-GB"/>
        </w:rPr>
        <w:t xml:space="preserve"> of the EU</w:t>
      </w:r>
      <w:r w:rsidRPr="00435E2A" w:rsidR="007561F8">
        <w:rPr>
          <w:rFonts w:ascii="Times New Roman" w:hAnsi="Times New Roman" w:cs="Times New Roman"/>
          <w:lang w:val="en-GB"/>
        </w:rPr>
        <w:t xml:space="preserve">. At the same time, it will </w:t>
      </w:r>
      <w:r w:rsidRPr="00435E2A" w:rsidR="007561F8">
        <w:rPr>
          <w:rFonts w:ascii="Times New Roman" w:hAnsi="Times New Roman" w:cs="Times New Roman"/>
          <w:b/>
          <w:bCs/>
          <w:lang w:val="en-GB"/>
        </w:rPr>
        <w:t xml:space="preserve">contribute </w:t>
      </w:r>
      <w:r w:rsidRPr="00435E2A">
        <w:rPr>
          <w:rFonts w:ascii="Times New Roman" w:hAnsi="Times New Roman" w:cs="Times New Roman"/>
          <w:b/>
          <w:bCs/>
          <w:lang w:val="en-GB"/>
        </w:rPr>
        <w:t xml:space="preserve">to </w:t>
      </w:r>
      <w:r w:rsidRPr="00435E2A" w:rsidR="007561F8">
        <w:rPr>
          <w:rFonts w:ascii="Times New Roman" w:hAnsi="Times New Roman" w:cs="Times New Roman"/>
          <w:b/>
          <w:bCs/>
          <w:lang w:val="en-GB"/>
        </w:rPr>
        <w:t>the</w:t>
      </w:r>
      <w:r w:rsidRPr="00435E2A" w:rsidR="007561F8">
        <w:rPr>
          <w:rFonts w:ascii="Times New Roman" w:hAnsi="Times New Roman" w:cs="Times New Roman"/>
          <w:lang w:val="en-GB"/>
        </w:rPr>
        <w:t xml:space="preserve"> </w:t>
      </w:r>
      <w:r w:rsidRPr="00435E2A">
        <w:rPr>
          <w:rFonts w:ascii="Times New Roman" w:hAnsi="Times New Roman" w:cs="Times New Roman"/>
          <w:b/>
          <w:bCs/>
          <w:lang w:val="en-GB"/>
        </w:rPr>
        <w:t>initiatives</w:t>
      </w:r>
      <w:r w:rsidRPr="00435E2A" w:rsidR="002D3337">
        <w:rPr>
          <w:rFonts w:ascii="Times New Roman" w:hAnsi="Times New Roman" w:cs="Times New Roman"/>
          <w:b/>
          <w:bCs/>
          <w:lang w:val="en-GB"/>
        </w:rPr>
        <w:t xml:space="preserve"> of the European Commission</w:t>
      </w:r>
      <w:r w:rsidRPr="00435E2A">
        <w:rPr>
          <w:rFonts w:ascii="Times New Roman" w:hAnsi="Times New Roman" w:cs="Times New Roman"/>
          <w:lang w:val="en-GB"/>
        </w:rPr>
        <w:t xml:space="preserve">, as announced in the </w:t>
      </w:r>
      <w:hyperlink w:history="1" r:id="rId14">
        <w:r w:rsidRPr="00163F00">
          <w:rPr>
            <w:rStyle w:val="Hyperlink"/>
            <w:rFonts w:ascii="Times New Roman" w:hAnsi="Times New Roman" w:cs="Times New Roman"/>
            <w:lang w:val="en-GB"/>
          </w:rPr>
          <w:t>Vision for Agriculture and Food</w:t>
        </w:r>
      </w:hyperlink>
      <w:r w:rsidRPr="00435E2A">
        <w:rPr>
          <w:rFonts w:ascii="Times New Roman" w:hAnsi="Times New Roman" w:cs="Times New Roman"/>
          <w:lang w:val="en-GB"/>
        </w:rPr>
        <w:t xml:space="preserve"> and in the </w:t>
      </w:r>
      <w:r w:rsidRPr="00435E2A" w:rsidR="007561F8">
        <w:rPr>
          <w:rFonts w:ascii="Times New Roman" w:hAnsi="Times New Roman" w:cs="Times New Roman"/>
          <w:lang w:val="en-GB"/>
        </w:rPr>
        <w:t>Commission</w:t>
      </w:r>
      <w:r w:rsidRPr="00435E2A" w:rsidR="002D5EE3">
        <w:rPr>
          <w:rFonts w:ascii="Times New Roman" w:hAnsi="Times New Roman" w:cs="Times New Roman"/>
          <w:lang w:val="en-GB"/>
        </w:rPr>
        <w:t>’</w:t>
      </w:r>
      <w:r w:rsidRPr="00435E2A" w:rsidR="007561F8">
        <w:rPr>
          <w:rFonts w:ascii="Times New Roman" w:hAnsi="Times New Roman" w:cs="Times New Roman"/>
          <w:lang w:val="en-GB"/>
        </w:rPr>
        <w:t xml:space="preserve">s Work </w:t>
      </w:r>
      <w:r w:rsidRPr="00B212DF" w:rsidR="007561F8">
        <w:rPr>
          <w:rFonts w:ascii="Times New Roman" w:hAnsi="Times New Roman" w:cs="Times New Roman"/>
        </w:rPr>
        <w:t>Programme</w:t>
      </w:r>
      <w:r w:rsidRPr="00B212DF">
        <w:rPr>
          <w:rFonts w:ascii="Times New Roman" w:hAnsi="Times New Roman" w:cs="Times New Roman"/>
        </w:rPr>
        <w:t>.</w:t>
      </w:r>
    </w:p>
    <w:p w:rsidRPr="00B212DF" w:rsidR="00FA1D41" w:rsidP="007561F8" w:rsidRDefault="00FA1D41" w14:paraId="5D015262" w14:textId="224C7F9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Pr="00435E2A" w:rsidR="007561F8" w:rsidP="007561F8" w:rsidRDefault="007561F8" w14:paraId="4B1E5419" w14:textId="6A8F81AB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B212DF">
        <w:rPr>
          <w:rFonts w:ascii="Times New Roman" w:hAnsi="Times New Roman" w:cs="Times New Roman"/>
        </w:rPr>
        <w:t>Geopolitical tensions, climate change, social inequalities and environmental degradation are putting increas</w:t>
      </w:r>
      <w:r w:rsidRPr="00B212DF" w:rsidR="002D5EE3">
        <w:rPr>
          <w:rFonts w:ascii="Times New Roman" w:hAnsi="Times New Roman" w:cs="Times New Roman"/>
        </w:rPr>
        <w:t>ed</w:t>
      </w:r>
      <w:r w:rsidRPr="00B212DF">
        <w:rPr>
          <w:rFonts w:ascii="Times New Roman" w:hAnsi="Times New Roman" w:cs="Times New Roman"/>
        </w:rPr>
        <w:t xml:space="preserve"> pressure</w:t>
      </w:r>
      <w:r w:rsidRPr="00435E2A">
        <w:rPr>
          <w:rFonts w:ascii="Times New Roman" w:hAnsi="Times New Roman" w:cs="Times New Roman"/>
          <w:bCs/>
          <w:lang w:val="en-GB"/>
        </w:rPr>
        <w:t xml:space="preserve"> on the EU’s farming, fisheries and food sectors, which are nevertheless strategic for food security, the economy and the vitality of rural areas. In </w:t>
      </w:r>
      <w:r w:rsidRPr="00435E2A" w:rsidR="002D5EE3">
        <w:rPr>
          <w:rFonts w:ascii="Times New Roman" w:hAnsi="Times New Roman" w:cs="Times New Roman"/>
          <w:bCs/>
          <w:lang w:val="en-GB"/>
        </w:rPr>
        <w:t>recent</w:t>
      </w:r>
      <w:r w:rsidRPr="00435E2A">
        <w:rPr>
          <w:rFonts w:ascii="Times New Roman" w:hAnsi="Times New Roman" w:cs="Times New Roman"/>
          <w:bCs/>
          <w:lang w:val="en-GB"/>
        </w:rPr>
        <w:t xml:space="preserve"> years, the economic situation of these sectors has sharply deteriorated </w:t>
      </w:r>
      <w:r w:rsidRPr="00435E2A" w:rsidR="00C06A49">
        <w:rPr>
          <w:rFonts w:ascii="Times New Roman" w:hAnsi="Times New Roman" w:cs="Times New Roman"/>
          <w:bCs/>
          <w:lang w:val="en-GB"/>
        </w:rPr>
        <w:t>and u</w:t>
      </w:r>
      <w:r w:rsidRPr="00435E2A">
        <w:rPr>
          <w:rFonts w:ascii="Times New Roman" w:hAnsi="Times New Roman" w:cs="Times New Roman"/>
          <w:bCs/>
          <w:lang w:val="en-GB"/>
        </w:rPr>
        <w:t xml:space="preserve">rgent action is therefore needed to stabilise production, ensure fair incomes, support generational renewal and strengthen EU food sovereignty and strategic autonomy. </w:t>
      </w:r>
      <w:r w:rsidRPr="00435E2A" w:rsidR="007A272A">
        <w:rPr>
          <w:rFonts w:ascii="Times New Roman" w:hAnsi="Times New Roman" w:cs="Times New Roman"/>
          <w:bCs/>
          <w:lang w:val="en-GB"/>
        </w:rPr>
        <w:t>R</w:t>
      </w:r>
      <w:r w:rsidRPr="00435E2A">
        <w:rPr>
          <w:rFonts w:ascii="Times New Roman" w:hAnsi="Times New Roman" w:cs="Times New Roman"/>
          <w:bCs/>
          <w:lang w:val="en-GB"/>
        </w:rPr>
        <w:t>ural areas</w:t>
      </w:r>
      <w:r w:rsidRPr="00435E2A" w:rsidR="00215C44">
        <w:rPr>
          <w:rFonts w:ascii="Times New Roman" w:hAnsi="Times New Roman" w:cs="Times New Roman"/>
          <w:bCs/>
          <w:lang w:val="en-GB"/>
        </w:rPr>
        <w:t xml:space="preserve">, </w:t>
      </w:r>
      <w:r w:rsidRPr="00435E2A" w:rsidR="002D5EE3">
        <w:rPr>
          <w:rFonts w:ascii="Times New Roman" w:hAnsi="Times New Roman" w:cs="Times New Roman"/>
          <w:bCs/>
          <w:lang w:val="en-GB"/>
        </w:rPr>
        <w:t xml:space="preserve">which are </w:t>
      </w:r>
      <w:r w:rsidRPr="00435E2A">
        <w:rPr>
          <w:rFonts w:ascii="Times New Roman" w:hAnsi="Times New Roman" w:cs="Times New Roman"/>
          <w:bCs/>
          <w:lang w:val="en-GB"/>
        </w:rPr>
        <w:t>home to 30% of the EU population</w:t>
      </w:r>
      <w:r w:rsidRPr="00435E2A" w:rsidR="00215C44">
        <w:rPr>
          <w:rFonts w:ascii="Times New Roman" w:hAnsi="Times New Roman" w:cs="Times New Roman"/>
          <w:bCs/>
          <w:lang w:val="en-GB"/>
        </w:rPr>
        <w:t xml:space="preserve">, </w:t>
      </w:r>
      <w:r w:rsidRPr="00435E2A">
        <w:rPr>
          <w:rFonts w:ascii="Times New Roman" w:hAnsi="Times New Roman" w:cs="Times New Roman"/>
          <w:bCs/>
          <w:lang w:val="en-GB"/>
        </w:rPr>
        <w:t xml:space="preserve">must be supported </w:t>
      </w:r>
      <w:r w:rsidRPr="00435E2A" w:rsidR="002D5EE3">
        <w:rPr>
          <w:rFonts w:ascii="Times New Roman" w:hAnsi="Times New Roman" w:cs="Times New Roman"/>
          <w:bCs/>
          <w:lang w:val="en-GB"/>
        </w:rPr>
        <w:t xml:space="preserve">in order </w:t>
      </w:r>
      <w:r w:rsidRPr="00435E2A">
        <w:rPr>
          <w:rFonts w:ascii="Times New Roman" w:hAnsi="Times New Roman" w:cs="Times New Roman"/>
          <w:bCs/>
          <w:lang w:val="en-GB"/>
        </w:rPr>
        <w:t>to overcome depopulation and social decline, while building on their key role</w:t>
      </w:r>
      <w:r w:rsidRPr="00435E2A" w:rsidR="002D3337">
        <w:rPr>
          <w:rFonts w:ascii="Times New Roman" w:hAnsi="Times New Roman" w:cs="Times New Roman"/>
          <w:bCs/>
          <w:lang w:val="en-GB"/>
        </w:rPr>
        <w:t xml:space="preserve"> and untapped potential</w:t>
      </w:r>
      <w:r w:rsidRPr="00435E2A">
        <w:rPr>
          <w:rFonts w:ascii="Times New Roman" w:hAnsi="Times New Roman" w:cs="Times New Roman"/>
          <w:bCs/>
          <w:lang w:val="en-GB"/>
        </w:rPr>
        <w:t xml:space="preserve"> </w:t>
      </w:r>
      <w:r w:rsidRPr="00435E2A" w:rsidR="00D64EFE">
        <w:rPr>
          <w:rFonts w:ascii="Times New Roman" w:hAnsi="Times New Roman" w:cs="Times New Roman"/>
          <w:bCs/>
          <w:lang w:val="en-GB"/>
        </w:rPr>
        <w:t>with respect to</w:t>
      </w:r>
      <w:r w:rsidRPr="00435E2A">
        <w:rPr>
          <w:rFonts w:ascii="Times New Roman" w:hAnsi="Times New Roman" w:cs="Times New Roman"/>
          <w:bCs/>
          <w:lang w:val="en-GB"/>
        </w:rPr>
        <w:t xml:space="preserve"> sustainable development and the green transition. </w:t>
      </w:r>
      <w:r w:rsidRPr="00435E2A" w:rsidR="00C06A49">
        <w:rPr>
          <w:rFonts w:ascii="Times New Roman" w:hAnsi="Times New Roman" w:cs="Times New Roman"/>
          <w:bCs/>
          <w:lang w:val="en-GB"/>
        </w:rPr>
        <w:t>Moreover, f</w:t>
      </w:r>
      <w:r w:rsidRPr="00435E2A">
        <w:rPr>
          <w:rFonts w:ascii="Times New Roman" w:hAnsi="Times New Roman" w:cs="Times New Roman"/>
          <w:lang w:val="en-GB"/>
        </w:rPr>
        <w:t>ood is a common thread linking all 17 SDGs</w:t>
      </w:r>
      <w:r w:rsidRPr="00435E2A" w:rsidR="007A272A">
        <w:rPr>
          <w:rFonts w:ascii="Times New Roman" w:hAnsi="Times New Roman" w:cs="Times New Roman"/>
          <w:lang w:val="en-GB"/>
        </w:rPr>
        <w:t xml:space="preserve"> and </w:t>
      </w:r>
      <w:r w:rsidRPr="00435E2A" w:rsidR="00D64EFE">
        <w:rPr>
          <w:rFonts w:ascii="Times New Roman" w:hAnsi="Times New Roman" w:cs="Times New Roman"/>
          <w:lang w:val="en-GB"/>
        </w:rPr>
        <w:t xml:space="preserve">the </w:t>
      </w:r>
      <w:r w:rsidRPr="00435E2A" w:rsidR="007A272A">
        <w:rPr>
          <w:rFonts w:ascii="Times New Roman" w:hAnsi="Times New Roman" w:cs="Times New Roman"/>
          <w:lang w:val="en-GB"/>
        </w:rPr>
        <w:t>t</w:t>
      </w:r>
      <w:r w:rsidRPr="00435E2A">
        <w:rPr>
          <w:rFonts w:ascii="Times New Roman" w:hAnsi="Times New Roman" w:cs="Times New Roman"/>
          <w:lang w:val="en-GB"/>
        </w:rPr>
        <w:t>ransform</w:t>
      </w:r>
      <w:r w:rsidRPr="00435E2A" w:rsidR="00D64EFE">
        <w:rPr>
          <w:rFonts w:ascii="Times New Roman" w:hAnsi="Times New Roman" w:cs="Times New Roman"/>
          <w:lang w:val="en-GB"/>
        </w:rPr>
        <w:t xml:space="preserve">ation of </w:t>
      </w:r>
      <w:r w:rsidRPr="00435E2A">
        <w:rPr>
          <w:rFonts w:ascii="Times New Roman" w:hAnsi="Times New Roman" w:cs="Times New Roman"/>
          <w:lang w:val="en-GB"/>
        </w:rPr>
        <w:t xml:space="preserve">food systems will </w:t>
      </w:r>
      <w:r w:rsidRPr="00435E2A" w:rsidR="002D5EE3">
        <w:rPr>
          <w:rFonts w:ascii="Times New Roman" w:hAnsi="Times New Roman" w:cs="Times New Roman"/>
          <w:lang w:val="en-GB"/>
        </w:rPr>
        <w:t xml:space="preserve">therefore </w:t>
      </w:r>
      <w:r w:rsidRPr="00435E2A">
        <w:rPr>
          <w:rFonts w:ascii="Times New Roman" w:hAnsi="Times New Roman" w:cs="Times New Roman"/>
          <w:lang w:val="en-GB"/>
        </w:rPr>
        <w:t>provide a powerful lever for implement</w:t>
      </w:r>
      <w:r w:rsidRPr="00435E2A" w:rsidR="002D5EE3">
        <w:rPr>
          <w:rFonts w:ascii="Times New Roman" w:hAnsi="Times New Roman" w:cs="Times New Roman"/>
          <w:lang w:val="en-GB"/>
        </w:rPr>
        <w:t>ing</w:t>
      </w:r>
      <w:r w:rsidRPr="00435E2A">
        <w:rPr>
          <w:rFonts w:ascii="Times New Roman" w:hAnsi="Times New Roman" w:cs="Times New Roman"/>
          <w:lang w:val="en-GB"/>
        </w:rPr>
        <w:t xml:space="preserve"> the sustainable development and climate agendas as a whole. </w:t>
      </w:r>
    </w:p>
    <w:p w:rsidRPr="00435E2A" w:rsidR="007561F8" w:rsidP="007561F8" w:rsidRDefault="007561F8" w14:paraId="6BC80F95" w14:textId="44181B69">
      <w:pPr>
        <w:spacing w:after="0" w:line="288" w:lineRule="auto"/>
        <w:jc w:val="both"/>
        <w:rPr>
          <w:rStyle w:val="Hyperlink"/>
          <w:rFonts w:ascii="Times New Roman" w:hAnsi="Times New Roman" w:cs="Times New Roman"/>
          <w:lang w:val="en-GB"/>
        </w:rPr>
      </w:pPr>
    </w:p>
    <w:p w:rsidRPr="00435E2A" w:rsidR="007561F8" w:rsidP="007561F8" w:rsidRDefault="007561F8" w14:paraId="6D96FA22" w14:textId="0095249A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435E2A">
        <w:rPr>
          <w:rFonts w:ascii="Times New Roman" w:hAnsi="Times New Roman" w:cs="Times New Roman"/>
          <w:lang w:val="en-GB"/>
        </w:rPr>
        <w:t xml:space="preserve">At </w:t>
      </w:r>
      <w:r w:rsidRPr="00435E2A">
        <w:rPr>
          <w:rFonts w:ascii="Times New Roman" w:hAnsi="Times New Roman" w:cs="Times New Roman"/>
          <w:b/>
          <w:bCs/>
          <w:lang w:val="en-GB"/>
        </w:rPr>
        <w:t>international level</w:t>
      </w:r>
      <w:r w:rsidRPr="00435E2A">
        <w:rPr>
          <w:rFonts w:ascii="Times New Roman" w:hAnsi="Times New Roman" w:cs="Times New Roman"/>
          <w:lang w:val="en-GB"/>
        </w:rPr>
        <w:t xml:space="preserve">, the agri-food sector faces a combination of interlinked challenges, including ensuring global food security in the context of population growth, climate change, increasing pressure on natural resources, geopolitical tensions, trade disruptions and market volatility. </w:t>
      </w:r>
      <w:r w:rsidRPr="00435E2A" w:rsidR="00C06A49">
        <w:rPr>
          <w:rFonts w:ascii="Times New Roman" w:hAnsi="Times New Roman" w:cs="Times New Roman"/>
          <w:lang w:val="en-GB"/>
        </w:rPr>
        <w:t xml:space="preserve">The tariffs imposed by the United States underscore, more than ever, the need to strengthen synergies and coordinated action among strategic partners, </w:t>
      </w:r>
      <w:r w:rsidRPr="00435E2A" w:rsidR="00D64EFE">
        <w:rPr>
          <w:rFonts w:ascii="Times New Roman" w:hAnsi="Times New Roman" w:cs="Times New Roman"/>
          <w:lang w:val="en-GB"/>
        </w:rPr>
        <w:t>particularly</w:t>
      </w:r>
      <w:r w:rsidRPr="00435E2A" w:rsidR="00C06A49">
        <w:rPr>
          <w:rFonts w:ascii="Times New Roman" w:hAnsi="Times New Roman" w:cs="Times New Roman"/>
          <w:lang w:val="en-GB"/>
        </w:rPr>
        <w:t xml:space="preserve"> with organisations such as the United Nations Food and Agriculture Organization (FAO), </w:t>
      </w:r>
      <w:r w:rsidRPr="00435E2A" w:rsidR="002D5EE3">
        <w:rPr>
          <w:rFonts w:ascii="Times New Roman" w:hAnsi="Times New Roman" w:cs="Times New Roman"/>
          <w:lang w:val="en-GB"/>
        </w:rPr>
        <w:t xml:space="preserve">in order </w:t>
      </w:r>
      <w:r w:rsidRPr="00435E2A" w:rsidR="00C06A49">
        <w:rPr>
          <w:rFonts w:ascii="Times New Roman" w:hAnsi="Times New Roman" w:cs="Times New Roman"/>
          <w:lang w:val="en-GB"/>
        </w:rPr>
        <w:t xml:space="preserve">to jointly safeguard global food security and promote a stable agri-food system. </w:t>
      </w:r>
      <w:r w:rsidRPr="00435E2A">
        <w:rPr>
          <w:rFonts w:ascii="Times New Roman" w:hAnsi="Times New Roman" w:cs="Times New Roman"/>
          <w:lang w:val="en-GB"/>
        </w:rPr>
        <w:t xml:space="preserve">The follow-up </w:t>
      </w:r>
      <w:r w:rsidRPr="00435E2A" w:rsidR="002D5EE3">
        <w:rPr>
          <w:rFonts w:ascii="Times New Roman" w:hAnsi="Times New Roman" w:cs="Times New Roman"/>
          <w:lang w:val="en-GB"/>
        </w:rPr>
        <w:t>to</w:t>
      </w:r>
      <w:r w:rsidRPr="00435E2A">
        <w:rPr>
          <w:rFonts w:ascii="Times New Roman" w:hAnsi="Times New Roman" w:cs="Times New Roman"/>
          <w:lang w:val="en-GB"/>
        </w:rPr>
        <w:t xml:space="preserve"> the </w:t>
      </w:r>
      <w:hyperlink w:history="1" r:id="rId15">
        <w:r w:rsidRPr="00435E2A">
          <w:rPr>
            <w:rStyle w:val="Hyperlink"/>
            <w:rFonts w:ascii="Times New Roman" w:hAnsi="Times New Roman" w:cs="Times New Roman"/>
            <w:lang w:val="en-GB"/>
          </w:rPr>
          <w:t>UN Food Systems Summit</w:t>
        </w:r>
      </w:hyperlink>
      <w:r w:rsidRPr="00435E2A">
        <w:rPr>
          <w:rFonts w:ascii="Times New Roman" w:hAnsi="Times New Roman" w:cs="Times New Roman"/>
          <w:lang w:val="en-GB"/>
        </w:rPr>
        <w:t xml:space="preserve"> convened by the UN Secretary-General in 2021</w:t>
      </w:r>
      <w:r w:rsidRPr="00435E2A" w:rsidR="007A272A">
        <w:rPr>
          <w:rFonts w:ascii="Times New Roman" w:hAnsi="Times New Roman" w:cs="Times New Roman"/>
          <w:lang w:val="en-GB"/>
        </w:rPr>
        <w:t>,</w:t>
      </w:r>
      <w:r w:rsidRPr="00435E2A">
        <w:rPr>
          <w:rFonts w:ascii="Times New Roman" w:hAnsi="Times New Roman" w:cs="Times New Roman"/>
          <w:lang w:val="en-GB"/>
        </w:rPr>
        <w:t xml:space="preserve"> through its </w:t>
      </w:r>
      <w:r w:rsidRPr="00435E2A" w:rsidR="002D5EE3">
        <w:rPr>
          <w:rFonts w:ascii="Times New Roman" w:hAnsi="Times New Roman" w:cs="Times New Roman"/>
          <w:lang w:val="en-GB"/>
        </w:rPr>
        <w:t xml:space="preserve">biennial </w:t>
      </w:r>
      <w:r w:rsidRPr="00435E2A">
        <w:rPr>
          <w:rFonts w:ascii="Times New Roman" w:hAnsi="Times New Roman" w:cs="Times New Roman"/>
          <w:lang w:val="en-GB"/>
        </w:rPr>
        <w:t xml:space="preserve">stocktaking exercises, </w:t>
      </w:r>
      <w:r w:rsidRPr="00435E2A" w:rsidR="002D5EE3">
        <w:rPr>
          <w:rFonts w:ascii="Times New Roman" w:hAnsi="Times New Roman" w:cs="Times New Roman"/>
          <w:lang w:val="en-GB"/>
        </w:rPr>
        <w:t xml:space="preserve">as well as </w:t>
      </w:r>
      <w:r w:rsidRPr="00435E2A">
        <w:rPr>
          <w:rFonts w:ascii="Times New Roman" w:hAnsi="Times New Roman" w:cs="Times New Roman"/>
          <w:lang w:val="en-GB"/>
        </w:rPr>
        <w:t>the work of the Committee on World Food Security (CFS) and the growing space devoted to food systems in the COP on Climate Change and Biodiversity</w:t>
      </w:r>
      <w:r w:rsidRPr="00435E2A" w:rsidR="002D5EE3">
        <w:rPr>
          <w:rFonts w:ascii="Times New Roman" w:hAnsi="Times New Roman" w:cs="Times New Roman"/>
          <w:lang w:val="en-GB"/>
        </w:rPr>
        <w:t>,</w:t>
      </w:r>
      <w:r w:rsidRPr="00435E2A">
        <w:rPr>
          <w:rFonts w:ascii="Times New Roman" w:hAnsi="Times New Roman" w:cs="Times New Roman"/>
          <w:lang w:val="en-GB"/>
        </w:rPr>
        <w:t xml:space="preserve"> will be the cornerstone of the PG work programme </w:t>
      </w:r>
      <w:r w:rsidRPr="00435E2A" w:rsidR="00D64EFE">
        <w:rPr>
          <w:rFonts w:ascii="Times New Roman" w:hAnsi="Times New Roman" w:cs="Times New Roman"/>
          <w:lang w:val="en-GB"/>
        </w:rPr>
        <w:t>during</w:t>
      </w:r>
      <w:r w:rsidRPr="00435E2A">
        <w:rPr>
          <w:rFonts w:ascii="Times New Roman" w:hAnsi="Times New Roman" w:cs="Times New Roman"/>
          <w:lang w:val="en-GB"/>
        </w:rPr>
        <w:t xml:space="preserve"> the 2025-2027 </w:t>
      </w:r>
      <w:r w:rsidRPr="00435E2A" w:rsidR="00215C44">
        <w:rPr>
          <w:rFonts w:ascii="Times New Roman" w:hAnsi="Times New Roman" w:cs="Times New Roman"/>
          <w:lang w:val="en-GB"/>
        </w:rPr>
        <w:t xml:space="preserve">half </w:t>
      </w:r>
      <w:r w:rsidRPr="00435E2A">
        <w:rPr>
          <w:rFonts w:ascii="Times New Roman" w:hAnsi="Times New Roman" w:cs="Times New Roman"/>
          <w:lang w:val="en-GB"/>
        </w:rPr>
        <w:t xml:space="preserve">mandate. </w:t>
      </w:r>
      <w:r w:rsidRPr="00435E2A" w:rsidR="006E55B4">
        <w:rPr>
          <w:rFonts w:ascii="Times New Roman" w:hAnsi="Times New Roman" w:cs="Times New Roman"/>
          <w:lang w:val="en-GB"/>
        </w:rPr>
        <w:t xml:space="preserve">At the same time, </w:t>
      </w:r>
      <w:r w:rsidRPr="00435E2A" w:rsidR="007A272A">
        <w:rPr>
          <w:rFonts w:ascii="Times New Roman" w:hAnsi="Times New Roman" w:cs="Times New Roman"/>
          <w:lang w:val="en-GB"/>
        </w:rPr>
        <w:t>the PG</w:t>
      </w:r>
      <w:r w:rsidRPr="00435E2A" w:rsidR="006E55B4">
        <w:rPr>
          <w:rFonts w:ascii="Times New Roman" w:hAnsi="Times New Roman" w:cs="Times New Roman"/>
          <w:lang w:val="en-GB"/>
        </w:rPr>
        <w:t xml:space="preserve"> </w:t>
      </w:r>
      <w:r w:rsidRPr="00435E2A" w:rsidR="00B25F3D">
        <w:rPr>
          <w:rFonts w:ascii="Times New Roman" w:hAnsi="Times New Roman" w:cs="Times New Roman"/>
          <w:lang w:val="en-GB"/>
        </w:rPr>
        <w:t xml:space="preserve">will </w:t>
      </w:r>
      <w:r w:rsidRPr="00435E2A" w:rsidR="006E55B4">
        <w:rPr>
          <w:rFonts w:ascii="Times New Roman" w:hAnsi="Times New Roman" w:cs="Times New Roman"/>
          <w:lang w:val="en-GB"/>
        </w:rPr>
        <w:t xml:space="preserve">deepen </w:t>
      </w:r>
      <w:r w:rsidRPr="00435E2A" w:rsidR="007A272A">
        <w:rPr>
          <w:rFonts w:ascii="Times New Roman" w:hAnsi="Times New Roman" w:cs="Times New Roman"/>
          <w:lang w:val="en-GB"/>
        </w:rPr>
        <w:t>its</w:t>
      </w:r>
      <w:r w:rsidRPr="00435E2A" w:rsidR="006E55B4">
        <w:rPr>
          <w:rFonts w:ascii="Times New Roman" w:hAnsi="Times New Roman" w:cs="Times New Roman"/>
          <w:lang w:val="en-GB"/>
        </w:rPr>
        <w:t xml:space="preserve"> engagement with the FAO, moving beyond one-off moments of exchange, such as those within the CFS</w:t>
      </w:r>
      <w:r w:rsidRPr="00435E2A" w:rsidR="005A2AC6">
        <w:rPr>
          <w:rFonts w:ascii="Times New Roman" w:hAnsi="Times New Roman" w:cs="Times New Roman"/>
          <w:lang w:val="en-GB"/>
        </w:rPr>
        <w:t xml:space="preserve"> and WFF</w:t>
      </w:r>
      <w:r w:rsidRPr="00435E2A" w:rsidR="006E55B4">
        <w:rPr>
          <w:rFonts w:ascii="Times New Roman" w:hAnsi="Times New Roman" w:cs="Times New Roman"/>
          <w:lang w:val="en-GB"/>
        </w:rPr>
        <w:t xml:space="preserve">, towards </w:t>
      </w:r>
      <w:r w:rsidRPr="00435E2A" w:rsidR="00F1597C">
        <w:rPr>
          <w:rFonts w:ascii="Times New Roman" w:hAnsi="Times New Roman" w:cs="Times New Roman"/>
          <w:lang w:val="en-GB"/>
        </w:rPr>
        <w:t xml:space="preserve">more regular exchanges between the PG president and </w:t>
      </w:r>
      <w:r w:rsidRPr="00435E2A" w:rsidR="008E2106">
        <w:rPr>
          <w:rFonts w:ascii="Times New Roman" w:hAnsi="Times New Roman" w:cs="Times New Roman"/>
          <w:lang w:val="en-GB"/>
        </w:rPr>
        <w:t xml:space="preserve">the </w:t>
      </w:r>
      <w:r w:rsidRPr="00435E2A" w:rsidR="00F1597C">
        <w:rPr>
          <w:rFonts w:ascii="Times New Roman" w:hAnsi="Times New Roman" w:cs="Times New Roman"/>
          <w:lang w:val="en-GB"/>
        </w:rPr>
        <w:t>FAO</w:t>
      </w:r>
      <w:r w:rsidRPr="00435E2A" w:rsidR="008E2106">
        <w:rPr>
          <w:rFonts w:ascii="Times New Roman" w:hAnsi="Times New Roman" w:cs="Times New Roman"/>
          <w:lang w:val="en-GB"/>
        </w:rPr>
        <w:t>’</w:t>
      </w:r>
      <w:r w:rsidRPr="00435E2A" w:rsidR="00F1597C">
        <w:rPr>
          <w:rFonts w:ascii="Times New Roman" w:hAnsi="Times New Roman" w:cs="Times New Roman"/>
          <w:lang w:val="en-GB"/>
        </w:rPr>
        <w:t xml:space="preserve">s high-level representatives, </w:t>
      </w:r>
      <w:r w:rsidRPr="00435E2A" w:rsidR="00D64EFE">
        <w:rPr>
          <w:rFonts w:ascii="Times New Roman" w:hAnsi="Times New Roman" w:cs="Times New Roman"/>
          <w:lang w:val="en-GB"/>
        </w:rPr>
        <w:t xml:space="preserve">in order </w:t>
      </w:r>
      <w:r w:rsidRPr="00435E2A" w:rsidR="00F1597C">
        <w:rPr>
          <w:rFonts w:ascii="Times New Roman" w:hAnsi="Times New Roman" w:cs="Times New Roman"/>
          <w:lang w:val="en-GB"/>
        </w:rPr>
        <w:t>to discuss</w:t>
      </w:r>
      <w:r w:rsidRPr="00435E2A" w:rsidR="00316F98">
        <w:rPr>
          <w:rFonts w:ascii="Times New Roman" w:hAnsi="Times New Roman" w:cs="Times New Roman"/>
          <w:lang w:val="en-GB"/>
        </w:rPr>
        <w:t xml:space="preserve"> </w:t>
      </w:r>
      <w:r w:rsidRPr="00435E2A" w:rsidR="008E2106">
        <w:rPr>
          <w:rFonts w:ascii="Times New Roman" w:hAnsi="Times New Roman" w:cs="Times New Roman"/>
          <w:lang w:val="en-GB"/>
        </w:rPr>
        <w:t xml:space="preserve">the </w:t>
      </w:r>
      <w:r w:rsidRPr="00435E2A" w:rsidR="00316F98">
        <w:rPr>
          <w:rFonts w:ascii="Times New Roman" w:hAnsi="Times New Roman" w:cs="Times New Roman"/>
          <w:lang w:val="en-GB"/>
        </w:rPr>
        <w:lastRenderedPageBreak/>
        <w:t>FAO</w:t>
      </w:r>
      <w:r w:rsidRPr="00435E2A" w:rsidR="008E2106">
        <w:rPr>
          <w:rFonts w:ascii="Times New Roman" w:hAnsi="Times New Roman" w:cs="Times New Roman"/>
          <w:lang w:val="en-GB"/>
        </w:rPr>
        <w:t>’</w:t>
      </w:r>
      <w:r w:rsidRPr="00435E2A" w:rsidR="00316F98">
        <w:rPr>
          <w:rFonts w:ascii="Times New Roman" w:hAnsi="Times New Roman" w:cs="Times New Roman"/>
          <w:lang w:val="en-GB"/>
        </w:rPr>
        <w:t>s work and alignment with</w:t>
      </w:r>
      <w:r w:rsidRPr="00435E2A" w:rsidR="00F1597C">
        <w:rPr>
          <w:rFonts w:ascii="Times New Roman" w:hAnsi="Times New Roman" w:cs="Times New Roman"/>
          <w:lang w:val="en-GB"/>
        </w:rPr>
        <w:t xml:space="preserve"> the positions and recommendations of the EESC </w:t>
      </w:r>
      <w:r w:rsidRPr="00435E2A" w:rsidR="008E2106">
        <w:rPr>
          <w:rFonts w:ascii="Times New Roman" w:hAnsi="Times New Roman" w:cs="Times New Roman"/>
          <w:lang w:val="en-GB"/>
        </w:rPr>
        <w:t>across</w:t>
      </w:r>
      <w:r w:rsidRPr="00435E2A" w:rsidR="00F1597C">
        <w:rPr>
          <w:rFonts w:ascii="Times New Roman" w:hAnsi="Times New Roman" w:cs="Times New Roman"/>
          <w:lang w:val="en-GB"/>
        </w:rPr>
        <w:t xml:space="preserve"> various </w:t>
      </w:r>
      <w:r w:rsidRPr="00435E2A" w:rsidR="008E2106">
        <w:rPr>
          <w:rFonts w:ascii="Times New Roman" w:hAnsi="Times New Roman" w:cs="Times New Roman"/>
          <w:lang w:val="en-GB"/>
        </w:rPr>
        <w:t>issues</w:t>
      </w:r>
      <w:r w:rsidRPr="00435E2A" w:rsidR="00F1597C">
        <w:rPr>
          <w:rFonts w:ascii="Times New Roman" w:hAnsi="Times New Roman" w:cs="Times New Roman"/>
          <w:lang w:val="en-GB"/>
        </w:rPr>
        <w:t xml:space="preserve"> of common concern.</w:t>
      </w:r>
    </w:p>
    <w:p w:rsidRPr="00860AE8" w:rsidR="00215C44" w:rsidP="007561F8" w:rsidRDefault="00215C44" w14:paraId="34072B9A" w14:textId="77777777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:rsidRPr="00860AE8" w:rsidR="00935170" w:rsidP="007561F8" w:rsidRDefault="007561F8" w14:paraId="62AE9FD3" w14:textId="31D69BE8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860AE8">
        <w:rPr>
          <w:rFonts w:ascii="Times New Roman" w:hAnsi="Times New Roman" w:cs="Times New Roman"/>
          <w:lang w:val="en-GB"/>
        </w:rPr>
        <w:t xml:space="preserve">At </w:t>
      </w:r>
      <w:r w:rsidRPr="00860AE8">
        <w:rPr>
          <w:rFonts w:ascii="Times New Roman" w:hAnsi="Times New Roman" w:cs="Times New Roman"/>
          <w:b/>
          <w:bCs/>
          <w:lang w:val="en-GB"/>
        </w:rPr>
        <w:t>EU level</w:t>
      </w:r>
      <w:r w:rsidRPr="00860AE8">
        <w:rPr>
          <w:rFonts w:ascii="Times New Roman" w:hAnsi="Times New Roman" w:cs="Times New Roman"/>
          <w:lang w:val="en-GB"/>
        </w:rPr>
        <w:t xml:space="preserve">, the agri-food sector </w:t>
      </w:r>
      <w:r w:rsidRPr="00860AE8" w:rsidR="00FA56DB">
        <w:rPr>
          <w:rFonts w:ascii="Times New Roman" w:hAnsi="Times New Roman" w:cs="Times New Roman"/>
          <w:lang w:val="en-GB"/>
        </w:rPr>
        <w:t xml:space="preserve">is </w:t>
      </w:r>
      <w:r w:rsidRPr="00860AE8" w:rsidR="007A272A">
        <w:rPr>
          <w:rFonts w:ascii="Times New Roman" w:hAnsi="Times New Roman" w:cs="Times New Roman"/>
          <w:lang w:val="en-GB"/>
        </w:rPr>
        <w:t>facing</w:t>
      </w:r>
      <w:r w:rsidRPr="00860AE8" w:rsidR="00FA56DB">
        <w:rPr>
          <w:rFonts w:ascii="Times New Roman" w:hAnsi="Times New Roman" w:cs="Times New Roman"/>
          <w:lang w:val="en-GB"/>
        </w:rPr>
        <w:t xml:space="preserve"> </w:t>
      </w:r>
      <w:r w:rsidRPr="00860AE8">
        <w:rPr>
          <w:rFonts w:ascii="Times New Roman" w:hAnsi="Times New Roman" w:cs="Times New Roman"/>
          <w:lang w:val="en-GB"/>
        </w:rPr>
        <w:t>increased exposure to international competition arising from</w:t>
      </w:r>
      <w:r w:rsidRPr="00860AE8" w:rsidR="0084501D">
        <w:rPr>
          <w:rFonts w:ascii="Times New Roman" w:hAnsi="Times New Roman" w:cs="Times New Roman"/>
          <w:lang w:val="en-GB"/>
        </w:rPr>
        <w:t xml:space="preserve"> open markets</w:t>
      </w:r>
      <w:r w:rsidRPr="00860AE8">
        <w:rPr>
          <w:rFonts w:ascii="Times New Roman" w:hAnsi="Times New Roman" w:cs="Times New Roman"/>
          <w:lang w:val="en-GB"/>
        </w:rPr>
        <w:t xml:space="preserve"> </w:t>
      </w:r>
      <w:r w:rsidRPr="00860AE8" w:rsidR="0084501D">
        <w:rPr>
          <w:rFonts w:ascii="Times New Roman" w:hAnsi="Times New Roman" w:cs="Times New Roman"/>
          <w:lang w:val="en-GB"/>
        </w:rPr>
        <w:t xml:space="preserve">and </w:t>
      </w:r>
      <w:r w:rsidRPr="00860AE8">
        <w:rPr>
          <w:rFonts w:ascii="Times New Roman" w:hAnsi="Times New Roman" w:cs="Times New Roman"/>
          <w:lang w:val="en-GB"/>
        </w:rPr>
        <w:t>trade agreements such as the EU</w:t>
      </w:r>
      <w:r w:rsidRPr="00860AE8" w:rsidR="007A272A">
        <w:rPr>
          <w:rFonts w:ascii="Times New Roman" w:hAnsi="Times New Roman" w:cs="Times New Roman"/>
          <w:lang w:val="en-GB"/>
        </w:rPr>
        <w:t>-</w:t>
      </w:r>
      <w:r w:rsidRPr="00860AE8">
        <w:rPr>
          <w:rFonts w:ascii="Times New Roman" w:hAnsi="Times New Roman" w:cs="Times New Roman"/>
          <w:lang w:val="en-GB"/>
        </w:rPr>
        <w:t>Mercosur agreement</w:t>
      </w:r>
      <w:r w:rsidRPr="00860AE8" w:rsidR="00FA56DB">
        <w:rPr>
          <w:rFonts w:ascii="Times New Roman" w:hAnsi="Times New Roman" w:cs="Times New Roman"/>
          <w:lang w:val="en-GB"/>
        </w:rPr>
        <w:t xml:space="preserve">, </w:t>
      </w:r>
      <w:r w:rsidRPr="00860AE8" w:rsidR="008E2106">
        <w:rPr>
          <w:rFonts w:ascii="Times New Roman" w:hAnsi="Times New Roman" w:cs="Times New Roman"/>
          <w:lang w:val="en-GB"/>
        </w:rPr>
        <w:t>highlight</w:t>
      </w:r>
      <w:r w:rsidRPr="00860AE8" w:rsidR="00325296">
        <w:rPr>
          <w:rFonts w:ascii="Times New Roman" w:hAnsi="Times New Roman" w:cs="Times New Roman"/>
          <w:lang w:val="en-GB"/>
        </w:rPr>
        <w:t>ing</w:t>
      </w:r>
      <w:r w:rsidRPr="00860AE8" w:rsidR="00FA56DB">
        <w:rPr>
          <w:rFonts w:ascii="Times New Roman" w:hAnsi="Times New Roman" w:cs="Times New Roman"/>
          <w:lang w:val="en-GB"/>
        </w:rPr>
        <w:t xml:space="preserve"> </w:t>
      </w:r>
      <w:r w:rsidRPr="00860AE8" w:rsidR="008E2106">
        <w:rPr>
          <w:rFonts w:ascii="Times New Roman" w:hAnsi="Times New Roman" w:cs="Times New Roman"/>
          <w:lang w:val="en-GB"/>
        </w:rPr>
        <w:t xml:space="preserve">that </w:t>
      </w:r>
      <w:r w:rsidRPr="00860AE8" w:rsidR="00FA56DB">
        <w:rPr>
          <w:rFonts w:ascii="Times New Roman" w:hAnsi="Times New Roman" w:cs="Times New Roman"/>
          <w:lang w:val="en-GB"/>
        </w:rPr>
        <w:t xml:space="preserve">the need </w:t>
      </w:r>
      <w:r w:rsidRPr="00860AE8" w:rsidR="008E2106">
        <w:rPr>
          <w:rFonts w:ascii="Times New Roman" w:hAnsi="Times New Roman" w:cs="Times New Roman"/>
          <w:lang w:val="en-GB"/>
        </w:rPr>
        <w:t>to</w:t>
      </w:r>
      <w:r w:rsidRPr="00860AE8" w:rsidR="00FA56DB">
        <w:rPr>
          <w:rFonts w:ascii="Times New Roman" w:hAnsi="Times New Roman" w:cs="Times New Roman"/>
          <w:lang w:val="en-GB"/>
        </w:rPr>
        <w:t xml:space="preserve"> ensur</w:t>
      </w:r>
      <w:r w:rsidRPr="00860AE8" w:rsidR="008E2106">
        <w:rPr>
          <w:rFonts w:ascii="Times New Roman" w:hAnsi="Times New Roman" w:cs="Times New Roman"/>
          <w:lang w:val="en-GB"/>
        </w:rPr>
        <w:t>e</w:t>
      </w:r>
      <w:r w:rsidRPr="00860AE8" w:rsidR="00FA56DB">
        <w:rPr>
          <w:rFonts w:ascii="Times New Roman" w:hAnsi="Times New Roman" w:cs="Times New Roman"/>
          <w:lang w:val="en-GB"/>
        </w:rPr>
        <w:t xml:space="preserve"> fair competition and reciprocity of standards in areas such as environmental protection, food safety and animal welfare</w:t>
      </w:r>
      <w:r w:rsidRPr="00860AE8" w:rsidR="008E2106">
        <w:rPr>
          <w:rFonts w:ascii="Times New Roman" w:hAnsi="Times New Roman" w:cs="Times New Roman"/>
          <w:lang w:val="en-GB"/>
        </w:rPr>
        <w:t xml:space="preserve"> is</w:t>
      </w:r>
      <w:r w:rsidRPr="00860AE8" w:rsidR="00FA56DB">
        <w:rPr>
          <w:rFonts w:ascii="Times New Roman" w:hAnsi="Times New Roman" w:cs="Times New Roman"/>
          <w:lang w:val="en-GB"/>
        </w:rPr>
        <w:t xml:space="preserve"> </w:t>
      </w:r>
      <w:r w:rsidRPr="00860AE8" w:rsidR="008E2106">
        <w:rPr>
          <w:rFonts w:ascii="Times New Roman" w:hAnsi="Times New Roman" w:cs="Times New Roman"/>
          <w:lang w:val="en-GB"/>
        </w:rPr>
        <w:t>more pressing</w:t>
      </w:r>
      <w:r w:rsidRPr="00860AE8" w:rsidR="00FA56DB">
        <w:rPr>
          <w:rFonts w:ascii="Times New Roman" w:hAnsi="Times New Roman" w:cs="Times New Roman"/>
          <w:lang w:val="en-GB"/>
        </w:rPr>
        <w:t xml:space="preserve"> than ever. At the same time, the propos</w:t>
      </w:r>
      <w:r w:rsidRPr="00860AE8" w:rsidR="008E2106">
        <w:rPr>
          <w:rFonts w:ascii="Times New Roman" w:hAnsi="Times New Roman" w:cs="Times New Roman"/>
          <w:lang w:val="en-GB"/>
        </w:rPr>
        <w:t>al for the next</w:t>
      </w:r>
      <w:r w:rsidRPr="00860AE8" w:rsidR="00FA56DB">
        <w:rPr>
          <w:rFonts w:ascii="Times New Roman" w:hAnsi="Times New Roman" w:cs="Times New Roman"/>
          <w:lang w:val="en-GB"/>
        </w:rPr>
        <w:t xml:space="preserve"> Multiannual Financial Framework (MFF</w:t>
      </w:r>
      <w:r w:rsidRPr="00860AE8" w:rsidR="00325296">
        <w:rPr>
          <w:rFonts w:ascii="Times New Roman" w:hAnsi="Times New Roman" w:cs="Times New Roman"/>
          <w:lang w:val="en-GB"/>
        </w:rPr>
        <w:t xml:space="preserve"> 2028-2034</w:t>
      </w:r>
      <w:r w:rsidRPr="00860AE8" w:rsidR="00FA56DB">
        <w:rPr>
          <w:rFonts w:ascii="Times New Roman" w:hAnsi="Times New Roman" w:cs="Times New Roman"/>
          <w:lang w:val="en-GB"/>
        </w:rPr>
        <w:t>) raises concerns o</w:t>
      </w:r>
      <w:r w:rsidRPr="00860AE8" w:rsidR="008E2106">
        <w:rPr>
          <w:rFonts w:ascii="Times New Roman" w:hAnsi="Times New Roman" w:cs="Times New Roman"/>
          <w:lang w:val="en-GB"/>
        </w:rPr>
        <w:t>ver</w:t>
      </w:r>
      <w:r w:rsidRPr="00860AE8" w:rsidR="00FA56DB">
        <w:rPr>
          <w:rFonts w:ascii="Times New Roman" w:hAnsi="Times New Roman" w:cs="Times New Roman"/>
          <w:lang w:val="en-GB"/>
        </w:rPr>
        <w:t xml:space="preserve"> the risk of reduced or re-prioriti</w:t>
      </w:r>
      <w:r w:rsidRPr="00860AE8" w:rsidR="008E2106">
        <w:rPr>
          <w:rFonts w:ascii="Times New Roman" w:hAnsi="Times New Roman" w:cs="Times New Roman"/>
          <w:lang w:val="en-GB"/>
        </w:rPr>
        <w:t>s</w:t>
      </w:r>
      <w:r w:rsidRPr="00860AE8" w:rsidR="00FA56DB">
        <w:rPr>
          <w:rFonts w:ascii="Times New Roman" w:hAnsi="Times New Roman" w:cs="Times New Roman"/>
          <w:lang w:val="en-GB"/>
        </w:rPr>
        <w:t xml:space="preserve">ed </w:t>
      </w:r>
      <w:r w:rsidRPr="00860AE8" w:rsidR="00F1597C">
        <w:rPr>
          <w:rFonts w:ascii="Times New Roman" w:hAnsi="Times New Roman" w:cs="Times New Roman"/>
          <w:lang w:val="en-GB"/>
        </w:rPr>
        <w:t>Common Agricultural Policy (</w:t>
      </w:r>
      <w:r w:rsidRPr="00860AE8" w:rsidR="00FA56DB">
        <w:rPr>
          <w:rFonts w:ascii="Times New Roman" w:hAnsi="Times New Roman" w:cs="Times New Roman"/>
          <w:lang w:val="en-GB"/>
        </w:rPr>
        <w:t>CAP</w:t>
      </w:r>
      <w:r w:rsidRPr="00860AE8" w:rsidR="00F1597C">
        <w:rPr>
          <w:rFonts w:ascii="Times New Roman" w:hAnsi="Times New Roman" w:cs="Times New Roman"/>
          <w:lang w:val="en-GB"/>
        </w:rPr>
        <w:t>)</w:t>
      </w:r>
      <w:r w:rsidRPr="00860AE8" w:rsidR="00FA56DB">
        <w:rPr>
          <w:rFonts w:ascii="Times New Roman" w:hAnsi="Times New Roman" w:cs="Times New Roman"/>
          <w:lang w:val="en-GB"/>
        </w:rPr>
        <w:t xml:space="preserve"> and </w:t>
      </w:r>
      <w:r w:rsidRPr="00860AE8" w:rsidR="00F1597C">
        <w:rPr>
          <w:rFonts w:ascii="Times New Roman" w:hAnsi="Times New Roman" w:cs="Times New Roman"/>
          <w:lang w:val="en-GB"/>
        </w:rPr>
        <w:t>Common Fisheries Policy (</w:t>
      </w:r>
      <w:r w:rsidRPr="00860AE8" w:rsidR="007A272A">
        <w:rPr>
          <w:rFonts w:ascii="Times New Roman" w:hAnsi="Times New Roman" w:cs="Times New Roman"/>
          <w:lang w:val="en-GB"/>
        </w:rPr>
        <w:t>CFP</w:t>
      </w:r>
      <w:r w:rsidRPr="00860AE8" w:rsidR="00F1597C">
        <w:rPr>
          <w:rFonts w:ascii="Times New Roman" w:hAnsi="Times New Roman" w:cs="Times New Roman"/>
          <w:lang w:val="en-GB"/>
        </w:rPr>
        <w:t>)</w:t>
      </w:r>
      <w:r w:rsidRPr="00860AE8" w:rsidR="00FA56DB">
        <w:rPr>
          <w:rFonts w:ascii="Times New Roman" w:hAnsi="Times New Roman" w:cs="Times New Roman"/>
          <w:lang w:val="en-GB"/>
        </w:rPr>
        <w:t xml:space="preserve"> budgets</w:t>
      </w:r>
      <w:r w:rsidRPr="00860AE8" w:rsidR="007A272A">
        <w:rPr>
          <w:rFonts w:ascii="Times New Roman" w:hAnsi="Times New Roman" w:cs="Times New Roman"/>
          <w:lang w:val="en-GB"/>
        </w:rPr>
        <w:t>,</w:t>
      </w:r>
      <w:r w:rsidRPr="00860AE8" w:rsidR="00FA56DB">
        <w:rPr>
          <w:rFonts w:ascii="Times New Roman" w:hAnsi="Times New Roman" w:cs="Times New Roman"/>
          <w:lang w:val="en-GB"/>
        </w:rPr>
        <w:t xml:space="preserve"> </w:t>
      </w:r>
      <w:r w:rsidRPr="00860AE8" w:rsidR="008E2106">
        <w:rPr>
          <w:rFonts w:ascii="Times New Roman" w:hAnsi="Times New Roman" w:cs="Times New Roman"/>
          <w:lang w:val="en-GB"/>
        </w:rPr>
        <w:t>amid</w:t>
      </w:r>
      <w:r w:rsidRPr="00860AE8" w:rsidR="00FA56DB">
        <w:rPr>
          <w:rFonts w:ascii="Times New Roman" w:hAnsi="Times New Roman" w:cs="Times New Roman"/>
          <w:lang w:val="en-GB"/>
        </w:rPr>
        <w:t xml:space="preserve"> growing demands</w:t>
      </w:r>
      <w:r w:rsidRPr="00860AE8" w:rsidR="0084501D">
        <w:rPr>
          <w:rFonts w:ascii="Times New Roman" w:hAnsi="Times New Roman" w:cs="Times New Roman"/>
          <w:lang w:val="en-GB"/>
        </w:rPr>
        <w:t xml:space="preserve"> and pressure on food producers</w:t>
      </w:r>
      <w:r w:rsidRPr="00860AE8" w:rsidR="00FA56DB">
        <w:rPr>
          <w:rFonts w:ascii="Times New Roman" w:hAnsi="Times New Roman" w:cs="Times New Roman"/>
          <w:lang w:val="en-GB"/>
        </w:rPr>
        <w:t xml:space="preserve">. </w:t>
      </w:r>
      <w:r w:rsidRPr="00860AE8" w:rsidR="00325296">
        <w:rPr>
          <w:rFonts w:ascii="Times New Roman" w:hAnsi="Times New Roman" w:cs="Times New Roman"/>
          <w:lang w:val="en-GB"/>
        </w:rPr>
        <w:t>The k</w:t>
      </w:r>
      <w:r w:rsidRPr="00860AE8" w:rsidR="008E2106">
        <w:rPr>
          <w:rFonts w:ascii="Times New Roman" w:hAnsi="Times New Roman" w:cs="Times New Roman"/>
          <w:lang w:val="en-GB"/>
        </w:rPr>
        <w:t>ey concerns of the sector include i</w:t>
      </w:r>
      <w:r w:rsidRPr="00860AE8" w:rsidR="00FA56DB">
        <w:rPr>
          <w:rFonts w:ascii="Times New Roman" w:hAnsi="Times New Roman" w:cs="Times New Roman"/>
          <w:lang w:val="en-GB"/>
        </w:rPr>
        <w:t xml:space="preserve">nsufficient support to ensure fair incomes, </w:t>
      </w:r>
      <w:r w:rsidRPr="00860AE8" w:rsidR="0084501D">
        <w:rPr>
          <w:rFonts w:ascii="Times New Roman" w:hAnsi="Times New Roman" w:cs="Times New Roman"/>
          <w:lang w:val="en-GB"/>
        </w:rPr>
        <w:t xml:space="preserve">respond to </w:t>
      </w:r>
      <w:r w:rsidRPr="00860AE8" w:rsidR="00C06A49">
        <w:rPr>
          <w:rFonts w:ascii="Times New Roman" w:hAnsi="Times New Roman" w:cs="Times New Roman"/>
          <w:lang w:val="en-GB"/>
        </w:rPr>
        <w:t xml:space="preserve">rising production costs and market volatility, </w:t>
      </w:r>
      <w:r w:rsidRPr="00860AE8" w:rsidR="0084501D">
        <w:rPr>
          <w:rFonts w:ascii="Times New Roman" w:hAnsi="Times New Roman" w:cs="Times New Roman"/>
          <w:lang w:val="en-GB"/>
        </w:rPr>
        <w:t xml:space="preserve">accelerate </w:t>
      </w:r>
      <w:r w:rsidRPr="00860AE8" w:rsidR="00FA56DB">
        <w:rPr>
          <w:rFonts w:ascii="Times New Roman" w:hAnsi="Times New Roman" w:cs="Times New Roman"/>
          <w:lang w:val="en-GB"/>
        </w:rPr>
        <w:t xml:space="preserve">generational renewal, </w:t>
      </w:r>
      <w:r w:rsidRPr="00860AE8" w:rsidR="0084501D">
        <w:rPr>
          <w:rFonts w:ascii="Times New Roman" w:hAnsi="Times New Roman" w:cs="Times New Roman"/>
          <w:lang w:val="en-GB"/>
        </w:rPr>
        <w:t xml:space="preserve">ensure sufficient </w:t>
      </w:r>
      <w:r w:rsidRPr="00860AE8" w:rsidR="00FA56DB">
        <w:rPr>
          <w:rFonts w:ascii="Times New Roman" w:hAnsi="Times New Roman" w:cs="Times New Roman"/>
          <w:lang w:val="en-GB"/>
        </w:rPr>
        <w:t xml:space="preserve">resources </w:t>
      </w:r>
      <w:r w:rsidRPr="00860AE8" w:rsidR="0084501D">
        <w:rPr>
          <w:rFonts w:ascii="Times New Roman" w:hAnsi="Times New Roman" w:cs="Times New Roman"/>
          <w:lang w:val="en-GB"/>
        </w:rPr>
        <w:t>for</w:t>
      </w:r>
      <w:r w:rsidRPr="00860AE8" w:rsidR="00FA56DB">
        <w:rPr>
          <w:rFonts w:ascii="Times New Roman" w:hAnsi="Times New Roman" w:cs="Times New Roman"/>
          <w:lang w:val="en-GB"/>
        </w:rPr>
        <w:t xml:space="preserve"> the transition towards more sustainable</w:t>
      </w:r>
      <w:r w:rsidRPr="00860AE8" w:rsidR="008908CB">
        <w:rPr>
          <w:rFonts w:ascii="Times New Roman" w:hAnsi="Times New Roman" w:cs="Times New Roman"/>
          <w:lang w:val="en-GB"/>
        </w:rPr>
        <w:t>,</w:t>
      </w:r>
      <w:r w:rsidRPr="00860AE8" w:rsidR="00FA56DB">
        <w:rPr>
          <w:rFonts w:ascii="Times New Roman" w:hAnsi="Times New Roman" w:cs="Times New Roman"/>
          <w:lang w:val="en-GB"/>
        </w:rPr>
        <w:t xml:space="preserve"> resilient </w:t>
      </w:r>
      <w:r w:rsidRPr="00860AE8" w:rsidR="008908CB">
        <w:rPr>
          <w:rFonts w:ascii="Times New Roman" w:hAnsi="Times New Roman" w:cs="Times New Roman"/>
          <w:lang w:val="en-GB"/>
        </w:rPr>
        <w:t>and regenerative agri-</w:t>
      </w:r>
      <w:r w:rsidRPr="00860AE8" w:rsidR="00FA56DB">
        <w:rPr>
          <w:rFonts w:ascii="Times New Roman" w:hAnsi="Times New Roman" w:cs="Times New Roman"/>
          <w:lang w:val="en-GB"/>
        </w:rPr>
        <w:t>food systems</w:t>
      </w:r>
      <w:r w:rsidRPr="00860AE8" w:rsidR="008E2106">
        <w:rPr>
          <w:rFonts w:ascii="Times New Roman" w:hAnsi="Times New Roman" w:cs="Times New Roman"/>
          <w:lang w:val="en-GB"/>
        </w:rPr>
        <w:t xml:space="preserve"> and</w:t>
      </w:r>
      <w:r w:rsidRPr="00860AE8" w:rsidR="00FA56DB">
        <w:rPr>
          <w:rFonts w:ascii="Times New Roman" w:hAnsi="Times New Roman" w:cs="Times New Roman"/>
          <w:lang w:val="en-GB"/>
        </w:rPr>
        <w:t xml:space="preserve"> </w:t>
      </w:r>
      <w:r w:rsidRPr="00860AE8" w:rsidR="0085792B">
        <w:rPr>
          <w:rFonts w:ascii="Times New Roman" w:hAnsi="Times New Roman" w:cs="Times New Roman"/>
          <w:lang w:val="en-GB"/>
        </w:rPr>
        <w:t>respond to changing consumer expectations, all within a context of budgetary constraints and increasing regulatory complexity</w:t>
      </w:r>
      <w:r w:rsidRPr="00860AE8" w:rsidR="00FA56DB">
        <w:rPr>
          <w:rFonts w:ascii="Times New Roman" w:hAnsi="Times New Roman" w:cs="Times New Roman"/>
          <w:lang w:val="en-GB"/>
        </w:rPr>
        <w:t xml:space="preserve">. </w:t>
      </w:r>
      <w:r w:rsidRPr="00860AE8" w:rsidR="00935170">
        <w:rPr>
          <w:rFonts w:ascii="Times New Roman" w:hAnsi="Times New Roman" w:cs="Times New Roman"/>
          <w:lang w:val="en-GB"/>
        </w:rPr>
        <w:t>The annual</w:t>
      </w:r>
      <w:r w:rsidRPr="00860AE8" w:rsidR="00935170">
        <w:rPr>
          <w:rFonts w:ascii="Times New Roman" w:hAnsi="Times New Roman" w:cs="Times New Roman"/>
          <w:b/>
          <w:bCs/>
          <w:lang w:val="en-GB"/>
        </w:rPr>
        <w:t xml:space="preserve"> Food Dialogues</w:t>
      </w:r>
      <w:r w:rsidRPr="00860AE8" w:rsidR="00935170">
        <w:rPr>
          <w:rFonts w:ascii="Times New Roman" w:hAnsi="Times New Roman" w:cs="Times New Roman"/>
          <w:lang w:val="en-GB"/>
        </w:rPr>
        <w:t xml:space="preserve">, announced by the European Commission in its Vision for Agriculture and Food, will also mark the </w:t>
      </w:r>
      <w:r w:rsidRPr="00860AE8" w:rsidR="008E2106">
        <w:rPr>
          <w:rFonts w:ascii="Times New Roman" w:hAnsi="Times New Roman" w:cs="Times New Roman"/>
          <w:lang w:val="en-GB"/>
        </w:rPr>
        <w:t xml:space="preserve">PG’s </w:t>
      </w:r>
      <w:r w:rsidRPr="00860AE8" w:rsidR="0085792B">
        <w:rPr>
          <w:rFonts w:ascii="Times New Roman" w:hAnsi="Times New Roman" w:cs="Times New Roman"/>
          <w:lang w:val="en-GB"/>
        </w:rPr>
        <w:t xml:space="preserve">2025-2027 half </w:t>
      </w:r>
      <w:r w:rsidRPr="00860AE8" w:rsidR="00935170">
        <w:rPr>
          <w:rFonts w:ascii="Times New Roman" w:hAnsi="Times New Roman" w:cs="Times New Roman"/>
          <w:lang w:val="en-GB"/>
        </w:rPr>
        <w:t xml:space="preserve">mandate. </w:t>
      </w:r>
      <w:r w:rsidRPr="00860AE8" w:rsidR="008E2106">
        <w:rPr>
          <w:rFonts w:ascii="Times New Roman" w:hAnsi="Times New Roman" w:cs="Times New Roman"/>
          <w:lang w:val="en-GB"/>
        </w:rPr>
        <w:t>T</w:t>
      </w:r>
      <w:r w:rsidRPr="00860AE8" w:rsidR="00935170">
        <w:rPr>
          <w:rFonts w:ascii="Times New Roman" w:hAnsi="Times New Roman" w:cs="Times New Roman"/>
          <w:lang w:val="en-GB"/>
        </w:rPr>
        <w:t xml:space="preserve">hrough this group, </w:t>
      </w:r>
      <w:r w:rsidRPr="00860AE8" w:rsidR="008E2106">
        <w:rPr>
          <w:rFonts w:ascii="Times New Roman" w:hAnsi="Times New Roman" w:cs="Times New Roman"/>
          <w:lang w:val="en-GB"/>
        </w:rPr>
        <w:t xml:space="preserve">the EESC </w:t>
      </w:r>
      <w:r w:rsidRPr="00860AE8" w:rsidR="008908CB">
        <w:rPr>
          <w:rFonts w:ascii="Times New Roman" w:hAnsi="Times New Roman" w:cs="Times New Roman"/>
          <w:lang w:val="en-GB"/>
        </w:rPr>
        <w:t>has already contributed</w:t>
      </w:r>
      <w:r w:rsidRPr="00860AE8" w:rsidR="00F1597C">
        <w:rPr>
          <w:rFonts w:ascii="Times New Roman" w:hAnsi="Times New Roman" w:cs="Times New Roman"/>
          <w:lang w:val="en-GB"/>
        </w:rPr>
        <w:t xml:space="preserve"> to the Commission</w:t>
      </w:r>
      <w:r w:rsidRPr="00860AE8" w:rsidR="008E2106">
        <w:rPr>
          <w:rFonts w:ascii="Times New Roman" w:hAnsi="Times New Roman" w:cs="Times New Roman"/>
          <w:lang w:val="en-GB"/>
        </w:rPr>
        <w:t>’</w:t>
      </w:r>
      <w:r w:rsidRPr="00860AE8" w:rsidR="00F1597C">
        <w:rPr>
          <w:rFonts w:ascii="Times New Roman" w:hAnsi="Times New Roman" w:cs="Times New Roman"/>
          <w:lang w:val="en-GB"/>
        </w:rPr>
        <w:t>s work</w:t>
      </w:r>
      <w:r w:rsidRPr="00860AE8" w:rsidR="008908CB">
        <w:rPr>
          <w:rFonts w:ascii="Times New Roman" w:hAnsi="Times New Roman" w:cs="Times New Roman"/>
          <w:lang w:val="en-GB"/>
        </w:rPr>
        <w:t xml:space="preserve"> by</w:t>
      </w:r>
      <w:r w:rsidRPr="00860AE8" w:rsidR="00F1597C">
        <w:rPr>
          <w:rFonts w:ascii="Times New Roman" w:hAnsi="Times New Roman" w:cs="Times New Roman"/>
          <w:lang w:val="en-GB"/>
        </w:rPr>
        <w:t xml:space="preserve"> organi</w:t>
      </w:r>
      <w:r w:rsidRPr="00860AE8" w:rsidR="008E2106">
        <w:rPr>
          <w:rFonts w:ascii="Times New Roman" w:hAnsi="Times New Roman" w:cs="Times New Roman"/>
          <w:lang w:val="en-GB"/>
        </w:rPr>
        <w:t>s</w:t>
      </w:r>
      <w:r w:rsidRPr="00860AE8" w:rsidR="00F1597C">
        <w:rPr>
          <w:rFonts w:ascii="Times New Roman" w:hAnsi="Times New Roman" w:cs="Times New Roman"/>
          <w:lang w:val="en-GB"/>
        </w:rPr>
        <w:t xml:space="preserve">ing a debate on </w:t>
      </w:r>
      <w:r w:rsidRPr="00860AE8" w:rsidR="00F1597C">
        <w:rPr>
          <w:rFonts w:ascii="Times New Roman" w:hAnsi="Times New Roman" w:cs="Times New Roman"/>
          <w:i/>
          <w:iCs/>
          <w:lang w:val="en-GB"/>
        </w:rPr>
        <w:t>Insights from civil society towards the food dialogues</w:t>
      </w:r>
      <w:r w:rsidRPr="00860AE8" w:rsidR="008908CB">
        <w:rPr>
          <w:rFonts w:ascii="Times New Roman" w:hAnsi="Times New Roman" w:cs="Times New Roman"/>
          <w:lang w:val="en-GB"/>
        </w:rPr>
        <w:t xml:space="preserve"> and </w:t>
      </w:r>
      <w:r w:rsidRPr="00860AE8" w:rsidR="008E2106">
        <w:rPr>
          <w:rFonts w:ascii="Times New Roman" w:hAnsi="Times New Roman" w:cs="Times New Roman"/>
          <w:lang w:val="en-GB"/>
        </w:rPr>
        <w:t xml:space="preserve">the Committee </w:t>
      </w:r>
      <w:r w:rsidRPr="00860AE8" w:rsidR="0085792B">
        <w:rPr>
          <w:rFonts w:ascii="Times New Roman" w:hAnsi="Times New Roman" w:cs="Times New Roman"/>
          <w:lang w:val="en-GB"/>
        </w:rPr>
        <w:t>aims to</w:t>
      </w:r>
      <w:r w:rsidRPr="00860AE8" w:rsidR="00935170">
        <w:rPr>
          <w:rFonts w:ascii="Times New Roman" w:hAnsi="Times New Roman" w:cs="Times New Roman"/>
          <w:lang w:val="en-GB"/>
        </w:rPr>
        <w:t xml:space="preserve"> </w:t>
      </w:r>
      <w:r w:rsidRPr="00860AE8" w:rsidR="008908CB">
        <w:rPr>
          <w:rFonts w:ascii="Times New Roman" w:hAnsi="Times New Roman" w:cs="Times New Roman"/>
          <w:lang w:val="en-GB"/>
        </w:rPr>
        <w:t xml:space="preserve">further </w:t>
      </w:r>
      <w:r w:rsidRPr="00860AE8" w:rsidR="00F1597C">
        <w:rPr>
          <w:rFonts w:ascii="Times New Roman" w:hAnsi="Times New Roman" w:cs="Times New Roman"/>
          <w:lang w:val="en-GB"/>
        </w:rPr>
        <w:t>support the Commission in its work and</w:t>
      </w:r>
      <w:r w:rsidRPr="00860AE8" w:rsidR="004B4514">
        <w:rPr>
          <w:rFonts w:ascii="Times New Roman" w:hAnsi="Times New Roman" w:cs="Times New Roman"/>
          <w:lang w:val="en-GB"/>
        </w:rPr>
        <w:t xml:space="preserve"> </w:t>
      </w:r>
      <w:r w:rsidRPr="00860AE8" w:rsidR="008E2106">
        <w:rPr>
          <w:rFonts w:ascii="Times New Roman" w:hAnsi="Times New Roman" w:cs="Times New Roman"/>
          <w:lang w:val="en-GB"/>
        </w:rPr>
        <w:t>put forward</w:t>
      </w:r>
      <w:r w:rsidRPr="00860AE8" w:rsidR="00935170">
        <w:rPr>
          <w:rFonts w:ascii="Times New Roman" w:hAnsi="Times New Roman" w:cs="Times New Roman"/>
          <w:lang w:val="en-GB"/>
        </w:rPr>
        <w:t xml:space="preserve"> </w:t>
      </w:r>
      <w:r w:rsidRPr="00860AE8" w:rsidR="008E2106">
        <w:rPr>
          <w:rFonts w:ascii="Times New Roman" w:hAnsi="Times New Roman" w:cs="Times New Roman"/>
          <w:lang w:val="en-GB"/>
        </w:rPr>
        <w:t>civil society organisations’ views</w:t>
      </w:r>
      <w:r w:rsidRPr="00860AE8" w:rsidR="008908CB">
        <w:rPr>
          <w:rFonts w:ascii="Times New Roman" w:hAnsi="Times New Roman" w:cs="Times New Roman"/>
          <w:lang w:val="en-GB"/>
        </w:rPr>
        <w:t xml:space="preserve"> and priorities </w:t>
      </w:r>
      <w:r w:rsidR="00435E2A">
        <w:rPr>
          <w:rFonts w:ascii="Times New Roman" w:hAnsi="Times New Roman" w:cs="Times New Roman"/>
          <w:lang w:val="en-GB"/>
        </w:rPr>
        <w:t>round</w:t>
      </w:r>
      <w:r w:rsidRPr="00860AE8" w:rsidR="00935170">
        <w:rPr>
          <w:rFonts w:ascii="Times New Roman" w:hAnsi="Times New Roman" w:cs="Times New Roman"/>
          <w:lang w:val="en-GB"/>
        </w:rPr>
        <w:t xml:space="preserve"> the table</w:t>
      </w:r>
      <w:r w:rsidRPr="00860AE8" w:rsidR="008908CB">
        <w:rPr>
          <w:rFonts w:ascii="Times New Roman" w:hAnsi="Times New Roman" w:cs="Times New Roman"/>
          <w:lang w:val="en-GB"/>
        </w:rPr>
        <w:t xml:space="preserve">, while ensuring an enlarged forum </w:t>
      </w:r>
      <w:r w:rsidR="00435E2A">
        <w:rPr>
          <w:rFonts w:ascii="Times New Roman" w:hAnsi="Times New Roman" w:cs="Times New Roman"/>
          <w:lang w:val="en-GB"/>
        </w:rPr>
        <w:t xml:space="preserve">in which </w:t>
      </w:r>
      <w:r w:rsidRPr="00860AE8" w:rsidR="008908CB">
        <w:rPr>
          <w:rFonts w:ascii="Times New Roman" w:hAnsi="Times New Roman" w:cs="Times New Roman"/>
          <w:lang w:val="en-GB"/>
        </w:rPr>
        <w:t xml:space="preserve">to collaborate closely with other partners such as </w:t>
      </w:r>
      <w:r w:rsidRPr="00860AE8" w:rsidR="008E2106">
        <w:rPr>
          <w:rFonts w:ascii="Times New Roman" w:hAnsi="Times New Roman" w:cs="Times New Roman"/>
          <w:lang w:val="en-GB"/>
        </w:rPr>
        <w:t xml:space="preserve">local and </w:t>
      </w:r>
      <w:r w:rsidRPr="00860AE8" w:rsidR="008908CB">
        <w:rPr>
          <w:rFonts w:ascii="Times New Roman" w:hAnsi="Times New Roman" w:cs="Times New Roman"/>
          <w:lang w:val="en-GB"/>
        </w:rPr>
        <w:t>regional authorities</w:t>
      </w:r>
      <w:r w:rsidRPr="00860AE8" w:rsidR="00F1597C">
        <w:rPr>
          <w:rStyle w:val="FootnoteReference"/>
          <w:rFonts w:ascii="Times New Roman" w:hAnsi="Times New Roman" w:cs="Times New Roman"/>
          <w:lang w:val="en-GB"/>
        </w:rPr>
        <w:footnoteReference w:id="1"/>
      </w:r>
      <w:r w:rsidRPr="00860AE8" w:rsidR="00935170">
        <w:rPr>
          <w:rFonts w:ascii="Times New Roman" w:hAnsi="Times New Roman" w:cs="Times New Roman"/>
          <w:lang w:val="en-GB"/>
        </w:rPr>
        <w:t xml:space="preserve">. </w:t>
      </w:r>
      <w:r w:rsidRPr="00860AE8" w:rsidR="00316F98">
        <w:rPr>
          <w:rFonts w:ascii="Times New Roman" w:hAnsi="Times New Roman" w:cs="Times New Roman"/>
          <w:lang w:val="en-GB"/>
        </w:rPr>
        <w:t xml:space="preserve">The PG </w:t>
      </w:r>
      <w:r w:rsidRPr="00860AE8" w:rsidR="00F1597C">
        <w:rPr>
          <w:rFonts w:ascii="Times New Roman" w:hAnsi="Times New Roman" w:cs="Times New Roman"/>
          <w:lang w:val="en-GB"/>
        </w:rPr>
        <w:t xml:space="preserve">stands </w:t>
      </w:r>
      <w:r w:rsidRPr="00860AE8" w:rsidR="0070763D">
        <w:rPr>
          <w:rFonts w:ascii="Times New Roman" w:hAnsi="Times New Roman" w:cs="Times New Roman"/>
          <w:lang w:val="en-GB"/>
        </w:rPr>
        <w:t xml:space="preserve">ready to provide a </w:t>
      </w:r>
      <w:r w:rsidRPr="00860AE8" w:rsidR="002415FB">
        <w:rPr>
          <w:rFonts w:ascii="Times New Roman" w:hAnsi="Times New Roman" w:cs="Times New Roman"/>
          <w:lang w:val="en-GB"/>
        </w:rPr>
        <w:t>forum</w:t>
      </w:r>
      <w:r w:rsidRPr="00860AE8" w:rsidR="0070763D">
        <w:rPr>
          <w:rFonts w:ascii="Times New Roman" w:hAnsi="Times New Roman" w:cs="Times New Roman"/>
          <w:lang w:val="en-GB"/>
        </w:rPr>
        <w:t xml:space="preserve"> for the preparation of the </w:t>
      </w:r>
      <w:r w:rsidR="00435E2A">
        <w:rPr>
          <w:rFonts w:ascii="Times New Roman" w:hAnsi="Times New Roman" w:cs="Times New Roman"/>
          <w:lang w:val="en-GB"/>
        </w:rPr>
        <w:t>F</w:t>
      </w:r>
      <w:r w:rsidRPr="00860AE8" w:rsidR="0070763D">
        <w:rPr>
          <w:rFonts w:ascii="Times New Roman" w:hAnsi="Times New Roman" w:cs="Times New Roman"/>
          <w:lang w:val="en-GB"/>
        </w:rPr>
        <w:t xml:space="preserve">ood </w:t>
      </w:r>
      <w:r w:rsidR="00435E2A">
        <w:rPr>
          <w:rFonts w:ascii="Times New Roman" w:hAnsi="Times New Roman" w:cs="Times New Roman"/>
          <w:lang w:val="en-GB"/>
        </w:rPr>
        <w:t>D</w:t>
      </w:r>
      <w:r w:rsidRPr="00860AE8" w:rsidR="0070763D">
        <w:rPr>
          <w:rFonts w:ascii="Times New Roman" w:hAnsi="Times New Roman" w:cs="Times New Roman"/>
          <w:lang w:val="en-GB"/>
        </w:rPr>
        <w:t>ialogues</w:t>
      </w:r>
      <w:r w:rsidRPr="00860AE8" w:rsidR="00F1597C">
        <w:rPr>
          <w:rFonts w:ascii="Times New Roman" w:hAnsi="Times New Roman" w:cs="Times New Roman"/>
          <w:lang w:val="en-GB"/>
        </w:rPr>
        <w:t xml:space="preserve">. </w:t>
      </w:r>
      <w:r w:rsidRPr="00860AE8" w:rsidR="00935170">
        <w:rPr>
          <w:rFonts w:ascii="Times New Roman" w:hAnsi="Times New Roman" w:cs="Times New Roman"/>
          <w:lang w:val="en-GB"/>
        </w:rPr>
        <w:t>Synergies with</w:t>
      </w:r>
      <w:r w:rsidRPr="00860AE8" w:rsidR="007A272A">
        <w:rPr>
          <w:rFonts w:ascii="Times New Roman" w:hAnsi="Times New Roman" w:cs="Times New Roman"/>
          <w:lang w:val="en-GB"/>
        </w:rPr>
        <w:t xml:space="preserve"> important institutional partners, such as</w:t>
      </w:r>
      <w:r w:rsidRPr="00860AE8" w:rsidR="00935170">
        <w:rPr>
          <w:rFonts w:ascii="Times New Roman" w:hAnsi="Times New Roman" w:cs="Times New Roman"/>
          <w:lang w:val="en-GB"/>
        </w:rPr>
        <w:t xml:space="preserve"> the Committee of the Regions and</w:t>
      </w:r>
      <w:r w:rsidRPr="00860AE8" w:rsidR="008908CB">
        <w:rPr>
          <w:rFonts w:ascii="Times New Roman" w:hAnsi="Times New Roman" w:cs="Times New Roman"/>
          <w:lang w:val="en-GB"/>
        </w:rPr>
        <w:t xml:space="preserve"> </w:t>
      </w:r>
      <w:r w:rsidRPr="00860AE8" w:rsidR="008E2106">
        <w:rPr>
          <w:rFonts w:ascii="Times New Roman" w:hAnsi="Times New Roman" w:cs="Times New Roman"/>
          <w:lang w:val="en-GB"/>
        </w:rPr>
        <w:t>various</w:t>
      </w:r>
      <w:r w:rsidRPr="00860AE8" w:rsidR="008908CB">
        <w:rPr>
          <w:rFonts w:ascii="Times New Roman" w:hAnsi="Times New Roman" w:cs="Times New Roman"/>
          <w:lang w:val="en-GB"/>
        </w:rPr>
        <w:t xml:space="preserve"> </w:t>
      </w:r>
      <w:r w:rsidRPr="00860AE8" w:rsidR="008E2106">
        <w:rPr>
          <w:rFonts w:ascii="Times New Roman" w:hAnsi="Times New Roman" w:cs="Times New Roman"/>
          <w:lang w:val="en-GB"/>
        </w:rPr>
        <w:t>Commission d</w:t>
      </w:r>
      <w:r w:rsidRPr="00860AE8" w:rsidR="008908CB">
        <w:rPr>
          <w:rFonts w:ascii="Times New Roman" w:hAnsi="Times New Roman" w:cs="Times New Roman"/>
          <w:lang w:val="en-GB"/>
        </w:rPr>
        <w:t>irectorat</w:t>
      </w:r>
      <w:r w:rsidRPr="00860AE8" w:rsidR="008E2106">
        <w:rPr>
          <w:rFonts w:ascii="Times New Roman" w:hAnsi="Times New Roman" w:cs="Times New Roman"/>
          <w:lang w:val="en-GB"/>
        </w:rPr>
        <w:t>es</w:t>
      </w:r>
      <w:r w:rsidRPr="00860AE8" w:rsidR="008908CB">
        <w:rPr>
          <w:rFonts w:ascii="Times New Roman" w:hAnsi="Times New Roman" w:cs="Times New Roman"/>
          <w:lang w:val="en-GB"/>
        </w:rPr>
        <w:t>-</w:t>
      </w:r>
      <w:r w:rsidRPr="00860AE8" w:rsidR="008E2106">
        <w:rPr>
          <w:rFonts w:ascii="Times New Roman" w:hAnsi="Times New Roman" w:cs="Times New Roman"/>
          <w:lang w:val="en-GB"/>
        </w:rPr>
        <w:t>g</w:t>
      </w:r>
      <w:r w:rsidRPr="00860AE8" w:rsidR="008908CB">
        <w:rPr>
          <w:rFonts w:ascii="Times New Roman" w:hAnsi="Times New Roman" w:cs="Times New Roman"/>
          <w:lang w:val="en-GB"/>
        </w:rPr>
        <w:t>eneral</w:t>
      </w:r>
      <w:r w:rsidRPr="00860AE8" w:rsidR="00935170">
        <w:rPr>
          <w:rFonts w:ascii="Times New Roman" w:hAnsi="Times New Roman" w:cs="Times New Roman"/>
          <w:lang w:val="en-GB"/>
        </w:rPr>
        <w:t xml:space="preserve"> </w:t>
      </w:r>
      <w:r w:rsidR="00435E2A">
        <w:rPr>
          <w:rFonts w:ascii="Times New Roman" w:hAnsi="Times New Roman" w:cs="Times New Roman"/>
          <w:lang w:val="en-GB"/>
        </w:rPr>
        <w:t>will</w:t>
      </w:r>
      <w:r w:rsidRPr="00860AE8" w:rsidR="00935170">
        <w:rPr>
          <w:rFonts w:ascii="Times New Roman" w:hAnsi="Times New Roman" w:cs="Times New Roman"/>
          <w:lang w:val="en-GB"/>
        </w:rPr>
        <w:t xml:space="preserve"> be maintained and </w:t>
      </w:r>
      <w:r w:rsidRPr="00860AE8" w:rsidR="008E2106">
        <w:rPr>
          <w:rFonts w:ascii="Times New Roman" w:hAnsi="Times New Roman" w:cs="Times New Roman"/>
          <w:lang w:val="en-GB"/>
        </w:rPr>
        <w:t xml:space="preserve">further </w:t>
      </w:r>
      <w:r w:rsidRPr="00860AE8" w:rsidR="00935170">
        <w:rPr>
          <w:rFonts w:ascii="Times New Roman" w:hAnsi="Times New Roman" w:cs="Times New Roman"/>
          <w:lang w:val="en-GB"/>
        </w:rPr>
        <w:t>strengthened.</w:t>
      </w:r>
    </w:p>
    <w:p w:rsidRPr="00435E2A" w:rsidR="00614988" w:rsidP="006E65D5" w:rsidRDefault="00614988" w14:paraId="7F2544F9" w14:textId="77777777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:rsidRPr="00435E2A" w:rsidR="00B24876" w:rsidP="006E65D5" w:rsidRDefault="004436A0" w14:paraId="64C5B29A" w14:textId="47E87C90">
      <w:pPr>
        <w:spacing w:after="0" w:line="288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435E2A">
        <w:rPr>
          <w:rFonts w:ascii="Times New Roman" w:hAnsi="Times New Roman" w:cs="Times New Roman"/>
          <w:lang w:val="en-GB"/>
        </w:rPr>
        <w:t xml:space="preserve">In </w:t>
      </w:r>
      <w:r w:rsidRPr="00435E2A" w:rsidR="00316F98">
        <w:rPr>
          <w:rFonts w:ascii="Times New Roman" w:hAnsi="Times New Roman" w:cs="Times New Roman"/>
          <w:lang w:val="en-GB"/>
        </w:rPr>
        <w:t>summary, during th</w:t>
      </w:r>
      <w:r w:rsidR="00435E2A">
        <w:rPr>
          <w:rFonts w:ascii="Times New Roman" w:hAnsi="Times New Roman" w:cs="Times New Roman"/>
          <w:lang w:val="en-GB"/>
        </w:rPr>
        <w:t>e</w:t>
      </w:r>
      <w:r w:rsidRPr="00435E2A">
        <w:rPr>
          <w:rFonts w:ascii="Times New Roman" w:hAnsi="Times New Roman" w:cs="Times New Roman"/>
          <w:lang w:val="en-GB"/>
        </w:rPr>
        <w:t xml:space="preserve"> </w:t>
      </w:r>
      <w:r w:rsidRPr="00435E2A" w:rsidR="00342D28">
        <w:rPr>
          <w:rFonts w:ascii="Times New Roman" w:hAnsi="Times New Roman" w:cs="Times New Roman"/>
          <w:lang w:val="en-GB"/>
        </w:rPr>
        <w:t>2025</w:t>
      </w:r>
      <w:r w:rsidRPr="00435E2A">
        <w:rPr>
          <w:rFonts w:ascii="Times New Roman" w:hAnsi="Times New Roman" w:cs="Times New Roman"/>
          <w:lang w:val="en-GB"/>
        </w:rPr>
        <w:t>-</w:t>
      </w:r>
      <w:r w:rsidRPr="00435E2A" w:rsidR="00342D28">
        <w:rPr>
          <w:rFonts w:ascii="Times New Roman" w:hAnsi="Times New Roman" w:cs="Times New Roman"/>
          <w:lang w:val="en-GB"/>
        </w:rPr>
        <w:t xml:space="preserve">2027 </w:t>
      </w:r>
      <w:r w:rsidRPr="00435E2A" w:rsidR="001C7EC1">
        <w:rPr>
          <w:rFonts w:ascii="Times New Roman" w:hAnsi="Times New Roman" w:cs="Times New Roman"/>
          <w:lang w:val="en-GB"/>
        </w:rPr>
        <w:t>half mandate the</w:t>
      </w:r>
      <w:r w:rsidRPr="00435E2A">
        <w:rPr>
          <w:rFonts w:ascii="Times New Roman" w:hAnsi="Times New Roman" w:cs="Times New Roman"/>
          <w:lang w:val="en-GB"/>
        </w:rPr>
        <w:t xml:space="preserve"> </w:t>
      </w:r>
      <w:r w:rsidRPr="00435E2A" w:rsidR="008E2106">
        <w:rPr>
          <w:rFonts w:ascii="Times New Roman" w:hAnsi="Times New Roman" w:cs="Times New Roman"/>
          <w:lang w:val="en-GB"/>
        </w:rPr>
        <w:t>PG</w:t>
      </w:r>
      <w:r w:rsidRPr="00435E2A">
        <w:rPr>
          <w:rFonts w:ascii="Times New Roman" w:hAnsi="Times New Roman" w:cs="Times New Roman"/>
          <w:lang w:val="en-GB"/>
        </w:rPr>
        <w:t xml:space="preserve"> will work on </w:t>
      </w:r>
      <w:r w:rsidRPr="00435E2A" w:rsidR="00342D28">
        <w:rPr>
          <w:rFonts w:ascii="Times New Roman" w:hAnsi="Times New Roman" w:cs="Times New Roman"/>
          <w:lang w:val="en-GB"/>
        </w:rPr>
        <w:t>maintaining and reinforc</w:t>
      </w:r>
      <w:r w:rsidRPr="00435E2A" w:rsidR="008E2106">
        <w:rPr>
          <w:rFonts w:ascii="Times New Roman" w:hAnsi="Times New Roman" w:cs="Times New Roman"/>
          <w:lang w:val="en-GB"/>
        </w:rPr>
        <w:t>ing</w:t>
      </w:r>
      <w:r w:rsidRPr="00435E2A" w:rsidR="00342D28">
        <w:rPr>
          <w:rFonts w:ascii="Times New Roman" w:hAnsi="Times New Roman" w:cs="Times New Roman"/>
          <w:lang w:val="en-GB"/>
        </w:rPr>
        <w:t xml:space="preserve"> synergies</w:t>
      </w:r>
      <w:r w:rsidRPr="00435E2A" w:rsidR="00215C44">
        <w:rPr>
          <w:rFonts w:ascii="Times New Roman" w:hAnsi="Times New Roman" w:cs="Times New Roman"/>
          <w:lang w:val="en-GB"/>
        </w:rPr>
        <w:t xml:space="preserve"> with </w:t>
      </w:r>
      <w:r w:rsidRPr="00435E2A" w:rsidR="00F1597C">
        <w:rPr>
          <w:rFonts w:ascii="Times New Roman" w:hAnsi="Times New Roman" w:cs="Times New Roman"/>
          <w:lang w:val="en-GB"/>
        </w:rPr>
        <w:t xml:space="preserve">all </w:t>
      </w:r>
      <w:r w:rsidRPr="00435E2A" w:rsidR="00215C44">
        <w:rPr>
          <w:rFonts w:ascii="Times New Roman" w:hAnsi="Times New Roman" w:cs="Times New Roman"/>
          <w:lang w:val="en-GB"/>
        </w:rPr>
        <w:t>actors</w:t>
      </w:r>
      <w:r w:rsidRPr="00435E2A" w:rsidR="004B4514">
        <w:rPr>
          <w:rFonts w:ascii="Times New Roman" w:hAnsi="Times New Roman" w:cs="Times New Roman"/>
          <w:lang w:val="en-GB"/>
        </w:rPr>
        <w:t xml:space="preserve">, </w:t>
      </w:r>
      <w:r w:rsidRPr="00435E2A" w:rsidR="00F1597C">
        <w:rPr>
          <w:rFonts w:ascii="Times New Roman" w:hAnsi="Times New Roman" w:cs="Times New Roman"/>
          <w:lang w:val="en-GB"/>
        </w:rPr>
        <w:t xml:space="preserve">stakeholders </w:t>
      </w:r>
      <w:r w:rsidRPr="00435E2A" w:rsidR="004B4514">
        <w:rPr>
          <w:rFonts w:ascii="Times New Roman" w:hAnsi="Times New Roman" w:cs="Times New Roman"/>
          <w:lang w:val="en-GB"/>
        </w:rPr>
        <w:t xml:space="preserve">and organisations </w:t>
      </w:r>
      <w:r w:rsidRPr="00435E2A" w:rsidR="00F1597C">
        <w:rPr>
          <w:rFonts w:ascii="Times New Roman" w:hAnsi="Times New Roman" w:cs="Times New Roman"/>
          <w:lang w:val="en-GB"/>
        </w:rPr>
        <w:t>involved in the agri-food sector</w:t>
      </w:r>
      <w:r w:rsidRPr="00435E2A" w:rsidR="004B4514">
        <w:rPr>
          <w:rFonts w:ascii="Times New Roman" w:hAnsi="Times New Roman" w:cs="Times New Roman"/>
          <w:lang w:val="en-GB"/>
        </w:rPr>
        <w:t xml:space="preserve"> and working on sustainable food systems</w:t>
      </w:r>
      <w:r w:rsidRPr="00435E2A" w:rsidR="00F1597C">
        <w:rPr>
          <w:rFonts w:ascii="Times New Roman" w:hAnsi="Times New Roman" w:cs="Times New Roman"/>
          <w:lang w:val="en-GB"/>
        </w:rPr>
        <w:t xml:space="preserve">, </w:t>
      </w:r>
      <w:r w:rsidRPr="00435E2A" w:rsidR="00215C44">
        <w:rPr>
          <w:rFonts w:ascii="Times New Roman" w:hAnsi="Times New Roman" w:cs="Times New Roman"/>
          <w:bCs/>
          <w:lang w:val="en-GB"/>
        </w:rPr>
        <w:t xml:space="preserve">while at the same time </w:t>
      </w:r>
      <w:r w:rsidRPr="00435E2A" w:rsidR="00CE1B58">
        <w:rPr>
          <w:rFonts w:ascii="Times New Roman" w:hAnsi="Times New Roman" w:cs="Times New Roman"/>
          <w:bCs/>
          <w:lang w:val="en-GB"/>
        </w:rPr>
        <w:t>propos</w:t>
      </w:r>
      <w:r w:rsidRPr="00435E2A">
        <w:rPr>
          <w:rFonts w:ascii="Times New Roman" w:hAnsi="Times New Roman" w:cs="Times New Roman"/>
          <w:bCs/>
          <w:lang w:val="en-GB"/>
        </w:rPr>
        <w:t>ing</w:t>
      </w:r>
      <w:r w:rsidRPr="00435E2A" w:rsidR="00CE1B58">
        <w:rPr>
          <w:rFonts w:ascii="Times New Roman" w:hAnsi="Times New Roman" w:cs="Times New Roman"/>
          <w:bCs/>
          <w:lang w:val="en-GB"/>
        </w:rPr>
        <w:t xml:space="preserve"> </w:t>
      </w:r>
      <w:r w:rsidRPr="00435E2A" w:rsidR="00C6082A">
        <w:rPr>
          <w:rFonts w:ascii="Times New Roman" w:hAnsi="Times New Roman" w:cs="Times New Roman"/>
          <w:bCs/>
          <w:lang w:val="en-GB"/>
        </w:rPr>
        <w:t>specific</w:t>
      </w:r>
      <w:r w:rsidRPr="00435E2A" w:rsidR="00CE1B58">
        <w:rPr>
          <w:rFonts w:ascii="Times New Roman" w:hAnsi="Times New Roman" w:cs="Times New Roman"/>
          <w:bCs/>
          <w:lang w:val="en-GB"/>
        </w:rPr>
        <w:t xml:space="preserve"> </w:t>
      </w:r>
      <w:r w:rsidRPr="00435E2A" w:rsidR="009F2339">
        <w:rPr>
          <w:rFonts w:ascii="Times New Roman" w:hAnsi="Times New Roman" w:cs="Times New Roman"/>
          <w:bCs/>
          <w:lang w:val="en-GB"/>
        </w:rPr>
        <w:t xml:space="preserve">examples of </w:t>
      </w:r>
      <w:r w:rsidRPr="00435E2A" w:rsidR="00C6082A">
        <w:rPr>
          <w:rFonts w:ascii="Times New Roman" w:hAnsi="Times New Roman" w:cs="Times New Roman"/>
          <w:bCs/>
          <w:lang w:val="en-GB"/>
        </w:rPr>
        <w:t xml:space="preserve">measures or </w:t>
      </w:r>
      <w:r w:rsidRPr="00435E2A" w:rsidR="009F2339">
        <w:rPr>
          <w:rFonts w:ascii="Times New Roman" w:hAnsi="Times New Roman" w:cs="Times New Roman"/>
          <w:bCs/>
          <w:lang w:val="en-GB"/>
        </w:rPr>
        <w:t>ways forward</w:t>
      </w:r>
      <w:r w:rsidRPr="00435E2A" w:rsidR="007D0689">
        <w:rPr>
          <w:rFonts w:ascii="Times New Roman" w:hAnsi="Times New Roman" w:cs="Times New Roman"/>
          <w:bCs/>
          <w:lang w:val="en-GB"/>
        </w:rPr>
        <w:t>, feed</w:t>
      </w:r>
      <w:r w:rsidRPr="00435E2A" w:rsidR="00C6082A">
        <w:rPr>
          <w:rFonts w:ascii="Times New Roman" w:hAnsi="Times New Roman" w:cs="Times New Roman"/>
          <w:bCs/>
          <w:lang w:val="en-GB"/>
        </w:rPr>
        <w:t>ing</w:t>
      </w:r>
      <w:r w:rsidRPr="00435E2A" w:rsidR="007D0689">
        <w:rPr>
          <w:rFonts w:ascii="Times New Roman" w:hAnsi="Times New Roman" w:cs="Times New Roman"/>
          <w:bCs/>
          <w:lang w:val="en-GB"/>
        </w:rPr>
        <w:t xml:space="preserve"> in</w:t>
      </w:r>
      <w:r w:rsidRPr="00435E2A" w:rsidR="00C6082A">
        <w:rPr>
          <w:rFonts w:ascii="Times New Roman" w:hAnsi="Times New Roman" w:cs="Times New Roman"/>
          <w:bCs/>
          <w:lang w:val="en-GB"/>
        </w:rPr>
        <w:t>to</w:t>
      </w:r>
      <w:r w:rsidRPr="00435E2A" w:rsidR="007D0689">
        <w:rPr>
          <w:rFonts w:ascii="Times New Roman" w:hAnsi="Times New Roman" w:cs="Times New Roman"/>
          <w:bCs/>
          <w:lang w:val="en-GB"/>
        </w:rPr>
        <w:t xml:space="preserve"> the</w:t>
      </w:r>
      <w:r w:rsidRPr="00435E2A" w:rsidR="007D0689">
        <w:rPr>
          <w:rFonts w:ascii="Times New Roman" w:hAnsi="Times New Roman" w:cs="Times New Roman"/>
          <w:lang w:val="en-GB"/>
        </w:rPr>
        <w:t xml:space="preserve"> </w:t>
      </w:r>
      <w:r w:rsidRPr="00435E2A" w:rsidR="00215C44">
        <w:rPr>
          <w:rFonts w:ascii="Times New Roman" w:hAnsi="Times New Roman" w:cs="Times New Roman"/>
          <w:lang w:val="en-GB"/>
        </w:rPr>
        <w:t>NAT section</w:t>
      </w:r>
      <w:r w:rsidRPr="00435E2A" w:rsidR="00C6082A">
        <w:rPr>
          <w:rFonts w:ascii="Times New Roman" w:hAnsi="Times New Roman" w:cs="Times New Roman"/>
          <w:lang w:val="en-GB"/>
        </w:rPr>
        <w:t>’s</w:t>
      </w:r>
      <w:r w:rsidRPr="00435E2A" w:rsidR="00215C44">
        <w:rPr>
          <w:rFonts w:ascii="Times New Roman" w:hAnsi="Times New Roman" w:cs="Times New Roman"/>
          <w:lang w:val="en-GB"/>
        </w:rPr>
        <w:t xml:space="preserve"> work programme</w:t>
      </w:r>
      <w:r w:rsidRPr="00435E2A" w:rsidR="00240345">
        <w:rPr>
          <w:rFonts w:ascii="Times New Roman" w:hAnsi="Times New Roman" w:cs="Times New Roman"/>
          <w:bCs/>
          <w:lang w:val="en-GB"/>
        </w:rPr>
        <w:t xml:space="preserve">. </w:t>
      </w:r>
    </w:p>
    <w:p w:rsidRPr="00435E2A" w:rsidR="00757858" w:rsidP="006E65D5" w:rsidRDefault="00757858" w14:paraId="0F61A32D" w14:textId="77777777">
      <w:pPr>
        <w:spacing w:after="0" w:line="288" w:lineRule="auto"/>
        <w:jc w:val="both"/>
        <w:rPr>
          <w:rFonts w:ascii="Times New Roman" w:hAnsi="Times New Roman" w:cs="Times New Roman"/>
          <w:b/>
          <w:color w:val="000000"/>
          <w:u w:val="single"/>
          <w:lang w:val="en-GB"/>
        </w:rPr>
      </w:pPr>
    </w:p>
    <w:p w:rsidRPr="00435E2A" w:rsidR="00534D87" w:rsidP="006E65D5" w:rsidRDefault="00534D87" w14:paraId="2FBDB809" w14:textId="77777777">
      <w:pPr>
        <w:keepNext/>
        <w:spacing w:after="0" w:line="288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435E2A">
        <w:rPr>
          <w:rFonts w:ascii="Times New Roman" w:hAnsi="Times New Roman" w:cs="Times New Roman"/>
          <w:b/>
          <w:color w:val="000000"/>
          <w:u w:val="single"/>
          <w:lang w:val="en-GB"/>
        </w:rPr>
        <w:t xml:space="preserve">Overall </w:t>
      </w:r>
      <w:r w:rsidRPr="00435E2A" w:rsidR="00951B89">
        <w:rPr>
          <w:rFonts w:ascii="Times New Roman" w:hAnsi="Times New Roman" w:cs="Times New Roman"/>
          <w:b/>
          <w:color w:val="000000"/>
          <w:u w:val="single"/>
          <w:lang w:val="en-GB"/>
        </w:rPr>
        <w:t>objective and proposed actions:</w:t>
      </w:r>
    </w:p>
    <w:p w:rsidRPr="00435E2A" w:rsidR="00757858" w:rsidP="006E65D5" w:rsidRDefault="00757858" w14:paraId="1C49FE13" w14:textId="77777777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:rsidRPr="00435E2A" w:rsidR="00534D87" w:rsidP="006E65D5" w:rsidRDefault="00EA2053" w14:paraId="5DA4D958" w14:textId="641AF0FB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435E2A">
        <w:rPr>
          <w:rFonts w:ascii="Times New Roman" w:hAnsi="Times New Roman" w:cs="Times New Roman"/>
          <w:lang w:val="en-GB"/>
        </w:rPr>
        <w:t xml:space="preserve">The </w:t>
      </w:r>
      <w:r w:rsidRPr="00435E2A" w:rsidR="00650386">
        <w:rPr>
          <w:rFonts w:ascii="Times New Roman" w:hAnsi="Times New Roman" w:cs="Times New Roman"/>
          <w:lang w:val="en-GB"/>
        </w:rPr>
        <w:t>P</w:t>
      </w:r>
      <w:r w:rsidRPr="00435E2A">
        <w:rPr>
          <w:rFonts w:ascii="Times New Roman" w:hAnsi="Times New Roman" w:cs="Times New Roman"/>
          <w:lang w:val="en-GB"/>
        </w:rPr>
        <w:t>G on Sustainable Food Systems will, among other</w:t>
      </w:r>
      <w:r w:rsidRPr="00435E2A" w:rsidR="000F59D1">
        <w:rPr>
          <w:rFonts w:ascii="Times New Roman" w:hAnsi="Times New Roman" w:cs="Times New Roman"/>
          <w:lang w:val="en-GB"/>
        </w:rPr>
        <w:t xml:space="preserve"> thing</w:t>
      </w:r>
      <w:r w:rsidRPr="00435E2A">
        <w:rPr>
          <w:rFonts w:ascii="Times New Roman" w:hAnsi="Times New Roman" w:cs="Times New Roman"/>
          <w:lang w:val="en-GB"/>
        </w:rPr>
        <w:t>s, contribute to the</w:t>
      </w:r>
      <w:r w:rsidRPr="00435E2A" w:rsidR="00534D87">
        <w:rPr>
          <w:rFonts w:ascii="Times New Roman" w:hAnsi="Times New Roman" w:cs="Times New Roman"/>
          <w:lang w:val="en-GB"/>
        </w:rPr>
        <w:t xml:space="preserve"> NAT</w:t>
      </w:r>
      <w:r w:rsidRPr="00435E2A" w:rsidR="002415FB">
        <w:rPr>
          <w:rFonts w:ascii="Times New Roman" w:hAnsi="Times New Roman" w:cs="Times New Roman"/>
          <w:lang w:val="en-GB"/>
        </w:rPr>
        <w:t xml:space="preserve"> section</w:t>
      </w:r>
      <w:r w:rsidRPr="00435E2A" w:rsidR="00534D87">
        <w:rPr>
          <w:rFonts w:ascii="Times New Roman" w:hAnsi="Times New Roman" w:cs="Times New Roman"/>
          <w:lang w:val="en-GB"/>
        </w:rPr>
        <w:t xml:space="preserve"> work programme</w:t>
      </w:r>
      <w:r w:rsidRPr="00435E2A" w:rsidR="002415FB">
        <w:rPr>
          <w:rFonts w:ascii="Times New Roman" w:hAnsi="Times New Roman" w:cs="Times New Roman"/>
          <w:lang w:val="en-GB"/>
        </w:rPr>
        <w:t>’s third policy priority</w:t>
      </w:r>
      <w:r w:rsidRPr="00435E2A" w:rsidR="00534D87">
        <w:rPr>
          <w:rFonts w:ascii="Times New Roman" w:hAnsi="Times New Roman" w:cs="Times New Roman"/>
          <w:lang w:val="en-GB"/>
        </w:rPr>
        <w:t xml:space="preserve"> </w:t>
      </w:r>
      <w:r w:rsidRPr="00435E2A">
        <w:rPr>
          <w:rFonts w:ascii="Times New Roman" w:hAnsi="Times New Roman" w:cs="Times New Roman"/>
          <w:lang w:val="en-GB"/>
        </w:rPr>
        <w:t>on</w:t>
      </w:r>
      <w:r w:rsidRPr="00435E2A" w:rsidR="00534D87">
        <w:rPr>
          <w:rFonts w:ascii="Times New Roman" w:hAnsi="Times New Roman" w:cs="Times New Roman"/>
          <w:lang w:val="en-GB"/>
        </w:rPr>
        <w:t xml:space="preserve"> </w:t>
      </w:r>
      <w:r w:rsidRPr="00435E2A" w:rsidR="00534D87">
        <w:rPr>
          <w:rFonts w:ascii="Times New Roman" w:hAnsi="Times New Roman" w:cs="Times New Roman"/>
          <w:b/>
          <w:lang w:val="en-GB"/>
        </w:rPr>
        <w:t xml:space="preserve">Fostering a Comprehensive Food Policy – Towards a More Sustainable </w:t>
      </w:r>
      <w:r w:rsidRPr="00435E2A" w:rsidR="00650386">
        <w:rPr>
          <w:rFonts w:ascii="Times New Roman" w:hAnsi="Times New Roman" w:cs="Times New Roman"/>
          <w:b/>
          <w:lang w:val="en-GB"/>
        </w:rPr>
        <w:t>Common Agricultural Policy (</w:t>
      </w:r>
      <w:r w:rsidRPr="00435E2A" w:rsidR="00534D87">
        <w:rPr>
          <w:rFonts w:ascii="Times New Roman" w:hAnsi="Times New Roman" w:cs="Times New Roman"/>
          <w:b/>
          <w:lang w:val="en-GB"/>
        </w:rPr>
        <w:t>CAP</w:t>
      </w:r>
      <w:r w:rsidRPr="00435E2A" w:rsidR="00650386">
        <w:rPr>
          <w:rFonts w:ascii="Times New Roman" w:hAnsi="Times New Roman" w:cs="Times New Roman"/>
          <w:b/>
          <w:lang w:val="en-GB"/>
        </w:rPr>
        <w:t>) and Common Fisheries Policy (CFP)</w:t>
      </w:r>
      <w:r w:rsidRPr="00860AE8" w:rsidR="007A272A">
        <w:rPr>
          <w:rFonts w:ascii="Times New Roman" w:hAnsi="Times New Roman" w:cs="Times New Roman"/>
          <w:bCs/>
          <w:lang w:val="en-GB"/>
        </w:rPr>
        <w:t>,</w:t>
      </w:r>
      <w:r w:rsidRPr="00435E2A" w:rsidR="007A272A">
        <w:rPr>
          <w:rFonts w:ascii="Times New Roman" w:hAnsi="Times New Roman" w:cs="Times New Roman"/>
          <w:b/>
          <w:lang w:val="en-GB"/>
        </w:rPr>
        <w:t xml:space="preserve"> </w:t>
      </w:r>
      <w:r w:rsidRPr="00435E2A" w:rsidR="007A272A">
        <w:rPr>
          <w:rFonts w:ascii="Times New Roman" w:hAnsi="Times New Roman" w:cs="Times New Roman"/>
          <w:bCs/>
          <w:lang w:val="en-GB"/>
        </w:rPr>
        <w:t>as well as on sustainable rural/urban development</w:t>
      </w:r>
      <w:r w:rsidRPr="00435E2A" w:rsidR="00650386">
        <w:rPr>
          <w:rFonts w:ascii="Times New Roman" w:hAnsi="Times New Roman" w:cs="Times New Roman"/>
          <w:lang w:val="en-GB"/>
        </w:rPr>
        <w:t xml:space="preserve">. </w:t>
      </w:r>
      <w:r w:rsidRPr="00435E2A">
        <w:rPr>
          <w:rFonts w:ascii="Times New Roman" w:hAnsi="Times New Roman" w:cs="Times New Roman"/>
          <w:lang w:val="en-GB"/>
        </w:rPr>
        <w:t xml:space="preserve">Close cooperation </w:t>
      </w:r>
      <w:r w:rsidRPr="00435E2A" w:rsidR="008E5A21">
        <w:rPr>
          <w:rFonts w:ascii="Times New Roman" w:hAnsi="Times New Roman" w:cs="Times New Roman"/>
          <w:lang w:val="en-GB"/>
        </w:rPr>
        <w:t>with the Sustainabl</w:t>
      </w:r>
      <w:r w:rsidRPr="00435E2A">
        <w:rPr>
          <w:rFonts w:ascii="Times New Roman" w:hAnsi="Times New Roman" w:cs="Times New Roman"/>
          <w:lang w:val="en-GB"/>
        </w:rPr>
        <w:t xml:space="preserve">e Development Observatory will be </w:t>
      </w:r>
      <w:r w:rsidRPr="00435E2A" w:rsidR="00FA1D41">
        <w:rPr>
          <w:rFonts w:ascii="Times New Roman" w:hAnsi="Times New Roman" w:cs="Times New Roman"/>
          <w:lang w:val="en-GB"/>
        </w:rPr>
        <w:t>maintained</w:t>
      </w:r>
      <w:r w:rsidRPr="00435E2A" w:rsidR="006E55B4">
        <w:rPr>
          <w:rFonts w:ascii="Times New Roman" w:hAnsi="Times New Roman" w:cs="Times New Roman"/>
          <w:lang w:val="en-GB"/>
        </w:rPr>
        <w:t xml:space="preserve"> and strengthened</w:t>
      </w:r>
      <w:r w:rsidRPr="00435E2A" w:rsidR="00FA1D41">
        <w:rPr>
          <w:rFonts w:ascii="Times New Roman" w:hAnsi="Times New Roman" w:cs="Times New Roman"/>
          <w:lang w:val="en-GB"/>
        </w:rPr>
        <w:t>, with a particular focus on SDG 2</w:t>
      </w:r>
      <w:r w:rsidRPr="00435E2A" w:rsidR="008908CB">
        <w:rPr>
          <w:rFonts w:ascii="Times New Roman" w:hAnsi="Times New Roman" w:cs="Times New Roman"/>
          <w:lang w:val="en-GB"/>
        </w:rPr>
        <w:t xml:space="preserve"> </w:t>
      </w:r>
      <w:r w:rsidR="00435E2A">
        <w:rPr>
          <w:rFonts w:ascii="Times New Roman" w:hAnsi="Times New Roman" w:cs="Times New Roman"/>
          <w:lang w:val="en-GB"/>
        </w:rPr>
        <w:t>(</w:t>
      </w:r>
      <w:r w:rsidRPr="00435E2A" w:rsidR="00CD63E0">
        <w:rPr>
          <w:rFonts w:ascii="Times New Roman" w:hAnsi="Times New Roman" w:cs="Times New Roman"/>
          <w:lang w:val="en-GB"/>
        </w:rPr>
        <w:t>Zero Hunger</w:t>
      </w:r>
      <w:r w:rsidR="00435E2A">
        <w:rPr>
          <w:rFonts w:ascii="Times New Roman" w:hAnsi="Times New Roman" w:cs="Times New Roman"/>
          <w:lang w:val="en-GB"/>
        </w:rPr>
        <w:t>)</w:t>
      </w:r>
      <w:r w:rsidRPr="00435E2A">
        <w:rPr>
          <w:rFonts w:ascii="Times New Roman" w:hAnsi="Times New Roman" w:cs="Times New Roman"/>
          <w:lang w:val="en-GB"/>
        </w:rPr>
        <w:t>.</w:t>
      </w:r>
      <w:r w:rsidRPr="00435E2A" w:rsidR="00C06A49">
        <w:rPr>
          <w:rFonts w:ascii="Times New Roman" w:hAnsi="Times New Roman" w:cs="Times New Roman"/>
          <w:lang w:val="en-GB"/>
        </w:rPr>
        <w:t xml:space="preserve"> Synergies could </w:t>
      </w:r>
      <w:r w:rsidRPr="00435E2A" w:rsidR="008908CB">
        <w:rPr>
          <w:rFonts w:ascii="Times New Roman" w:hAnsi="Times New Roman" w:cs="Times New Roman"/>
          <w:lang w:val="en-GB"/>
        </w:rPr>
        <w:t xml:space="preserve">also </w:t>
      </w:r>
      <w:r w:rsidRPr="00435E2A" w:rsidR="00C06A49">
        <w:rPr>
          <w:rFonts w:ascii="Times New Roman" w:hAnsi="Times New Roman" w:cs="Times New Roman"/>
          <w:lang w:val="en-GB"/>
        </w:rPr>
        <w:t>be explored with the EESC Youth Group</w:t>
      </w:r>
      <w:r w:rsidRPr="00435E2A" w:rsidR="00CD63E0">
        <w:rPr>
          <w:rFonts w:ascii="Times New Roman" w:hAnsi="Times New Roman" w:cs="Times New Roman"/>
          <w:lang w:val="en-GB"/>
        </w:rPr>
        <w:t xml:space="preserve"> and </w:t>
      </w:r>
      <w:r w:rsidRPr="00435E2A" w:rsidR="002415FB">
        <w:rPr>
          <w:rFonts w:ascii="Times New Roman" w:hAnsi="Times New Roman" w:cs="Times New Roman"/>
          <w:lang w:val="en-GB"/>
        </w:rPr>
        <w:t xml:space="preserve">the </w:t>
      </w:r>
      <w:r w:rsidRPr="00435E2A" w:rsidR="00CD63E0">
        <w:rPr>
          <w:rFonts w:ascii="Times New Roman" w:hAnsi="Times New Roman" w:cs="Times New Roman"/>
          <w:lang w:val="en-GB"/>
        </w:rPr>
        <w:t>FAO</w:t>
      </w:r>
      <w:r w:rsidRPr="00435E2A" w:rsidR="002415FB">
        <w:rPr>
          <w:rFonts w:ascii="Times New Roman" w:hAnsi="Times New Roman" w:cs="Times New Roman"/>
          <w:lang w:val="en-GB"/>
        </w:rPr>
        <w:t>’</w:t>
      </w:r>
      <w:r w:rsidRPr="00435E2A" w:rsidR="00CD63E0">
        <w:rPr>
          <w:rFonts w:ascii="Times New Roman" w:hAnsi="Times New Roman" w:cs="Times New Roman"/>
          <w:lang w:val="en-GB"/>
        </w:rPr>
        <w:t xml:space="preserve">s EU </w:t>
      </w:r>
      <w:r w:rsidRPr="00435E2A" w:rsidR="006B6DF5">
        <w:rPr>
          <w:rFonts w:ascii="Times New Roman" w:hAnsi="Times New Roman" w:cs="Times New Roman"/>
          <w:lang w:val="en-GB"/>
        </w:rPr>
        <w:t xml:space="preserve">national </w:t>
      </w:r>
      <w:r w:rsidRPr="00435E2A" w:rsidR="00CD63E0">
        <w:rPr>
          <w:rFonts w:ascii="Times New Roman" w:hAnsi="Times New Roman" w:cs="Times New Roman"/>
          <w:lang w:val="en-GB"/>
        </w:rPr>
        <w:t>youth chapters</w:t>
      </w:r>
      <w:r w:rsidRPr="00435E2A" w:rsidR="00C06A49">
        <w:rPr>
          <w:rFonts w:ascii="Times New Roman" w:hAnsi="Times New Roman" w:cs="Times New Roman"/>
          <w:lang w:val="en-GB"/>
        </w:rPr>
        <w:t>, as part of the EESC’s continuous efforts to better in</w:t>
      </w:r>
      <w:r w:rsidRPr="00435E2A" w:rsidR="002415FB">
        <w:rPr>
          <w:rFonts w:ascii="Times New Roman" w:hAnsi="Times New Roman" w:cs="Times New Roman"/>
          <w:lang w:val="en-GB"/>
        </w:rPr>
        <w:t>clude</w:t>
      </w:r>
      <w:r w:rsidRPr="00435E2A" w:rsidR="00C06A49">
        <w:rPr>
          <w:rFonts w:ascii="Times New Roman" w:hAnsi="Times New Roman" w:cs="Times New Roman"/>
          <w:lang w:val="en-GB"/>
        </w:rPr>
        <w:t xml:space="preserve"> the voice of young Europeans in its work and </w:t>
      </w:r>
      <w:r w:rsidRPr="00435E2A" w:rsidR="002415FB">
        <w:rPr>
          <w:rFonts w:ascii="Times New Roman" w:hAnsi="Times New Roman" w:cs="Times New Roman"/>
          <w:lang w:val="en-GB"/>
        </w:rPr>
        <w:t xml:space="preserve">in </w:t>
      </w:r>
      <w:r w:rsidRPr="00435E2A" w:rsidR="00C06A49">
        <w:rPr>
          <w:rFonts w:ascii="Times New Roman" w:hAnsi="Times New Roman" w:cs="Times New Roman"/>
          <w:lang w:val="en-GB"/>
        </w:rPr>
        <w:t>the EU decision-making process in a structured and meaningful way.</w:t>
      </w:r>
      <w:r w:rsidRPr="00435E2A" w:rsidR="006B6DF5">
        <w:rPr>
          <w:rFonts w:ascii="Times New Roman" w:hAnsi="Times New Roman" w:cs="Times New Roman"/>
          <w:lang w:val="en-GB"/>
        </w:rPr>
        <w:t xml:space="preserve"> </w:t>
      </w:r>
      <w:r w:rsidRPr="00435E2A" w:rsidR="002415FB">
        <w:rPr>
          <w:rFonts w:ascii="Times New Roman" w:hAnsi="Times New Roman" w:cs="Times New Roman"/>
          <w:lang w:val="en-GB"/>
        </w:rPr>
        <w:t xml:space="preserve">The </w:t>
      </w:r>
      <w:r w:rsidRPr="00435E2A" w:rsidR="006B6DF5">
        <w:rPr>
          <w:rFonts w:ascii="Times New Roman" w:hAnsi="Times New Roman" w:cs="Times New Roman"/>
          <w:lang w:val="en-GB"/>
        </w:rPr>
        <w:t xml:space="preserve">EESC could </w:t>
      </w:r>
      <w:r w:rsidRPr="00435E2A" w:rsidR="002415FB">
        <w:rPr>
          <w:rFonts w:ascii="Times New Roman" w:hAnsi="Times New Roman" w:cs="Times New Roman"/>
          <w:lang w:val="en-GB"/>
        </w:rPr>
        <w:t>serve as</w:t>
      </w:r>
      <w:r w:rsidRPr="00435E2A" w:rsidR="006B6DF5">
        <w:rPr>
          <w:rFonts w:ascii="Times New Roman" w:hAnsi="Times New Roman" w:cs="Times New Roman"/>
          <w:lang w:val="en-GB"/>
        </w:rPr>
        <w:t xml:space="preserve"> a </w:t>
      </w:r>
      <w:r w:rsidRPr="00435E2A" w:rsidR="002415FB">
        <w:rPr>
          <w:rFonts w:ascii="Times New Roman" w:hAnsi="Times New Roman" w:cs="Times New Roman"/>
          <w:lang w:val="en-GB"/>
        </w:rPr>
        <w:t>forum</w:t>
      </w:r>
      <w:r w:rsidRPr="00435E2A" w:rsidR="006B6DF5">
        <w:rPr>
          <w:rFonts w:ascii="Times New Roman" w:hAnsi="Times New Roman" w:cs="Times New Roman"/>
          <w:lang w:val="en-GB"/>
        </w:rPr>
        <w:t xml:space="preserve"> for any exchange between </w:t>
      </w:r>
      <w:r w:rsidRPr="00435E2A" w:rsidR="0084065A">
        <w:rPr>
          <w:rFonts w:ascii="Times New Roman" w:hAnsi="Times New Roman" w:cs="Times New Roman"/>
          <w:lang w:val="en-GB"/>
        </w:rPr>
        <w:t>these two</w:t>
      </w:r>
      <w:r w:rsidRPr="00435E2A" w:rsidR="006B6DF5">
        <w:rPr>
          <w:rFonts w:ascii="Times New Roman" w:hAnsi="Times New Roman" w:cs="Times New Roman"/>
          <w:lang w:val="en-GB"/>
        </w:rPr>
        <w:t>.</w:t>
      </w:r>
    </w:p>
    <w:p w:rsidRPr="00435E2A" w:rsidR="00614988" w:rsidP="00FA1D41" w:rsidRDefault="00614988" w14:paraId="726EFC06" w14:textId="77777777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:rsidRPr="00435E2A" w:rsidR="00757858" w:rsidP="00FA1D41" w:rsidRDefault="00FA1D41" w14:paraId="058922FB" w14:textId="4248BFEC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435E2A">
        <w:rPr>
          <w:rFonts w:ascii="Times New Roman" w:hAnsi="Times New Roman" w:cs="Times New Roman"/>
          <w:lang w:val="en-GB"/>
        </w:rPr>
        <w:t xml:space="preserve">To ensure that </w:t>
      </w:r>
      <w:r w:rsidR="00435E2A">
        <w:rPr>
          <w:rFonts w:ascii="Times New Roman" w:hAnsi="Times New Roman" w:cs="Times New Roman"/>
          <w:lang w:val="en-GB"/>
        </w:rPr>
        <w:t>its</w:t>
      </w:r>
      <w:r w:rsidRPr="00435E2A">
        <w:rPr>
          <w:rFonts w:ascii="Times New Roman" w:hAnsi="Times New Roman" w:cs="Times New Roman"/>
          <w:lang w:val="en-GB"/>
        </w:rPr>
        <w:t xml:space="preserve"> message is conveyed </w:t>
      </w:r>
      <w:r w:rsidRPr="00435E2A" w:rsidR="00F737CB">
        <w:rPr>
          <w:rFonts w:ascii="Times New Roman" w:hAnsi="Times New Roman" w:cs="Times New Roman"/>
          <w:lang w:val="en-GB"/>
        </w:rPr>
        <w:t xml:space="preserve">effectively </w:t>
      </w:r>
      <w:r w:rsidRPr="00435E2A">
        <w:rPr>
          <w:rFonts w:ascii="Times New Roman" w:hAnsi="Times New Roman" w:cs="Times New Roman"/>
          <w:lang w:val="en-GB"/>
        </w:rPr>
        <w:t xml:space="preserve">and has a tangible impact, </w:t>
      </w:r>
      <w:r w:rsidRPr="00435E2A" w:rsidR="006E55B4">
        <w:rPr>
          <w:rFonts w:ascii="Times New Roman" w:hAnsi="Times New Roman" w:cs="Times New Roman"/>
          <w:lang w:val="en-GB"/>
        </w:rPr>
        <w:t xml:space="preserve">the </w:t>
      </w:r>
      <w:r w:rsidR="00435E2A">
        <w:rPr>
          <w:rFonts w:ascii="Times New Roman" w:hAnsi="Times New Roman" w:cs="Times New Roman"/>
          <w:lang w:val="en-GB"/>
        </w:rPr>
        <w:t>PG</w:t>
      </w:r>
      <w:r w:rsidRPr="00435E2A" w:rsidR="00F737CB">
        <w:rPr>
          <w:rFonts w:ascii="Times New Roman" w:hAnsi="Times New Roman" w:cs="Times New Roman"/>
          <w:lang w:val="en-GB"/>
        </w:rPr>
        <w:t xml:space="preserve">’s </w:t>
      </w:r>
      <w:r w:rsidRPr="00435E2A" w:rsidR="006E55B4">
        <w:rPr>
          <w:rFonts w:ascii="Times New Roman" w:hAnsi="Times New Roman" w:cs="Times New Roman"/>
          <w:lang w:val="en-GB"/>
        </w:rPr>
        <w:t>work must</w:t>
      </w:r>
      <w:r w:rsidRPr="00435E2A">
        <w:rPr>
          <w:rFonts w:ascii="Times New Roman" w:hAnsi="Times New Roman" w:cs="Times New Roman"/>
          <w:lang w:val="en-GB"/>
        </w:rPr>
        <w:t xml:space="preserve"> remain firmly grounded in realism. Th</w:t>
      </w:r>
      <w:r w:rsidRPr="00435E2A" w:rsidR="006E55B4">
        <w:rPr>
          <w:rFonts w:ascii="Times New Roman" w:hAnsi="Times New Roman" w:cs="Times New Roman"/>
          <w:lang w:val="en-GB"/>
        </w:rPr>
        <w:t>e</w:t>
      </w:r>
      <w:r w:rsidRPr="00435E2A">
        <w:rPr>
          <w:rFonts w:ascii="Times New Roman" w:hAnsi="Times New Roman" w:cs="Times New Roman"/>
          <w:lang w:val="en-GB"/>
        </w:rPr>
        <w:t xml:space="preserve"> </w:t>
      </w:r>
      <w:r w:rsidRPr="00435E2A" w:rsidR="00F737CB">
        <w:rPr>
          <w:rFonts w:ascii="Times New Roman" w:hAnsi="Times New Roman" w:cs="Times New Roman"/>
          <w:lang w:val="en-GB"/>
        </w:rPr>
        <w:t>PG</w:t>
      </w:r>
      <w:r w:rsidRPr="00435E2A">
        <w:rPr>
          <w:rFonts w:ascii="Times New Roman" w:hAnsi="Times New Roman" w:cs="Times New Roman"/>
          <w:lang w:val="en-GB"/>
        </w:rPr>
        <w:t xml:space="preserve"> is </w:t>
      </w:r>
      <w:r w:rsidRPr="00435E2A" w:rsidR="006E55B4">
        <w:rPr>
          <w:rFonts w:ascii="Times New Roman" w:hAnsi="Times New Roman" w:cs="Times New Roman"/>
          <w:lang w:val="en-GB"/>
        </w:rPr>
        <w:t xml:space="preserve">expected to </w:t>
      </w:r>
      <w:r w:rsidRPr="00435E2A" w:rsidR="00F737CB">
        <w:rPr>
          <w:rFonts w:ascii="Times New Roman" w:hAnsi="Times New Roman" w:cs="Times New Roman"/>
          <w:lang w:val="en-GB"/>
        </w:rPr>
        <w:t>put</w:t>
      </w:r>
      <w:r w:rsidRPr="00435E2A">
        <w:rPr>
          <w:rFonts w:ascii="Times New Roman" w:hAnsi="Times New Roman" w:cs="Times New Roman"/>
          <w:lang w:val="en-GB"/>
        </w:rPr>
        <w:t xml:space="preserve"> forward new ideas, </w:t>
      </w:r>
      <w:r w:rsidRPr="00435E2A" w:rsidR="006E55B4">
        <w:rPr>
          <w:rFonts w:ascii="Times New Roman" w:hAnsi="Times New Roman" w:cs="Times New Roman"/>
          <w:lang w:val="en-GB"/>
        </w:rPr>
        <w:t>through the</w:t>
      </w:r>
      <w:r w:rsidRPr="00435E2A">
        <w:rPr>
          <w:rFonts w:ascii="Times New Roman" w:hAnsi="Times New Roman" w:cs="Times New Roman"/>
          <w:lang w:val="en-GB"/>
        </w:rPr>
        <w:t xml:space="preserve"> meaningful involvement of a broad and balanced range of actors representing all relevant </w:t>
      </w:r>
      <w:r w:rsidRPr="00435E2A" w:rsidR="006E55B4">
        <w:rPr>
          <w:rFonts w:ascii="Times New Roman" w:hAnsi="Times New Roman" w:cs="Times New Roman"/>
          <w:lang w:val="en-GB"/>
        </w:rPr>
        <w:t xml:space="preserve">perspectives, in a </w:t>
      </w:r>
      <w:r w:rsidRPr="00435E2A">
        <w:rPr>
          <w:rFonts w:ascii="Times New Roman" w:hAnsi="Times New Roman" w:cs="Times New Roman"/>
          <w:lang w:val="en-GB"/>
        </w:rPr>
        <w:t>systematic, transparent and consistent</w:t>
      </w:r>
      <w:r w:rsidRPr="00435E2A" w:rsidR="006E55B4">
        <w:rPr>
          <w:rFonts w:ascii="Times New Roman" w:hAnsi="Times New Roman" w:cs="Times New Roman"/>
          <w:lang w:val="en-GB"/>
        </w:rPr>
        <w:t xml:space="preserve"> way.</w:t>
      </w:r>
    </w:p>
    <w:p w:rsidRPr="00435E2A" w:rsidR="00614988" w:rsidP="00FA1D41" w:rsidRDefault="00614988" w14:paraId="4A3D0537" w14:textId="77777777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:rsidRPr="00435E2A" w:rsidR="00B7335B" w:rsidP="00FA1D41" w:rsidRDefault="008908CB" w14:paraId="5843A033" w14:textId="7BF7A416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435E2A">
        <w:rPr>
          <w:rFonts w:ascii="Times New Roman" w:hAnsi="Times New Roman" w:cs="Times New Roman"/>
          <w:lang w:val="en-GB"/>
        </w:rPr>
        <w:t xml:space="preserve">More precisely, the work of the </w:t>
      </w:r>
      <w:r w:rsidRPr="00435E2A" w:rsidR="00F737CB">
        <w:rPr>
          <w:rFonts w:ascii="Times New Roman" w:hAnsi="Times New Roman" w:cs="Times New Roman"/>
          <w:lang w:val="en-GB"/>
        </w:rPr>
        <w:t>PG</w:t>
      </w:r>
      <w:r w:rsidRPr="00435E2A">
        <w:rPr>
          <w:rFonts w:ascii="Times New Roman" w:hAnsi="Times New Roman" w:cs="Times New Roman"/>
          <w:lang w:val="en-GB"/>
        </w:rPr>
        <w:t xml:space="preserve"> will focus on the following areas: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6012"/>
      </w:tblGrid>
      <w:tr w:rsidRPr="00435E2A" w:rsidR="00474652" w:rsidTr="00614988" w14:paraId="285B8AA2" w14:textId="77777777">
        <w:trPr>
          <w:cantSplit/>
        </w:trPr>
        <w:tc>
          <w:tcPr>
            <w:tcW w:w="3048" w:type="dxa"/>
          </w:tcPr>
          <w:p w:rsidRPr="00435E2A" w:rsidR="00474652" w:rsidP="006E65D5" w:rsidRDefault="00E9753A" w14:paraId="4863594D" w14:textId="665EDAA6">
            <w:pPr>
              <w:spacing w:line="288" w:lineRule="auto"/>
              <w:rPr>
                <w:rFonts w:ascii="Times New Roman" w:hAnsi="Times New Roman" w:cs="Times New Roman"/>
                <w:b/>
                <w:highlight w:val="yellow"/>
                <w:lang w:val="en-GB"/>
              </w:rPr>
            </w:pPr>
            <w:r w:rsidRPr="00435E2A">
              <w:rPr>
                <w:rFonts w:ascii="Times New Roman" w:hAnsi="Times New Roman" w:cs="Times New Roman"/>
                <w:b/>
                <w:lang w:val="en-GB"/>
              </w:rPr>
              <w:t>Foster productive, competitive, sustainable, resilient, regenerative and fairer food systems</w:t>
            </w:r>
            <w:r w:rsidRPr="00435E2A" w:rsidR="00474652">
              <w:rPr>
                <w:rFonts w:ascii="Times New Roman" w:hAnsi="Times New Roman" w:cs="Times New Roman"/>
                <w:b/>
                <w:lang w:val="en-GB"/>
              </w:rPr>
              <w:t xml:space="preserve">, </w:t>
            </w:r>
            <w:r w:rsidRPr="00435E2A" w:rsidR="004E6386">
              <w:rPr>
                <w:rFonts w:ascii="Times New Roman" w:hAnsi="Times New Roman" w:cs="Times New Roman"/>
                <w:b/>
                <w:lang w:val="en-GB"/>
              </w:rPr>
              <w:t>using</w:t>
            </w:r>
            <w:r w:rsidRPr="00435E2A" w:rsidR="00474652">
              <w:rPr>
                <w:rFonts w:ascii="Times New Roman" w:hAnsi="Times New Roman" w:cs="Times New Roman"/>
                <w:b/>
                <w:lang w:val="en-GB"/>
              </w:rPr>
              <w:t xml:space="preserve"> a pragmatic and realistic approach</w:t>
            </w:r>
          </w:p>
        </w:tc>
        <w:tc>
          <w:tcPr>
            <w:tcW w:w="6012" w:type="dxa"/>
          </w:tcPr>
          <w:p w:rsidRPr="00435E2A" w:rsidR="00333FD0" w:rsidP="00F21B82" w:rsidRDefault="0032383C" w14:paraId="2D4667F0" w14:textId="20CDC218">
            <w:pPr>
              <w:pStyle w:val="ListParagraph"/>
              <w:numPr>
                <w:ilvl w:val="0"/>
                <w:numId w:val="27"/>
              </w:numPr>
              <w:spacing w:after="120" w:line="288" w:lineRule="auto"/>
              <w:ind w:left="387" w:hanging="35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Promote and discuss at interinstitutional level</w:t>
            </w:r>
            <w:r w:rsidRPr="00435E2A" w:rsidR="00E9753A">
              <w:rPr>
                <w:rFonts w:ascii="Times New Roman" w:hAnsi="Times New Roman" w:cs="Times New Roman"/>
                <w:lang w:val="en-GB"/>
              </w:rPr>
              <w:t xml:space="preserve"> via thematic debates at PG meetings</w:t>
            </w:r>
            <w:r w:rsidRPr="00435E2A" w:rsidR="00B7335B">
              <w:rPr>
                <w:rFonts w:ascii="Times New Roman" w:hAnsi="Times New Roman" w:cs="Times New Roman"/>
                <w:lang w:val="en-GB"/>
              </w:rPr>
              <w:t xml:space="preserve"> and contributions to </w:t>
            </w:r>
            <w:r w:rsidRPr="00435E2A">
              <w:rPr>
                <w:rFonts w:ascii="Times New Roman" w:hAnsi="Times New Roman" w:cs="Times New Roman"/>
                <w:lang w:val="en-GB"/>
              </w:rPr>
              <w:t>NAT section opinions on aspects</w:t>
            </w:r>
            <w:r w:rsidRPr="00435E2A" w:rsidR="00B7335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such as: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regenerative forms of agriculture</w:t>
            </w:r>
            <w:r w:rsidRPr="00860AE8">
              <w:rPr>
                <w:rFonts w:ascii="Times New Roman" w:hAnsi="Times New Roman" w:cs="Times New Roman"/>
                <w:lang w:val="en-GB"/>
              </w:rPr>
              <w:t>;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the revision of the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Unfair Trading Practices (UTP) Directive</w:t>
            </w:r>
            <w:r w:rsidRPr="00860AE8" w:rsidR="00373A0C">
              <w:rPr>
                <w:rFonts w:ascii="Times New Roman" w:hAnsi="Times New Roman" w:cs="Times New Roman"/>
                <w:lang w:val="en-GB"/>
              </w:rPr>
              <w:t>,</w:t>
            </w:r>
            <w:r w:rsidRPr="00435E2A" w:rsidR="00373A0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435E2A" w:rsidR="00373A0C">
              <w:rPr>
                <w:rFonts w:ascii="Times New Roman" w:hAnsi="Times New Roman" w:cs="Times New Roman"/>
                <w:lang w:val="en-GB"/>
              </w:rPr>
              <w:t>and how to tackle</w:t>
            </w:r>
            <w:r w:rsidRPr="00435E2A" w:rsidR="00373A0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860AE8" w:rsidR="00010C1C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010C1C" w:rsidR="00373A0C">
              <w:rPr>
                <w:rFonts w:ascii="Times New Roman" w:hAnsi="Times New Roman" w:cs="Times New Roman"/>
                <w:lang w:val="en-GB"/>
              </w:rPr>
              <w:t>uneven</w:t>
            </w:r>
            <w:r w:rsidRPr="00435E2A" w:rsidR="00373A0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435E2A" w:rsidR="00373A0C">
              <w:rPr>
                <w:rFonts w:ascii="Times New Roman" w:hAnsi="Times New Roman" w:cs="Times New Roman"/>
                <w:lang w:val="en-GB"/>
              </w:rPr>
              <w:t>distribution of power in the chain and market abuse</w:t>
            </w:r>
            <w:r w:rsidRPr="00860AE8">
              <w:rPr>
                <w:rFonts w:ascii="Times New Roman" w:hAnsi="Times New Roman" w:cs="Times New Roman"/>
                <w:lang w:val="en-GB"/>
              </w:rPr>
              <w:t>;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the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EU Protein Supply Strategy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>
              <w:rPr>
                <w:rFonts w:ascii="Times New Roman" w:hAnsi="Times New Roman" w:cs="Times New Roman"/>
                <w:color w:val="000000"/>
                <w:lang w:val="en-GB"/>
              </w:rPr>
              <w:t xml:space="preserve">(building on our previous call for a European Protein Strategy, a priority now acknowledged in the Vision); the long-term </w:t>
            </w:r>
            <w:r w:rsidRPr="00435E2A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strategy on livestock</w:t>
            </w:r>
            <w:r w:rsidRPr="00860AE8">
              <w:rPr>
                <w:rFonts w:ascii="Times New Roman" w:hAnsi="Times New Roman" w:cs="Times New Roman"/>
                <w:color w:val="000000"/>
                <w:lang w:val="en-GB"/>
              </w:rPr>
              <w:t>;</w:t>
            </w:r>
            <w:r w:rsidRPr="00435E2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010C1C">
              <w:rPr>
                <w:rFonts w:ascii="Times New Roman" w:hAnsi="Times New Roman" w:cs="Times New Roman"/>
                <w:color w:val="000000"/>
                <w:lang w:val="en-GB"/>
              </w:rPr>
              <w:t xml:space="preserve">and </w:t>
            </w:r>
            <w:r w:rsidRPr="00435E2A">
              <w:rPr>
                <w:rFonts w:ascii="Times New Roman" w:hAnsi="Times New Roman" w:cs="Times New Roman"/>
                <w:color w:val="000000"/>
                <w:lang w:val="en-GB"/>
              </w:rPr>
              <w:t xml:space="preserve">the </w:t>
            </w:r>
            <w:r w:rsidRPr="00435E2A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decarbonisation of the agri-food sector</w:t>
            </w:r>
            <w:r w:rsidRPr="00860AE8" w:rsidR="00333FD0">
              <w:rPr>
                <w:rFonts w:ascii="Times New Roman" w:hAnsi="Times New Roman" w:cs="Times New Roman"/>
                <w:color w:val="000000"/>
                <w:lang w:val="en-GB"/>
              </w:rPr>
              <w:t>;</w:t>
            </w:r>
            <w:r w:rsidRPr="00435E2A" w:rsidR="000943CA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 </w:t>
            </w:r>
          </w:p>
          <w:p w:rsidRPr="00435E2A" w:rsidR="00295CFF" w:rsidP="00F21B82" w:rsidRDefault="0032383C" w14:paraId="59D1AE4C" w14:textId="480B846A">
            <w:pPr>
              <w:pStyle w:val="ListParagraph"/>
              <w:numPr>
                <w:ilvl w:val="0"/>
                <w:numId w:val="27"/>
              </w:numPr>
              <w:spacing w:after="120" w:line="288" w:lineRule="auto"/>
              <w:ind w:left="387" w:hanging="35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Continue to advocate </w:t>
            </w:r>
            <w:r w:rsidRPr="00435E2A" w:rsidR="00B7335B">
              <w:rPr>
                <w:rFonts w:ascii="Times New Roman" w:hAnsi="Times New Roman" w:cs="Times New Roman"/>
                <w:lang w:val="en-GB"/>
              </w:rPr>
              <w:t xml:space="preserve">for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a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comprehensive food policy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that ensures: fair supply chains, decent labour and life conditions (including mental health), sustainable food production and processing, healthy diets, fair income and </w:t>
            </w:r>
            <w:r w:rsidRPr="00435E2A" w:rsidR="00B7335B">
              <w:rPr>
                <w:rFonts w:ascii="Times New Roman" w:hAnsi="Times New Roman" w:cs="Times New Roman"/>
                <w:lang w:val="en-GB"/>
              </w:rPr>
              <w:t xml:space="preserve">affordable food </w:t>
            </w:r>
            <w:r w:rsidRPr="00435E2A">
              <w:rPr>
                <w:rFonts w:ascii="Times New Roman" w:hAnsi="Times New Roman" w:cs="Times New Roman"/>
                <w:lang w:val="en-GB"/>
              </w:rPr>
              <w:t>prices, the right to food and stronger bargaining power for the most vulnerable actors in the food chain;</w:t>
            </w:r>
            <w:r w:rsidRPr="00435E2A" w:rsidR="00A26B0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BC2304">
              <w:rPr>
                <w:rFonts w:ascii="Times New Roman" w:hAnsi="Times New Roman" w:cs="Times New Roman"/>
                <w:lang w:val="en-GB"/>
              </w:rPr>
              <w:t xml:space="preserve">work on </w:t>
            </w:r>
            <w:r w:rsidRPr="00435E2A" w:rsidR="00A26B04">
              <w:rPr>
                <w:rFonts w:ascii="Times New Roman" w:hAnsi="Times New Roman" w:cs="Times New Roman"/>
                <w:lang w:val="en-GB"/>
              </w:rPr>
              <w:t xml:space="preserve">sustainable </w:t>
            </w:r>
            <w:r w:rsidRPr="00435E2A" w:rsidR="00C5244C">
              <w:rPr>
                <w:rFonts w:ascii="Times New Roman" w:hAnsi="Times New Roman" w:cs="Times New Roman"/>
                <w:lang w:val="en-GB"/>
              </w:rPr>
              <w:t xml:space="preserve">food </w:t>
            </w:r>
            <w:r w:rsidRPr="00435E2A" w:rsidR="00A26B04">
              <w:rPr>
                <w:rFonts w:ascii="Times New Roman" w:hAnsi="Times New Roman" w:cs="Times New Roman"/>
                <w:lang w:val="en-GB"/>
              </w:rPr>
              <w:t>packaging</w:t>
            </w:r>
            <w:r w:rsidRPr="00435E2A" w:rsidR="000943CA">
              <w:rPr>
                <w:rFonts w:ascii="Times New Roman" w:hAnsi="Times New Roman" w:cs="Times New Roman"/>
                <w:lang w:val="en-GB"/>
              </w:rPr>
              <w:t xml:space="preserve"> and on animal welfare</w:t>
            </w:r>
            <w:r w:rsidRPr="00435E2A" w:rsidR="00BC2304">
              <w:rPr>
                <w:rFonts w:ascii="Times New Roman" w:hAnsi="Times New Roman" w:cs="Times New Roman"/>
                <w:lang w:val="en-GB"/>
              </w:rPr>
              <w:t>;</w:t>
            </w:r>
            <w:r w:rsidRPr="00435E2A" w:rsidR="00295CFF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Pr="00435E2A" w:rsidR="000943CA" w:rsidP="00F21B82" w:rsidRDefault="000943CA" w14:paraId="2050D826" w14:textId="0128D11C">
            <w:pPr>
              <w:pStyle w:val="ListParagraph"/>
              <w:numPr>
                <w:ilvl w:val="0"/>
                <w:numId w:val="27"/>
              </w:numPr>
              <w:spacing w:after="120" w:line="288" w:lineRule="auto"/>
              <w:ind w:left="387" w:hanging="35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Further explore the social dimension of sustainable food systems, with a focus on working conditions, </w:t>
            </w:r>
            <w:r w:rsidRPr="00435E2A" w:rsidR="007274ED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>
              <w:rPr>
                <w:rFonts w:ascii="Times New Roman" w:hAnsi="Times New Roman" w:cs="Times New Roman"/>
                <w:lang w:val="en-GB"/>
              </w:rPr>
              <w:t>mental health of farmers</w:t>
            </w:r>
            <w:r w:rsidRPr="00435E2A" w:rsidR="00A305F5">
              <w:rPr>
                <w:rFonts w:ascii="Times New Roman" w:hAnsi="Times New Roman" w:cs="Times New Roman"/>
                <w:lang w:val="en-GB"/>
              </w:rPr>
              <w:t xml:space="preserve"> and workers</w:t>
            </w:r>
            <w:r w:rsidRPr="00435E2A">
              <w:rPr>
                <w:rFonts w:ascii="Times New Roman" w:hAnsi="Times New Roman" w:cs="Times New Roman"/>
                <w:lang w:val="en-GB"/>
              </w:rPr>
              <w:t>, gender equality and strengthening the position of young people in rural and coastal areas. Fair and stable incomes remain a prerequisite for the long-term viability and social legitimacy of the sector;</w:t>
            </w:r>
          </w:p>
          <w:p w:rsidRPr="00435E2A" w:rsidR="00F21B82" w:rsidP="00F21B82" w:rsidRDefault="00295CFF" w14:paraId="74B87ABA" w14:textId="05BD281C">
            <w:pPr>
              <w:pStyle w:val="ListParagraph"/>
              <w:numPr>
                <w:ilvl w:val="0"/>
                <w:numId w:val="27"/>
              </w:numPr>
              <w:spacing w:after="120" w:line="288" w:lineRule="auto"/>
              <w:ind w:left="387" w:hanging="35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Discuss the developments </w:t>
            </w:r>
            <w:r w:rsidRPr="00435E2A" w:rsidR="007274ED">
              <w:rPr>
                <w:rFonts w:ascii="Times New Roman" w:hAnsi="Times New Roman" w:cs="Times New Roman"/>
                <w:lang w:val="en-GB"/>
              </w:rPr>
              <w:t>regarding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the next CAP </w:t>
            </w:r>
            <w:r w:rsidR="00010C1C">
              <w:rPr>
                <w:rFonts w:ascii="Times New Roman" w:hAnsi="Times New Roman" w:cs="Times New Roman"/>
                <w:lang w:val="en-GB"/>
              </w:rPr>
              <w:t xml:space="preserve">taking into account </w:t>
            </w:r>
            <w:r w:rsidRPr="00435E2A">
              <w:rPr>
                <w:rFonts w:ascii="Times New Roman" w:hAnsi="Times New Roman" w:cs="Times New Roman"/>
                <w:lang w:val="en-GB"/>
              </w:rPr>
              <w:t>the entire food supply chain</w:t>
            </w:r>
            <w:r w:rsidR="00010C1C">
              <w:rPr>
                <w:rFonts w:ascii="Times New Roman" w:hAnsi="Times New Roman" w:cs="Times New Roman"/>
                <w:lang w:val="en-GB"/>
              </w:rPr>
              <w:t>,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through hearings at PG meetings, and promote the EESC</w:t>
            </w:r>
            <w:r w:rsidRPr="00435E2A" w:rsidR="007274ED">
              <w:rPr>
                <w:rFonts w:ascii="Times New Roman" w:hAnsi="Times New Roman" w:cs="Times New Roman"/>
                <w:lang w:val="en-GB"/>
              </w:rPr>
              <w:t>’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s recommendations to the European Commission in the context of the new Multiannual Financial Framework, highlighting the mismatch between, on the one hand, the challenges </w:t>
            </w:r>
            <w:r w:rsidRPr="00435E2A" w:rsidR="007274ED">
              <w:rPr>
                <w:rFonts w:ascii="Times New Roman" w:hAnsi="Times New Roman" w:cs="Times New Roman"/>
                <w:lang w:val="en-GB"/>
              </w:rPr>
              <w:t xml:space="preserve">facing </w:t>
            </w:r>
            <w:r w:rsidRPr="00435E2A">
              <w:rPr>
                <w:rFonts w:ascii="Times New Roman" w:hAnsi="Times New Roman" w:cs="Times New Roman"/>
                <w:lang w:val="en-GB"/>
              </w:rPr>
              <w:t>the sector and, on the other hand, the fact that the proposed budget ringfenced for the CAP is smaller than the current budget;</w:t>
            </w:r>
          </w:p>
          <w:p w:rsidRPr="00435E2A" w:rsidR="00F21B82" w:rsidP="00F21B82" w:rsidRDefault="00333FD0" w14:paraId="7AA10A7D" w14:textId="143F3409">
            <w:pPr>
              <w:pStyle w:val="ListParagraph"/>
              <w:numPr>
                <w:ilvl w:val="0"/>
                <w:numId w:val="27"/>
              </w:numPr>
              <w:spacing w:after="120" w:line="288" w:lineRule="auto"/>
              <w:ind w:left="38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Work on </w:t>
            </w:r>
            <w:r w:rsidRPr="00435E2A" w:rsidR="0032383C">
              <w:rPr>
                <w:rFonts w:ascii="Times New Roman" w:hAnsi="Times New Roman" w:cs="Times New Roman"/>
                <w:b/>
                <w:bCs/>
                <w:lang w:val="en-GB"/>
              </w:rPr>
              <w:t>chang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ing</w:t>
            </w:r>
            <w:r w:rsidRPr="00435E2A" w:rsidR="0032383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the narrative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32383C">
              <w:rPr>
                <w:rFonts w:ascii="Times New Roman" w:hAnsi="Times New Roman" w:cs="Times New Roman"/>
                <w:b/>
                <w:bCs/>
                <w:lang w:val="en-GB"/>
              </w:rPr>
              <w:t>around agriculture</w:t>
            </w:r>
            <w:r w:rsidRPr="00435E2A" w:rsidR="00B7335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>by restoring a fact-based and balanced public discourse</w:t>
            </w:r>
            <w:r w:rsidRPr="00435E2A" w:rsidR="00D31EE3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435E2A" w:rsidR="00E31A55">
              <w:rPr>
                <w:rFonts w:ascii="Times New Roman" w:hAnsi="Times New Roman" w:cs="Times New Roman"/>
                <w:lang w:val="en-GB"/>
              </w:rPr>
              <w:t xml:space="preserve">including by </w:t>
            </w:r>
            <w:r w:rsidRPr="00435E2A" w:rsidR="00D31EE3">
              <w:rPr>
                <w:rFonts w:ascii="Times New Roman" w:hAnsi="Times New Roman" w:cs="Times New Roman"/>
                <w:lang w:val="en-GB"/>
              </w:rPr>
              <w:t>highlighting the positive aspects of the CAP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 xml:space="preserve">. Fair and stable farm incomes are essential </w:t>
            </w:r>
            <w:r w:rsidRPr="00435E2A" w:rsidR="00E31A55">
              <w:rPr>
                <w:rFonts w:ascii="Times New Roman" w:hAnsi="Times New Roman" w:cs="Times New Roman"/>
                <w:lang w:val="en-GB"/>
              </w:rPr>
              <w:t>in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 xml:space="preserve"> mak</w:t>
            </w:r>
            <w:r w:rsidRPr="00435E2A" w:rsidR="00E31A55">
              <w:rPr>
                <w:rFonts w:ascii="Times New Roman" w:hAnsi="Times New Roman" w:cs="Times New Roman"/>
                <w:lang w:val="en-GB"/>
              </w:rPr>
              <w:t>ing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 xml:space="preserve"> the sector attractive, particularly for young people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generational renewal</w:t>
            </w:r>
            <w:r w:rsidRPr="00435E2A">
              <w:rPr>
                <w:rFonts w:ascii="Times New Roman" w:hAnsi="Times New Roman" w:cs="Times New Roman"/>
                <w:lang w:val="en-GB"/>
              </w:rPr>
              <w:t>)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 xml:space="preserve"> and </w:t>
            </w:r>
            <w:r w:rsidRPr="00435E2A" w:rsidR="00E31A55">
              <w:rPr>
                <w:rFonts w:ascii="Times New Roman" w:hAnsi="Times New Roman" w:cs="Times New Roman"/>
                <w:lang w:val="en-GB"/>
              </w:rPr>
              <w:t>in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 xml:space="preserve"> ensur</w:t>
            </w:r>
            <w:r w:rsidRPr="00435E2A" w:rsidR="00E31A55">
              <w:rPr>
                <w:rFonts w:ascii="Times New Roman" w:hAnsi="Times New Roman" w:cs="Times New Roman"/>
                <w:lang w:val="en-GB"/>
              </w:rPr>
              <w:t>ing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 xml:space="preserve"> its long-term viability. Farmers are too often portrayed negatively, notably as enemies of the environment, while misinformation</w:t>
            </w:r>
            <w:r w:rsidRPr="00435E2A">
              <w:rPr>
                <w:rFonts w:ascii="Times New Roman" w:hAnsi="Times New Roman" w:cs="Times New Roman"/>
                <w:lang w:val="en-GB"/>
              </w:rPr>
              <w:t>, s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>uch as false claims about the CAP’s share of the EU budget</w:t>
            </w:r>
            <w:r w:rsidRPr="00435E2A">
              <w:rPr>
                <w:rFonts w:ascii="Times New Roman" w:hAnsi="Times New Roman" w:cs="Times New Roman"/>
                <w:lang w:val="en-GB"/>
              </w:rPr>
              <w:t>, c</w:t>
            </w:r>
            <w:r w:rsidRPr="00435E2A" w:rsidR="0032383C">
              <w:rPr>
                <w:rFonts w:ascii="Times New Roman" w:hAnsi="Times New Roman" w:cs="Times New Roman"/>
                <w:lang w:val="en-GB"/>
              </w:rPr>
              <w:t>ontinues to undermine the sector’s image and credibility</w:t>
            </w:r>
            <w:r w:rsidRPr="00435E2A" w:rsidR="00C2269C">
              <w:rPr>
                <w:rFonts w:ascii="Times New Roman" w:hAnsi="Times New Roman" w:cs="Times New Roman"/>
                <w:lang w:val="en-GB"/>
              </w:rPr>
              <w:t>.</w:t>
            </w:r>
          </w:p>
          <w:p w:rsidRPr="00435E2A" w:rsidR="000943CA" w:rsidP="009219A7" w:rsidRDefault="00C5244C" w14:paraId="74C9AA80" w14:textId="66368B3F">
            <w:pPr>
              <w:pStyle w:val="ListParagraph"/>
              <w:numPr>
                <w:ilvl w:val="0"/>
                <w:numId w:val="27"/>
              </w:numPr>
              <w:spacing w:after="120" w:line="288" w:lineRule="auto"/>
              <w:ind w:left="38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Contribute to the EESC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>’s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w</w:t>
            </w:r>
            <w:r w:rsidRPr="00435E2A" w:rsidR="00373A0C">
              <w:rPr>
                <w:rFonts w:ascii="Times New Roman" w:hAnsi="Times New Roman" w:cs="Times New Roman"/>
                <w:lang w:val="en-GB"/>
              </w:rPr>
              <w:t xml:space="preserve">ork on the </w:t>
            </w:r>
            <w:r w:rsidRPr="00435E2A" w:rsidR="009219A7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Pr="00435E2A" w:rsidR="004B451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evision of </w:t>
            </w:r>
            <w:r w:rsidRPr="00435E2A" w:rsidR="009219A7">
              <w:rPr>
                <w:rFonts w:ascii="Times New Roman" w:hAnsi="Times New Roman" w:cs="Times New Roman"/>
                <w:b/>
                <w:bCs/>
                <w:lang w:val="en-GB"/>
              </w:rPr>
              <w:t>the P</w:t>
            </w:r>
            <w:r w:rsidRPr="00435E2A" w:rsidR="004B451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ublic </w:t>
            </w:r>
            <w:r w:rsidRPr="00435E2A" w:rsidR="009219A7">
              <w:rPr>
                <w:rFonts w:ascii="Times New Roman" w:hAnsi="Times New Roman" w:cs="Times New Roman"/>
                <w:b/>
                <w:bCs/>
                <w:lang w:val="en-GB"/>
              </w:rPr>
              <w:t>P</w:t>
            </w:r>
            <w:r w:rsidRPr="00435E2A" w:rsidR="004B4514">
              <w:rPr>
                <w:rFonts w:ascii="Times New Roman" w:hAnsi="Times New Roman" w:cs="Times New Roman"/>
                <w:b/>
                <w:bCs/>
                <w:lang w:val="en-GB"/>
              </w:rPr>
              <w:t>rocurement Directive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435E2A">
              <w:rPr>
                <w:rFonts w:ascii="Times New Roman" w:hAnsi="Times New Roman" w:cs="Times New Roman"/>
                <w:lang w:val="en-GB"/>
              </w:rPr>
              <w:t>(food procurement part)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>;</w:t>
            </w:r>
          </w:p>
          <w:p w:rsidRPr="00435E2A" w:rsidR="00295CFF" w:rsidP="00295CFF" w:rsidRDefault="00F21B82" w14:paraId="2665BEF5" w14:textId="18FEC79C">
            <w:pPr>
              <w:pStyle w:val="ListParagraph"/>
              <w:numPr>
                <w:ilvl w:val="0"/>
                <w:numId w:val="27"/>
              </w:numPr>
              <w:spacing w:after="120" w:line="288" w:lineRule="auto"/>
              <w:ind w:left="38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Explore ways to tackle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food waste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effectively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 xml:space="preserve"> and identify best practices</w:t>
            </w:r>
            <w:r w:rsidRPr="00435E2A">
              <w:rPr>
                <w:rFonts w:ascii="Times New Roman" w:hAnsi="Times New Roman" w:cs="Times New Roman"/>
                <w:lang w:val="en-GB"/>
              </w:rPr>
              <w:t>,</w:t>
            </w:r>
            <w:r w:rsidRPr="00435E2A" w:rsidR="00B7335B">
              <w:rPr>
                <w:rFonts w:ascii="Times New Roman" w:hAnsi="Times New Roman" w:cs="Times New Roman"/>
                <w:lang w:val="en-GB"/>
              </w:rPr>
              <w:t xml:space="preserve"> in line with food donation and circular approaches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 xml:space="preserve">participate </w:t>
            </w:r>
            <w:r w:rsidRPr="00435E2A">
              <w:rPr>
                <w:rFonts w:ascii="Times New Roman" w:hAnsi="Times New Roman" w:cs="Times New Roman"/>
                <w:lang w:val="en-GB"/>
              </w:rPr>
              <w:t>more active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>ly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in the European Platform on Food Loss and Waste;</w:t>
            </w:r>
          </w:p>
        </w:tc>
      </w:tr>
      <w:tr w:rsidRPr="00435E2A" w:rsidR="00474652" w:rsidTr="00614988" w14:paraId="2755EA2A" w14:textId="77777777">
        <w:trPr>
          <w:cantSplit/>
        </w:trPr>
        <w:tc>
          <w:tcPr>
            <w:tcW w:w="3048" w:type="dxa"/>
          </w:tcPr>
          <w:p w:rsidRPr="00435E2A" w:rsidR="000E5751" w:rsidP="000E5751" w:rsidRDefault="00474652" w14:paraId="3B623BE5" w14:textId="013C685E">
            <w:pPr>
              <w:spacing w:line="288" w:lineRule="auto"/>
              <w:rPr>
                <w:rFonts w:ascii="Times New Roman" w:hAnsi="Times New Roman" w:cs="Times New Roman"/>
                <w:b/>
                <w:highlight w:val="yellow"/>
                <w:lang w:val="en-GB"/>
              </w:rPr>
            </w:pP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Strengthening </w:t>
            </w:r>
            <w:r w:rsidRPr="00435E2A" w:rsidR="009219A7">
              <w:rPr>
                <w:rFonts w:ascii="Times New Roman" w:hAnsi="Times New Roman" w:cs="Times New Roman"/>
                <w:b/>
                <w:lang w:val="en-GB"/>
              </w:rPr>
              <w:t xml:space="preserve">the </w:t>
            </w:r>
            <w:r w:rsidRPr="00435E2A" w:rsidR="000E5751">
              <w:rPr>
                <w:rFonts w:ascii="Times New Roman" w:hAnsi="Times New Roman" w:cs="Times New Roman"/>
                <w:b/>
                <w:lang w:val="en-GB"/>
              </w:rPr>
              <w:t>EU</w:t>
            </w:r>
            <w:r w:rsidRPr="00435E2A" w:rsidR="009219A7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435E2A" w:rsidR="000E5751">
              <w:rPr>
                <w:rFonts w:ascii="Times New Roman" w:hAnsi="Times New Roman" w:cs="Times New Roman"/>
                <w:b/>
                <w:lang w:val="en-GB"/>
              </w:rPr>
              <w:t xml:space="preserve">s </w:t>
            </w:r>
            <w:r w:rsidRPr="00435E2A" w:rsidR="00E9753A">
              <w:rPr>
                <w:rFonts w:ascii="Times New Roman" w:hAnsi="Times New Roman" w:cs="Times New Roman"/>
                <w:b/>
                <w:lang w:val="en-GB"/>
              </w:rPr>
              <w:t xml:space="preserve">food sovereignty, </w:t>
            </w:r>
            <w:r w:rsidRPr="00435E2A" w:rsidR="004158D7">
              <w:rPr>
                <w:rFonts w:ascii="Times New Roman" w:hAnsi="Times New Roman" w:cs="Times New Roman"/>
                <w:b/>
                <w:lang w:val="en-GB"/>
              </w:rPr>
              <w:t xml:space="preserve">preparedness, </w:t>
            </w:r>
            <w:r w:rsidRPr="00435E2A" w:rsidR="00E9753A">
              <w:rPr>
                <w:rFonts w:ascii="Times New Roman" w:hAnsi="Times New Roman" w:cs="Times New Roman"/>
                <w:b/>
                <w:lang w:val="en-GB"/>
              </w:rPr>
              <w:t>food security</w:t>
            </w:r>
            <w:r w:rsidRPr="00435E2A" w:rsidR="00333FD0">
              <w:rPr>
                <w:rFonts w:ascii="Times New Roman" w:hAnsi="Times New Roman" w:cs="Times New Roman"/>
                <w:b/>
                <w:lang w:val="en-GB"/>
              </w:rPr>
              <w:t xml:space="preserve"> and</w:t>
            </w:r>
            <w:r w:rsidRPr="00435E2A" w:rsidR="00E9753A">
              <w:rPr>
                <w:rFonts w:ascii="Times New Roman" w:hAnsi="Times New Roman" w:cs="Times New Roman"/>
                <w:b/>
                <w:lang w:val="en-GB"/>
              </w:rPr>
              <w:t xml:space="preserve"> strategic autonomy</w:t>
            </w:r>
            <w:r w:rsidRPr="00435E2A" w:rsidR="000E5751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35E2A" w:rsidR="00126654">
              <w:rPr>
                <w:rFonts w:ascii="Times New Roman" w:hAnsi="Times New Roman" w:cs="Times New Roman"/>
                <w:b/>
                <w:lang w:val="en-GB"/>
              </w:rPr>
              <w:t xml:space="preserve">in the context </w:t>
            </w:r>
            <w:r w:rsidRPr="00435E2A" w:rsidR="00373A0C">
              <w:rPr>
                <w:rFonts w:ascii="Times New Roman" w:hAnsi="Times New Roman" w:cs="Times New Roman"/>
                <w:b/>
                <w:lang w:val="en-GB"/>
              </w:rPr>
              <w:t>of international</w:t>
            </w:r>
            <w:r w:rsidRPr="00435E2A" w:rsidR="000E5751">
              <w:rPr>
                <w:rFonts w:ascii="Times New Roman" w:hAnsi="Times New Roman" w:cs="Times New Roman"/>
                <w:b/>
                <w:lang w:val="en-GB"/>
              </w:rPr>
              <w:t xml:space="preserve"> trade</w:t>
            </w:r>
          </w:p>
        </w:tc>
        <w:tc>
          <w:tcPr>
            <w:tcW w:w="6012" w:type="dxa"/>
          </w:tcPr>
          <w:p w:rsidRPr="00435E2A" w:rsidR="00F21B82" w:rsidP="00F21B82" w:rsidRDefault="00373A0C" w14:paraId="7A418558" w14:textId="25A6CF45">
            <w:pPr>
              <w:pStyle w:val="Default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sz w:val="22"/>
                <w:szCs w:val="22"/>
              </w:rPr>
            </w:pPr>
            <w:r w:rsidRPr="00435E2A">
              <w:rPr>
                <w:sz w:val="22"/>
                <w:szCs w:val="22"/>
              </w:rPr>
              <w:t xml:space="preserve">Analyse the </w:t>
            </w:r>
            <w:r w:rsidRPr="00435E2A" w:rsidR="00C5244C">
              <w:rPr>
                <w:sz w:val="22"/>
                <w:szCs w:val="22"/>
              </w:rPr>
              <w:t>evolution of</w:t>
            </w:r>
            <w:r w:rsidRPr="00435E2A">
              <w:rPr>
                <w:sz w:val="22"/>
                <w:szCs w:val="22"/>
              </w:rPr>
              <w:t xml:space="preserve"> the agri-food sector</w:t>
            </w:r>
            <w:r w:rsidRPr="00435E2A" w:rsidR="00F21B82">
              <w:rPr>
                <w:sz w:val="22"/>
                <w:szCs w:val="22"/>
              </w:rPr>
              <w:t xml:space="preserve">, given the geopolitical context (imports/exports with Ukraine) and international trade agreements, </w:t>
            </w:r>
            <w:r w:rsidRPr="00435E2A" w:rsidR="009219A7">
              <w:rPr>
                <w:sz w:val="22"/>
                <w:szCs w:val="22"/>
              </w:rPr>
              <w:t>e.g.</w:t>
            </w:r>
            <w:r w:rsidRPr="00435E2A" w:rsidR="00F21B82">
              <w:rPr>
                <w:sz w:val="22"/>
                <w:szCs w:val="22"/>
              </w:rPr>
              <w:t xml:space="preserve"> Mercosur (</w:t>
            </w:r>
            <w:r w:rsidRPr="00435E2A" w:rsidR="000E5751">
              <w:rPr>
                <w:sz w:val="22"/>
                <w:szCs w:val="22"/>
              </w:rPr>
              <w:t xml:space="preserve">alignment of </w:t>
            </w:r>
            <w:r w:rsidRPr="00435E2A" w:rsidR="00C2269C">
              <w:rPr>
                <w:sz w:val="22"/>
                <w:szCs w:val="22"/>
              </w:rPr>
              <w:t xml:space="preserve">import standards with </w:t>
            </w:r>
            <w:r w:rsidRPr="00435E2A" w:rsidR="000E5751">
              <w:rPr>
                <w:sz w:val="22"/>
                <w:szCs w:val="22"/>
              </w:rPr>
              <w:t>EU production standards</w:t>
            </w:r>
            <w:r w:rsidRPr="00435E2A" w:rsidR="00F21B82">
              <w:rPr>
                <w:sz w:val="22"/>
                <w:szCs w:val="22"/>
              </w:rPr>
              <w:t>/</w:t>
            </w:r>
            <w:r w:rsidRPr="00435E2A" w:rsidR="000E5751">
              <w:rPr>
                <w:sz w:val="22"/>
                <w:szCs w:val="22"/>
              </w:rPr>
              <w:t>true reciprocity of standards</w:t>
            </w:r>
            <w:r w:rsidRPr="00435E2A" w:rsidR="004C300F">
              <w:rPr>
                <w:sz w:val="22"/>
                <w:szCs w:val="22"/>
              </w:rPr>
              <w:t>)</w:t>
            </w:r>
            <w:r w:rsidRPr="00435E2A" w:rsidR="00F21B82">
              <w:rPr>
                <w:sz w:val="22"/>
                <w:szCs w:val="22"/>
              </w:rPr>
              <w:t>;</w:t>
            </w:r>
          </w:p>
          <w:p w:rsidRPr="00435E2A" w:rsidR="00474652" w:rsidP="00F21B82" w:rsidRDefault="00F21B82" w14:paraId="7C582BC0" w14:textId="00431E6F">
            <w:pPr>
              <w:pStyle w:val="Default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sz w:val="22"/>
                <w:szCs w:val="22"/>
              </w:rPr>
            </w:pPr>
            <w:r w:rsidRPr="00435E2A">
              <w:rPr>
                <w:sz w:val="22"/>
                <w:szCs w:val="22"/>
              </w:rPr>
              <w:t>Explore t</w:t>
            </w:r>
            <w:r w:rsidRPr="00435E2A" w:rsidR="000E5751">
              <w:rPr>
                <w:sz w:val="22"/>
                <w:szCs w:val="22"/>
              </w:rPr>
              <w:t xml:space="preserve">ools and funds for </w:t>
            </w:r>
            <w:r w:rsidR="00BF4B88">
              <w:rPr>
                <w:sz w:val="22"/>
                <w:szCs w:val="22"/>
              </w:rPr>
              <w:t xml:space="preserve">managing </w:t>
            </w:r>
            <w:r w:rsidRPr="00435E2A" w:rsidR="000E5751">
              <w:rPr>
                <w:sz w:val="22"/>
                <w:szCs w:val="22"/>
              </w:rPr>
              <w:t xml:space="preserve">risk </w:t>
            </w:r>
            <w:r w:rsidRPr="00435E2A" w:rsidR="009219A7">
              <w:rPr>
                <w:sz w:val="22"/>
                <w:szCs w:val="22"/>
              </w:rPr>
              <w:t xml:space="preserve">in the face of </w:t>
            </w:r>
            <w:r w:rsidRPr="00435E2A" w:rsidR="000E5751">
              <w:rPr>
                <w:sz w:val="22"/>
                <w:szCs w:val="22"/>
              </w:rPr>
              <w:t xml:space="preserve">market volatility and other types of </w:t>
            </w:r>
            <w:r w:rsidRPr="00435E2A">
              <w:rPr>
                <w:sz w:val="22"/>
                <w:szCs w:val="22"/>
              </w:rPr>
              <w:t xml:space="preserve">market </w:t>
            </w:r>
            <w:r w:rsidRPr="00435E2A" w:rsidR="000E5751">
              <w:rPr>
                <w:sz w:val="22"/>
                <w:szCs w:val="22"/>
              </w:rPr>
              <w:t>disruptions</w:t>
            </w:r>
            <w:r w:rsidRPr="00BF4B88">
              <w:rPr>
                <w:sz w:val="22"/>
                <w:szCs w:val="22"/>
              </w:rPr>
              <w:t>; s</w:t>
            </w:r>
            <w:r w:rsidRPr="00BF4B88" w:rsidR="000E5751">
              <w:rPr>
                <w:sz w:val="22"/>
                <w:szCs w:val="22"/>
              </w:rPr>
              <w:t>upply chain integrations on sustainable models (</w:t>
            </w:r>
            <w:r w:rsidRPr="00BF4B88">
              <w:rPr>
                <w:sz w:val="22"/>
                <w:szCs w:val="22"/>
              </w:rPr>
              <w:t>especiall</w:t>
            </w:r>
            <w:r w:rsidRPr="00435E2A">
              <w:rPr>
                <w:sz w:val="22"/>
                <w:szCs w:val="22"/>
              </w:rPr>
              <w:t xml:space="preserve">y for </w:t>
            </w:r>
            <w:r w:rsidRPr="00435E2A" w:rsidR="000E5751">
              <w:rPr>
                <w:sz w:val="22"/>
                <w:szCs w:val="22"/>
              </w:rPr>
              <w:t>small farmers)</w:t>
            </w:r>
            <w:r w:rsidRPr="00435E2A">
              <w:rPr>
                <w:sz w:val="22"/>
                <w:szCs w:val="22"/>
              </w:rPr>
              <w:t xml:space="preserve">; ensure </w:t>
            </w:r>
            <w:r w:rsidRPr="00435E2A" w:rsidR="009219A7">
              <w:rPr>
                <w:sz w:val="22"/>
                <w:szCs w:val="22"/>
              </w:rPr>
              <w:t xml:space="preserve">the </w:t>
            </w:r>
            <w:r w:rsidRPr="00435E2A">
              <w:rPr>
                <w:sz w:val="22"/>
                <w:szCs w:val="22"/>
              </w:rPr>
              <w:t xml:space="preserve">competitiveness </w:t>
            </w:r>
            <w:r w:rsidRPr="00435E2A" w:rsidR="004158D7">
              <w:rPr>
                <w:sz w:val="22"/>
                <w:szCs w:val="22"/>
              </w:rPr>
              <w:t xml:space="preserve">and preparedness </w:t>
            </w:r>
            <w:r w:rsidRPr="00435E2A">
              <w:rPr>
                <w:sz w:val="22"/>
                <w:szCs w:val="22"/>
              </w:rPr>
              <w:t>of the EU agri-food sector;</w:t>
            </w:r>
          </w:p>
          <w:p w:rsidRPr="00435E2A" w:rsidR="001C3697" w:rsidP="007D7711" w:rsidRDefault="004C300F" w14:paraId="42A0A139" w14:textId="00C8402F">
            <w:pPr>
              <w:pStyle w:val="Default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sz w:val="22"/>
                <w:szCs w:val="22"/>
              </w:rPr>
            </w:pPr>
            <w:r w:rsidRPr="00435E2A">
              <w:rPr>
                <w:sz w:val="22"/>
                <w:szCs w:val="22"/>
              </w:rPr>
              <w:t>Support more</w:t>
            </w:r>
            <w:r w:rsidRPr="00435E2A" w:rsidR="00D03B2B">
              <w:rPr>
                <w:sz w:val="22"/>
                <w:szCs w:val="22"/>
              </w:rPr>
              <w:t xml:space="preserve"> transparency and traceability all along the </w:t>
            </w:r>
            <w:r w:rsidRPr="00435E2A">
              <w:rPr>
                <w:sz w:val="22"/>
                <w:szCs w:val="22"/>
              </w:rPr>
              <w:t xml:space="preserve">food </w:t>
            </w:r>
            <w:r w:rsidRPr="00435E2A" w:rsidR="00D03B2B">
              <w:rPr>
                <w:sz w:val="22"/>
                <w:szCs w:val="22"/>
              </w:rPr>
              <w:t xml:space="preserve">market chain, </w:t>
            </w:r>
            <w:r w:rsidRPr="00435E2A">
              <w:rPr>
                <w:sz w:val="22"/>
                <w:szCs w:val="22"/>
              </w:rPr>
              <w:t xml:space="preserve">and continue to advocate against </w:t>
            </w:r>
            <w:r w:rsidRPr="00435E2A" w:rsidR="00D03B2B">
              <w:rPr>
                <w:sz w:val="22"/>
                <w:szCs w:val="22"/>
              </w:rPr>
              <w:t xml:space="preserve">the </w:t>
            </w:r>
            <w:r w:rsidRPr="00435E2A" w:rsidR="00EF526B">
              <w:rPr>
                <w:b/>
                <w:bCs/>
                <w:sz w:val="22"/>
                <w:szCs w:val="22"/>
              </w:rPr>
              <w:t>financialisaton</w:t>
            </w:r>
            <w:r w:rsidRPr="00435E2A" w:rsidR="00D03B2B">
              <w:rPr>
                <w:b/>
                <w:bCs/>
                <w:sz w:val="22"/>
                <w:szCs w:val="22"/>
              </w:rPr>
              <w:t xml:space="preserve"> of the food sector</w:t>
            </w:r>
            <w:r w:rsidRPr="00435E2A" w:rsidR="009219A7">
              <w:rPr>
                <w:sz w:val="22"/>
                <w:szCs w:val="22"/>
              </w:rPr>
              <w:t>, which</w:t>
            </w:r>
            <w:r w:rsidRPr="00435E2A">
              <w:rPr>
                <w:sz w:val="22"/>
                <w:szCs w:val="22"/>
              </w:rPr>
              <w:t xml:space="preserve"> </w:t>
            </w:r>
            <w:r w:rsidRPr="00435E2A" w:rsidR="00D03B2B">
              <w:rPr>
                <w:sz w:val="22"/>
                <w:szCs w:val="22"/>
              </w:rPr>
              <w:t>is driving food price speculation;</w:t>
            </w:r>
            <w:r w:rsidRPr="00435E2A" w:rsidR="001C3697">
              <w:rPr>
                <w:sz w:val="22"/>
                <w:szCs w:val="22"/>
              </w:rPr>
              <w:t xml:space="preserve"> </w:t>
            </w:r>
          </w:p>
        </w:tc>
      </w:tr>
      <w:tr w:rsidRPr="00435E2A" w:rsidR="00474652" w:rsidTr="00614988" w14:paraId="3DBAD0CC" w14:textId="77777777">
        <w:trPr>
          <w:cantSplit/>
        </w:trPr>
        <w:tc>
          <w:tcPr>
            <w:tcW w:w="3048" w:type="dxa"/>
          </w:tcPr>
          <w:p w:rsidRPr="00435E2A" w:rsidR="00E9753A" w:rsidP="00333FD0" w:rsidRDefault="00474652" w14:paraId="1DD2CA0E" w14:textId="70322DAE">
            <w:pPr>
              <w:pStyle w:val="Default"/>
            </w:pPr>
            <w:r w:rsidRPr="00435E2A">
              <w:rPr>
                <w:b/>
                <w:sz w:val="22"/>
                <w:szCs w:val="22"/>
              </w:rPr>
              <w:t xml:space="preserve">Strengthen the fisheries </w:t>
            </w:r>
            <w:r w:rsidRPr="00435E2A" w:rsidR="00C2269C">
              <w:rPr>
                <w:b/>
                <w:bCs/>
                <w:sz w:val="22"/>
                <w:szCs w:val="22"/>
              </w:rPr>
              <w:t xml:space="preserve">and </w:t>
            </w:r>
            <w:r w:rsidRPr="00435E2A" w:rsidR="00602D6D">
              <w:rPr>
                <w:b/>
                <w:bCs/>
                <w:sz w:val="22"/>
                <w:szCs w:val="22"/>
              </w:rPr>
              <w:t>blue food</w:t>
            </w:r>
            <w:r w:rsidRPr="00435E2A" w:rsidR="00C2269C">
              <w:rPr>
                <w:b/>
                <w:bCs/>
                <w:sz w:val="22"/>
                <w:szCs w:val="22"/>
              </w:rPr>
              <w:t xml:space="preserve"> </w:t>
            </w:r>
            <w:r w:rsidRPr="00435E2A">
              <w:rPr>
                <w:b/>
                <w:sz w:val="22"/>
                <w:szCs w:val="22"/>
              </w:rPr>
              <w:t>sector</w:t>
            </w:r>
            <w:r w:rsidRPr="00435E2A" w:rsidR="00C2269C">
              <w:rPr>
                <w:b/>
                <w:sz w:val="22"/>
                <w:szCs w:val="22"/>
              </w:rPr>
              <w:t>s</w:t>
            </w:r>
            <w:r w:rsidRPr="00435E2A" w:rsidR="00333FD0">
              <w:rPr>
                <w:b/>
                <w:sz w:val="22"/>
                <w:szCs w:val="22"/>
              </w:rPr>
              <w:t xml:space="preserve"> - towards </w:t>
            </w:r>
            <w:r w:rsidRPr="00435E2A" w:rsidR="00E9753A">
              <w:rPr>
                <w:b/>
                <w:bCs/>
                <w:sz w:val="22"/>
                <w:szCs w:val="22"/>
              </w:rPr>
              <w:t xml:space="preserve">sustainable fisheries and aquaculture </w:t>
            </w:r>
          </w:p>
          <w:p w:rsidRPr="00435E2A" w:rsidR="00474652" w:rsidP="00474652" w:rsidRDefault="00474652" w14:paraId="09467D3C" w14:textId="3A9E4E2F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012" w:type="dxa"/>
          </w:tcPr>
          <w:p w:rsidRPr="00435E2A" w:rsidR="00E9753A" w:rsidP="00132957" w:rsidRDefault="00333FD0" w14:paraId="5D9F0B4E" w14:textId="23E0A854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Give more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 visibility 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>to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>
              <w:rPr>
                <w:rFonts w:ascii="Times New Roman" w:hAnsi="Times New Roman" w:cs="Times New Roman"/>
                <w:lang w:val="en-GB"/>
              </w:rPr>
              <w:t>f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isheries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and aquaculture </w:t>
            </w:r>
            <w:r w:rsidR="00BF4B88">
              <w:rPr>
                <w:rFonts w:ascii="Times New Roman" w:hAnsi="Times New Roman" w:cs="Times New Roman"/>
                <w:lang w:val="en-GB"/>
              </w:rPr>
              <w:t xml:space="preserve">sector </w:t>
            </w:r>
            <w:r w:rsidRPr="00435E2A">
              <w:rPr>
                <w:rFonts w:ascii="Times New Roman" w:hAnsi="Times New Roman" w:cs="Times New Roman"/>
                <w:lang w:val="en-GB"/>
              </w:rPr>
              <w:t>through dedicated debates at PG meetings, tackling the sector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>’</w:t>
            </w:r>
            <w:r w:rsidR="00BF4B88">
              <w:rPr>
                <w:rFonts w:ascii="Times New Roman" w:hAnsi="Times New Roman" w:cs="Times New Roman"/>
                <w:lang w:val="en-GB"/>
              </w:rPr>
              <w:t>s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key issues, such as: fair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income</w:t>
            </w:r>
            <w:r w:rsidRPr="00435E2A">
              <w:rPr>
                <w:rFonts w:ascii="Times New Roman" w:hAnsi="Times New Roman" w:cs="Times New Roman"/>
                <w:lang w:val="en-GB"/>
              </w:rPr>
              <w:t>s for fishers;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 w:rsidR="008E730D">
              <w:rPr>
                <w:rFonts w:ascii="Times New Roman" w:hAnsi="Times New Roman" w:cs="Times New Roman"/>
                <w:lang w:val="en-GB"/>
              </w:rPr>
              <w:t xml:space="preserve">need for simplification in the sector;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fisheries products across 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EU</w:t>
            </w:r>
            <w:r w:rsidRPr="00435E2A" w:rsidR="00132957">
              <w:rPr>
                <w:rFonts w:ascii="Times New Roman" w:hAnsi="Times New Roman" w:cs="Times New Roman"/>
                <w:lang w:val="en-GB"/>
              </w:rPr>
              <w:t xml:space="preserve"> and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unfair competition with third countries (70%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 xml:space="preserve"> are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imported); </w:t>
            </w:r>
            <w:r w:rsidR="00BF4B88">
              <w:rPr>
                <w:rFonts w:ascii="Times New Roman" w:hAnsi="Times New Roman" w:cs="Times New Roman"/>
                <w:lang w:val="en-GB"/>
              </w:rPr>
              <w:t xml:space="preserve">and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warming waters (stocks moving 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>n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orth) and climate change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; </w:t>
            </w:r>
          </w:p>
          <w:p w:rsidRPr="00435E2A" w:rsidR="007D7711" w:rsidP="00132957" w:rsidRDefault="00132957" w14:paraId="52D6976A" w14:textId="75630F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8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Contribute to develop</w:t>
            </w:r>
            <w:r w:rsidRPr="00435E2A" w:rsidR="009219A7">
              <w:rPr>
                <w:rFonts w:ascii="Times New Roman" w:hAnsi="Times New Roman" w:cs="Times New Roman"/>
                <w:lang w:val="en-GB"/>
              </w:rPr>
              <w:t>ing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a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comprehensive</w:t>
            </w:r>
            <w:r w:rsidRPr="00435E2A" w:rsidR="003879D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EU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vision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that promotes a just transition for the sector </w:t>
            </w:r>
            <w:r w:rsidRPr="00435E2A" w:rsidR="000E5751">
              <w:rPr>
                <w:rFonts w:ascii="Times New Roman" w:hAnsi="Times New Roman" w:cs="Times New Roman"/>
                <w:lang w:val="en-GB"/>
              </w:rPr>
              <w:t>while fostering generational renewal and decarbonisation (</w:t>
            </w:r>
            <w:r w:rsidRPr="00435E2A" w:rsidR="008E730D">
              <w:rPr>
                <w:rFonts w:ascii="Times New Roman" w:hAnsi="Times New Roman" w:cs="Times New Roman"/>
                <w:color w:val="000000"/>
                <w:lang w:val="en-GB"/>
              </w:rPr>
              <w:t xml:space="preserve">linked to the upcoming </w:t>
            </w:r>
            <w:r w:rsidRPr="00435E2A" w:rsidR="000E5751">
              <w:rPr>
                <w:rFonts w:ascii="Times New Roman" w:hAnsi="Times New Roman" w:cs="Times New Roman"/>
                <w:color w:val="000000"/>
                <w:lang w:val="en-GB"/>
              </w:rPr>
              <w:t>evaluation of the CFP</w:t>
            </w:r>
            <w:r w:rsidRPr="00435E2A" w:rsidR="009219A7">
              <w:rPr>
                <w:rFonts w:ascii="Times New Roman" w:hAnsi="Times New Roman" w:cs="Times New Roman"/>
                <w:color w:val="000000"/>
                <w:lang w:val="en-GB"/>
              </w:rPr>
              <w:t>,</w:t>
            </w:r>
            <w:r w:rsidRPr="00435E2A" w:rsidR="000E5751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435E2A" w:rsidR="009219A7">
              <w:rPr>
                <w:rFonts w:ascii="Times New Roman" w:hAnsi="Times New Roman" w:cs="Times New Roman"/>
                <w:color w:val="000000"/>
                <w:lang w:val="en-GB"/>
              </w:rPr>
              <w:t>which</w:t>
            </w:r>
            <w:r w:rsidRPr="00435E2A" w:rsidR="003879DC">
              <w:rPr>
                <w:rFonts w:ascii="Times New Roman" w:hAnsi="Times New Roman" w:cs="Times New Roman"/>
                <w:color w:val="000000"/>
                <w:lang w:val="en-GB"/>
              </w:rPr>
              <w:t xml:space="preserve"> will feed into </w:t>
            </w:r>
            <w:r w:rsidRPr="00435E2A" w:rsidR="000E5751">
              <w:rPr>
                <w:rFonts w:ascii="Times New Roman" w:hAnsi="Times New Roman" w:cs="Times New Roman"/>
                <w:color w:val="000000"/>
                <w:lang w:val="en-GB"/>
              </w:rPr>
              <w:t xml:space="preserve">a 2040 Vision for </w:t>
            </w:r>
            <w:r w:rsidRPr="00435E2A" w:rsidR="00B256D0">
              <w:rPr>
                <w:rFonts w:ascii="Times New Roman" w:hAnsi="Times New Roman" w:cs="Times New Roman"/>
                <w:color w:val="000000"/>
                <w:lang w:val="en-GB"/>
              </w:rPr>
              <w:t>F</w:t>
            </w:r>
            <w:r w:rsidRPr="00435E2A" w:rsidR="000E5751">
              <w:rPr>
                <w:rFonts w:ascii="Times New Roman" w:hAnsi="Times New Roman" w:cs="Times New Roman"/>
                <w:color w:val="000000"/>
                <w:lang w:val="en-GB"/>
              </w:rPr>
              <w:t xml:space="preserve">isheries and </w:t>
            </w:r>
            <w:r w:rsidRPr="00435E2A" w:rsidR="00B256D0">
              <w:rPr>
                <w:rFonts w:ascii="Times New Roman" w:hAnsi="Times New Roman" w:cs="Times New Roman"/>
                <w:color w:val="000000"/>
                <w:lang w:val="en-GB"/>
              </w:rPr>
              <w:t>A</w:t>
            </w:r>
            <w:r w:rsidRPr="00435E2A" w:rsidR="000E5751">
              <w:rPr>
                <w:rFonts w:ascii="Times New Roman" w:hAnsi="Times New Roman" w:cs="Times New Roman"/>
                <w:color w:val="000000"/>
                <w:lang w:val="en-GB"/>
              </w:rPr>
              <w:t>quaculture)</w:t>
            </w:r>
            <w:r w:rsidRPr="00435E2A" w:rsidR="003879DC">
              <w:rPr>
                <w:rFonts w:ascii="Times New Roman" w:hAnsi="Times New Roman" w:cs="Times New Roman"/>
                <w:color w:val="000000"/>
                <w:lang w:val="en-GB"/>
              </w:rPr>
              <w:t xml:space="preserve"> and </w:t>
            </w:r>
            <w:r w:rsidRPr="00435E2A">
              <w:rPr>
                <w:rFonts w:ascii="Times New Roman" w:hAnsi="Times New Roman" w:cs="Times New Roman"/>
                <w:lang w:val="en-GB"/>
              </w:rPr>
              <w:t>opportunities for rural and coastal areas</w:t>
            </w:r>
            <w:r w:rsidRPr="00435E2A">
              <w:rPr>
                <w:rFonts w:ascii="Times New Roman" w:hAnsi="Times New Roman" w:cs="Times New Roman"/>
                <w:color w:val="000000"/>
                <w:lang w:val="en-GB"/>
              </w:rPr>
              <w:t>;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Pr="00435E2A" w:rsidR="00E9753A" w:rsidP="00132957" w:rsidRDefault="007D7711" w14:paraId="703F0BF6" w14:textId="1765A20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8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Contribute to the </w:t>
            </w:r>
            <w:r w:rsidRPr="00435E2A" w:rsidR="00132957">
              <w:rPr>
                <w:rFonts w:ascii="Times New Roman" w:hAnsi="Times New Roman" w:cs="Times New Roman"/>
                <w:lang w:val="en-GB"/>
              </w:rPr>
              <w:t>action plan for blue food and how to strengthen food security and strategic autonomy</w:t>
            </w:r>
            <w:r w:rsidRPr="00435E2A">
              <w:rPr>
                <w:rFonts w:ascii="Times New Roman" w:hAnsi="Times New Roman" w:cs="Times New Roman"/>
                <w:lang w:val="en-GB"/>
              </w:rPr>
              <w:t>, highlighting how healthy, nutritional and sustainable these products are</w:t>
            </w:r>
            <w:r w:rsidRPr="00435E2A" w:rsidR="000E5751">
              <w:rPr>
                <w:rFonts w:ascii="Times New Roman" w:hAnsi="Times New Roman" w:cs="Times New Roman"/>
                <w:lang w:val="en-GB"/>
              </w:rPr>
              <w:t xml:space="preserve">; </w:t>
            </w:r>
          </w:p>
        </w:tc>
      </w:tr>
      <w:tr w:rsidRPr="00435E2A" w:rsidR="00474652" w:rsidTr="00614988" w14:paraId="1D1FB32D" w14:textId="77777777">
        <w:trPr>
          <w:cantSplit/>
        </w:trPr>
        <w:tc>
          <w:tcPr>
            <w:tcW w:w="3048" w:type="dxa"/>
          </w:tcPr>
          <w:p w:rsidRPr="00435E2A" w:rsidR="00474652" w:rsidP="006E65D5" w:rsidRDefault="00474652" w14:paraId="26262AED" w14:textId="74451DFE">
            <w:pPr>
              <w:spacing w:line="288" w:lineRule="auto"/>
              <w:rPr>
                <w:rFonts w:ascii="Times New Roman" w:hAnsi="Times New Roman" w:cs="Times New Roman"/>
                <w:b/>
                <w:highlight w:val="yellow"/>
                <w:lang w:val="en-GB"/>
              </w:rPr>
            </w:pP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Linking food systems </w:t>
            </w:r>
            <w:r w:rsidRPr="00435E2A" w:rsidR="00E9753A">
              <w:rPr>
                <w:rFonts w:ascii="Times New Roman" w:hAnsi="Times New Roman" w:cs="Times New Roman"/>
                <w:b/>
                <w:lang w:val="en-GB"/>
              </w:rPr>
              <w:t>with</w:t>
            </w:r>
            <w:r w:rsidRPr="00435E2A" w:rsidR="0003203D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35E2A" w:rsidR="00E9753A">
              <w:rPr>
                <w:rFonts w:ascii="Times New Roman" w:hAnsi="Times New Roman" w:cs="Times New Roman"/>
                <w:b/>
                <w:lang w:val="en-GB"/>
              </w:rPr>
              <w:t xml:space="preserve">environment,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climate, </w:t>
            </w:r>
            <w:r w:rsidRPr="00435E2A" w:rsidR="00B256D0">
              <w:rPr>
                <w:rFonts w:ascii="Times New Roman" w:hAnsi="Times New Roman" w:cs="Times New Roman"/>
                <w:b/>
                <w:lang w:val="en-GB"/>
              </w:rPr>
              <w:t xml:space="preserve">the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SDGs and </w:t>
            </w:r>
            <w:r w:rsidR="00BF4B88">
              <w:rPr>
                <w:rFonts w:ascii="Times New Roman" w:hAnsi="Times New Roman" w:cs="Times New Roman"/>
                <w:b/>
                <w:lang w:val="en-GB"/>
              </w:rPr>
              <w:t xml:space="preserve">2030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>Agenda</w:t>
            </w:r>
          </w:p>
        </w:tc>
        <w:tc>
          <w:tcPr>
            <w:tcW w:w="6012" w:type="dxa"/>
          </w:tcPr>
          <w:p w:rsidRPr="00435E2A" w:rsidR="00521764" w:rsidP="00521764" w:rsidRDefault="00521764" w14:paraId="63D954BD" w14:textId="7B89F80B">
            <w:pPr>
              <w:pStyle w:val="ListParagraph"/>
              <w:numPr>
                <w:ilvl w:val="0"/>
                <w:numId w:val="30"/>
              </w:numPr>
              <w:spacing w:after="120" w:line="288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Work in close collaboration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 with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S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ustainable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D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evelopment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O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bservatory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(joint meetings)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, with a specific focus on SDG 2; </w:t>
            </w:r>
            <w:r w:rsidRPr="00435E2A">
              <w:rPr>
                <w:rFonts w:ascii="Times New Roman" w:hAnsi="Times New Roman" w:cs="Times New Roman"/>
                <w:lang w:val="en-GB"/>
              </w:rPr>
              <w:t>assess progress and identify gaps in the EU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’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s path towards fairer, more inclusive and sustainable food systems in line with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the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2030 </w:t>
            </w:r>
            <w:r w:rsidRPr="00435E2A">
              <w:rPr>
                <w:rFonts w:ascii="Times New Roman" w:hAnsi="Times New Roman" w:cs="Times New Roman"/>
                <w:lang w:val="en-GB"/>
              </w:rPr>
              <w:t>Agenda and the SDGs;</w:t>
            </w:r>
          </w:p>
          <w:p w:rsidRPr="00435E2A" w:rsidR="00E9753A" w:rsidP="0003203D" w:rsidRDefault="00910DC2" w14:paraId="7284AF6C" w14:textId="63CB52AE">
            <w:pPr>
              <w:pStyle w:val="ListParagraph"/>
              <w:numPr>
                <w:ilvl w:val="0"/>
                <w:numId w:val="30"/>
              </w:numPr>
              <w:spacing w:after="120" w:line="288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60AE8">
              <w:rPr>
                <w:rFonts w:ascii="Times New Roman" w:hAnsi="Times New Roman" w:cs="Times New Roman"/>
                <w:lang w:val="en-GB"/>
              </w:rPr>
              <w:t>Analy</w:t>
            </w:r>
            <w:r w:rsidRPr="00860AE8" w:rsidR="00B256D0">
              <w:rPr>
                <w:rFonts w:ascii="Times New Roman" w:hAnsi="Times New Roman" w:cs="Times New Roman"/>
                <w:lang w:val="en-GB"/>
              </w:rPr>
              <w:t>s</w:t>
            </w:r>
            <w:r w:rsidRPr="00860AE8">
              <w:rPr>
                <w:rFonts w:ascii="Times New Roman" w:hAnsi="Times New Roman" w:cs="Times New Roman"/>
                <w:lang w:val="en-GB"/>
              </w:rPr>
              <w:t>e</w:t>
            </w:r>
            <w:r w:rsidRPr="00860AE8" w:rsidR="008E730D">
              <w:rPr>
                <w:rFonts w:ascii="Times New Roman" w:hAnsi="Times New Roman" w:cs="Times New Roman"/>
                <w:lang w:val="en-GB"/>
              </w:rPr>
              <w:t xml:space="preserve"> the</w:t>
            </w:r>
            <w:r w:rsidRPr="00435E2A" w:rsidR="00E9753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D31EE3">
              <w:rPr>
                <w:rFonts w:ascii="Times New Roman" w:hAnsi="Times New Roman" w:cs="Times New Roman"/>
                <w:lang w:val="en-GB"/>
              </w:rPr>
              <w:t xml:space="preserve">scenarios in the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Joint Research Centre’s report on </w:t>
            </w:r>
            <w:hyperlink w:history="1" r:id="rId16">
              <w:r w:rsidRPr="00860AE8" w:rsidR="00521764">
                <w:rPr>
                  <w:rStyle w:val="Hyperlink"/>
                  <w:rFonts w:ascii="Times New Roman" w:hAnsi="Times New Roman" w:cs="Times New Roman"/>
                  <w:lang w:val="en-GB"/>
                </w:rPr>
                <w:t>EU agriculture 2040: no easy fix for environmental and socio-economic aspects</w:t>
              </w:r>
            </w:hyperlink>
            <w:r w:rsidRPr="00860AE8" w:rsidR="00521764">
              <w:rPr>
                <w:rFonts w:ascii="Times New Roman" w:hAnsi="Times New Roman" w:cs="Times New Roman"/>
                <w:lang w:val="en-GB"/>
              </w:rPr>
              <w:t>,</w:t>
            </w:r>
            <w:r w:rsidRPr="00860AE8" w:rsidR="008E730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860AE8" w:rsidR="008E730D">
              <w:rPr>
                <w:rFonts w:ascii="Times New Roman" w:hAnsi="Times New Roman" w:cs="Times New Roman"/>
                <w:lang w:val="en-GB"/>
              </w:rPr>
              <w:t xml:space="preserve">including </w:t>
            </w:r>
            <w:r w:rsidRPr="00860AE8" w:rsidR="00D31EE3">
              <w:rPr>
                <w:rFonts w:ascii="Times New Roman" w:hAnsi="Times New Roman" w:cs="Times New Roman"/>
                <w:lang w:val="en-GB"/>
              </w:rPr>
              <w:t xml:space="preserve">on </w:t>
            </w:r>
            <w:r w:rsidRPr="00860AE8" w:rsidR="008E730D">
              <w:rPr>
                <w:rFonts w:ascii="Times New Roman" w:hAnsi="Times New Roman" w:cs="Times New Roman"/>
                <w:lang w:val="en-GB"/>
              </w:rPr>
              <w:t>carbon-efficient farming</w:t>
            </w:r>
            <w:r w:rsidRPr="00860AE8" w:rsidR="00521764">
              <w:rPr>
                <w:rFonts w:ascii="Times New Roman" w:hAnsi="Times New Roman" w:cs="Times New Roman"/>
                <w:lang w:val="en-GB"/>
              </w:rPr>
              <w:t xml:space="preserve">; </w:t>
            </w:r>
          </w:p>
          <w:p w:rsidRPr="00435E2A" w:rsidR="000943CA" w:rsidP="0003203D" w:rsidRDefault="000943CA" w14:paraId="21498929" w14:textId="0A2FD16E">
            <w:pPr>
              <w:pStyle w:val="ListParagraph"/>
              <w:numPr>
                <w:ilvl w:val="0"/>
                <w:numId w:val="30"/>
              </w:numPr>
              <w:spacing w:after="120" w:line="288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Ensure this group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’s priorities align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with the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Water Framework Directive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435E2A" w:rsidR="00ED3F97">
              <w:rPr>
                <w:rFonts w:ascii="Times New Roman" w:hAnsi="Times New Roman" w:cs="Times New Roman"/>
                <w:lang w:val="en-GB"/>
              </w:rPr>
              <w:t xml:space="preserve">revision </w:t>
            </w:r>
            <w:r w:rsidRPr="00435E2A">
              <w:rPr>
                <w:rFonts w:ascii="Times New Roman" w:hAnsi="Times New Roman" w:cs="Times New Roman"/>
                <w:lang w:val="en-GB"/>
              </w:rPr>
              <w:t>expected for Q2 2026);</w:t>
            </w:r>
          </w:p>
        </w:tc>
      </w:tr>
      <w:tr w:rsidRPr="00435E2A" w:rsidR="00474652" w:rsidTr="00614988" w14:paraId="4CE025C4" w14:textId="77777777">
        <w:trPr>
          <w:cantSplit/>
        </w:trPr>
        <w:tc>
          <w:tcPr>
            <w:tcW w:w="3048" w:type="dxa"/>
          </w:tcPr>
          <w:p w:rsidRPr="00435E2A" w:rsidR="00474652" w:rsidP="006E65D5" w:rsidRDefault="0003203D" w14:paraId="0EB19B08" w14:textId="54C33E3A">
            <w:pPr>
              <w:spacing w:line="288" w:lineRule="auto"/>
              <w:rPr>
                <w:rFonts w:ascii="Times New Roman" w:hAnsi="Times New Roman" w:cs="Times New Roman"/>
                <w:b/>
                <w:highlight w:val="yellow"/>
                <w:lang w:val="en-GB"/>
              </w:rPr>
            </w:pP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Linking food systems with the </w:t>
            </w:r>
            <w:r w:rsidRPr="00435E2A" w:rsidR="00B256D0">
              <w:rPr>
                <w:rFonts w:ascii="Times New Roman" w:hAnsi="Times New Roman" w:cs="Times New Roman"/>
                <w:b/>
                <w:lang w:val="en-GB"/>
              </w:rPr>
              <w:t>‘o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>ne health</w:t>
            </w:r>
            <w:r w:rsidRPr="00435E2A" w:rsidR="00B256D0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 approach and f</w:t>
            </w:r>
            <w:r w:rsidRPr="00435E2A" w:rsidR="00474652">
              <w:rPr>
                <w:rFonts w:ascii="Times New Roman" w:hAnsi="Times New Roman" w:cs="Times New Roman"/>
                <w:b/>
                <w:lang w:val="en-GB"/>
              </w:rPr>
              <w:t>oster sustainable food labelling to empower consumers to make more sustainable and healthier food choices</w:t>
            </w:r>
            <w:r w:rsidRPr="00435E2A" w:rsidR="003879DC">
              <w:rPr>
                <w:rFonts w:ascii="Times New Roman" w:hAnsi="Times New Roman" w:cs="Times New Roman"/>
                <w:b/>
                <w:lang w:val="en-GB"/>
              </w:rPr>
              <w:t xml:space="preserve"> (</w:t>
            </w:r>
            <w:r w:rsidRPr="00435E2A" w:rsidR="00B256D0">
              <w:rPr>
                <w:rFonts w:ascii="Times New Roman" w:hAnsi="Times New Roman" w:cs="Times New Roman"/>
                <w:b/>
                <w:lang w:val="en-GB"/>
              </w:rPr>
              <w:t>‘</w:t>
            </w:r>
            <w:r w:rsidRPr="00435E2A" w:rsidR="003879DC">
              <w:rPr>
                <w:rFonts w:ascii="Times New Roman" w:hAnsi="Times New Roman" w:cs="Times New Roman"/>
                <w:b/>
                <w:lang w:val="en-GB"/>
              </w:rPr>
              <w:t>healthy diets</w:t>
            </w:r>
            <w:r w:rsidRPr="00435E2A" w:rsidR="00B256D0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435E2A" w:rsidR="003879DC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012" w:type="dxa"/>
          </w:tcPr>
          <w:p w:rsidRPr="00435E2A" w:rsidR="0003203D" w:rsidP="004521BA" w:rsidRDefault="0003203D" w14:paraId="351FD480" w14:textId="36491855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860AE8">
              <w:rPr>
                <w:rFonts w:ascii="Times New Roman" w:hAnsi="Times New Roman" w:cs="Times New Roman"/>
                <w:lang w:val="en-GB"/>
              </w:rPr>
              <w:t>Strengthen the nexus between food and health: integrati</w:t>
            </w:r>
            <w:r w:rsidRPr="00860AE8" w:rsidR="00B256D0">
              <w:rPr>
                <w:rFonts w:ascii="Times New Roman" w:hAnsi="Times New Roman" w:cs="Times New Roman"/>
                <w:lang w:val="en-GB"/>
              </w:rPr>
              <w:t>ng the ‘o</w:t>
            </w:r>
            <w:r w:rsidRPr="00860AE8">
              <w:rPr>
                <w:rFonts w:ascii="Times New Roman" w:hAnsi="Times New Roman" w:cs="Times New Roman"/>
                <w:lang w:val="en-GB"/>
              </w:rPr>
              <w:t xml:space="preserve">ne </w:t>
            </w:r>
            <w:r w:rsidRPr="00860AE8" w:rsidR="00B256D0">
              <w:rPr>
                <w:rFonts w:ascii="Times New Roman" w:hAnsi="Times New Roman" w:cs="Times New Roman"/>
                <w:lang w:val="en-GB"/>
              </w:rPr>
              <w:t>h</w:t>
            </w:r>
            <w:r w:rsidRPr="00860AE8">
              <w:rPr>
                <w:rFonts w:ascii="Times New Roman" w:hAnsi="Times New Roman" w:cs="Times New Roman"/>
                <w:lang w:val="en-GB"/>
              </w:rPr>
              <w:t>ealth</w:t>
            </w:r>
            <w:r w:rsidRPr="00860AE8" w:rsidR="00B256D0">
              <w:rPr>
                <w:rFonts w:ascii="Times New Roman" w:hAnsi="Times New Roman" w:cs="Times New Roman"/>
                <w:lang w:val="en-GB"/>
              </w:rPr>
              <w:t>’</w:t>
            </w:r>
            <w:r w:rsidRPr="00860AE8">
              <w:rPr>
                <w:rFonts w:ascii="Times New Roman" w:hAnsi="Times New Roman" w:cs="Times New Roman"/>
                <w:lang w:val="en-GB"/>
              </w:rPr>
              <w:t xml:space="preserve"> approach in eating habits, healthy diets, disease prevention, mental health</w:t>
            </w:r>
            <w:r w:rsidRPr="00860AE8" w:rsidR="00B256D0">
              <w:rPr>
                <w:rFonts w:ascii="Times New Roman" w:hAnsi="Times New Roman" w:cs="Times New Roman"/>
                <w:lang w:val="en-GB"/>
              </w:rPr>
              <w:t xml:space="preserve"> and the</w:t>
            </w:r>
            <w:r w:rsidRPr="00860AE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>
              <w:rPr>
                <w:rFonts w:ascii="Times New Roman" w:hAnsi="Times New Roman" w:cs="Times New Roman"/>
                <w:color w:val="000000"/>
                <w:lang w:val="en-GB"/>
              </w:rPr>
              <w:t>prevention of zoonoses and antimicrobial resistance</w:t>
            </w:r>
            <w:r w:rsidRPr="00435E2A" w:rsidR="00B256D0">
              <w:rPr>
                <w:rFonts w:ascii="Times New Roman" w:hAnsi="Times New Roman" w:cs="Times New Roman"/>
                <w:color w:val="000000"/>
                <w:lang w:val="en-GB"/>
              </w:rPr>
              <w:t xml:space="preserve"> (AMR</w:t>
            </w:r>
            <w:r w:rsidRPr="00435E2A">
              <w:rPr>
                <w:rFonts w:ascii="Times New Roman" w:hAnsi="Times New Roman" w:cs="Times New Roman"/>
                <w:color w:val="000000"/>
                <w:lang w:val="en-GB"/>
              </w:rPr>
              <w:t>);</w:t>
            </w:r>
          </w:p>
          <w:p w:rsidRPr="00435E2A" w:rsidR="00D03B2B" w:rsidP="004521BA" w:rsidRDefault="004521BA" w14:paraId="208B0409" w14:textId="2FB69627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860AE8">
              <w:rPr>
                <w:rFonts w:ascii="Times New Roman" w:hAnsi="Times New Roman" w:cs="Times New Roman"/>
                <w:lang w:val="en-GB"/>
              </w:rPr>
              <w:t xml:space="preserve">Focus on </w:t>
            </w:r>
            <w:r w:rsidRPr="00860AE8" w:rsidR="00B256D0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860AE8">
              <w:rPr>
                <w:rFonts w:ascii="Times New Roman" w:hAnsi="Times New Roman" w:cs="Times New Roman"/>
                <w:lang w:val="en-GB"/>
              </w:rPr>
              <w:t xml:space="preserve">consumer side by working on: the </w:t>
            </w:r>
            <w:r w:rsidRPr="00860AE8" w:rsidR="00B256D0">
              <w:rPr>
                <w:rFonts w:ascii="Times New Roman" w:hAnsi="Times New Roman" w:cs="Times New Roman"/>
                <w:lang w:val="en-GB"/>
              </w:rPr>
              <w:t xml:space="preserve">proposal for a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F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ood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I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nformation to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C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>onsumers</w:t>
            </w:r>
            <w:r w:rsidRPr="00435E2A" w:rsidR="00A26B04">
              <w:rPr>
                <w:rFonts w:ascii="Times New Roman" w:hAnsi="Times New Roman" w:cs="Times New Roman"/>
                <w:lang w:val="en-GB"/>
              </w:rPr>
              <w:t xml:space="preserve"> (FIC)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 Regulation</w:t>
            </w:r>
            <w:r w:rsidRPr="00435E2A" w:rsidR="00A26B04">
              <w:rPr>
                <w:rFonts w:ascii="Times New Roman" w:hAnsi="Times New Roman" w:cs="Times New Roman"/>
                <w:lang w:val="en-GB"/>
              </w:rPr>
              <w:t>, still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to be 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>p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ublished 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by the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Commission</w:t>
            </w:r>
            <w:r w:rsidRPr="00435E2A">
              <w:rPr>
                <w:rFonts w:ascii="Times New Roman" w:hAnsi="Times New Roman" w:cs="Times New Roman"/>
                <w:lang w:val="en-GB"/>
              </w:rPr>
              <w:t>;</w:t>
            </w:r>
            <w:r w:rsidRPr="00435E2A" w:rsidR="00A26B0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>information on the origin of food</w:t>
            </w:r>
            <w:r w:rsidRPr="00435E2A">
              <w:rPr>
                <w:rFonts w:ascii="Times New Roman" w:hAnsi="Times New Roman" w:cs="Times New Roman"/>
                <w:lang w:val="en-GB"/>
              </w:rPr>
              <w:t>,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>
              <w:rPr>
                <w:rFonts w:ascii="Times New Roman" w:hAnsi="Times New Roman" w:cs="Times New Roman"/>
                <w:lang w:val="en-GB"/>
              </w:rPr>
              <w:t>as a tool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 towards sustainable and healthy food systems; sustainability labelling</w:t>
            </w:r>
            <w:r w:rsidRPr="00435E2A" w:rsidR="00C5244C">
              <w:rPr>
                <w:rFonts w:ascii="Times New Roman" w:hAnsi="Times New Roman" w:cs="Times New Roman"/>
                <w:lang w:val="en-GB"/>
              </w:rPr>
              <w:t xml:space="preserve"> and consumer awareness-raising for sustainable foods (including fisheries products)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>strengthen</w:t>
            </w:r>
            <w:r w:rsidRPr="00435E2A">
              <w:rPr>
                <w:rFonts w:ascii="Times New Roman" w:hAnsi="Times New Roman" w:cs="Times New Roman"/>
                <w:lang w:val="en-GB"/>
              </w:rPr>
              <w:t>ing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 xml:space="preserve"> the role of o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rganic </w:t>
            </w:r>
            <w:r w:rsidR="00BF4B88">
              <w:rPr>
                <w:rFonts w:ascii="Times New Roman" w:hAnsi="Times New Roman" w:cs="Times New Roman"/>
                <w:lang w:val="en-GB"/>
              </w:rPr>
              <w:t>certification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 xml:space="preserve">and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geographical indications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 xml:space="preserve">, and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how to 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 xml:space="preserve">use these sectors 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as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a 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>guiding track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exploring </w:t>
            </w:r>
            <w:r w:rsidRPr="00860AE8">
              <w:rPr>
                <w:rFonts w:ascii="Times New Roman" w:hAnsi="Times New Roman" w:cs="Times New Roman"/>
                <w:lang w:val="en-GB"/>
              </w:rPr>
              <w:t>how price changes affect consumer choices and how they are consistent with the goal of sustainable nutrition;</w:t>
            </w:r>
          </w:p>
          <w:p w:rsidRPr="00435E2A" w:rsidR="004521BA" w:rsidP="004521BA" w:rsidRDefault="00C2269C" w14:paraId="4E95335C" w14:textId="19CB7ED5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Assess the</w:t>
            </w:r>
            <w:r w:rsidRPr="00435E2A" w:rsidR="00D31EE3">
              <w:rPr>
                <w:rFonts w:ascii="Times New Roman" w:hAnsi="Times New Roman" w:cs="Times New Roman"/>
                <w:lang w:val="en-GB"/>
              </w:rPr>
              <w:t xml:space="preserve"> implementation of the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 xml:space="preserve"> Commission’s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‘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>Buy EU food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’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 campaign</w:t>
            </w:r>
            <w:r w:rsidRPr="00435E2A" w:rsidR="00A26B04">
              <w:rPr>
                <w:rFonts w:ascii="Times New Roman" w:hAnsi="Times New Roman" w:cs="Times New Roman"/>
                <w:lang w:val="en-GB"/>
              </w:rPr>
              <w:t>;</w:t>
            </w:r>
            <w:r w:rsidRPr="00435E2A" w:rsidR="0003203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Pr="00435E2A" w:rsidR="00474652" w:rsidTr="00614988" w14:paraId="79FCD611" w14:textId="77777777">
        <w:trPr>
          <w:cantSplit/>
        </w:trPr>
        <w:tc>
          <w:tcPr>
            <w:tcW w:w="3048" w:type="dxa"/>
          </w:tcPr>
          <w:p w:rsidRPr="00435E2A" w:rsidR="00474652" w:rsidP="006E65D5" w:rsidRDefault="00085668" w14:paraId="38B500F4" w14:textId="6928CDBD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b/>
                <w:lang w:val="en-GB"/>
              </w:rPr>
              <w:t>Towards sustainable rural</w:t>
            </w:r>
            <w:r w:rsidRPr="00435E2A" w:rsidR="00474652">
              <w:rPr>
                <w:rFonts w:ascii="Times New Roman" w:hAnsi="Times New Roman" w:cs="Times New Roman"/>
                <w:b/>
                <w:lang w:val="en-GB"/>
              </w:rPr>
              <w:t xml:space="preserve">/urban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>development</w:t>
            </w:r>
          </w:p>
        </w:tc>
        <w:tc>
          <w:tcPr>
            <w:tcW w:w="6012" w:type="dxa"/>
          </w:tcPr>
          <w:p w:rsidRPr="00435E2A" w:rsidR="00474652" w:rsidP="00474652" w:rsidRDefault="00440C1D" w14:paraId="12F2719A" w14:textId="2A43613A">
            <w:pPr>
              <w:pStyle w:val="ListParagraph"/>
              <w:numPr>
                <w:ilvl w:val="0"/>
                <w:numId w:val="4"/>
              </w:numPr>
              <w:spacing w:after="240"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Contribute to</w:t>
            </w:r>
            <w:r w:rsidRPr="00435E2A" w:rsidR="00085668">
              <w:rPr>
                <w:rFonts w:ascii="Times New Roman" w:hAnsi="Times New Roman" w:cs="Times New Roman"/>
                <w:lang w:val="en-GB"/>
              </w:rPr>
              <w:t xml:space="preserve"> the u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pdated </w:t>
            </w:r>
            <w:r w:rsidRPr="00435E2A" w:rsidR="00474652">
              <w:rPr>
                <w:rFonts w:ascii="Times New Roman" w:hAnsi="Times New Roman" w:cs="Times New Roman"/>
                <w:b/>
                <w:bCs/>
                <w:lang w:val="en-GB"/>
              </w:rPr>
              <w:t>Rural Action Plan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, as announce</w:t>
            </w:r>
            <w:r w:rsidRPr="00435E2A" w:rsidR="00085668">
              <w:rPr>
                <w:rFonts w:ascii="Times New Roman" w:hAnsi="Times New Roman" w:cs="Times New Roman"/>
                <w:lang w:val="en-GB"/>
              </w:rPr>
              <w:t>d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 in the Vision</w:t>
            </w:r>
            <w:r w:rsidRPr="00435E2A">
              <w:rPr>
                <w:rFonts w:ascii="Times New Roman" w:hAnsi="Times New Roman" w:cs="Times New Roman"/>
                <w:lang w:val="en-GB"/>
              </w:rPr>
              <w:t>, looking at the role of sustainable food systems in sustainable rural-urban development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;</w:t>
            </w:r>
          </w:p>
        </w:tc>
      </w:tr>
      <w:tr w:rsidRPr="00435E2A" w:rsidR="00474652" w:rsidTr="00614988" w14:paraId="23A353B4" w14:textId="77777777">
        <w:trPr>
          <w:cantSplit/>
        </w:trPr>
        <w:tc>
          <w:tcPr>
            <w:tcW w:w="3048" w:type="dxa"/>
          </w:tcPr>
          <w:p w:rsidRPr="00435E2A" w:rsidR="00474652" w:rsidP="006E65D5" w:rsidRDefault="00281960" w14:paraId="1B646204" w14:textId="4D621A27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Assessing </w:t>
            </w:r>
            <w:r w:rsidRPr="00435E2A" w:rsidR="00D03B2B">
              <w:rPr>
                <w:rFonts w:ascii="Times New Roman" w:hAnsi="Times New Roman" w:cs="Times New Roman"/>
                <w:b/>
                <w:lang w:val="en-GB"/>
              </w:rPr>
              <w:t>n</w:t>
            </w:r>
            <w:r w:rsidRPr="00435E2A" w:rsidR="00474652">
              <w:rPr>
                <w:rFonts w:ascii="Times New Roman" w:hAnsi="Times New Roman" w:cs="Times New Roman"/>
                <w:b/>
                <w:lang w:val="en-GB"/>
              </w:rPr>
              <w:t xml:space="preserve">ew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sustainable </w:t>
            </w:r>
            <w:r w:rsidRPr="00435E2A" w:rsidR="00474652">
              <w:rPr>
                <w:rFonts w:ascii="Times New Roman" w:hAnsi="Times New Roman" w:cs="Times New Roman"/>
                <w:b/>
                <w:lang w:val="en-GB"/>
              </w:rPr>
              <w:t xml:space="preserve">technologies and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promoting </w:t>
            </w:r>
            <w:r w:rsidRPr="00435E2A" w:rsidR="00474652">
              <w:rPr>
                <w:rFonts w:ascii="Times New Roman" w:hAnsi="Times New Roman" w:cs="Times New Roman"/>
                <w:b/>
                <w:lang w:val="en-GB"/>
              </w:rPr>
              <w:t>education</w:t>
            </w:r>
          </w:p>
        </w:tc>
        <w:tc>
          <w:tcPr>
            <w:tcW w:w="6012" w:type="dxa"/>
          </w:tcPr>
          <w:p w:rsidRPr="00435E2A" w:rsidR="00D03B2B" w:rsidP="00D03B2B" w:rsidRDefault="00281960" w14:paraId="3B4D1EDD" w14:textId="15AC764F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Assess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new technologies (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e.g.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smart farming</w:t>
            </w:r>
            <w:r w:rsidRPr="00435E2A" w:rsidR="00440C1D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 xml:space="preserve">digital technologies,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potential and weaknesses of </w:t>
            </w:r>
            <w:r w:rsidRPr="00435E2A" w:rsidR="00440C1D">
              <w:rPr>
                <w:rFonts w:ascii="Times New Roman" w:hAnsi="Times New Roman" w:cs="Times New Roman"/>
                <w:lang w:val="en-GB"/>
              </w:rPr>
              <w:t>artificial intelligence</w:t>
            </w:r>
            <w:r w:rsidRPr="00435E2A">
              <w:rPr>
                <w:rFonts w:ascii="Times New Roman" w:hAnsi="Times New Roman" w:cs="Times New Roman"/>
                <w:lang w:val="en-GB"/>
              </w:rPr>
              <w:t>,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 xml:space="preserve"> etc.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)</w:t>
            </w:r>
            <w:r w:rsidRPr="00435E2A" w:rsidR="00D03B2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 w:rsidR="00440C1D">
              <w:rPr>
                <w:rFonts w:ascii="Times New Roman" w:hAnsi="Times New Roman" w:cs="Times New Roman"/>
                <w:lang w:val="en-GB"/>
              </w:rPr>
              <w:t xml:space="preserve">for productivity,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sustainability and competitiveness</w:t>
            </w:r>
            <w:r w:rsidRPr="00435E2A" w:rsidR="003A00B1">
              <w:rPr>
                <w:rFonts w:ascii="Times New Roman" w:hAnsi="Times New Roman" w:cs="Times New Roman"/>
                <w:lang w:val="en-GB"/>
              </w:rPr>
              <w:t xml:space="preserve"> and related EU initiatives such as the upcoming </w:t>
            </w:r>
            <w:r w:rsidRPr="00435E2A" w:rsidR="003A00B1">
              <w:rPr>
                <w:rFonts w:ascii="Times New Roman" w:hAnsi="Times New Roman" w:cs="Times New Roman"/>
                <w:b/>
                <w:bCs/>
                <w:lang w:val="en-GB"/>
              </w:rPr>
              <w:t>EU digital strategy for agriculture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;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Pr="00435E2A" w:rsidR="000943CA" w:rsidP="00860AE8" w:rsidRDefault="00D03B2B" w14:paraId="72FD9FB1" w14:textId="14437391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Address the 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 xml:space="preserve">issue of skills </w:t>
            </w:r>
            <w:r w:rsidRPr="00435E2A">
              <w:rPr>
                <w:rFonts w:ascii="Times New Roman" w:hAnsi="Times New Roman" w:cs="Times New Roman"/>
                <w:lang w:val="en-GB"/>
              </w:rPr>
              <w:t>in the sector and how to acquire them</w:t>
            </w:r>
            <w:r w:rsidRPr="00435E2A" w:rsidR="00474652">
              <w:rPr>
                <w:rFonts w:ascii="Times New Roman" w:hAnsi="Times New Roman" w:cs="Times New Roman"/>
                <w:lang w:val="en-GB"/>
              </w:rPr>
              <w:t>;</w:t>
            </w:r>
          </w:p>
          <w:p w:rsidRPr="00435E2A" w:rsidR="009404A5" w:rsidP="00D03B2B" w:rsidRDefault="009404A5" w14:paraId="7510E162" w14:textId="1006DED2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Explore tools such as the on-farm sustainability compass </w:t>
            </w:r>
            <w:r w:rsidRPr="00435E2A" w:rsidR="00A305F5">
              <w:rPr>
                <w:rFonts w:ascii="Times New Roman" w:hAnsi="Times New Roman" w:cs="Times New Roman"/>
                <w:lang w:val="en-GB"/>
              </w:rPr>
              <w:t xml:space="preserve">and benchmarking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to improve </w:t>
            </w:r>
            <w:r w:rsidRPr="00435E2A" w:rsidR="00A305F5">
              <w:rPr>
                <w:rFonts w:ascii="Times New Roman" w:hAnsi="Times New Roman" w:cs="Times New Roman"/>
                <w:lang w:val="en-GB"/>
              </w:rPr>
              <w:t>farm sustainability</w:t>
            </w:r>
            <w:r w:rsidRPr="00435E2A">
              <w:rPr>
                <w:rFonts w:ascii="Times New Roman" w:hAnsi="Times New Roman" w:cs="Times New Roman"/>
                <w:lang w:val="en-GB"/>
              </w:rPr>
              <w:t>;</w:t>
            </w:r>
          </w:p>
        </w:tc>
      </w:tr>
      <w:tr w:rsidRPr="00435E2A" w:rsidR="00085668" w:rsidTr="00614988" w14:paraId="50CC753C" w14:textId="77777777">
        <w:trPr>
          <w:cantSplit/>
        </w:trPr>
        <w:tc>
          <w:tcPr>
            <w:tcW w:w="3048" w:type="dxa"/>
          </w:tcPr>
          <w:p w:rsidRPr="00435E2A" w:rsidR="00085668" w:rsidP="00085668" w:rsidRDefault="00085668" w14:paraId="549A6B48" w14:textId="77777777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b/>
                <w:lang w:val="en-GB"/>
              </w:rPr>
              <w:t>Active and meaningful participation at European and international fora/platforms – reinforcing and building synergies</w:t>
            </w:r>
          </w:p>
          <w:p w:rsidRPr="00435E2A" w:rsidR="00085668" w:rsidP="00085668" w:rsidRDefault="00085668" w14:paraId="5C630A3C" w14:textId="77777777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012" w:type="dxa"/>
          </w:tcPr>
          <w:p w:rsidRPr="00435E2A" w:rsidR="00085668" w:rsidP="00085668" w:rsidRDefault="00085668" w14:paraId="43127CC7" w14:textId="46D89656">
            <w:pPr>
              <w:pStyle w:val="ListParagraph"/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>Active</w:t>
            </w:r>
            <w:r w:rsidR="006B2E58">
              <w:rPr>
                <w:rFonts w:ascii="Times New Roman" w:hAnsi="Times New Roman" w:cs="Times New Roman"/>
                <w:lang w:val="en-GB"/>
              </w:rPr>
              <w:t>ly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engage in the </w:t>
            </w:r>
            <w:r w:rsidRPr="00435E2A" w:rsidR="00B256D0">
              <w:rPr>
                <w:rFonts w:ascii="Times New Roman" w:hAnsi="Times New Roman" w:cs="Times New Roman"/>
                <w:lang w:val="en-GB"/>
              </w:rPr>
              <w:t>Commission’s an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nual </w:t>
            </w:r>
            <w:r w:rsidR="006B2E58">
              <w:rPr>
                <w:rFonts w:ascii="Times New Roman" w:hAnsi="Times New Roman" w:cs="Times New Roman"/>
                <w:b/>
                <w:bCs/>
                <w:lang w:val="en-GB"/>
              </w:rPr>
              <w:t>F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ood </w:t>
            </w:r>
            <w:r w:rsidR="006B2E58">
              <w:rPr>
                <w:rFonts w:ascii="Times New Roman" w:hAnsi="Times New Roman" w:cs="Times New Roman"/>
                <w:b/>
                <w:bCs/>
                <w:lang w:val="en-GB"/>
              </w:rPr>
              <w:t>D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ialogues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through </w:t>
            </w:r>
            <w:r w:rsidRPr="00435E2A" w:rsidR="00440C1D">
              <w:rPr>
                <w:rFonts w:ascii="Times New Roman" w:hAnsi="Times New Roman" w:cs="Times New Roman"/>
                <w:lang w:val="en-GB"/>
              </w:rPr>
              <w:t>preparatory debates</w:t>
            </w:r>
            <w:r w:rsidRPr="00435E2A">
              <w:rPr>
                <w:rFonts w:ascii="Times New Roman" w:hAnsi="Times New Roman" w:cs="Times New Roman"/>
                <w:lang w:val="en-GB"/>
              </w:rPr>
              <w:t>;</w:t>
            </w:r>
          </w:p>
          <w:p w:rsidRPr="00435E2A" w:rsidR="00085668" w:rsidP="00085668" w:rsidRDefault="00085668" w14:paraId="3749AD0B" w14:textId="7688F4F9">
            <w:pPr>
              <w:pStyle w:val="ListParagraph"/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Contribute to the follow-up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to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the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>UN Food Systems summit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convened by the UN Secretary-General in 2021, through its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planned biennial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stocktaking exercises; </w:t>
            </w:r>
          </w:p>
          <w:p w:rsidRPr="00435E2A" w:rsidR="00085668" w:rsidP="00085668" w:rsidRDefault="00085668" w14:paraId="2080552A" w14:textId="52491C13">
            <w:pPr>
              <w:pStyle w:val="ListParagraph"/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Highlight the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issue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of food systems in the preparations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for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the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COP on Biodiversity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35E2A">
              <w:rPr>
                <w:rFonts w:ascii="Times New Roman" w:hAnsi="Times New Roman" w:cs="Times New Roman"/>
                <w:b/>
                <w:bCs/>
                <w:lang w:val="en-GB"/>
              </w:rPr>
              <w:t>and Climate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, e.g.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by working </w:t>
            </w:r>
            <w:r w:rsidRPr="00435E2A" w:rsidR="00440C1D">
              <w:rPr>
                <w:rFonts w:ascii="Times New Roman" w:hAnsi="Times New Roman" w:cs="Times New Roman"/>
                <w:lang w:val="en-GB"/>
              </w:rPr>
              <w:t>with the PG on COP on debates,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written contribution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s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 or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 w:rsidR="00440C1D">
              <w:rPr>
                <w:rFonts w:ascii="Times New Roman" w:hAnsi="Times New Roman" w:cs="Times New Roman"/>
                <w:lang w:val="en-GB"/>
              </w:rPr>
              <w:t xml:space="preserve">organisation of 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side-events; </w:t>
            </w:r>
          </w:p>
          <w:p w:rsidRPr="00435E2A" w:rsidR="00085668" w:rsidP="00085668" w:rsidRDefault="00085668" w14:paraId="765001BF" w14:textId="7198D5C1">
            <w:pPr>
              <w:pStyle w:val="ListParagraph"/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Participate in the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>annual UN Committee on World Food Security (CFS)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, which is the foremost inclusive international and intergovernmental platform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enabling </w:t>
            </w:r>
            <w:r w:rsidRPr="00435E2A">
              <w:rPr>
                <w:rFonts w:ascii="Times New Roman" w:hAnsi="Times New Roman" w:cs="Times New Roman"/>
                <w:lang w:val="en-GB"/>
              </w:rPr>
              <w:t>all stakeholders to work together to ensure food security and nutrition for all, potentially with a contribution like the one for the COPs;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 xml:space="preserve"> liaise with the Council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’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 xml:space="preserve">s Working Party on International Food and Agricultural Questions,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which is 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>responsible for coordinati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ng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 xml:space="preserve"> and prepar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i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>n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g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 xml:space="preserve"> the EU’s positions for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>CFS (among other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 thing</w:t>
            </w:r>
            <w:r w:rsidRPr="00435E2A" w:rsidR="004A10B4">
              <w:rPr>
                <w:rFonts w:ascii="Times New Roman" w:hAnsi="Times New Roman" w:cs="Times New Roman"/>
                <w:lang w:val="en-GB"/>
              </w:rPr>
              <w:t>s);</w:t>
            </w:r>
          </w:p>
          <w:p w:rsidRPr="00435E2A" w:rsidR="00085668" w:rsidP="00085668" w:rsidRDefault="00085668" w14:paraId="76600640" w14:textId="77777777">
            <w:pPr>
              <w:pStyle w:val="ListParagraph"/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Participate in the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>annual World Food Forum (WFF)</w:t>
            </w:r>
            <w:r w:rsidRPr="00435E2A">
              <w:rPr>
                <w:rFonts w:ascii="Times New Roman" w:hAnsi="Times New Roman" w:cs="Times New Roman"/>
                <w:bCs/>
                <w:lang w:val="en-GB"/>
              </w:rPr>
              <w:t>;</w:t>
            </w:r>
          </w:p>
          <w:p w:rsidRPr="00435E2A" w:rsidR="00085668" w:rsidP="004521BA" w:rsidRDefault="00085668" w14:paraId="5E8C8B64" w14:textId="32AE810C">
            <w:pPr>
              <w:pStyle w:val="ListParagraph"/>
              <w:numPr>
                <w:ilvl w:val="0"/>
                <w:numId w:val="5"/>
              </w:numPr>
              <w:spacing w:after="120"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435E2A">
              <w:rPr>
                <w:rFonts w:ascii="Times New Roman" w:hAnsi="Times New Roman" w:cs="Times New Roman"/>
                <w:lang w:val="en-GB"/>
              </w:rPr>
              <w:t xml:space="preserve">Further reinforce and deepen the </w:t>
            </w:r>
            <w:r w:rsidRPr="00435E2A">
              <w:rPr>
                <w:rFonts w:ascii="Times New Roman" w:hAnsi="Times New Roman" w:cs="Times New Roman"/>
                <w:b/>
                <w:lang w:val="en-GB"/>
              </w:rPr>
              <w:t xml:space="preserve">engagement with the FAO, </w:t>
            </w:r>
            <w:r w:rsidRPr="00435E2A">
              <w:rPr>
                <w:rFonts w:ascii="Times New Roman" w:hAnsi="Times New Roman" w:cs="Times New Roman"/>
                <w:lang w:val="en-GB"/>
              </w:rPr>
              <w:t>moving beyond one-off exchange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s</w:t>
            </w:r>
            <w:r w:rsidRPr="00435E2A">
              <w:rPr>
                <w:rFonts w:ascii="Times New Roman" w:hAnsi="Times New Roman" w:cs="Times New Roman"/>
                <w:lang w:val="en-GB"/>
              </w:rPr>
              <w:t xml:space="preserve">, such as those within the CFS and WFF, towards </w:t>
            </w:r>
            <w:r w:rsidRPr="00435E2A" w:rsidR="004521BA">
              <w:rPr>
                <w:rFonts w:ascii="Times New Roman" w:hAnsi="Times New Roman" w:cs="Times New Roman"/>
                <w:lang w:val="en-GB"/>
              </w:rPr>
              <w:t xml:space="preserve">more regular exchanges between the PG president and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435E2A" w:rsidR="004521BA">
              <w:rPr>
                <w:rFonts w:ascii="Times New Roman" w:hAnsi="Times New Roman" w:cs="Times New Roman"/>
                <w:lang w:val="en-GB"/>
              </w:rPr>
              <w:t>FAO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’</w:t>
            </w:r>
            <w:r w:rsidRPr="00435E2A" w:rsidR="004521BA">
              <w:rPr>
                <w:rFonts w:ascii="Times New Roman" w:hAnsi="Times New Roman" w:cs="Times New Roman"/>
                <w:lang w:val="en-GB"/>
              </w:rPr>
              <w:t xml:space="preserve">s high-level representatives, </w:t>
            </w:r>
            <w:r w:rsidRPr="00435E2A" w:rsidR="00472954">
              <w:rPr>
                <w:rFonts w:ascii="Times New Roman" w:hAnsi="Times New Roman" w:cs="Times New Roman"/>
                <w:lang w:val="en-GB"/>
              </w:rPr>
              <w:t>making it possible t</w:t>
            </w:r>
            <w:r w:rsidRPr="00435E2A">
              <w:rPr>
                <w:rFonts w:ascii="Times New Roman" w:hAnsi="Times New Roman" w:cs="Times New Roman"/>
                <w:lang w:val="en-GB"/>
              </w:rPr>
              <w:t>o better shape developments across different fora.</w:t>
            </w:r>
          </w:p>
        </w:tc>
      </w:tr>
    </w:tbl>
    <w:p w:rsidRPr="00435E2A" w:rsidR="00FB6675" w:rsidP="006E65D5" w:rsidRDefault="00FB6675" w14:paraId="277BB2C6" w14:textId="77777777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Pr="00435E2A" w:rsidR="00951B89" w:rsidP="006E65D5" w:rsidRDefault="00951B89" w14:paraId="4F8612D9" w14:textId="77777777">
      <w:pPr>
        <w:keepNext/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435E2A">
        <w:rPr>
          <w:rFonts w:ascii="Times New Roman" w:hAnsi="Times New Roman" w:cs="Times New Roman"/>
          <w:b/>
          <w:u w:val="single"/>
          <w:lang w:val="en-GB"/>
        </w:rPr>
        <w:t>Working methods:</w:t>
      </w:r>
    </w:p>
    <w:p w:rsidRPr="00435E2A" w:rsidR="00614988" w:rsidP="006E65D5" w:rsidRDefault="00614988" w14:paraId="22DCC8DB" w14:textId="77777777">
      <w:pPr>
        <w:spacing w:after="0" w:line="288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Pr="00435E2A" w:rsidR="00951B89" w:rsidP="006E65D5" w:rsidRDefault="00951B89" w14:paraId="0E43D5C2" w14:textId="73CFE095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435E2A">
        <w:rPr>
          <w:rFonts w:ascii="Times New Roman" w:hAnsi="Times New Roman" w:cs="Times New Roman"/>
          <w:lang w:val="en-GB"/>
        </w:rPr>
        <w:t xml:space="preserve">The </w:t>
      </w:r>
      <w:r w:rsidRPr="00435E2A" w:rsidR="008D56ED">
        <w:rPr>
          <w:rFonts w:ascii="Times New Roman" w:hAnsi="Times New Roman" w:cs="Times New Roman"/>
          <w:lang w:val="en-GB"/>
        </w:rPr>
        <w:t>PG</w:t>
      </w:r>
      <w:r w:rsidRPr="00435E2A" w:rsidR="001C7EC1">
        <w:rPr>
          <w:rFonts w:ascii="Times New Roman" w:hAnsi="Times New Roman" w:cs="Times New Roman"/>
          <w:lang w:val="en-GB"/>
        </w:rPr>
        <w:t xml:space="preserve"> </w:t>
      </w:r>
      <w:r w:rsidRPr="00435E2A" w:rsidR="00276097">
        <w:rPr>
          <w:rFonts w:ascii="Times New Roman" w:hAnsi="Times New Roman" w:cs="Times New Roman"/>
          <w:lang w:val="en-GB"/>
        </w:rPr>
        <w:t>p</w:t>
      </w:r>
      <w:r w:rsidRPr="00435E2A" w:rsidR="002150E8">
        <w:rPr>
          <w:rFonts w:ascii="Times New Roman" w:hAnsi="Times New Roman" w:cs="Times New Roman"/>
          <w:lang w:val="en-GB"/>
        </w:rPr>
        <w:t xml:space="preserve">resident and </w:t>
      </w:r>
      <w:r w:rsidRPr="00435E2A" w:rsidR="00276097">
        <w:rPr>
          <w:rFonts w:ascii="Times New Roman" w:hAnsi="Times New Roman" w:cs="Times New Roman"/>
          <w:lang w:val="en-GB"/>
        </w:rPr>
        <w:t>m</w:t>
      </w:r>
      <w:r w:rsidRPr="00435E2A" w:rsidR="002150E8">
        <w:rPr>
          <w:rFonts w:ascii="Times New Roman" w:hAnsi="Times New Roman" w:cs="Times New Roman"/>
          <w:lang w:val="en-GB"/>
        </w:rPr>
        <w:t>embers</w:t>
      </w:r>
      <w:r w:rsidRPr="00435E2A">
        <w:rPr>
          <w:rFonts w:ascii="Times New Roman" w:hAnsi="Times New Roman" w:cs="Times New Roman"/>
          <w:lang w:val="en-GB"/>
        </w:rPr>
        <w:t xml:space="preserve">, as well as the </w:t>
      </w:r>
      <w:r w:rsidRPr="00435E2A" w:rsidR="00276097">
        <w:rPr>
          <w:rFonts w:ascii="Times New Roman" w:hAnsi="Times New Roman" w:cs="Times New Roman"/>
          <w:lang w:val="en-GB"/>
        </w:rPr>
        <w:t>s</w:t>
      </w:r>
      <w:r w:rsidRPr="00435E2A">
        <w:rPr>
          <w:rFonts w:ascii="Times New Roman" w:hAnsi="Times New Roman" w:cs="Times New Roman"/>
          <w:lang w:val="en-GB"/>
        </w:rPr>
        <w:t>ecretariat</w:t>
      </w:r>
      <w:r w:rsidRPr="00435E2A" w:rsidR="00902482">
        <w:rPr>
          <w:rFonts w:ascii="Times New Roman" w:hAnsi="Times New Roman" w:cs="Times New Roman"/>
          <w:lang w:val="en-GB"/>
        </w:rPr>
        <w:t>,</w:t>
      </w:r>
      <w:r w:rsidRPr="00435E2A">
        <w:rPr>
          <w:rFonts w:ascii="Times New Roman" w:hAnsi="Times New Roman" w:cs="Times New Roman"/>
          <w:lang w:val="en-GB"/>
        </w:rPr>
        <w:t xml:space="preserve"> have different but crucial roles to play in </w:t>
      </w:r>
      <w:r w:rsidRPr="00435E2A">
        <w:rPr>
          <w:rFonts w:ascii="Times New Roman" w:hAnsi="Times New Roman" w:cs="Times New Roman"/>
          <w:b/>
          <w:lang w:val="en-GB"/>
        </w:rPr>
        <w:t>co-designing and co-creating</w:t>
      </w:r>
      <w:r w:rsidRPr="00435E2A">
        <w:rPr>
          <w:rFonts w:ascii="Times New Roman" w:hAnsi="Times New Roman" w:cs="Times New Roman"/>
          <w:lang w:val="en-GB"/>
        </w:rPr>
        <w:t xml:space="preserve"> the </w:t>
      </w:r>
      <w:r w:rsidRPr="00435E2A" w:rsidR="008D56ED">
        <w:rPr>
          <w:rFonts w:ascii="Times New Roman" w:hAnsi="Times New Roman" w:cs="Times New Roman"/>
          <w:lang w:val="en-GB"/>
        </w:rPr>
        <w:t>PG</w:t>
      </w:r>
      <w:r w:rsidRPr="00435E2A" w:rsidR="00F737CB">
        <w:rPr>
          <w:rFonts w:ascii="Times New Roman" w:hAnsi="Times New Roman" w:cs="Times New Roman"/>
          <w:lang w:val="en-GB"/>
        </w:rPr>
        <w:t>’</w:t>
      </w:r>
      <w:r w:rsidRPr="00435E2A" w:rsidR="00902482">
        <w:rPr>
          <w:rFonts w:ascii="Times New Roman" w:hAnsi="Times New Roman" w:cs="Times New Roman"/>
          <w:lang w:val="en-GB"/>
        </w:rPr>
        <w:t>s</w:t>
      </w:r>
      <w:r w:rsidRPr="00435E2A" w:rsidR="001C7EC1">
        <w:rPr>
          <w:rFonts w:ascii="Times New Roman" w:hAnsi="Times New Roman" w:cs="Times New Roman"/>
          <w:lang w:val="en-GB"/>
        </w:rPr>
        <w:t xml:space="preserve"> </w:t>
      </w:r>
      <w:r w:rsidRPr="00435E2A">
        <w:rPr>
          <w:rFonts w:ascii="Times New Roman" w:hAnsi="Times New Roman" w:cs="Times New Roman"/>
          <w:lang w:val="en-GB"/>
        </w:rPr>
        <w:t xml:space="preserve">activities. The </w:t>
      </w:r>
      <w:r w:rsidRPr="00435E2A" w:rsidR="008D56ED">
        <w:rPr>
          <w:rFonts w:ascii="Times New Roman" w:hAnsi="Times New Roman" w:cs="Times New Roman"/>
          <w:lang w:val="en-GB"/>
        </w:rPr>
        <w:t>PG</w:t>
      </w:r>
      <w:r w:rsidRPr="00435E2A" w:rsidR="001C7EC1">
        <w:rPr>
          <w:rFonts w:ascii="Times New Roman" w:hAnsi="Times New Roman" w:cs="Times New Roman"/>
          <w:lang w:val="en-GB"/>
        </w:rPr>
        <w:t xml:space="preserve"> </w:t>
      </w:r>
      <w:r w:rsidRPr="00435E2A" w:rsidR="00276097">
        <w:rPr>
          <w:rFonts w:ascii="Times New Roman" w:hAnsi="Times New Roman" w:cs="Times New Roman"/>
          <w:lang w:val="en-GB"/>
        </w:rPr>
        <w:t>p</w:t>
      </w:r>
      <w:r w:rsidRPr="00435E2A" w:rsidR="002150E8">
        <w:rPr>
          <w:rFonts w:ascii="Times New Roman" w:hAnsi="Times New Roman" w:cs="Times New Roman"/>
          <w:lang w:val="en-GB"/>
        </w:rPr>
        <w:t>resident and</w:t>
      </w:r>
      <w:r w:rsidRPr="00435E2A">
        <w:rPr>
          <w:rFonts w:ascii="Times New Roman" w:hAnsi="Times New Roman" w:cs="Times New Roman"/>
          <w:lang w:val="en-GB"/>
        </w:rPr>
        <w:t xml:space="preserve"> </w:t>
      </w:r>
      <w:r w:rsidRPr="00435E2A" w:rsidR="00276097">
        <w:rPr>
          <w:rFonts w:ascii="Times New Roman" w:hAnsi="Times New Roman" w:cs="Times New Roman"/>
          <w:lang w:val="en-GB"/>
        </w:rPr>
        <w:t>m</w:t>
      </w:r>
      <w:r w:rsidRPr="00435E2A">
        <w:rPr>
          <w:rFonts w:ascii="Times New Roman" w:hAnsi="Times New Roman" w:cs="Times New Roman"/>
          <w:lang w:val="en-GB"/>
        </w:rPr>
        <w:t xml:space="preserve">embers will </w:t>
      </w:r>
      <w:r w:rsidRPr="00435E2A" w:rsidR="00F737CB">
        <w:rPr>
          <w:rFonts w:ascii="Times New Roman" w:hAnsi="Times New Roman" w:cs="Times New Roman"/>
          <w:lang w:val="en-GB"/>
        </w:rPr>
        <w:t>act as</w:t>
      </w:r>
      <w:r w:rsidRPr="00435E2A" w:rsidR="002150E8">
        <w:rPr>
          <w:rFonts w:ascii="Times New Roman" w:hAnsi="Times New Roman" w:cs="Times New Roman"/>
          <w:lang w:val="en-GB"/>
        </w:rPr>
        <w:t xml:space="preserve"> </w:t>
      </w:r>
      <w:r w:rsidRPr="00435E2A">
        <w:rPr>
          <w:rFonts w:ascii="Times New Roman" w:hAnsi="Times New Roman" w:cs="Times New Roman"/>
          <w:lang w:val="en-GB"/>
        </w:rPr>
        <w:t xml:space="preserve">the story-tellers </w:t>
      </w:r>
      <w:r w:rsidRPr="00435E2A" w:rsidR="00F737CB">
        <w:rPr>
          <w:rFonts w:ascii="Times New Roman" w:hAnsi="Times New Roman" w:cs="Times New Roman"/>
          <w:lang w:val="en-GB"/>
        </w:rPr>
        <w:t>conveying</w:t>
      </w:r>
      <w:r w:rsidRPr="00435E2A">
        <w:rPr>
          <w:rFonts w:ascii="Times New Roman" w:hAnsi="Times New Roman" w:cs="Times New Roman"/>
          <w:lang w:val="en-GB"/>
        </w:rPr>
        <w:t xml:space="preserve"> </w:t>
      </w:r>
      <w:r w:rsidR="008062FB">
        <w:rPr>
          <w:rFonts w:ascii="Times New Roman" w:hAnsi="Times New Roman" w:cs="Times New Roman"/>
          <w:lang w:val="en-GB"/>
        </w:rPr>
        <w:t>a</w:t>
      </w:r>
      <w:r w:rsidRPr="00435E2A">
        <w:rPr>
          <w:rFonts w:ascii="Times New Roman" w:hAnsi="Times New Roman" w:cs="Times New Roman"/>
          <w:lang w:val="en-GB"/>
        </w:rPr>
        <w:t xml:space="preserve"> strong narrative on sustainable </w:t>
      </w:r>
      <w:r w:rsidRPr="00435E2A" w:rsidR="002150E8">
        <w:rPr>
          <w:rFonts w:ascii="Times New Roman" w:hAnsi="Times New Roman" w:cs="Times New Roman"/>
          <w:lang w:val="en-GB"/>
        </w:rPr>
        <w:t>food systems</w:t>
      </w:r>
      <w:r w:rsidRPr="00435E2A" w:rsidR="00885E81">
        <w:rPr>
          <w:rFonts w:ascii="Times New Roman" w:hAnsi="Times New Roman" w:cs="Times New Roman"/>
          <w:lang w:val="en-GB"/>
        </w:rPr>
        <w:t xml:space="preserve"> and </w:t>
      </w:r>
      <w:r w:rsidRPr="00435E2A" w:rsidR="00F737CB">
        <w:rPr>
          <w:rFonts w:ascii="Times New Roman" w:hAnsi="Times New Roman" w:cs="Times New Roman"/>
          <w:lang w:val="en-GB"/>
        </w:rPr>
        <w:t xml:space="preserve">will </w:t>
      </w:r>
      <w:r w:rsidRPr="00435E2A" w:rsidR="00885E81">
        <w:rPr>
          <w:rFonts w:ascii="Times New Roman" w:hAnsi="Times New Roman" w:cs="Times New Roman"/>
          <w:lang w:val="en-GB"/>
        </w:rPr>
        <w:t xml:space="preserve">be invited to </w:t>
      </w:r>
      <w:r w:rsidRPr="00435E2A" w:rsidR="00885E81">
        <w:rPr>
          <w:rFonts w:ascii="Times New Roman" w:hAnsi="Times New Roman" w:cs="Times New Roman"/>
          <w:b/>
          <w:lang w:val="en-GB"/>
        </w:rPr>
        <w:t>engage on social media</w:t>
      </w:r>
      <w:r w:rsidRPr="00435E2A" w:rsidR="00885E81">
        <w:rPr>
          <w:rFonts w:ascii="Times New Roman" w:hAnsi="Times New Roman" w:cs="Times New Roman"/>
          <w:lang w:val="en-GB"/>
        </w:rPr>
        <w:t xml:space="preserve"> (</w:t>
      </w:r>
      <w:r w:rsidRPr="00435E2A" w:rsidR="00440C1D">
        <w:rPr>
          <w:rFonts w:ascii="Times New Roman" w:hAnsi="Times New Roman" w:cs="Times New Roman"/>
          <w:lang w:val="en-GB"/>
        </w:rPr>
        <w:t>X</w:t>
      </w:r>
      <w:r w:rsidRPr="00435E2A" w:rsidR="00885E81">
        <w:rPr>
          <w:rFonts w:ascii="Times New Roman" w:hAnsi="Times New Roman" w:cs="Times New Roman"/>
          <w:lang w:val="en-GB"/>
        </w:rPr>
        <w:t xml:space="preserve">, </w:t>
      </w:r>
      <w:r w:rsidRPr="00435E2A" w:rsidR="00440C1D">
        <w:rPr>
          <w:rFonts w:ascii="Times New Roman" w:hAnsi="Times New Roman" w:cs="Times New Roman"/>
          <w:lang w:val="en-GB"/>
        </w:rPr>
        <w:t xml:space="preserve">BlueSky, </w:t>
      </w:r>
      <w:r w:rsidRPr="00435E2A" w:rsidR="00885E81">
        <w:rPr>
          <w:rFonts w:ascii="Times New Roman" w:hAnsi="Times New Roman" w:cs="Times New Roman"/>
          <w:lang w:val="en-GB"/>
        </w:rPr>
        <w:t>Instagram) on relevant occasions</w:t>
      </w:r>
      <w:r w:rsidRPr="00435E2A">
        <w:rPr>
          <w:rFonts w:ascii="Times New Roman" w:hAnsi="Times New Roman" w:cs="Times New Roman"/>
          <w:lang w:val="en-GB"/>
        </w:rPr>
        <w:t xml:space="preserve">. The </w:t>
      </w:r>
      <w:r w:rsidRPr="00435E2A" w:rsidR="008D56ED">
        <w:rPr>
          <w:rFonts w:ascii="Times New Roman" w:hAnsi="Times New Roman" w:cs="Times New Roman"/>
          <w:lang w:val="en-GB"/>
        </w:rPr>
        <w:t>PG</w:t>
      </w:r>
      <w:r w:rsidRPr="00435E2A" w:rsidR="001C7EC1">
        <w:rPr>
          <w:rFonts w:ascii="Times New Roman" w:hAnsi="Times New Roman" w:cs="Times New Roman"/>
          <w:lang w:val="en-GB"/>
        </w:rPr>
        <w:t xml:space="preserve"> </w:t>
      </w:r>
      <w:r w:rsidRPr="00435E2A">
        <w:rPr>
          <w:rFonts w:ascii="Times New Roman" w:hAnsi="Times New Roman" w:cs="Times New Roman"/>
          <w:lang w:val="en-GB"/>
        </w:rPr>
        <w:t xml:space="preserve">will also </w:t>
      </w:r>
      <w:r w:rsidRPr="00435E2A" w:rsidR="00F737CB">
        <w:rPr>
          <w:rFonts w:ascii="Times New Roman" w:hAnsi="Times New Roman" w:cs="Times New Roman"/>
          <w:lang w:val="en-GB"/>
        </w:rPr>
        <w:t>‘</w:t>
      </w:r>
      <w:r w:rsidRPr="00435E2A">
        <w:rPr>
          <w:rFonts w:ascii="Times New Roman" w:hAnsi="Times New Roman" w:cs="Times New Roman"/>
          <w:b/>
          <w:lang w:val="en-GB"/>
        </w:rPr>
        <w:t>walk the talk</w:t>
      </w:r>
      <w:r w:rsidRPr="00860AE8" w:rsidR="00F737CB">
        <w:rPr>
          <w:rFonts w:ascii="Times New Roman" w:hAnsi="Times New Roman" w:cs="Times New Roman"/>
          <w:bCs/>
          <w:lang w:val="en-GB"/>
        </w:rPr>
        <w:t>’</w:t>
      </w:r>
      <w:r w:rsidRPr="00435E2A">
        <w:rPr>
          <w:rFonts w:ascii="Times New Roman" w:hAnsi="Times New Roman" w:cs="Times New Roman"/>
          <w:b/>
          <w:lang w:val="en-GB"/>
        </w:rPr>
        <w:t xml:space="preserve"> </w:t>
      </w:r>
      <w:r w:rsidRPr="00435E2A" w:rsidR="00F737CB">
        <w:rPr>
          <w:rFonts w:ascii="Times New Roman" w:hAnsi="Times New Roman" w:cs="Times New Roman"/>
          <w:bCs/>
          <w:lang w:val="en-GB"/>
        </w:rPr>
        <w:t>when it comes to</w:t>
      </w:r>
      <w:r w:rsidRPr="00435E2A">
        <w:rPr>
          <w:rFonts w:ascii="Times New Roman" w:hAnsi="Times New Roman" w:cs="Times New Roman"/>
          <w:lang w:val="en-GB"/>
        </w:rPr>
        <w:t xml:space="preserve"> sustainable working methods </w:t>
      </w:r>
      <w:r w:rsidRPr="00435E2A" w:rsidR="00F737CB">
        <w:rPr>
          <w:rFonts w:ascii="Times New Roman" w:hAnsi="Times New Roman" w:cs="Times New Roman"/>
          <w:lang w:val="en-GB"/>
        </w:rPr>
        <w:t xml:space="preserve">by pursuing </w:t>
      </w:r>
      <w:r w:rsidRPr="00435E2A">
        <w:rPr>
          <w:rFonts w:ascii="Times New Roman" w:hAnsi="Times New Roman" w:cs="Times New Roman"/>
          <w:lang w:val="en-GB"/>
        </w:rPr>
        <w:t xml:space="preserve">continued cooperation with </w:t>
      </w:r>
      <w:r w:rsidRPr="00435E2A" w:rsidR="00374F2C">
        <w:rPr>
          <w:rFonts w:ascii="Times New Roman" w:hAnsi="Times New Roman" w:cs="Times New Roman"/>
          <w:lang w:val="en-GB"/>
        </w:rPr>
        <w:t xml:space="preserve">the European Commission, the European Committee of the </w:t>
      </w:r>
      <w:r w:rsidRPr="00435E2A" w:rsidR="00F737CB">
        <w:rPr>
          <w:rFonts w:ascii="Times New Roman" w:hAnsi="Times New Roman" w:cs="Times New Roman"/>
          <w:lang w:val="en-GB"/>
        </w:rPr>
        <w:t>R</w:t>
      </w:r>
      <w:r w:rsidRPr="00435E2A" w:rsidR="00374F2C">
        <w:rPr>
          <w:rFonts w:ascii="Times New Roman" w:hAnsi="Times New Roman" w:cs="Times New Roman"/>
          <w:lang w:val="en-GB"/>
        </w:rPr>
        <w:t>egions and civil society organi</w:t>
      </w:r>
      <w:r w:rsidRPr="00435E2A" w:rsidR="00F737CB">
        <w:rPr>
          <w:rFonts w:ascii="Times New Roman" w:hAnsi="Times New Roman" w:cs="Times New Roman"/>
          <w:lang w:val="en-GB"/>
        </w:rPr>
        <w:t>s</w:t>
      </w:r>
      <w:r w:rsidRPr="00435E2A" w:rsidR="00374F2C">
        <w:rPr>
          <w:rFonts w:ascii="Times New Roman" w:hAnsi="Times New Roman" w:cs="Times New Roman"/>
          <w:lang w:val="en-GB"/>
        </w:rPr>
        <w:t>ations fr</w:t>
      </w:r>
      <w:r w:rsidRPr="00435E2A" w:rsidR="00F737CB">
        <w:rPr>
          <w:rFonts w:ascii="Times New Roman" w:hAnsi="Times New Roman" w:cs="Times New Roman"/>
          <w:lang w:val="en-GB"/>
        </w:rPr>
        <w:t>o</w:t>
      </w:r>
      <w:r w:rsidRPr="00435E2A" w:rsidR="00374F2C">
        <w:rPr>
          <w:rFonts w:ascii="Times New Roman" w:hAnsi="Times New Roman" w:cs="Times New Roman"/>
          <w:lang w:val="en-GB"/>
        </w:rPr>
        <w:t xml:space="preserve">m </w:t>
      </w:r>
      <w:r w:rsidRPr="00435E2A" w:rsidR="00F737CB">
        <w:rPr>
          <w:rFonts w:ascii="Times New Roman" w:hAnsi="Times New Roman" w:cs="Times New Roman"/>
          <w:lang w:val="en-GB"/>
        </w:rPr>
        <w:t xml:space="preserve">across </w:t>
      </w:r>
      <w:r w:rsidRPr="00435E2A" w:rsidR="00374F2C">
        <w:rPr>
          <w:rFonts w:ascii="Times New Roman" w:hAnsi="Times New Roman" w:cs="Times New Roman"/>
          <w:lang w:val="en-GB"/>
        </w:rPr>
        <w:t xml:space="preserve">the whole agri-food chain, </w:t>
      </w:r>
      <w:r w:rsidRPr="00435E2A">
        <w:rPr>
          <w:rFonts w:ascii="Times New Roman" w:hAnsi="Times New Roman" w:cs="Times New Roman"/>
          <w:lang w:val="en-GB"/>
        </w:rPr>
        <w:t xml:space="preserve">making </w:t>
      </w:r>
      <w:r w:rsidRPr="00435E2A" w:rsidR="00374F2C">
        <w:rPr>
          <w:rFonts w:ascii="Times New Roman" w:hAnsi="Times New Roman" w:cs="Times New Roman"/>
          <w:lang w:val="en-GB"/>
        </w:rPr>
        <w:t xml:space="preserve">sure its </w:t>
      </w:r>
      <w:r w:rsidRPr="00435E2A">
        <w:rPr>
          <w:rFonts w:ascii="Times New Roman" w:hAnsi="Times New Roman" w:cs="Times New Roman"/>
          <w:lang w:val="en-GB"/>
        </w:rPr>
        <w:t xml:space="preserve">events </w:t>
      </w:r>
      <w:r w:rsidRPr="00435E2A" w:rsidR="00374F2C">
        <w:rPr>
          <w:rFonts w:ascii="Times New Roman" w:hAnsi="Times New Roman" w:cs="Times New Roman"/>
          <w:lang w:val="en-GB"/>
        </w:rPr>
        <w:t>are</w:t>
      </w:r>
      <w:r w:rsidRPr="00435E2A">
        <w:rPr>
          <w:rFonts w:ascii="Times New Roman" w:hAnsi="Times New Roman" w:cs="Times New Roman"/>
          <w:lang w:val="en-GB"/>
        </w:rPr>
        <w:t xml:space="preserve"> inclusive</w:t>
      </w:r>
      <w:r w:rsidRPr="00435E2A" w:rsidR="00F737CB">
        <w:rPr>
          <w:rFonts w:ascii="Times New Roman" w:hAnsi="Times New Roman" w:cs="Times New Roman"/>
          <w:lang w:val="en-GB"/>
        </w:rPr>
        <w:t xml:space="preserve">, for example in terms of </w:t>
      </w:r>
      <w:r w:rsidRPr="00435E2A">
        <w:rPr>
          <w:rFonts w:ascii="Times New Roman" w:hAnsi="Times New Roman" w:cs="Times New Roman"/>
          <w:lang w:val="en-GB"/>
        </w:rPr>
        <w:t>gender balance</w:t>
      </w:r>
      <w:r w:rsidRPr="00435E2A" w:rsidR="00F737CB">
        <w:rPr>
          <w:rFonts w:ascii="Times New Roman" w:hAnsi="Times New Roman" w:cs="Times New Roman"/>
          <w:lang w:val="en-GB"/>
        </w:rPr>
        <w:t xml:space="preserve"> and</w:t>
      </w:r>
      <w:r w:rsidRPr="00435E2A">
        <w:rPr>
          <w:rFonts w:ascii="Times New Roman" w:hAnsi="Times New Roman" w:cs="Times New Roman"/>
          <w:lang w:val="en-GB"/>
        </w:rPr>
        <w:t xml:space="preserve"> youth participation</w:t>
      </w:r>
      <w:r w:rsidRPr="00435E2A" w:rsidR="00F737CB">
        <w:rPr>
          <w:rFonts w:ascii="Times New Roman" w:hAnsi="Times New Roman" w:cs="Times New Roman"/>
          <w:lang w:val="en-GB"/>
        </w:rPr>
        <w:t xml:space="preserve"> and</w:t>
      </w:r>
      <w:r w:rsidR="008062FB">
        <w:rPr>
          <w:rFonts w:ascii="Times New Roman" w:hAnsi="Times New Roman" w:cs="Times New Roman"/>
          <w:lang w:val="en-GB"/>
        </w:rPr>
        <w:t xml:space="preserve"> </w:t>
      </w:r>
      <w:r w:rsidRPr="00435E2A" w:rsidR="00F737CB">
        <w:rPr>
          <w:rFonts w:ascii="Times New Roman" w:hAnsi="Times New Roman" w:cs="Times New Roman"/>
          <w:lang w:val="en-GB"/>
        </w:rPr>
        <w:t>by</w:t>
      </w:r>
      <w:r w:rsidRPr="00435E2A">
        <w:rPr>
          <w:rFonts w:ascii="Times New Roman" w:hAnsi="Times New Roman" w:cs="Times New Roman"/>
          <w:lang w:val="en-GB"/>
        </w:rPr>
        <w:t xml:space="preserve"> go</w:t>
      </w:r>
      <w:r w:rsidRPr="00435E2A" w:rsidR="001D2D5B">
        <w:rPr>
          <w:rFonts w:ascii="Times New Roman" w:hAnsi="Times New Roman" w:cs="Times New Roman"/>
          <w:lang w:val="en-GB"/>
        </w:rPr>
        <w:t>ing</w:t>
      </w:r>
      <w:r w:rsidRPr="00435E2A">
        <w:rPr>
          <w:rFonts w:ascii="Times New Roman" w:hAnsi="Times New Roman" w:cs="Times New Roman"/>
          <w:lang w:val="en-GB"/>
        </w:rPr>
        <w:t xml:space="preserve"> beyond the Brussels </w:t>
      </w:r>
      <w:r w:rsidRPr="00435E2A" w:rsidR="00F737CB">
        <w:rPr>
          <w:rFonts w:ascii="Times New Roman" w:hAnsi="Times New Roman" w:cs="Times New Roman"/>
          <w:lang w:val="en-GB"/>
        </w:rPr>
        <w:t>‘</w:t>
      </w:r>
      <w:r w:rsidRPr="00435E2A">
        <w:rPr>
          <w:rFonts w:ascii="Times New Roman" w:hAnsi="Times New Roman" w:cs="Times New Roman"/>
          <w:lang w:val="en-GB"/>
        </w:rPr>
        <w:t>bubble</w:t>
      </w:r>
      <w:r w:rsidRPr="00435E2A" w:rsidR="00F737CB">
        <w:rPr>
          <w:rFonts w:ascii="Times New Roman" w:hAnsi="Times New Roman" w:cs="Times New Roman"/>
          <w:lang w:val="en-GB"/>
        </w:rPr>
        <w:t>’</w:t>
      </w:r>
      <w:r w:rsidRPr="00435E2A">
        <w:rPr>
          <w:rFonts w:ascii="Times New Roman" w:hAnsi="Times New Roman" w:cs="Times New Roman"/>
          <w:lang w:val="en-GB"/>
        </w:rPr>
        <w:t xml:space="preserve">). </w:t>
      </w:r>
    </w:p>
    <w:p w:rsidRPr="00435E2A" w:rsidR="00F5422D" w:rsidP="006E65D5" w:rsidRDefault="00F5422D" w14:paraId="5B6C242E" w14:textId="77777777">
      <w:pPr>
        <w:spacing w:after="0" w:line="288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Pr="00435E2A" w:rsidR="00951B89" w:rsidP="006E65D5" w:rsidRDefault="005312E3" w14:paraId="5EB4D519" w14:textId="3C2630D1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  <w:r w:rsidRPr="00435E2A">
        <w:rPr>
          <w:rFonts w:ascii="Times New Roman" w:hAnsi="Times New Roman" w:cs="Times New Roman"/>
          <w:lang w:val="en-GB"/>
        </w:rPr>
        <w:t xml:space="preserve">Food sustainability is connected to several other issues the </w:t>
      </w:r>
      <w:r w:rsidRPr="00435E2A" w:rsidR="00270023">
        <w:rPr>
          <w:rFonts w:ascii="Times New Roman" w:hAnsi="Times New Roman" w:cs="Times New Roman"/>
          <w:lang w:val="en-GB"/>
        </w:rPr>
        <w:t xml:space="preserve">NAT and other EESC </w:t>
      </w:r>
      <w:r w:rsidRPr="00435E2A" w:rsidR="001D2D5B">
        <w:rPr>
          <w:rFonts w:ascii="Times New Roman" w:hAnsi="Times New Roman" w:cs="Times New Roman"/>
          <w:lang w:val="en-GB"/>
        </w:rPr>
        <w:t>s</w:t>
      </w:r>
      <w:r w:rsidRPr="00435E2A" w:rsidR="00270023">
        <w:rPr>
          <w:rFonts w:ascii="Times New Roman" w:hAnsi="Times New Roman" w:cs="Times New Roman"/>
          <w:lang w:val="en-GB"/>
        </w:rPr>
        <w:t>ections/CCMI</w:t>
      </w:r>
      <w:r w:rsidRPr="00435E2A">
        <w:rPr>
          <w:rFonts w:ascii="Times New Roman" w:hAnsi="Times New Roman" w:cs="Times New Roman"/>
          <w:lang w:val="en-GB"/>
        </w:rPr>
        <w:t xml:space="preserve"> </w:t>
      </w:r>
      <w:r w:rsidRPr="00435E2A" w:rsidR="00270023">
        <w:rPr>
          <w:rFonts w:ascii="Times New Roman" w:hAnsi="Times New Roman" w:cs="Times New Roman"/>
          <w:lang w:val="en-GB"/>
        </w:rPr>
        <w:t>are</w:t>
      </w:r>
      <w:r w:rsidRPr="00435E2A">
        <w:rPr>
          <w:rFonts w:ascii="Times New Roman" w:hAnsi="Times New Roman" w:cs="Times New Roman"/>
          <w:lang w:val="en-GB"/>
        </w:rPr>
        <w:t xml:space="preserve"> working on</w:t>
      </w:r>
      <w:r w:rsidRPr="00435E2A" w:rsidR="004E6386">
        <w:rPr>
          <w:rFonts w:ascii="Times New Roman" w:hAnsi="Times New Roman" w:cs="Times New Roman"/>
          <w:lang w:val="en-GB"/>
        </w:rPr>
        <w:t>.</w:t>
      </w:r>
      <w:r w:rsidRPr="00435E2A">
        <w:rPr>
          <w:rFonts w:ascii="Times New Roman" w:hAnsi="Times New Roman" w:cs="Times New Roman"/>
          <w:lang w:val="en-GB"/>
        </w:rPr>
        <w:t xml:space="preserve"> </w:t>
      </w:r>
      <w:r w:rsidRPr="00435E2A" w:rsidR="004E6386">
        <w:rPr>
          <w:rFonts w:ascii="Times New Roman" w:hAnsi="Times New Roman" w:cs="Times New Roman"/>
          <w:lang w:val="en-GB"/>
        </w:rPr>
        <w:t>R</w:t>
      </w:r>
      <w:r w:rsidRPr="00435E2A" w:rsidR="00221FA0">
        <w:rPr>
          <w:rFonts w:ascii="Times New Roman" w:hAnsi="Times New Roman" w:cs="Times New Roman"/>
          <w:lang w:val="en-GB"/>
        </w:rPr>
        <w:t>egular exchanges with other sections</w:t>
      </w:r>
      <w:r w:rsidRPr="00435E2A" w:rsidR="00A57E1A">
        <w:rPr>
          <w:rFonts w:ascii="Times New Roman" w:hAnsi="Times New Roman" w:cs="Times New Roman"/>
          <w:lang w:val="en-GB"/>
        </w:rPr>
        <w:t xml:space="preserve">, bodies and groups </w:t>
      </w:r>
      <w:r w:rsidRPr="00435E2A" w:rsidR="00221FA0">
        <w:rPr>
          <w:rFonts w:ascii="Times New Roman" w:hAnsi="Times New Roman" w:cs="Times New Roman"/>
          <w:lang w:val="en-GB"/>
        </w:rPr>
        <w:t xml:space="preserve">could </w:t>
      </w:r>
      <w:r w:rsidRPr="00435E2A" w:rsidR="004E6386">
        <w:rPr>
          <w:rFonts w:ascii="Times New Roman" w:hAnsi="Times New Roman" w:cs="Times New Roman"/>
          <w:lang w:val="en-GB"/>
        </w:rPr>
        <w:t xml:space="preserve">therefore </w:t>
      </w:r>
      <w:r w:rsidRPr="00435E2A" w:rsidR="00221FA0">
        <w:rPr>
          <w:rFonts w:ascii="Times New Roman" w:hAnsi="Times New Roman" w:cs="Times New Roman"/>
          <w:lang w:val="en-GB"/>
        </w:rPr>
        <w:t>be developed.</w:t>
      </w:r>
    </w:p>
    <w:p w:rsidRPr="00435E2A" w:rsidR="00F5422D" w:rsidP="007F0E48" w:rsidRDefault="00F5422D" w14:paraId="56B8BA0B" w14:textId="7ADF7D22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lang w:val="en-GB"/>
        </w:rPr>
      </w:pPr>
      <w:r w:rsidRPr="00435E2A">
        <w:rPr>
          <w:lang w:val="en-GB"/>
        </w:rPr>
        <w:t>_____________</w:t>
      </w:r>
    </w:p>
    <w:sectPr w:rsidRPr="00435E2A" w:rsidR="00F5422D" w:rsidSect="00CC69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09" w:rsidP="00534D87" w:rsidRDefault="00604F09" w14:paraId="1DD7E5BC" w14:textId="77777777">
      <w:pPr>
        <w:spacing w:after="0" w:line="240" w:lineRule="auto"/>
      </w:pPr>
      <w:r>
        <w:separator/>
      </w:r>
    </w:p>
  </w:endnote>
  <w:endnote w:type="continuationSeparator" w:id="0">
    <w:p w:rsidR="00604F09" w:rsidP="00534D87" w:rsidRDefault="00604F09" w14:paraId="384C86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545" w:rsidRDefault="00732545" w14:paraId="78E6D8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B7B7F" w:rsidR="0085234D" w:rsidP="008B7B7F" w:rsidRDefault="008B7B7F" w14:paraId="3590C88C" w14:textId="65ABC45C">
    <w:pPr>
      <w:pStyle w:val="Footer"/>
    </w:pPr>
    <w:r>
      <w:t>EESC-202</w:t>
    </w:r>
    <w:r w:rsidR="002113BE">
      <w:t>6</w:t>
    </w:r>
    <w:r>
      <w:t>-</w:t>
    </w:r>
    <w:r w:rsidR="00823062">
      <w:t>00459</w:t>
    </w:r>
    <w:r>
      <w:t>-00-0</w:t>
    </w:r>
    <w:r w:rsidR="006A78C9">
      <w:t>0</w:t>
    </w:r>
    <w:r>
      <w:t>-TCD-</w:t>
    </w:r>
    <w:r w:rsidR="00987A78">
      <w:t>TRA</w:t>
    </w:r>
    <w:r>
      <w:t xml:space="preserve">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E4C95">
      <w:rPr>
        <w:noProof/>
      </w:rPr>
      <w:t>1</w:t>
    </w:r>
    <w:r>
      <w:fldChar w:fldCharType="end"/>
    </w:r>
    <w:r>
      <w:t>/</w:t>
    </w:r>
    <w:r w:rsidR="00FD62E5">
      <w:fldChar w:fldCharType="begin"/>
    </w:r>
    <w:r w:rsidR="00FD62E5">
      <w:instrText xml:space="preserve"> NUMPAGES </w:instrText>
    </w:r>
    <w:r w:rsidR="00FD62E5">
      <w:fldChar w:fldCharType="separate"/>
    </w:r>
    <w:r w:rsidR="005E4C95">
      <w:rPr>
        <w:noProof/>
      </w:rPr>
      <w:t>1</w:t>
    </w:r>
    <w:r w:rsidR="00FD62E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545" w:rsidRDefault="00732545" w14:paraId="0D5158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09" w:rsidP="00534D87" w:rsidRDefault="00604F09" w14:paraId="420A7CEE" w14:textId="77777777">
      <w:pPr>
        <w:spacing w:after="0" w:line="240" w:lineRule="auto"/>
      </w:pPr>
      <w:r>
        <w:separator/>
      </w:r>
    </w:p>
  </w:footnote>
  <w:footnote w:type="continuationSeparator" w:id="0">
    <w:p w:rsidR="00604F09" w:rsidP="00534D87" w:rsidRDefault="00604F09" w14:paraId="4C03610A" w14:textId="77777777">
      <w:pPr>
        <w:spacing w:after="0" w:line="240" w:lineRule="auto"/>
      </w:pPr>
      <w:r>
        <w:continuationSeparator/>
      </w:r>
    </w:p>
  </w:footnote>
  <w:footnote w:id="1">
    <w:p w:rsidRPr="004B4514" w:rsidR="00F1597C" w:rsidP="0059192B" w:rsidRDefault="00F1597C" w14:paraId="408DA3FA" w14:textId="4C7E9CE3">
      <w:pPr>
        <w:pStyle w:val="FootnoteText"/>
        <w:ind w:left="567" w:hanging="567"/>
        <w:rPr>
          <w:lang w:val="en-GB"/>
        </w:rPr>
      </w:pPr>
      <w:r w:rsidRPr="0059192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9192B">
        <w:rPr>
          <w:rFonts w:ascii="Times New Roman" w:hAnsi="Times New Roman" w:cs="Times New Roman"/>
          <w:sz w:val="24"/>
          <w:szCs w:val="24"/>
        </w:rPr>
        <w:t xml:space="preserve"> </w:t>
      </w:r>
      <w:r w:rsidR="00163F00">
        <w:tab/>
      </w:r>
      <w:r w:rsidRPr="0059192B">
        <w:rPr>
          <w:rFonts w:ascii="Times New Roman" w:hAnsi="Times New Roman" w:cs="Times New Roman"/>
          <w:sz w:val="16"/>
          <w:szCs w:val="16"/>
        </w:rPr>
        <w:t>EESC opinion</w:t>
      </w:r>
      <w:r w:rsidRPr="0059192B" w:rsidR="00F737CB">
        <w:rPr>
          <w:rFonts w:ascii="Times New Roman" w:hAnsi="Times New Roman" w:cs="Times New Roman"/>
          <w:sz w:val="16"/>
          <w:szCs w:val="16"/>
        </w:rPr>
        <w:t xml:space="preserve"> </w:t>
      </w:r>
      <w:hyperlink w:history="1" r:id="rId1">
        <w:r w:rsidRPr="0059192B">
          <w:rPr>
            <w:rStyle w:val="Hyperlink"/>
            <w:rFonts w:ascii="Times New Roman" w:hAnsi="Times New Roman" w:cs="Times New Roman"/>
            <w:sz w:val="16"/>
            <w:szCs w:val="16"/>
          </w:rPr>
          <w:t>Towards a European Food Policy Council as a new governance model in the future EU Framework on Sustainable Food Systems</w:t>
        </w:r>
      </w:hyperlink>
      <w:r w:rsidRPr="0059192B" w:rsidR="00F737CB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545" w:rsidRDefault="00732545" w14:paraId="785992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545" w:rsidRDefault="00732545" w14:paraId="779DBC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545" w:rsidRDefault="00732545" w14:paraId="69AB6B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1C9B3D"/>
    <w:multiLevelType w:val="hybridMultilevel"/>
    <w:tmpl w:val="9EE9D0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E974DC"/>
    <w:multiLevelType w:val="hybridMultilevel"/>
    <w:tmpl w:val="AAB4D6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A78E6F"/>
    <w:multiLevelType w:val="hybridMultilevel"/>
    <w:tmpl w:val="E764BB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319C0B"/>
    <w:multiLevelType w:val="hybridMultilevel"/>
    <w:tmpl w:val="691D85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3B8E8F"/>
    <w:multiLevelType w:val="hybridMultilevel"/>
    <w:tmpl w:val="7FEEB0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E39BAD"/>
    <w:multiLevelType w:val="hybridMultilevel"/>
    <w:tmpl w:val="2BEEBF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90F1D"/>
    <w:multiLevelType w:val="hybridMultilevel"/>
    <w:tmpl w:val="8D50D7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9E334C"/>
    <w:multiLevelType w:val="hybridMultilevel"/>
    <w:tmpl w:val="D97057D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F2744"/>
    <w:multiLevelType w:val="hybridMultilevel"/>
    <w:tmpl w:val="0E8C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0CFB"/>
    <w:multiLevelType w:val="hybridMultilevel"/>
    <w:tmpl w:val="C5D650B8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2D029FAF"/>
    <w:multiLevelType w:val="hybridMultilevel"/>
    <w:tmpl w:val="1F6951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1A7719"/>
    <w:multiLevelType w:val="hybridMultilevel"/>
    <w:tmpl w:val="BD947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A6BDD"/>
    <w:multiLevelType w:val="hybridMultilevel"/>
    <w:tmpl w:val="808C14E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82CD1"/>
    <w:multiLevelType w:val="hybridMultilevel"/>
    <w:tmpl w:val="2E32BC9E"/>
    <w:lvl w:ilvl="0" w:tplc="0809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4" w15:restartNumberingAfterBreak="0">
    <w:nsid w:val="3B267258"/>
    <w:multiLevelType w:val="hybridMultilevel"/>
    <w:tmpl w:val="B9845E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DB6E18"/>
    <w:multiLevelType w:val="hybridMultilevel"/>
    <w:tmpl w:val="C7A0BB3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BC04C33"/>
    <w:multiLevelType w:val="hybridMultilevel"/>
    <w:tmpl w:val="4F8295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93D3D"/>
    <w:multiLevelType w:val="hybridMultilevel"/>
    <w:tmpl w:val="1E7A7AA4"/>
    <w:lvl w:ilvl="0" w:tplc="080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8" w15:restartNumberingAfterBreak="0">
    <w:nsid w:val="5FFF0AFB"/>
    <w:multiLevelType w:val="hybridMultilevel"/>
    <w:tmpl w:val="F27E7D4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B83FF3"/>
    <w:multiLevelType w:val="hybridMultilevel"/>
    <w:tmpl w:val="731A4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5B00AD"/>
    <w:multiLevelType w:val="hybridMultilevel"/>
    <w:tmpl w:val="AA7838D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C9E4B73"/>
    <w:multiLevelType w:val="hybridMultilevel"/>
    <w:tmpl w:val="45436A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A153A8"/>
    <w:multiLevelType w:val="hybridMultilevel"/>
    <w:tmpl w:val="A28D0F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A851CAE"/>
    <w:multiLevelType w:val="hybridMultilevel"/>
    <w:tmpl w:val="D1FAE1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17764D"/>
    <w:multiLevelType w:val="hybridMultilevel"/>
    <w:tmpl w:val="653AE3F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8"/>
  </w:num>
  <w:num w:numId="4">
    <w:abstractNumId w:val="12"/>
  </w:num>
  <w:num w:numId="5">
    <w:abstractNumId w:val="7"/>
  </w:num>
  <w:num w:numId="6">
    <w:abstractNumId w:val="18"/>
  </w:num>
  <w:num w:numId="7">
    <w:abstractNumId w:val="24"/>
  </w:num>
  <w:num w:numId="8">
    <w:abstractNumId w:val="6"/>
  </w:num>
  <w:num w:numId="9">
    <w:abstractNumId w:val="12"/>
  </w:num>
  <w:num w:numId="10">
    <w:abstractNumId w:val="18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9"/>
  </w:num>
  <w:num w:numId="16">
    <w:abstractNumId w:val="1"/>
  </w:num>
  <w:num w:numId="17">
    <w:abstractNumId w:val="10"/>
  </w:num>
  <w:num w:numId="18">
    <w:abstractNumId w:val="3"/>
  </w:num>
  <w:num w:numId="19">
    <w:abstractNumId w:val="14"/>
  </w:num>
  <w:num w:numId="20">
    <w:abstractNumId w:val="16"/>
  </w:num>
  <w:num w:numId="21">
    <w:abstractNumId w:val="5"/>
  </w:num>
  <w:num w:numId="22">
    <w:abstractNumId w:val="4"/>
  </w:num>
  <w:num w:numId="23">
    <w:abstractNumId w:val="0"/>
  </w:num>
  <w:num w:numId="24">
    <w:abstractNumId w:val="2"/>
  </w:num>
  <w:num w:numId="25">
    <w:abstractNumId w:val="22"/>
  </w:num>
  <w:num w:numId="26">
    <w:abstractNumId w:val="21"/>
  </w:num>
  <w:num w:numId="27">
    <w:abstractNumId w:val="9"/>
  </w:num>
  <w:num w:numId="28">
    <w:abstractNumId w:val="13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6D"/>
    <w:rsid w:val="00010C1C"/>
    <w:rsid w:val="00013D60"/>
    <w:rsid w:val="00016A19"/>
    <w:rsid w:val="00017DFD"/>
    <w:rsid w:val="00023C1F"/>
    <w:rsid w:val="000252D2"/>
    <w:rsid w:val="0003203D"/>
    <w:rsid w:val="00034B7E"/>
    <w:rsid w:val="0004301F"/>
    <w:rsid w:val="0005101F"/>
    <w:rsid w:val="00054376"/>
    <w:rsid w:val="000574BC"/>
    <w:rsid w:val="00060565"/>
    <w:rsid w:val="000725E7"/>
    <w:rsid w:val="00072A84"/>
    <w:rsid w:val="00081FE2"/>
    <w:rsid w:val="0008251E"/>
    <w:rsid w:val="00083B85"/>
    <w:rsid w:val="00083FD7"/>
    <w:rsid w:val="00085668"/>
    <w:rsid w:val="000943CA"/>
    <w:rsid w:val="000964FD"/>
    <w:rsid w:val="000B5059"/>
    <w:rsid w:val="000D7764"/>
    <w:rsid w:val="000E5751"/>
    <w:rsid w:val="000F3293"/>
    <w:rsid w:val="000F59D1"/>
    <w:rsid w:val="00101004"/>
    <w:rsid w:val="001014D3"/>
    <w:rsid w:val="00104FDB"/>
    <w:rsid w:val="00126654"/>
    <w:rsid w:val="00126D15"/>
    <w:rsid w:val="00127A57"/>
    <w:rsid w:val="00132957"/>
    <w:rsid w:val="00150F00"/>
    <w:rsid w:val="0015351B"/>
    <w:rsid w:val="00163F00"/>
    <w:rsid w:val="00165F9E"/>
    <w:rsid w:val="00173037"/>
    <w:rsid w:val="00183568"/>
    <w:rsid w:val="001B48C3"/>
    <w:rsid w:val="001B7B77"/>
    <w:rsid w:val="001C3697"/>
    <w:rsid w:val="001C7255"/>
    <w:rsid w:val="001C7EC1"/>
    <w:rsid w:val="001D2D5B"/>
    <w:rsid w:val="001D5361"/>
    <w:rsid w:val="001F1F2C"/>
    <w:rsid w:val="002005A9"/>
    <w:rsid w:val="00203D2F"/>
    <w:rsid w:val="002065C7"/>
    <w:rsid w:val="00207CA9"/>
    <w:rsid w:val="00210280"/>
    <w:rsid w:val="002113BE"/>
    <w:rsid w:val="002124B0"/>
    <w:rsid w:val="002150E8"/>
    <w:rsid w:val="00215C44"/>
    <w:rsid w:val="00221FA0"/>
    <w:rsid w:val="00226044"/>
    <w:rsid w:val="00227F61"/>
    <w:rsid w:val="00230289"/>
    <w:rsid w:val="00240345"/>
    <w:rsid w:val="002408D5"/>
    <w:rsid w:val="002415FB"/>
    <w:rsid w:val="00250853"/>
    <w:rsid w:val="00270023"/>
    <w:rsid w:val="0027329D"/>
    <w:rsid w:val="00275C6E"/>
    <w:rsid w:val="00276097"/>
    <w:rsid w:val="00281960"/>
    <w:rsid w:val="00283AE9"/>
    <w:rsid w:val="00290FAB"/>
    <w:rsid w:val="00295CFF"/>
    <w:rsid w:val="00297FFA"/>
    <w:rsid w:val="002A1AC5"/>
    <w:rsid w:val="002A22CD"/>
    <w:rsid w:val="002D3337"/>
    <w:rsid w:val="002D57CE"/>
    <w:rsid w:val="002D5EE3"/>
    <w:rsid w:val="002E1EB2"/>
    <w:rsid w:val="002E2D73"/>
    <w:rsid w:val="002E3AD4"/>
    <w:rsid w:val="002F26EA"/>
    <w:rsid w:val="00301601"/>
    <w:rsid w:val="00316F98"/>
    <w:rsid w:val="0032383C"/>
    <w:rsid w:val="0032446E"/>
    <w:rsid w:val="00325296"/>
    <w:rsid w:val="00326F1C"/>
    <w:rsid w:val="00327938"/>
    <w:rsid w:val="003321F3"/>
    <w:rsid w:val="00333FD0"/>
    <w:rsid w:val="00334BA5"/>
    <w:rsid w:val="00336AAD"/>
    <w:rsid w:val="00342D28"/>
    <w:rsid w:val="00342F14"/>
    <w:rsid w:val="00347D87"/>
    <w:rsid w:val="00373A0C"/>
    <w:rsid w:val="00374F2C"/>
    <w:rsid w:val="003804F0"/>
    <w:rsid w:val="00384788"/>
    <w:rsid w:val="003879DC"/>
    <w:rsid w:val="00387DB2"/>
    <w:rsid w:val="00393C98"/>
    <w:rsid w:val="003A00B1"/>
    <w:rsid w:val="003A1632"/>
    <w:rsid w:val="003A301E"/>
    <w:rsid w:val="003B23D4"/>
    <w:rsid w:val="003B2554"/>
    <w:rsid w:val="003C6F52"/>
    <w:rsid w:val="003E7CDE"/>
    <w:rsid w:val="003F5C2F"/>
    <w:rsid w:val="004033D1"/>
    <w:rsid w:val="00405262"/>
    <w:rsid w:val="00411199"/>
    <w:rsid w:val="004158D7"/>
    <w:rsid w:val="00435E2A"/>
    <w:rsid w:val="00440C1D"/>
    <w:rsid w:val="004436A0"/>
    <w:rsid w:val="00451891"/>
    <w:rsid w:val="004521BA"/>
    <w:rsid w:val="00463179"/>
    <w:rsid w:val="00472954"/>
    <w:rsid w:val="00474652"/>
    <w:rsid w:val="00476D5C"/>
    <w:rsid w:val="0047734C"/>
    <w:rsid w:val="00495C8E"/>
    <w:rsid w:val="004A0C1C"/>
    <w:rsid w:val="004A10B4"/>
    <w:rsid w:val="004B4514"/>
    <w:rsid w:val="004C300F"/>
    <w:rsid w:val="004C5E86"/>
    <w:rsid w:val="004C67D0"/>
    <w:rsid w:val="004D7BDA"/>
    <w:rsid w:val="004E2A69"/>
    <w:rsid w:val="004E6386"/>
    <w:rsid w:val="004F6AEC"/>
    <w:rsid w:val="00507C4A"/>
    <w:rsid w:val="005148DB"/>
    <w:rsid w:val="00521764"/>
    <w:rsid w:val="00521B1F"/>
    <w:rsid w:val="00530870"/>
    <w:rsid w:val="00531023"/>
    <w:rsid w:val="005312E3"/>
    <w:rsid w:val="005345B6"/>
    <w:rsid w:val="00534D87"/>
    <w:rsid w:val="00536936"/>
    <w:rsid w:val="0054246A"/>
    <w:rsid w:val="00545F80"/>
    <w:rsid w:val="005521D3"/>
    <w:rsid w:val="0055343D"/>
    <w:rsid w:val="005602DD"/>
    <w:rsid w:val="005824BA"/>
    <w:rsid w:val="00582ABD"/>
    <w:rsid w:val="0059192B"/>
    <w:rsid w:val="005A2AC6"/>
    <w:rsid w:val="005A6BD4"/>
    <w:rsid w:val="005B4D53"/>
    <w:rsid w:val="005B6B2F"/>
    <w:rsid w:val="005D1591"/>
    <w:rsid w:val="005D64AC"/>
    <w:rsid w:val="005E4341"/>
    <w:rsid w:val="005E4C95"/>
    <w:rsid w:val="005F2698"/>
    <w:rsid w:val="005F3A6F"/>
    <w:rsid w:val="005F4557"/>
    <w:rsid w:val="00602D6D"/>
    <w:rsid w:val="00604F09"/>
    <w:rsid w:val="00606C73"/>
    <w:rsid w:val="00614988"/>
    <w:rsid w:val="00635D70"/>
    <w:rsid w:val="00646938"/>
    <w:rsid w:val="00650386"/>
    <w:rsid w:val="00655F68"/>
    <w:rsid w:val="00657B2F"/>
    <w:rsid w:val="0066049C"/>
    <w:rsid w:val="00675B5D"/>
    <w:rsid w:val="006A78C9"/>
    <w:rsid w:val="006B2E58"/>
    <w:rsid w:val="006B6DF5"/>
    <w:rsid w:val="006C43C3"/>
    <w:rsid w:val="006C6279"/>
    <w:rsid w:val="006D6AD0"/>
    <w:rsid w:val="006E3D86"/>
    <w:rsid w:val="006E4F68"/>
    <w:rsid w:val="006E55B4"/>
    <w:rsid w:val="006E65D5"/>
    <w:rsid w:val="006E6796"/>
    <w:rsid w:val="0070763D"/>
    <w:rsid w:val="00712300"/>
    <w:rsid w:val="00726067"/>
    <w:rsid w:val="007274ED"/>
    <w:rsid w:val="00730CFA"/>
    <w:rsid w:val="00732545"/>
    <w:rsid w:val="00746FC8"/>
    <w:rsid w:val="007504AB"/>
    <w:rsid w:val="007561F8"/>
    <w:rsid w:val="00757858"/>
    <w:rsid w:val="0076156A"/>
    <w:rsid w:val="00790A5D"/>
    <w:rsid w:val="007A272A"/>
    <w:rsid w:val="007A513D"/>
    <w:rsid w:val="007B0F66"/>
    <w:rsid w:val="007C5A1C"/>
    <w:rsid w:val="007C74CF"/>
    <w:rsid w:val="007D0689"/>
    <w:rsid w:val="007D09A2"/>
    <w:rsid w:val="007D1B6E"/>
    <w:rsid w:val="007D7711"/>
    <w:rsid w:val="007F0E48"/>
    <w:rsid w:val="007F5D59"/>
    <w:rsid w:val="00804314"/>
    <w:rsid w:val="008062FB"/>
    <w:rsid w:val="00813C5D"/>
    <w:rsid w:val="0082006D"/>
    <w:rsid w:val="00823062"/>
    <w:rsid w:val="00823EC1"/>
    <w:rsid w:val="008253F9"/>
    <w:rsid w:val="0084065A"/>
    <w:rsid w:val="00844999"/>
    <w:rsid w:val="0084501D"/>
    <w:rsid w:val="0085234D"/>
    <w:rsid w:val="0085792B"/>
    <w:rsid w:val="00860AE8"/>
    <w:rsid w:val="0086514B"/>
    <w:rsid w:val="008746D2"/>
    <w:rsid w:val="0087722E"/>
    <w:rsid w:val="00885E81"/>
    <w:rsid w:val="008908CB"/>
    <w:rsid w:val="008B7B7F"/>
    <w:rsid w:val="008D56ED"/>
    <w:rsid w:val="008D603B"/>
    <w:rsid w:val="008E2106"/>
    <w:rsid w:val="008E2217"/>
    <w:rsid w:val="008E5A21"/>
    <w:rsid w:val="008E730D"/>
    <w:rsid w:val="00902482"/>
    <w:rsid w:val="00910DC2"/>
    <w:rsid w:val="009219A7"/>
    <w:rsid w:val="00927025"/>
    <w:rsid w:val="00935170"/>
    <w:rsid w:val="00937C72"/>
    <w:rsid w:val="009404A5"/>
    <w:rsid w:val="00945060"/>
    <w:rsid w:val="00951B89"/>
    <w:rsid w:val="00952CA0"/>
    <w:rsid w:val="00952F11"/>
    <w:rsid w:val="00954BBC"/>
    <w:rsid w:val="0096654D"/>
    <w:rsid w:val="009757BF"/>
    <w:rsid w:val="00987A78"/>
    <w:rsid w:val="00993568"/>
    <w:rsid w:val="009952BA"/>
    <w:rsid w:val="009A560D"/>
    <w:rsid w:val="009B17E8"/>
    <w:rsid w:val="009B3845"/>
    <w:rsid w:val="009B6837"/>
    <w:rsid w:val="009C0AFC"/>
    <w:rsid w:val="009C1763"/>
    <w:rsid w:val="009C2A25"/>
    <w:rsid w:val="009C4FB0"/>
    <w:rsid w:val="009F2339"/>
    <w:rsid w:val="00A03256"/>
    <w:rsid w:val="00A26B04"/>
    <w:rsid w:val="00A26C11"/>
    <w:rsid w:val="00A305F5"/>
    <w:rsid w:val="00A44AB3"/>
    <w:rsid w:val="00A57E1A"/>
    <w:rsid w:val="00A61156"/>
    <w:rsid w:val="00A62A18"/>
    <w:rsid w:val="00A74587"/>
    <w:rsid w:val="00A92A06"/>
    <w:rsid w:val="00A97619"/>
    <w:rsid w:val="00AB488B"/>
    <w:rsid w:val="00AB61B0"/>
    <w:rsid w:val="00AC13F6"/>
    <w:rsid w:val="00AC22BE"/>
    <w:rsid w:val="00B00F97"/>
    <w:rsid w:val="00B15703"/>
    <w:rsid w:val="00B165A1"/>
    <w:rsid w:val="00B212DF"/>
    <w:rsid w:val="00B21F5F"/>
    <w:rsid w:val="00B24698"/>
    <w:rsid w:val="00B24876"/>
    <w:rsid w:val="00B256D0"/>
    <w:rsid w:val="00B25F3D"/>
    <w:rsid w:val="00B31BEE"/>
    <w:rsid w:val="00B363B2"/>
    <w:rsid w:val="00B50CE9"/>
    <w:rsid w:val="00B5345E"/>
    <w:rsid w:val="00B567A2"/>
    <w:rsid w:val="00B6359F"/>
    <w:rsid w:val="00B7335B"/>
    <w:rsid w:val="00B83C89"/>
    <w:rsid w:val="00B8539A"/>
    <w:rsid w:val="00B87B1E"/>
    <w:rsid w:val="00B87BD8"/>
    <w:rsid w:val="00B87E9A"/>
    <w:rsid w:val="00B9200C"/>
    <w:rsid w:val="00B95A63"/>
    <w:rsid w:val="00BB4D92"/>
    <w:rsid w:val="00BC2304"/>
    <w:rsid w:val="00BE1054"/>
    <w:rsid w:val="00BF4B88"/>
    <w:rsid w:val="00C06A49"/>
    <w:rsid w:val="00C2269C"/>
    <w:rsid w:val="00C33DD4"/>
    <w:rsid w:val="00C5244C"/>
    <w:rsid w:val="00C6082A"/>
    <w:rsid w:val="00C662F3"/>
    <w:rsid w:val="00C74CD5"/>
    <w:rsid w:val="00C77C61"/>
    <w:rsid w:val="00C80DDE"/>
    <w:rsid w:val="00C9711F"/>
    <w:rsid w:val="00C979BD"/>
    <w:rsid w:val="00CA5D59"/>
    <w:rsid w:val="00CA78A4"/>
    <w:rsid w:val="00CA79F8"/>
    <w:rsid w:val="00CB431D"/>
    <w:rsid w:val="00CB6A9B"/>
    <w:rsid w:val="00CC5DD7"/>
    <w:rsid w:val="00CC69C8"/>
    <w:rsid w:val="00CC69D5"/>
    <w:rsid w:val="00CC723F"/>
    <w:rsid w:val="00CD63E0"/>
    <w:rsid w:val="00CE1B58"/>
    <w:rsid w:val="00CF10B8"/>
    <w:rsid w:val="00CF4FFF"/>
    <w:rsid w:val="00D03B2B"/>
    <w:rsid w:val="00D067A3"/>
    <w:rsid w:val="00D10CDE"/>
    <w:rsid w:val="00D14E97"/>
    <w:rsid w:val="00D23B8C"/>
    <w:rsid w:val="00D31EE3"/>
    <w:rsid w:val="00D331AF"/>
    <w:rsid w:val="00D359CC"/>
    <w:rsid w:val="00D541A3"/>
    <w:rsid w:val="00D5459F"/>
    <w:rsid w:val="00D55B1A"/>
    <w:rsid w:val="00D64EFE"/>
    <w:rsid w:val="00D70109"/>
    <w:rsid w:val="00D712F0"/>
    <w:rsid w:val="00D74893"/>
    <w:rsid w:val="00D86A7E"/>
    <w:rsid w:val="00DA068F"/>
    <w:rsid w:val="00DB4F2C"/>
    <w:rsid w:val="00E0448D"/>
    <w:rsid w:val="00E23A9C"/>
    <w:rsid w:val="00E23E4D"/>
    <w:rsid w:val="00E25677"/>
    <w:rsid w:val="00E30B56"/>
    <w:rsid w:val="00E31A55"/>
    <w:rsid w:val="00E409AB"/>
    <w:rsid w:val="00E42701"/>
    <w:rsid w:val="00E42CFD"/>
    <w:rsid w:val="00E62F52"/>
    <w:rsid w:val="00E72F88"/>
    <w:rsid w:val="00E75DFE"/>
    <w:rsid w:val="00E91391"/>
    <w:rsid w:val="00E9753A"/>
    <w:rsid w:val="00E97714"/>
    <w:rsid w:val="00EA2053"/>
    <w:rsid w:val="00EA4A21"/>
    <w:rsid w:val="00EA7B8D"/>
    <w:rsid w:val="00EB0582"/>
    <w:rsid w:val="00EC00F3"/>
    <w:rsid w:val="00EC6D73"/>
    <w:rsid w:val="00ED186D"/>
    <w:rsid w:val="00ED3F97"/>
    <w:rsid w:val="00EF34F7"/>
    <w:rsid w:val="00EF526B"/>
    <w:rsid w:val="00EF7004"/>
    <w:rsid w:val="00F071B7"/>
    <w:rsid w:val="00F145BE"/>
    <w:rsid w:val="00F1597C"/>
    <w:rsid w:val="00F21B82"/>
    <w:rsid w:val="00F310D4"/>
    <w:rsid w:val="00F460C4"/>
    <w:rsid w:val="00F467FD"/>
    <w:rsid w:val="00F5422D"/>
    <w:rsid w:val="00F67705"/>
    <w:rsid w:val="00F737CB"/>
    <w:rsid w:val="00F85EAD"/>
    <w:rsid w:val="00F8623C"/>
    <w:rsid w:val="00F902FD"/>
    <w:rsid w:val="00FA0E74"/>
    <w:rsid w:val="00FA1D41"/>
    <w:rsid w:val="00FA2292"/>
    <w:rsid w:val="00FA56DB"/>
    <w:rsid w:val="00FB085E"/>
    <w:rsid w:val="00FB4CA8"/>
    <w:rsid w:val="00FB6675"/>
    <w:rsid w:val="00FD62E5"/>
    <w:rsid w:val="00FE7C58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F9361"/>
  <w15:chartTrackingRefBased/>
  <w15:docId w15:val="{69E1E716-D2C6-488E-A707-25D3437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F5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F2C"/>
    <w:rPr>
      <w:color w:val="0000FF" w:themeColor="hyperlink"/>
      <w:u w:val="single"/>
    </w:rPr>
  </w:style>
  <w:style w:type="paragraph" w:styleId="ListParagraph">
    <w:name w:val="List Paragraph"/>
    <w:aliases w:val="FooterText,Paragraphe de liste1,List Paragraph (bulleted list),Bullet 1 List,Lettre d'introduction,List Paragraph1,1st level - Bullet List Paragraph,Medium Grid 1 - Accent 21,Bullet List Paragraph,Paragrafo elenco numerato,Bullet point"/>
    <w:basedOn w:val="Normal"/>
    <w:link w:val="ListParagraphChar"/>
    <w:uiPriority w:val="34"/>
    <w:qFormat/>
    <w:rsid w:val="00DB4F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FD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34D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4D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D87"/>
    <w:rPr>
      <w:vertAlign w:val="superscript"/>
    </w:rPr>
  </w:style>
  <w:style w:type="character" w:styleId="Strong">
    <w:name w:val="Strong"/>
    <w:basedOn w:val="DefaultParagraphFont"/>
    <w:uiPriority w:val="22"/>
    <w:qFormat/>
    <w:rsid w:val="00534D87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A26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1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6C1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3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34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5234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234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234D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650386"/>
  </w:style>
  <w:style w:type="character" w:customStyle="1" w:styleId="ListParagraphChar">
    <w:name w:val="List Paragraph Char"/>
    <w:aliases w:val="FooterText Char,Paragraphe de liste1 Char,List Paragraph (bulleted list) Char,Bullet 1 List Char,Lettre d'introduction Char,List Paragraph1 Char,1st level - Bullet List Paragraph Char,Medium Grid 1 - Accent 21 Char,Bullet point Char"/>
    <w:basedOn w:val="DefaultParagraphFont"/>
    <w:link w:val="ListParagraph"/>
    <w:uiPriority w:val="34"/>
    <w:qFormat/>
    <w:locked/>
    <w:rsid w:val="007A513D"/>
    <w:rPr>
      <w:lang w:val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87A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7E9A"/>
    <w:pPr>
      <w:spacing w:after="0" w:line="240" w:lineRule="auto"/>
    </w:pPr>
    <w:rPr>
      <w:lang w:val="en-US"/>
    </w:rPr>
  </w:style>
  <w:style w:type="paragraph" w:customStyle="1" w:styleId="Default">
    <w:name w:val="Default"/>
    <w:rsid w:val="00E97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1.xml"/><Relationship Id="rId2" Type="http://schemas.openxmlformats.org/officeDocument/2006/relationships/numbering" Target="numbering.xml"/><Relationship Id="rId16" Type="http://schemas.openxmlformats.org/officeDocument/2006/relationships/hyperlink" Target="https://joint-research-centre.ec.europa.eu/jrc-news-and-updates/eu-agriculture-2040-no-easy-fix-environmental-and-socio-economic-aspects-2025-10-27_en" TargetMode="External"/><Relationship Id="rId20" Type="http://schemas.openxmlformats.org/officeDocument/2006/relationships/footer" Target="footer2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.org/en/food-systems-summit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-lex.europa.eu/legal-content/EN/TXT/PDF/?uri=CELEX:52025DC0075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sc.europa.eu/en/our-work/opinions-information-reports/opinions/towards-european-food-policy-council-new-governance-model-future-eu-framework-sustainable-food-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VP3JK3XSEPRV-2087481956-5078</_dlc_DocId>
    <_dlc_DocIdUrl xmlns="7d640e6d-779c-472f-a269-6b546787f1c9">
      <Url>http://dm/eesc/2026/_layouts/15/DocIdRedir.aspx?ID=VP3JK3XSEPRV-2087481956-5078</Url>
      <Description>VP3JK3XSEPRV-2087481956-5078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2026-03-20T12:00:00+00:00</ProductionDate>
    <FicheYear xmlns="7d640e6d-779c-472f-a269-6b546787f1c9" xsi:nil="true"/>
    <DocumentNumber xmlns="a95533f8-59af-4217-bc7a-c1167744adb0">459</DocumentNumber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2026-03-30T12:00:00+00:00</MeetingDate>
    <TaxCatchAll xmlns="7d640e6d-779c-472f-a269-6b546787f1c9">
      <Value>50</Value>
      <Value>29</Value>
      <Value>18</Value>
      <Value>11</Value>
      <Value>9</Value>
      <Value>144</Value>
      <Value>23</Value>
      <Value>4</Value>
      <Value>19</Value>
      <Value>1</Value>
      <Value>12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Obsolete</TermName>
          <TermId xmlns="http://schemas.microsoft.com/office/infopath/2007/PartnerControls">ef7b2089-53ec-4293-a3a0-fe07d3abc41e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301382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Systèmes alimentaires durables, environnement, dév. rural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PG on food</TermName>
          <TermId xmlns="http://schemas.microsoft.com/office/infopath/2007/PartnerControls">2d683d6e-d85b-488d-89c3-3b91e47165b1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1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453DA8F4-F103-4350-A851-0ED1624BB2FB}"/>
</file>

<file path=customXml/itemProps2.xml><?xml version="1.0" encoding="utf-8"?>
<ds:datastoreItem xmlns:ds="http://schemas.openxmlformats.org/officeDocument/2006/customXml" ds:itemID="{C68DEEC2-A983-4FB0-A14E-02646B26F389}"/>
</file>

<file path=customXml/itemProps3.xml><?xml version="1.0" encoding="utf-8"?>
<ds:datastoreItem xmlns:ds="http://schemas.openxmlformats.org/officeDocument/2006/customXml" ds:itemID="{FE4D8CB2-B4DB-432A-8CF7-3EDE29D6C39D}"/>
</file>

<file path=customXml/itemProps4.xml><?xml version="1.0" encoding="utf-8"?>
<ds:datastoreItem xmlns:ds="http://schemas.openxmlformats.org/officeDocument/2006/customXml" ds:itemID="{6F43DBC5-E6D4-40F3-B0AA-B424AD407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study group on Sustainable Food Systems-work plan 2025-2027</dc:title>
  <dc:subject>Consultative work, various</dc:subject>
  <dc:creator>Kolyva Myrto</dc:creator>
  <cp:keywords>EESC-2026-00459-00-00-TCD-TRA-EN</cp:keywords>
  <dc:description>Rapporteur: -  Original language: - EN Date of document: - 20/03/2026 Date of meeting: - 30/03/2026 External documents: -  Administrator responsible: -  KOLYVA Myrto</dc:description>
  <cp:lastModifiedBy>TDriveSVCUserProd</cp:lastModifiedBy>
  <cp:revision>5</cp:revision>
  <dcterms:created xsi:type="dcterms:W3CDTF">2026-03-20T10:24:00Z</dcterms:created>
  <dcterms:modified xsi:type="dcterms:W3CDTF">2026-03-20T10:27:00Z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20/03/2026</vt:lpwstr>
  </property>
  <property fmtid="{D5CDD505-2E9C-101B-9397-08002B2CF9AE}" pid="4" name="Pref_Time">
    <vt:lpwstr>11:21:40</vt:lpwstr>
  </property>
  <property fmtid="{D5CDD505-2E9C-101B-9397-08002B2CF9AE}" pid="5" name="Pref_User">
    <vt:lpwstr>jhvi</vt:lpwstr>
  </property>
  <property fmtid="{D5CDD505-2E9C-101B-9397-08002B2CF9AE}" pid="6" name="Pref_FileName">
    <vt:lpwstr>EESC-2026-00459-00-00-TCD-ORI.docx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4abae1e4-3349-4736-bb7d-272f87b6ad57</vt:lpwstr>
  </property>
  <property fmtid="{D5CDD505-2E9C-101B-9397-08002B2CF9AE}" pid="9" name="AvailableTranslations">
    <vt:lpwstr>12;#ES|e7a6b05b-ae16-40c8-add9-68b64b03aeba;#29;#CS|72f9705b-0217-4fd3-bea2-cbc7ed80e26e;#4;#EN|f2175f21-25d7-44a3-96da-d6a61b075e1b;#11;#DE|f6b31e5a-26fa-4935-b661-318e46daf27e;#23;#FR|d2afafd3-4c81-4f60-8f52-ee33f2f54ff3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1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459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Systèmes alimentaires durables, environnement, dév. rural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PG on food|2d683d6e-d85b-488d-89c3-3b91e47165b1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144;#PG on food|2d683d6e-d85b-488d-89c3-3b91e47165b1</vt:lpwstr>
  </property>
  <property fmtid="{D5CDD505-2E9C-101B-9397-08002B2CF9AE}" pid="25" name="MeetingDate">
    <vt:filetime>2026-03-30T12:00:00Z</vt:filetime>
  </property>
  <property fmtid="{D5CDD505-2E9C-101B-9397-08002B2CF9AE}" pid="26" name="AvailableTranslations_0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18;#TCD|cd9d6eb6-3f4f-424a-b2d1-57c9d450eaaf;#9;#TRA|150d2a88-1431-44e6-a8ca-0bb753ab8672;#144;#PG on food|2d683d6e-d85b-488d-89c3-3b91e47165b1;#7;#Final|ea5e6674-7b27-4bac-b091-73adbb394efe;#4;#EN|f2175f21-25d7-44a3-96da-d6a61b075e1b;#19;#Unrestricted|826e22d7-d029-4ec0-a450-0c28ff673572;#1;#EESC|422833ec-8d7e-4e65-8e4e-8bed07ffb729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50;#Obsolete|ef7b2089-53ec-4293-a3a0-fe07d3abc41e</vt:lpwstr>
  </property>
  <property fmtid="{D5CDD505-2E9C-101B-9397-08002B2CF9AE}" pid="32" name="DocumentYear">
    <vt:i4>2026</vt:i4>
  </property>
  <property fmtid="{D5CDD505-2E9C-101B-9397-08002B2CF9AE}" pid="33" name="FicheNumber">
    <vt:i4>3188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7" name="DocumentType">
    <vt:lpwstr>18;#TCD|cd9d6eb6-3f4f-424a-b2d1-57c9d450eaaf</vt:lpwstr>
  </property>
  <property fmtid="{D5CDD505-2E9C-101B-9397-08002B2CF9AE}" pid="38" name="DocumentLanguage">
    <vt:lpwstr>4;#EN|f2175f21-25d7-44a3-96da-d6a61b075e1b</vt:lpwstr>
  </property>
  <property fmtid="{D5CDD505-2E9C-101B-9397-08002B2CF9AE}" pid="39" name="_docset_NoMedatataSyncRequired">
    <vt:lpwstr>False</vt:lpwstr>
  </property>
</Properties>
</file>