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3FCF" w14:textId="77777777" w:rsidR="00126D15" w:rsidRPr="00435E2A" w:rsidRDefault="00993568" w:rsidP="006E65D5">
      <w:pPr>
        <w:spacing w:after="0" w:line="288" w:lineRule="auto"/>
        <w:jc w:val="center"/>
        <w:rPr>
          <w:rFonts w:ascii="Times New Roman" w:hAnsi="Times New Roman" w:cs="Times New Roman"/>
          <w:b/>
        </w:rPr>
      </w:pPr>
      <w:r>
        <w:rPr>
          <w:rFonts w:ascii="Times New Roman" w:hAnsi="Times New Roman"/>
          <w:b/>
          <w:noProof/>
        </w:rPr>
        <mc:AlternateContent>
          <mc:Choice Requires="wps">
            <w:drawing>
              <wp:anchor distT="0" distB="0" distL="114300" distR="114300" simplePos="0" relativeHeight="251683840" behindDoc="1" locked="0" layoutInCell="0" allowOverlap="1" wp14:anchorId="07C61835" wp14:editId="559B656C">
                <wp:simplePos x="0" y="0"/>
                <wp:positionH relativeFrom="page">
                  <wp:posOffset>6770536</wp:posOffset>
                </wp:positionH>
                <wp:positionV relativeFrom="page">
                  <wp:posOffset>10082254</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066EE" w14:textId="77777777" w:rsidR="003A301E" w:rsidRPr="00260E65" w:rsidRDefault="003A301E">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61835" id="_x0000_t202" coordsize="21600,21600" o:spt="202" path="m,l,21600r21600,l21600,xe">
                <v:stroke joinstyle="miter"/>
                <v:path gradientshapeok="t" o:connecttype="rect"/>
              </v:shapetype>
              <v:shape id="Text Box 17" o:spid="_x0000_s1026" type="#_x0000_t202" style="position:absolute;left:0;text-align:left;margin-left:533.1pt;margin-top:793.9pt;width:51pt;height:31.2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" o:allowincell="f" filled="f" stroked="f">
                <v:textbox>
                  <w:txbxContent>
                    <w:p w14:paraId="58C066EE" w14:textId="77777777" w:rsidR="003A301E" w:rsidRPr="00260E65" w:rsidRDefault="003A301E">
                      <w:pPr>
                        <w:jc w:val="center"/>
                        <w:rPr>
                          <w:rFonts w:ascii="Arial" w:hAnsi="Arial" w:cs="Arial"/>
                          <w:b/>
                          <w:bCs/>
                          <w:sz w:val="48"/>
                        </w:rPr>
                      </w:pPr>
                      <w:r>
                        <w:rPr>
                          <w:rFonts w:ascii="Arial" w:hAnsi="Arial"/>
                          <w:b/>
                          <w:sz w:val="48"/>
                        </w:rPr>
                        <w:t>DE</w:t>
                      </w:r>
                    </w:p>
                  </w:txbxContent>
                </v:textbox>
                <w10:wrap anchorx="page" anchory="page"/>
              </v:shape>
            </w:pict>
          </mc:Fallback>
        </mc:AlternateContent>
      </w:r>
      <w:r>
        <w:rPr>
          <w:rFonts w:ascii="Times New Roman" w:hAnsi="Times New Roman"/>
          <w:b/>
        </w:rPr>
        <w:t>EWSA-Fachgruppe Landwirtschaft, ländliche Entwicklung, Umwelt (NAT)</w:t>
      </w:r>
    </w:p>
    <w:p w14:paraId="7E10B645" w14:textId="14152E13" w:rsidR="00DB4F2C" w:rsidRPr="00435E2A" w:rsidRDefault="00C2269C" w:rsidP="006E65D5">
      <w:pPr>
        <w:spacing w:after="0" w:line="288" w:lineRule="auto"/>
        <w:jc w:val="center"/>
        <w:rPr>
          <w:rFonts w:ascii="Times New Roman" w:hAnsi="Times New Roman" w:cs="Times New Roman"/>
          <w:b/>
        </w:rPr>
      </w:pPr>
      <w:r>
        <w:rPr>
          <w:rFonts w:ascii="Times New Roman" w:hAnsi="Times New Roman"/>
          <w:noProof/>
        </w:rPr>
        <w:drawing>
          <wp:anchor distT="0" distB="0" distL="114300" distR="114300" simplePos="0" relativeHeight="251681792" behindDoc="0" locked="0" layoutInCell="1" allowOverlap="1" wp14:anchorId="135D7AC7" wp14:editId="387B05AE">
            <wp:simplePos x="0" y="0"/>
            <wp:positionH relativeFrom="margin">
              <wp:align>right</wp:align>
            </wp:positionH>
            <wp:positionV relativeFrom="paragraph">
              <wp:posOffset>195580</wp:posOffset>
            </wp:positionV>
            <wp:extent cx="493395" cy="524510"/>
            <wp:effectExtent l="0" t="0" r="1905" b="8890"/>
            <wp:wrapSquare wrapText="bothSides"/>
            <wp:docPr id="3" name="Picture 3" descr="Image result for Un SDG Goal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Un SDG Goal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3395" cy="5245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rPr>
        <w:t>Ständige Arbeitsgruppe „Nachhaltige Lebensmittelsysteme“</w:t>
      </w:r>
    </w:p>
    <w:p w14:paraId="622D7F9B" w14:textId="2CE97AB5" w:rsidR="00DB4F2C" w:rsidRPr="00435E2A" w:rsidRDefault="00C2269C" w:rsidP="006E65D5">
      <w:pPr>
        <w:spacing w:after="0" w:line="288" w:lineRule="auto"/>
        <w:jc w:val="center"/>
        <w:rPr>
          <w:rFonts w:ascii="Times New Roman" w:hAnsi="Times New Roman" w:cs="Times New Roman"/>
          <w:b/>
        </w:rPr>
      </w:pPr>
      <w:r>
        <w:rPr>
          <w:rFonts w:ascii="Times New Roman" w:hAnsi="Times New Roman"/>
          <w:noProof/>
        </w:rPr>
        <w:drawing>
          <wp:anchor distT="0" distB="0" distL="114300" distR="114300" simplePos="0" relativeHeight="251680768" behindDoc="0" locked="0" layoutInCell="1" allowOverlap="1" wp14:anchorId="24EB4B22" wp14:editId="45F2003D">
            <wp:simplePos x="0" y="0"/>
            <wp:positionH relativeFrom="column">
              <wp:posOffset>4040505</wp:posOffset>
            </wp:positionH>
            <wp:positionV relativeFrom="paragraph">
              <wp:posOffset>6985</wp:posOffset>
            </wp:positionV>
            <wp:extent cx="513080" cy="523240"/>
            <wp:effectExtent l="0" t="0" r="1270" b="0"/>
            <wp:wrapSquare wrapText="bothSides"/>
            <wp:docPr id="2" name="Picture 2" descr="Image result for sdg 12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dg 12 ic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3080" cy="523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rPr>
        <w:drawing>
          <wp:anchor distT="0" distB="0" distL="114300" distR="114300" simplePos="0" relativeHeight="251667456" behindDoc="0" locked="0" layoutInCell="1" allowOverlap="1" wp14:anchorId="4171442E" wp14:editId="6BAD283A">
            <wp:simplePos x="0" y="0"/>
            <wp:positionH relativeFrom="column">
              <wp:posOffset>4687405</wp:posOffset>
            </wp:positionH>
            <wp:positionV relativeFrom="paragraph">
              <wp:posOffset>13970</wp:posOffset>
            </wp:positionV>
            <wp:extent cx="513080" cy="513080"/>
            <wp:effectExtent l="0" t="0" r="1270" b="12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_SDG goals_icons-individual-rgb-1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3080" cy="5130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rPr>
        <w:drawing>
          <wp:anchor distT="0" distB="0" distL="114300" distR="114300" simplePos="0" relativeHeight="251645952" behindDoc="0" locked="0" layoutInCell="1" allowOverlap="1" wp14:anchorId="06BA7347" wp14:editId="2BFC4A30">
            <wp:simplePos x="0" y="0"/>
            <wp:positionH relativeFrom="column">
              <wp:posOffset>605155</wp:posOffset>
            </wp:positionH>
            <wp:positionV relativeFrom="paragraph">
              <wp:posOffset>10160</wp:posOffset>
            </wp:positionV>
            <wp:extent cx="513080" cy="513080"/>
            <wp:effectExtent l="0" t="0" r="127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_SDG goals_icons-individual-rgb-0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3080" cy="5130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rPr>
        <w:drawing>
          <wp:anchor distT="0" distB="0" distL="114300" distR="114300" simplePos="0" relativeHeight="251673600" behindDoc="0" locked="0" layoutInCell="1" allowOverlap="1" wp14:anchorId="458EB49B" wp14:editId="2DA6FC1C">
            <wp:simplePos x="0" y="0"/>
            <wp:positionH relativeFrom="column">
              <wp:posOffset>635</wp:posOffset>
            </wp:positionH>
            <wp:positionV relativeFrom="paragraph">
              <wp:posOffset>8255</wp:posOffset>
            </wp:positionV>
            <wp:extent cx="518160" cy="51816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_SDG goals_icons-individual-rgb-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18160" cy="5181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noProof/>
        </w:rPr>
        <w:drawing>
          <wp:anchor distT="0" distB="0" distL="114300" distR="114300" simplePos="0" relativeHeight="251655168" behindDoc="0" locked="0" layoutInCell="1" allowOverlap="1" wp14:anchorId="24E6D8D4" wp14:editId="7B955C21">
            <wp:simplePos x="0" y="0"/>
            <wp:positionH relativeFrom="column">
              <wp:posOffset>1207604</wp:posOffset>
            </wp:positionH>
            <wp:positionV relativeFrom="paragraph">
              <wp:posOffset>8255</wp:posOffset>
            </wp:positionV>
            <wp:extent cx="513080" cy="513080"/>
            <wp:effectExtent l="0" t="0" r="1270" b="127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_SDG goals_icons-individual-rgb-1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3080" cy="5130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rPr>
        <w:t xml:space="preserve">Arbeitsprogramm 2025–2027 </w:t>
      </w:r>
    </w:p>
    <w:p w14:paraId="068557F8" w14:textId="77777777" w:rsidR="00F460C4" w:rsidRPr="00435E2A" w:rsidRDefault="00F460C4" w:rsidP="006E65D5">
      <w:pPr>
        <w:spacing w:after="0" w:line="288" w:lineRule="auto"/>
        <w:jc w:val="both"/>
        <w:rPr>
          <w:rFonts w:ascii="Times New Roman" w:hAnsi="Times New Roman" w:cs="Times New Roman"/>
          <w:b/>
          <w:lang w:val="en-GB"/>
        </w:rPr>
      </w:pPr>
    </w:p>
    <w:p w14:paraId="448C85D5" w14:textId="77777777" w:rsidR="00757858" w:rsidRPr="00435E2A" w:rsidRDefault="00757858" w:rsidP="006E65D5">
      <w:pPr>
        <w:keepNext/>
        <w:spacing w:after="0" w:line="288" w:lineRule="auto"/>
        <w:jc w:val="both"/>
        <w:rPr>
          <w:rFonts w:ascii="Times New Roman" w:hAnsi="Times New Roman" w:cs="Times New Roman"/>
          <w:b/>
          <w:u w:val="single"/>
          <w:lang w:val="en-GB"/>
        </w:rPr>
      </w:pPr>
    </w:p>
    <w:p w14:paraId="5DF713D2" w14:textId="77777777" w:rsidR="00757858" w:rsidRPr="00435E2A" w:rsidRDefault="00757858" w:rsidP="006E65D5">
      <w:pPr>
        <w:spacing w:after="0" w:line="288" w:lineRule="auto"/>
        <w:jc w:val="both"/>
        <w:rPr>
          <w:rFonts w:ascii="Times New Roman" w:hAnsi="Times New Roman" w:cs="Times New Roman"/>
          <w:b/>
          <w:u w:val="single"/>
          <w:lang w:val="en-GB"/>
        </w:rPr>
      </w:pPr>
    </w:p>
    <w:p w14:paraId="6AC03827" w14:textId="77777777" w:rsidR="008B7B7F" w:rsidRPr="00435E2A" w:rsidRDefault="008B7B7F" w:rsidP="006E65D5">
      <w:pPr>
        <w:spacing w:after="0" w:line="288" w:lineRule="auto"/>
        <w:jc w:val="both"/>
        <w:rPr>
          <w:rFonts w:ascii="Times New Roman" w:hAnsi="Times New Roman" w:cs="Times New Roman"/>
          <w:b/>
          <w:u w:val="single"/>
          <w:lang w:val="en-GB"/>
        </w:rPr>
      </w:pPr>
    </w:p>
    <w:p w14:paraId="6B371A57" w14:textId="77777777" w:rsidR="00126D15" w:rsidRPr="00435E2A" w:rsidRDefault="00F460C4" w:rsidP="006E65D5">
      <w:pPr>
        <w:keepNext/>
        <w:spacing w:after="0" w:line="288" w:lineRule="auto"/>
        <w:jc w:val="both"/>
        <w:rPr>
          <w:rFonts w:ascii="Times New Roman" w:hAnsi="Times New Roman" w:cs="Times New Roman"/>
          <w:b/>
          <w:u w:val="single"/>
        </w:rPr>
      </w:pPr>
      <w:r>
        <w:rPr>
          <w:rFonts w:ascii="Times New Roman" w:hAnsi="Times New Roman"/>
          <w:b/>
          <w:u w:val="single"/>
        </w:rPr>
        <w:t>Hintergrund:</w:t>
      </w:r>
    </w:p>
    <w:p w14:paraId="3BFA6435" w14:textId="77777777" w:rsidR="00757858" w:rsidRPr="00435E2A" w:rsidRDefault="00757858" w:rsidP="006E65D5">
      <w:pPr>
        <w:spacing w:after="0" w:line="288" w:lineRule="auto"/>
        <w:jc w:val="both"/>
        <w:rPr>
          <w:rFonts w:ascii="Times New Roman" w:hAnsi="Times New Roman" w:cs="Times New Roman"/>
          <w:b/>
          <w:lang w:val="en-GB"/>
        </w:rPr>
      </w:pPr>
    </w:p>
    <w:p w14:paraId="5261FEB5" w14:textId="1D926D5C" w:rsidR="00FA1D41" w:rsidRPr="00435E2A" w:rsidRDefault="00FA1D41" w:rsidP="00FA1D41">
      <w:pPr>
        <w:spacing w:after="0" w:line="288" w:lineRule="auto"/>
        <w:jc w:val="both"/>
        <w:rPr>
          <w:rFonts w:ascii="Times New Roman" w:hAnsi="Times New Roman" w:cs="Times New Roman"/>
        </w:rPr>
      </w:pPr>
      <w:r>
        <w:rPr>
          <w:rFonts w:ascii="Times New Roman" w:hAnsi="Times New Roman"/>
        </w:rPr>
        <w:t>Die Ständige Arbeitsgruppe „Nachhaltige Lebensmittelsysteme“ des Europäischen Wirtschafts- und Sozialausschusses (EWSA) konzentriert sich auf die wirtschaftlichen, ökologischen und sozialen Auswirkungen der Erzeugung und des Verbrauchs von Lebensmitteln und verfolgt dabei einen ganzheitlichen politischen Ansatz. Dieses übergreifende Ziel spiegelt auch die Ziele für nachhaltige Entwicklung gemäß der Agenda 2030 der Vereinten Nationen wider, die einen wichtigen Rahmen für ein gemeinsames Handeln im Hinblick auf eine nachhaltige Welternährung bis 2030 bieten.</w:t>
      </w:r>
    </w:p>
    <w:p w14:paraId="1475454A" w14:textId="77777777" w:rsidR="00FA1D41" w:rsidRPr="00435E2A" w:rsidRDefault="00FA1D41" w:rsidP="00FA1D41">
      <w:pPr>
        <w:spacing w:after="0" w:line="288" w:lineRule="auto"/>
        <w:jc w:val="both"/>
        <w:rPr>
          <w:rFonts w:ascii="Times New Roman" w:hAnsi="Times New Roman" w:cs="Times New Roman"/>
          <w:lang w:val="en-GB"/>
        </w:rPr>
      </w:pPr>
    </w:p>
    <w:p w14:paraId="68377262" w14:textId="5155991C" w:rsidR="00FA1D41" w:rsidRPr="00B212DF" w:rsidRDefault="00FA1D41" w:rsidP="00342D28">
      <w:pPr>
        <w:spacing w:after="0" w:line="288" w:lineRule="auto"/>
        <w:jc w:val="both"/>
        <w:rPr>
          <w:rFonts w:ascii="Times New Roman" w:hAnsi="Times New Roman" w:cs="Times New Roman"/>
        </w:rPr>
      </w:pPr>
      <w:r>
        <w:rPr>
          <w:rFonts w:ascii="Times New Roman" w:hAnsi="Times New Roman"/>
        </w:rPr>
        <w:t xml:space="preserve">Das Mandat 2025-2027 der Ständigen Arbeitsgruppe wird auf den Arbeiten im Rahmen des vorherigen Mandats aufbauen, um </w:t>
      </w:r>
      <w:r>
        <w:rPr>
          <w:rFonts w:ascii="Times New Roman" w:hAnsi="Times New Roman"/>
          <w:b/>
        </w:rPr>
        <w:t>produktive, wettbewerbsfähige, nachhaltige, resiliente, regenerative und gerechtere Lebensmittelsysteme</w:t>
      </w:r>
      <w:r>
        <w:rPr>
          <w:rFonts w:ascii="Times New Roman" w:hAnsi="Times New Roman"/>
        </w:rPr>
        <w:t xml:space="preserve"> in allen Gebieten der EU zu fördern. Gleichzeitig wird dadurch </w:t>
      </w:r>
      <w:r>
        <w:rPr>
          <w:rFonts w:ascii="Times New Roman" w:hAnsi="Times New Roman"/>
          <w:b/>
        </w:rPr>
        <w:t>zu den Initiativen der Europäischen Kommission</w:t>
      </w:r>
      <w:r>
        <w:rPr>
          <w:rFonts w:ascii="Times New Roman" w:hAnsi="Times New Roman"/>
        </w:rPr>
        <w:t xml:space="preserve"> </w:t>
      </w:r>
      <w:r>
        <w:rPr>
          <w:rFonts w:ascii="Times New Roman" w:hAnsi="Times New Roman"/>
          <w:b/>
        </w:rPr>
        <w:t>beigetragen</w:t>
      </w:r>
      <w:r>
        <w:rPr>
          <w:rFonts w:ascii="Times New Roman" w:hAnsi="Times New Roman"/>
        </w:rPr>
        <w:t xml:space="preserve">, wie in der </w:t>
      </w:r>
      <w:hyperlink r:id="rId14" w:history="1">
        <w:r>
          <w:rPr>
            <w:rStyle w:val="Hyperlink"/>
            <w:rFonts w:ascii="Times New Roman" w:hAnsi="Times New Roman"/>
          </w:rPr>
          <w:t>Vision für Landwirtschaft und Ernährung</w:t>
        </w:r>
      </w:hyperlink>
      <w:r>
        <w:rPr>
          <w:rFonts w:ascii="Times New Roman" w:hAnsi="Times New Roman"/>
        </w:rPr>
        <w:t xml:space="preserve"> und im Arbeitsprogramm der Kommission angekündigt.</w:t>
      </w:r>
    </w:p>
    <w:p w14:paraId="5D015262" w14:textId="224C7F9B" w:rsidR="00FA1D41" w:rsidRPr="00B212DF" w:rsidRDefault="00FA1D41" w:rsidP="007561F8">
      <w:pPr>
        <w:spacing w:after="0" w:line="288" w:lineRule="auto"/>
        <w:jc w:val="both"/>
        <w:rPr>
          <w:rFonts w:ascii="Times New Roman" w:hAnsi="Times New Roman" w:cs="Times New Roman"/>
        </w:rPr>
      </w:pPr>
    </w:p>
    <w:p w14:paraId="4B1E5419" w14:textId="6A8F81AB" w:rsidR="007561F8" w:rsidRPr="00435E2A" w:rsidRDefault="007561F8" w:rsidP="007561F8">
      <w:pPr>
        <w:spacing w:after="0" w:line="288" w:lineRule="auto"/>
        <w:jc w:val="both"/>
        <w:rPr>
          <w:rFonts w:ascii="Times New Roman" w:hAnsi="Times New Roman" w:cs="Times New Roman"/>
        </w:rPr>
      </w:pPr>
      <w:r>
        <w:rPr>
          <w:rFonts w:ascii="Times New Roman" w:hAnsi="Times New Roman"/>
        </w:rPr>
        <w:t xml:space="preserve">Geopolitische Spannungen, der Klimawandel, soziale Ungleichheiten und die Umweltzerstörung setzen die Landwirtschaft, die Fischerei und den Lebensmittelsektor der EU zunehmend unter Druck. Diese Sektoren sind jedoch für die Ernährungssicherheit, die Wirtschaft und die Vitalität ländlicher Gebiete von strategischer Bedeutung. In den letzten Jahren hat sich die wirtschaftliche Lage dieser Sektoren drastisch verschlechtert, weshalb dringend Maßnahmen ergriffen werden müssen, um die Erzeugung zu stabilisieren, gerechte Einkommen sicherzustellen, den Generationswechsel zu unterstützen und die Ernährungssouveränität und strategische Autonomie der EU zu stärken. Ländliche Gebiete, in denen 30 % der EU-Bevölkerung leben, müssen unterstützt werden, um der Entvölkerung und dem sozialen Niedergang entgegenzuwirken und gleichzeitig ihre Schlüsselrolle und ihr ungenutztes Potenzial im Hinblick auf nachhaltige Entwicklung und den ökologischen Wandel zu nutzen. Darüber hinaus ist Ernährung ein roter Faden, mit dem alle 17 Ziele für nachhaltige Entwicklung miteinander verbunden werden. Die Umgestaltung der Lebensmittelsysteme wird daher einen starken Hebel für die Umsetzung der Agenda für nachhaltige Entwicklung und den Klimaschutz insgesamt bieten. </w:t>
      </w:r>
    </w:p>
    <w:p w14:paraId="6BC80F95" w14:textId="44181B69" w:rsidR="007561F8" w:rsidRPr="00435E2A" w:rsidRDefault="007561F8" w:rsidP="007561F8">
      <w:pPr>
        <w:spacing w:after="0" w:line="288" w:lineRule="auto"/>
        <w:jc w:val="both"/>
        <w:rPr>
          <w:rStyle w:val="Hyperlink"/>
          <w:rFonts w:ascii="Times New Roman" w:hAnsi="Times New Roman" w:cs="Times New Roman"/>
          <w:lang w:val="en-GB"/>
        </w:rPr>
      </w:pPr>
    </w:p>
    <w:p w14:paraId="6D96FA22" w14:textId="2F8986BC" w:rsidR="007561F8" w:rsidRPr="00435E2A" w:rsidRDefault="007561F8" w:rsidP="007561F8">
      <w:pPr>
        <w:spacing w:after="0" w:line="288" w:lineRule="auto"/>
        <w:jc w:val="both"/>
        <w:rPr>
          <w:rFonts w:ascii="Times New Roman" w:hAnsi="Times New Roman" w:cs="Times New Roman"/>
        </w:rPr>
      </w:pPr>
      <w:r>
        <w:rPr>
          <w:rFonts w:ascii="Times New Roman" w:hAnsi="Times New Roman"/>
        </w:rPr>
        <w:t xml:space="preserve">Auf </w:t>
      </w:r>
      <w:r>
        <w:rPr>
          <w:rFonts w:ascii="Times New Roman" w:hAnsi="Times New Roman"/>
          <w:b/>
        </w:rPr>
        <w:t>internationaler Ebene</w:t>
      </w:r>
      <w:r>
        <w:rPr>
          <w:rFonts w:ascii="Times New Roman" w:hAnsi="Times New Roman"/>
        </w:rPr>
        <w:t xml:space="preserve"> steht der Agrar- und Lebensmittelsektor vor einer Reihe miteinander verknüpfter Herausforderungen, darunter die Gewährleistung der weltweiten Ernährungssicherheit vor dem Hintergrund des Bevölkerungswachstums, der Klimawandel, der zunehmende Druck auf die natürlichen Ressourcen, geopolitische Spannungen, Handelsstörungen und Marktvolatilität. Die von den Vereinigten Staaten verhängten Zölle verdeutlichen mehr denn je, dass Synergien und koordinierte Maßnahmen zwischen strategischen Partnern gestärkt werden müssen, insbesondere mit Organisationen wie der Ernährungs- und Landwirtschaftsorganisation der Vereinten Nationen (FAO), um gemeinsam die weltweite Ernährungssicherheit zu gewährleisten und einen stabilen Agrar- und Lebensmittelsektor zu fördern. Die Folgemaßnahmen zum vom Generalsekretär der Vereinten </w:t>
      </w:r>
      <w:r>
        <w:rPr>
          <w:rFonts w:ascii="Times New Roman" w:hAnsi="Times New Roman"/>
        </w:rPr>
        <w:lastRenderedPageBreak/>
        <w:t xml:space="preserve">Nationen einberufenen </w:t>
      </w:r>
      <w:hyperlink r:id="rId15" w:history="1">
        <w:r>
          <w:rPr>
            <w:rStyle w:val="Hyperlink"/>
            <w:rFonts w:ascii="Times New Roman" w:hAnsi="Times New Roman"/>
          </w:rPr>
          <w:t>Weltgipfel 2021 zu Ernährungssystemen</w:t>
        </w:r>
      </w:hyperlink>
      <w:r>
        <w:rPr>
          <w:rFonts w:ascii="Times New Roman" w:hAnsi="Times New Roman"/>
        </w:rPr>
        <w:t xml:space="preserve"> werden durch die alle zwei Jahre stattfindenden Bestandsaufnahmen sowie durch die Arbeit des Ausschusses für Welternährungssicherheit (CFS) und den zunehmenden Raum, der Lebensmittelsystemen auf der COP zu Klimawandel und biologischer Vielfalt eingeräumt wird, den Eckpfeiler des Arbeitsprogramms der Ständigen Arbeitsgruppe für die erste Hälfte der Mandatsperiode 2025-2027 bilden. Gleichzeitig wird die Ständige Arbeitsgruppe ihre Zusammenarbeit mit der FAO vertiefen und über einmalige Gelegenheiten des Austauschs hinaus, z. B. im Rahmen des CFS und des Welternährungsforums (World Food Forum; WFF), zu einem regelmäßigeren Austausch zwischen dem Vorsitzenden der Ständigen Arbeitsgruppe und den hochrangigen Vertretern der FAO übergehen, um die Arbeit der FAO zu erörtern und sie mit den Standpunkten und Empfehlungen des EWSA in verschiedenen Fragen von gemeinsamem Interesse in Einklang zu bringen.</w:t>
      </w:r>
    </w:p>
    <w:p w14:paraId="34072B9A" w14:textId="77777777" w:rsidR="00215C44" w:rsidRPr="00860AE8" w:rsidRDefault="00215C44" w:rsidP="007561F8">
      <w:pPr>
        <w:spacing w:after="0" w:line="288" w:lineRule="auto"/>
        <w:jc w:val="both"/>
        <w:rPr>
          <w:rFonts w:ascii="Times New Roman" w:hAnsi="Times New Roman" w:cs="Times New Roman"/>
          <w:lang w:val="en-GB"/>
        </w:rPr>
      </w:pPr>
    </w:p>
    <w:p w14:paraId="62AE9FD3" w14:textId="31D69BE8" w:rsidR="00935170" w:rsidRPr="00860AE8" w:rsidRDefault="007561F8" w:rsidP="007561F8">
      <w:pPr>
        <w:spacing w:after="0" w:line="288" w:lineRule="auto"/>
        <w:jc w:val="both"/>
        <w:rPr>
          <w:rFonts w:ascii="Times New Roman" w:hAnsi="Times New Roman" w:cs="Times New Roman"/>
        </w:rPr>
      </w:pPr>
      <w:r>
        <w:rPr>
          <w:rFonts w:ascii="Times New Roman" w:hAnsi="Times New Roman"/>
        </w:rPr>
        <w:t xml:space="preserve">Auf </w:t>
      </w:r>
      <w:r>
        <w:rPr>
          <w:rFonts w:ascii="Times New Roman" w:hAnsi="Times New Roman"/>
          <w:b/>
        </w:rPr>
        <w:t>EU-Ebene</w:t>
      </w:r>
      <w:r>
        <w:rPr>
          <w:rFonts w:ascii="Times New Roman" w:hAnsi="Times New Roman"/>
        </w:rPr>
        <w:t xml:space="preserve"> ist der Agrar- und Lebensmittelsektor aufgrund offener Märkte und Handelsabkommen wie dem Abkommen zwischen der EU und dem Mercosur zunehmend dem internationalen Wettbewerb ausgesetzt. Dies macht deutlich, dass es dringender denn je ist, einen fairen Wettbewerb und die Gegenseitigkeit von Standards in Bereichen wie Umweltschutz, Lebensmittelsicherheit und Tierschutz sicherzustellen. Gleichzeitig wirft der Vorschlag für den nächsten Mehrjährigen Finanzrahmen (MFR 2028-2034) Bedenken hinsichtlich des Risikos auf, dass die Haushaltsmittel für die Gemeinsame Agrarpolitik (GAP) und die Gemeinsame Fischereipolitik (GFP) gekürzt oder neu priorisiert werden, während die Anforderungen an die Lebensmittelerzeuger steigen und der Druck auf sie zunimmt. Zu den wichtigsten Anliegen des Sektors gehört die unzureichende Unterstützung, um faire Einkommen sicherzustellen, auf steigende Produktionskosten und Marktvolatilität zu reagieren, den Generationswechsel zu beschleunigen, ausreichende Ressourcen für den Übergang zu nachhaltigeren, resilienteren und regenerativeren Agrar- und Lebensmittelsystemen sicherzustellen und auf sich verändernde Verbrauchererwartungen zu reagieren – all dies vor dem Hintergrund knapper Haushaltsmittel und zunehmender regulatorischer Komplexität. Die jährlichen </w:t>
      </w:r>
      <w:r>
        <w:rPr>
          <w:rFonts w:ascii="Times New Roman" w:hAnsi="Times New Roman"/>
          <w:b/>
        </w:rPr>
        <w:t>Lebensmitteldialoge</w:t>
      </w:r>
      <w:r>
        <w:rPr>
          <w:rFonts w:ascii="Times New Roman" w:hAnsi="Times New Roman"/>
        </w:rPr>
        <w:t>, die von der Europäischen Kommission in ihrer Vision für Landwirtschaft und Ernährung angekündigt wurden, werden auch die zweite Hälfte der Mandatsperiode 2025-2027 der Ständigen Arbeitsgruppe prägen. Über diese Gruppe hat der EWSA bereits einen Beitrag zu den Arbeiten der Kommission geleistet, indem er eine Debatte zum Thema „Erkenntnisse der Zivilgesellschaft zu den Lebensmitteldialogen“ organisiert hat. Der EWSA möchte die Kommission bei ihrer Arbeit weiter unterstützen und die Standpunkte und Prioritäten der Organisationen der Zivilgesellschaft in die Debatte einbringen. Gleichzeitig soll ein erweitertes Forum für die enge Zusammenarbeit mit anderen Partnern wie den lokalen und regionalen Gebietskörperschaften geschaffen werden</w:t>
      </w:r>
      <w:r w:rsidR="00F1597C" w:rsidRPr="00860AE8">
        <w:rPr>
          <w:rStyle w:val="FootnoteReference"/>
          <w:rFonts w:ascii="Times New Roman" w:hAnsi="Times New Roman" w:cs="Times New Roman"/>
          <w:lang w:val="en-GB"/>
        </w:rPr>
        <w:footnoteReference w:id="1"/>
      </w:r>
      <w:r>
        <w:rPr>
          <w:rFonts w:ascii="Times New Roman" w:hAnsi="Times New Roman"/>
        </w:rPr>
        <w:t>. Die Ständige Arbeitsgruppe ist bereit, ein Forum für die Vorbereitung der Lebensmitteldialoge zu bieten. Synergien mit wichtigen institutionellen Partnern wie dem Ausschuss der Regionen und verschiedenen Generaldirektionen der Kommission werden aufrechterhalten und weiter gestärkt.</w:t>
      </w:r>
    </w:p>
    <w:p w14:paraId="7F2544F9" w14:textId="77777777" w:rsidR="00614988" w:rsidRPr="00435E2A" w:rsidRDefault="00614988" w:rsidP="006E65D5">
      <w:pPr>
        <w:spacing w:after="0" w:line="288" w:lineRule="auto"/>
        <w:jc w:val="both"/>
        <w:rPr>
          <w:rFonts w:ascii="Times New Roman" w:hAnsi="Times New Roman" w:cs="Times New Roman"/>
          <w:lang w:val="en-GB"/>
        </w:rPr>
      </w:pPr>
    </w:p>
    <w:p w14:paraId="64C5B29A" w14:textId="47E87C90" w:rsidR="00B24876" w:rsidRPr="00435E2A" w:rsidRDefault="004436A0" w:rsidP="006E65D5">
      <w:pPr>
        <w:spacing w:after="0" w:line="288" w:lineRule="auto"/>
        <w:jc w:val="both"/>
        <w:rPr>
          <w:rFonts w:ascii="Times New Roman" w:hAnsi="Times New Roman" w:cs="Times New Roman"/>
          <w:color w:val="000000"/>
        </w:rPr>
      </w:pPr>
      <w:r>
        <w:rPr>
          <w:rFonts w:ascii="Times New Roman" w:hAnsi="Times New Roman"/>
        </w:rPr>
        <w:t xml:space="preserve">Zusammenfassend lässt sich sagen, dass die Ständige Arbeitsgruppe in der zweiten Hälfte der Mandatsperiode 2025-2027 darauf hinarbeiten wird, Synergien mit allen Akteuren, Interessenträgern und Organisationen, die im Agrar- und Lebensmittelsektor tätig sind und an nachhaltigen Lebensmittelsystemen arbeiten, aufrechtzuerhalten und zu stärken. Gleichzeitig sollen konkrete </w:t>
      </w:r>
      <w:r>
        <w:rPr>
          <w:rFonts w:ascii="Times New Roman" w:hAnsi="Times New Roman"/>
        </w:rPr>
        <w:lastRenderedPageBreak/>
        <w:t xml:space="preserve">Beispiele für Maßnahmen oder das weitere Vorgehen vorgeschlagen werden, die in das Arbeitsprogramm der Fachgruppe NAT einfließen. </w:t>
      </w:r>
    </w:p>
    <w:p w14:paraId="0F61A32D" w14:textId="77777777" w:rsidR="00757858" w:rsidRPr="00435E2A" w:rsidRDefault="00757858" w:rsidP="006E65D5">
      <w:pPr>
        <w:spacing w:after="0" w:line="288" w:lineRule="auto"/>
        <w:jc w:val="both"/>
        <w:rPr>
          <w:rFonts w:ascii="Times New Roman" w:hAnsi="Times New Roman" w:cs="Times New Roman"/>
          <w:b/>
          <w:color w:val="000000"/>
          <w:u w:val="single"/>
          <w:lang w:val="en-GB"/>
        </w:rPr>
      </w:pPr>
    </w:p>
    <w:p w14:paraId="2FBDB809" w14:textId="77777777" w:rsidR="00534D87" w:rsidRPr="00435E2A" w:rsidRDefault="00534D87" w:rsidP="006E65D5">
      <w:pPr>
        <w:keepNext/>
        <w:spacing w:after="0" w:line="288" w:lineRule="auto"/>
        <w:jc w:val="both"/>
        <w:rPr>
          <w:rFonts w:ascii="Times New Roman" w:hAnsi="Times New Roman" w:cs="Times New Roman"/>
          <w:u w:val="single"/>
        </w:rPr>
      </w:pPr>
      <w:r>
        <w:rPr>
          <w:rFonts w:ascii="Times New Roman" w:hAnsi="Times New Roman"/>
          <w:b/>
          <w:color w:val="000000"/>
          <w:u w:val="single"/>
        </w:rPr>
        <w:t>Allgemeines Ziel und vorgeschlagene Maßnahmen:</w:t>
      </w:r>
    </w:p>
    <w:p w14:paraId="1C49FE13" w14:textId="77777777" w:rsidR="00757858" w:rsidRPr="00435E2A" w:rsidRDefault="00757858" w:rsidP="006E65D5">
      <w:pPr>
        <w:spacing w:after="0" w:line="288" w:lineRule="auto"/>
        <w:jc w:val="both"/>
        <w:rPr>
          <w:rFonts w:ascii="Times New Roman" w:hAnsi="Times New Roman" w:cs="Times New Roman"/>
          <w:lang w:val="en-GB"/>
        </w:rPr>
      </w:pPr>
    </w:p>
    <w:p w14:paraId="5DA4D958" w14:textId="641AF0FB" w:rsidR="00534D87" w:rsidRPr="00435E2A" w:rsidRDefault="00EA2053" w:rsidP="006E65D5">
      <w:pPr>
        <w:spacing w:after="0" w:line="288" w:lineRule="auto"/>
        <w:jc w:val="both"/>
        <w:rPr>
          <w:rFonts w:ascii="Times New Roman" w:hAnsi="Times New Roman" w:cs="Times New Roman"/>
        </w:rPr>
      </w:pPr>
      <w:r>
        <w:rPr>
          <w:rFonts w:ascii="Times New Roman" w:hAnsi="Times New Roman"/>
        </w:rPr>
        <w:t xml:space="preserve">Die Ständige Arbeitsgruppe für nachhaltige Lebensmittelsysteme wird unter anderem einen Beitrag zur politischen Priorität 3 des Arbeitsprogramms der Fachgruppe NAT, nämlich zur </w:t>
      </w:r>
      <w:r>
        <w:rPr>
          <w:rFonts w:ascii="Times New Roman" w:hAnsi="Times New Roman"/>
          <w:b/>
          <w:bCs/>
        </w:rPr>
        <w:t>Förderung einer umfassenden Lebensmittelpolitik – auf dem Weg zu einer nachhaltigeren Gemeinsamen Agrarpolitik (GAP) und Gemeinsamen Fischereipolitik (GFP)</w:t>
      </w:r>
      <w:r>
        <w:rPr>
          <w:rFonts w:ascii="Times New Roman" w:hAnsi="Times New Roman"/>
        </w:rPr>
        <w:t xml:space="preserve">, sowie zu einer nachhaltigen ländlichen/städtischen Entwicklung leisten. Die enge Zusammenarbeit mit der Beobachtungsstelle für nachhaltige Entwicklung wird aufrechterhalten und verstärkt, wobei ein besonderer Schwerpunkt auf dem Nachhaltigkeitsziel 2 (kein Hunger) liegt. Im Rahmen der kontinuierlichen Bemühungen des EWSA, die Stimme der jungen Europäerinnen und Europäer auf strukturierte und sinnvolle Weise stärker in seine Arbeit und in den Beschlussfassungsprozess der EU einzubeziehen, könnten auch Synergien </w:t>
      </w:r>
      <w:proofErr w:type="gramStart"/>
      <w:r>
        <w:rPr>
          <w:rFonts w:ascii="Times New Roman" w:hAnsi="Times New Roman"/>
        </w:rPr>
        <w:t>mit der Ad</w:t>
      </w:r>
      <w:proofErr w:type="gramEnd"/>
      <w:r>
        <w:rPr>
          <w:rFonts w:ascii="Times New Roman" w:hAnsi="Times New Roman"/>
        </w:rPr>
        <w:t>‑hoc-Gruppe „Jugend“ des EWSA und den nationalen Jugendverbänden der FAO in der EU ausgelotet werden. Der EWSA könnte als Forum für den Austausch zwischen diesen Gruppen dienen.</w:t>
      </w:r>
    </w:p>
    <w:p w14:paraId="726EFC06" w14:textId="77777777" w:rsidR="00614988" w:rsidRPr="00435E2A" w:rsidRDefault="00614988" w:rsidP="00FA1D41">
      <w:pPr>
        <w:spacing w:after="0" w:line="288" w:lineRule="auto"/>
        <w:jc w:val="both"/>
        <w:rPr>
          <w:rFonts w:ascii="Times New Roman" w:hAnsi="Times New Roman" w:cs="Times New Roman"/>
          <w:lang w:val="en-GB"/>
        </w:rPr>
      </w:pPr>
    </w:p>
    <w:p w14:paraId="058922FB" w14:textId="4248BFEC" w:rsidR="00757858" w:rsidRPr="00435E2A" w:rsidRDefault="00FA1D41" w:rsidP="00FA1D41">
      <w:pPr>
        <w:spacing w:after="0" w:line="288" w:lineRule="auto"/>
        <w:jc w:val="both"/>
        <w:rPr>
          <w:rFonts w:ascii="Times New Roman" w:hAnsi="Times New Roman" w:cs="Times New Roman"/>
        </w:rPr>
      </w:pPr>
      <w:r>
        <w:rPr>
          <w:rFonts w:ascii="Times New Roman" w:hAnsi="Times New Roman"/>
        </w:rPr>
        <w:t>Um sicherzustellen, dass ihre Botschaft wirksam vermittelt wird und zu greifbaren Ergebnissen führt, muss die Arbeit der Ständigen Arbeitsgruppe stark realitätsbezogen sein. Von der Ständigen Arbeitsgruppe wird erwartet, dass sie durch die sinnvolle Einbeziehung eines breiten und ausgewogenen Spektrums von Akteuren, die alle einschlägigen Perspektiven vertreten, in systematischer, transparenter und kohärenter Weise neue Ideen vorlegt.</w:t>
      </w:r>
    </w:p>
    <w:p w14:paraId="4A3D0537" w14:textId="77777777" w:rsidR="00614988" w:rsidRPr="00435E2A" w:rsidRDefault="00614988" w:rsidP="00FA1D41">
      <w:pPr>
        <w:spacing w:after="0" w:line="288" w:lineRule="auto"/>
        <w:jc w:val="both"/>
        <w:rPr>
          <w:rFonts w:ascii="Times New Roman" w:hAnsi="Times New Roman" w:cs="Times New Roman"/>
          <w:lang w:val="en-GB"/>
        </w:rPr>
      </w:pPr>
    </w:p>
    <w:p w14:paraId="5843A033" w14:textId="7BF7A416" w:rsidR="00B7335B" w:rsidRDefault="008908CB" w:rsidP="00FA1D41">
      <w:pPr>
        <w:spacing w:after="0" w:line="288" w:lineRule="auto"/>
        <w:jc w:val="both"/>
        <w:rPr>
          <w:rFonts w:ascii="Times New Roman" w:hAnsi="Times New Roman"/>
        </w:rPr>
      </w:pPr>
      <w:r>
        <w:rPr>
          <w:rFonts w:ascii="Times New Roman" w:hAnsi="Times New Roman"/>
        </w:rPr>
        <w:t xml:space="preserve">Genauer gesagt wird die Arbeit der Ständigen Arbeitsgruppe auf folgende Bereiche ausgerichtet: </w:t>
      </w:r>
    </w:p>
    <w:p w14:paraId="185E9EC0" w14:textId="77777777" w:rsidR="00643D18" w:rsidRPr="00435E2A" w:rsidRDefault="00643D18" w:rsidP="00FA1D41">
      <w:pPr>
        <w:spacing w:after="0" w:line="288" w:lineRule="auto"/>
        <w:jc w:val="both"/>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3048"/>
        <w:gridCol w:w="6012"/>
      </w:tblGrid>
      <w:tr w:rsidR="00474652" w:rsidRPr="00435E2A" w14:paraId="285B8AA2" w14:textId="77777777" w:rsidTr="00643D18">
        <w:tc>
          <w:tcPr>
            <w:tcW w:w="3048" w:type="dxa"/>
          </w:tcPr>
          <w:p w14:paraId="4863594D" w14:textId="665EDAA6" w:rsidR="00474652" w:rsidRPr="00435E2A" w:rsidRDefault="00E9753A" w:rsidP="006E65D5">
            <w:pPr>
              <w:spacing w:line="288" w:lineRule="auto"/>
              <w:rPr>
                <w:rFonts w:ascii="Times New Roman" w:hAnsi="Times New Roman" w:cs="Times New Roman"/>
                <w:b/>
                <w:highlight w:val="yellow"/>
              </w:rPr>
            </w:pPr>
            <w:r>
              <w:rPr>
                <w:rFonts w:ascii="Times New Roman" w:hAnsi="Times New Roman"/>
                <w:b/>
              </w:rPr>
              <w:t>Förderung produktiver, wettbewerbsfähiger, nachhaltiger, resilienter, regenerativer und gerechterer Lebensmittelsysteme auf der Grundlage eines pragmatischen und realistischen Ansatzes</w:t>
            </w:r>
          </w:p>
        </w:tc>
        <w:tc>
          <w:tcPr>
            <w:tcW w:w="6012" w:type="dxa"/>
          </w:tcPr>
          <w:p w14:paraId="2D4667F0" w14:textId="20CDC218" w:rsidR="00333FD0" w:rsidRPr="00435E2A" w:rsidRDefault="0032383C" w:rsidP="00F21B82">
            <w:pPr>
              <w:pStyle w:val="ListParagraph"/>
              <w:numPr>
                <w:ilvl w:val="0"/>
                <w:numId w:val="27"/>
              </w:numPr>
              <w:spacing w:after="120" w:line="288" w:lineRule="auto"/>
              <w:ind w:left="387" w:hanging="357"/>
              <w:contextualSpacing w:val="0"/>
              <w:jc w:val="both"/>
              <w:rPr>
                <w:rFonts w:ascii="Times New Roman" w:hAnsi="Times New Roman" w:cs="Times New Roman"/>
              </w:rPr>
            </w:pPr>
            <w:r>
              <w:rPr>
                <w:rFonts w:ascii="Times New Roman" w:hAnsi="Times New Roman"/>
              </w:rPr>
              <w:t xml:space="preserve">Förderung und Erörterung auf interinstitutioneller Ebene durch thematische Debatten in Sitzungen der Ständigen Arbeitsgruppe und Beiträge zu Stellungnahmen der Fachgruppe NAT zu Aspekten wie </w:t>
            </w:r>
            <w:r>
              <w:rPr>
                <w:rFonts w:ascii="Times New Roman" w:hAnsi="Times New Roman"/>
                <w:b/>
              </w:rPr>
              <w:t>regenerative Formen der Landwirtschaft</w:t>
            </w:r>
            <w:r>
              <w:rPr>
                <w:rFonts w:ascii="Times New Roman" w:hAnsi="Times New Roman"/>
              </w:rPr>
              <w:t xml:space="preserve">, Überarbeitung der </w:t>
            </w:r>
            <w:r>
              <w:rPr>
                <w:rFonts w:ascii="Times New Roman" w:hAnsi="Times New Roman"/>
                <w:b/>
              </w:rPr>
              <w:t>Richtlinie über unlautere Handelspraktiken</w:t>
            </w:r>
            <w:r>
              <w:rPr>
                <w:rFonts w:ascii="Times New Roman" w:hAnsi="Times New Roman"/>
              </w:rPr>
              <w:t xml:space="preserve"> und Möglichkeiten zur Bekämpfung der ungleichen Machtverteilung in der Kette und des Marktmissbrauchs, </w:t>
            </w:r>
            <w:r>
              <w:rPr>
                <w:rFonts w:ascii="Times New Roman" w:hAnsi="Times New Roman"/>
                <w:b/>
              </w:rPr>
              <w:t>EU-Strategie für die Eiweißversorgung</w:t>
            </w:r>
            <w:r>
              <w:rPr>
                <w:rFonts w:ascii="Times New Roman" w:hAnsi="Times New Roman"/>
              </w:rPr>
              <w:t xml:space="preserve"> </w:t>
            </w:r>
            <w:r>
              <w:rPr>
                <w:rFonts w:ascii="Times New Roman" w:hAnsi="Times New Roman"/>
                <w:color w:val="000000"/>
              </w:rPr>
              <w:t xml:space="preserve">(aufbauend auf der früheren Forderung des EWSA nach einer europäischen Eiweißstrategie, einer Priorität, die nun in der Vision anerkannt wird), langfristige </w:t>
            </w:r>
            <w:r>
              <w:rPr>
                <w:rFonts w:ascii="Times New Roman" w:hAnsi="Times New Roman"/>
                <w:b/>
                <w:color w:val="000000"/>
              </w:rPr>
              <w:t>Strategie für Nutztiere</w:t>
            </w:r>
            <w:r>
              <w:rPr>
                <w:rFonts w:ascii="Times New Roman" w:hAnsi="Times New Roman"/>
                <w:color w:val="000000"/>
              </w:rPr>
              <w:t xml:space="preserve"> und </w:t>
            </w:r>
            <w:r>
              <w:rPr>
                <w:rFonts w:ascii="Times New Roman" w:hAnsi="Times New Roman"/>
                <w:b/>
                <w:color w:val="000000"/>
              </w:rPr>
              <w:t>Dekarbonisierung des Agrar- und Lebensmittelsektors</w:t>
            </w:r>
            <w:r>
              <w:rPr>
                <w:rFonts w:ascii="Times New Roman" w:hAnsi="Times New Roman"/>
                <w:color w:val="000000"/>
              </w:rPr>
              <w:t>;</w:t>
            </w:r>
            <w:r>
              <w:rPr>
                <w:rFonts w:ascii="Times New Roman" w:hAnsi="Times New Roman"/>
                <w:b/>
                <w:color w:val="000000"/>
              </w:rPr>
              <w:t xml:space="preserve"> </w:t>
            </w:r>
          </w:p>
          <w:p w14:paraId="59D1AE4C" w14:textId="04033818" w:rsidR="00295CFF" w:rsidRPr="00435E2A" w:rsidRDefault="0032383C" w:rsidP="00F21B82">
            <w:pPr>
              <w:pStyle w:val="ListParagraph"/>
              <w:numPr>
                <w:ilvl w:val="0"/>
                <w:numId w:val="27"/>
              </w:numPr>
              <w:spacing w:after="120" w:line="288" w:lineRule="auto"/>
              <w:ind w:left="387" w:hanging="357"/>
              <w:contextualSpacing w:val="0"/>
              <w:jc w:val="both"/>
              <w:rPr>
                <w:rFonts w:ascii="Times New Roman" w:hAnsi="Times New Roman" w:cs="Times New Roman"/>
              </w:rPr>
            </w:pPr>
            <w:r>
              <w:rPr>
                <w:rFonts w:ascii="Times New Roman" w:hAnsi="Times New Roman"/>
              </w:rPr>
              <w:t xml:space="preserve">Fortführung des Einsatzes für eine </w:t>
            </w:r>
            <w:r>
              <w:rPr>
                <w:rFonts w:ascii="Times New Roman" w:hAnsi="Times New Roman"/>
                <w:b/>
              </w:rPr>
              <w:t>umfassende Lebensmittelpolitik</w:t>
            </w:r>
            <w:r>
              <w:rPr>
                <w:rFonts w:ascii="Times New Roman" w:hAnsi="Times New Roman"/>
              </w:rPr>
              <w:t xml:space="preserve">, mit der Folgendes sichergestellt wird: faire Lieferketten, menschenwürdige Arbeits- und Lebensbedingungen (einschließlich der psychischen Gesundheit), nachhaltige Lebensmittelerzeugung und </w:t>
            </w:r>
            <w:r w:rsidR="00643D18">
              <w:rPr>
                <w:rFonts w:ascii="Times New Roman" w:hAnsi="Times New Roman"/>
                <w:vertAlign w:val="subscript"/>
              </w:rPr>
              <w:noBreakHyphen/>
            </w:r>
            <w:proofErr w:type="spellStart"/>
            <w:r>
              <w:rPr>
                <w:rFonts w:ascii="Times New Roman" w:hAnsi="Times New Roman"/>
              </w:rPr>
              <w:t>verarbeitung</w:t>
            </w:r>
            <w:proofErr w:type="spellEnd"/>
            <w:r>
              <w:rPr>
                <w:rFonts w:ascii="Times New Roman" w:hAnsi="Times New Roman"/>
              </w:rPr>
              <w:t xml:space="preserve">, gesunde Ernährung, gerechtes </w:t>
            </w:r>
            <w:r>
              <w:rPr>
                <w:rFonts w:ascii="Times New Roman" w:hAnsi="Times New Roman"/>
              </w:rPr>
              <w:lastRenderedPageBreak/>
              <w:t xml:space="preserve">Einkommen und erschwingliche Lebensmittelpreise, das Recht auf Nahrung und eine stärkere Verhandlungsposition für die am stärksten gefährdeten Akteure in der Lebensmittelkette, Arbeit an nachhaltigen Lebensmittelverpackungen und Tierschutz; </w:t>
            </w:r>
          </w:p>
          <w:p w14:paraId="2050D826" w14:textId="0128D11C" w:rsidR="000943CA" w:rsidRPr="00435E2A" w:rsidRDefault="000943CA" w:rsidP="00F21B82">
            <w:pPr>
              <w:pStyle w:val="ListParagraph"/>
              <w:numPr>
                <w:ilvl w:val="0"/>
                <w:numId w:val="27"/>
              </w:numPr>
              <w:spacing w:after="120" w:line="288" w:lineRule="auto"/>
              <w:ind w:left="387" w:hanging="357"/>
              <w:contextualSpacing w:val="0"/>
              <w:jc w:val="both"/>
              <w:rPr>
                <w:rFonts w:ascii="Times New Roman" w:hAnsi="Times New Roman" w:cs="Times New Roman"/>
              </w:rPr>
            </w:pPr>
            <w:r>
              <w:rPr>
                <w:rFonts w:ascii="Times New Roman" w:hAnsi="Times New Roman"/>
              </w:rPr>
              <w:t>Fortsetzung der Untersuchung der sozialen Dimension nachhaltiger Lebensmittelsysteme, wobei der Schwerpunkt auf den Arbeitsbedingungen, der psychischen Gesundheit von Landwirten und Arbeitnehmern, der Gleichstellung der Geschlechter und der Stärkung der Position junger Menschen in ländlichen Gebieten und Küstengebieten liegen sollte. Faire und stabile Einkommen sind nach wie vor eine Voraussetzung für die langfristige Lebensfähigkeit und soziale Legitimität des Sektors;</w:t>
            </w:r>
          </w:p>
          <w:p w14:paraId="74B87ABA" w14:textId="05BD281C" w:rsidR="00F21B82" w:rsidRPr="00435E2A" w:rsidRDefault="00295CFF" w:rsidP="00F21B82">
            <w:pPr>
              <w:pStyle w:val="ListParagraph"/>
              <w:numPr>
                <w:ilvl w:val="0"/>
                <w:numId w:val="27"/>
              </w:numPr>
              <w:spacing w:after="120" w:line="288" w:lineRule="auto"/>
              <w:ind w:left="387" w:hanging="357"/>
              <w:contextualSpacing w:val="0"/>
              <w:jc w:val="both"/>
              <w:rPr>
                <w:rFonts w:ascii="Times New Roman" w:hAnsi="Times New Roman" w:cs="Times New Roman"/>
              </w:rPr>
            </w:pPr>
            <w:r>
              <w:rPr>
                <w:rFonts w:ascii="Times New Roman" w:hAnsi="Times New Roman"/>
              </w:rPr>
              <w:t>Erörterung der Entwicklungen in Bezug auf die nächste GAP unter Berücksichtigung der gesamten Lebensmittelversorgungskette im Rahmen von Anhörungen in Sitzungen der Ständigen Arbeitsgruppe und Bekanntmachung der Empfehlungen des EWSA an die Europäische Kommission im Zusammenhang mit dem neuen mehrjährigen Finanzrahmen unter Hinweis auf das Missverhältnis zwischen den Herausforderungen, mit denen der Sektor konfrontiert ist, und der Tatsache, dass der vorgeschlagene Haushaltsrahmen für die GAP geringer ist als der derzeitige Haushalt;</w:t>
            </w:r>
          </w:p>
          <w:p w14:paraId="7AA10A7D" w14:textId="143F3409" w:rsidR="00F21B82" w:rsidRPr="00435E2A" w:rsidRDefault="00333FD0" w:rsidP="00F21B82">
            <w:pPr>
              <w:pStyle w:val="ListParagraph"/>
              <w:numPr>
                <w:ilvl w:val="0"/>
                <w:numId w:val="27"/>
              </w:numPr>
              <w:spacing w:after="120" w:line="288" w:lineRule="auto"/>
              <w:ind w:left="387"/>
              <w:contextualSpacing w:val="0"/>
              <w:jc w:val="both"/>
              <w:rPr>
                <w:rFonts w:ascii="Times New Roman" w:hAnsi="Times New Roman" w:cs="Times New Roman"/>
              </w:rPr>
            </w:pPr>
            <w:r>
              <w:rPr>
                <w:rFonts w:ascii="Times New Roman" w:hAnsi="Times New Roman"/>
              </w:rPr>
              <w:t xml:space="preserve">Arbeiten zur </w:t>
            </w:r>
            <w:r>
              <w:rPr>
                <w:rFonts w:ascii="Times New Roman" w:hAnsi="Times New Roman"/>
                <w:b/>
              </w:rPr>
              <w:t>Änderung der Wahrnehmung</w:t>
            </w:r>
            <w:r>
              <w:rPr>
                <w:rFonts w:ascii="Times New Roman" w:hAnsi="Times New Roman"/>
              </w:rPr>
              <w:t xml:space="preserve"> </w:t>
            </w:r>
            <w:r>
              <w:rPr>
                <w:rFonts w:ascii="Times New Roman" w:hAnsi="Times New Roman"/>
                <w:b/>
              </w:rPr>
              <w:t>der Landwirtschaft</w:t>
            </w:r>
            <w:r>
              <w:rPr>
                <w:rFonts w:ascii="Times New Roman" w:hAnsi="Times New Roman"/>
              </w:rPr>
              <w:t xml:space="preserve"> durch Wiederherstellung eines faktengestützten und ausgewogenen öffentlichen Diskurses, unter anderem durch Hervorhebung der positiven Aspekte der GAP. Gerechte und stabile landwirtschaftliche Einkommen sind von entscheidender Bedeutung, um den Sektor insbesondere für junge Menschen attraktiv zu machen (</w:t>
            </w:r>
            <w:r>
              <w:rPr>
                <w:rFonts w:ascii="Times New Roman" w:hAnsi="Times New Roman"/>
                <w:b/>
              </w:rPr>
              <w:t>Generationswechsel</w:t>
            </w:r>
            <w:r>
              <w:rPr>
                <w:rFonts w:ascii="Times New Roman" w:hAnsi="Times New Roman"/>
              </w:rPr>
              <w:t>) und seine langfristige Lebensfähigkeit sicherzustellen. Landwirte werden allzu oft negativ dargestellt, insbesondere als Umweltfeinde, während Falschinformationen wie unwahre Behauptungen über den Anteil der GAP am EU-Haushalt nach wie vor das Image und die Glaubwürdigkeit des Sektors untergraben;</w:t>
            </w:r>
          </w:p>
          <w:p w14:paraId="74C9AA80" w14:textId="66368B3F" w:rsidR="000943CA" w:rsidRPr="00435E2A" w:rsidRDefault="00C5244C" w:rsidP="009219A7">
            <w:pPr>
              <w:pStyle w:val="ListParagraph"/>
              <w:numPr>
                <w:ilvl w:val="0"/>
                <w:numId w:val="27"/>
              </w:numPr>
              <w:spacing w:after="120" w:line="288" w:lineRule="auto"/>
              <w:ind w:left="387"/>
              <w:contextualSpacing w:val="0"/>
              <w:jc w:val="both"/>
              <w:rPr>
                <w:rFonts w:ascii="Times New Roman" w:hAnsi="Times New Roman" w:cs="Times New Roman"/>
              </w:rPr>
            </w:pPr>
            <w:r>
              <w:rPr>
                <w:rFonts w:ascii="Times New Roman" w:hAnsi="Times New Roman"/>
              </w:rPr>
              <w:t xml:space="preserve">Beitrag zu den Arbeiten des EWSA zur </w:t>
            </w:r>
            <w:r>
              <w:rPr>
                <w:rFonts w:ascii="Times New Roman" w:hAnsi="Times New Roman"/>
                <w:b/>
              </w:rPr>
              <w:t>Überarbeitung der Richtlinie über die Vergabe öffentlicher Aufträge</w:t>
            </w:r>
            <w:r>
              <w:rPr>
                <w:rFonts w:ascii="Times New Roman" w:hAnsi="Times New Roman"/>
              </w:rPr>
              <w:t xml:space="preserve"> (Teil „Lebensmittelbeschaffung“);</w:t>
            </w:r>
          </w:p>
          <w:p w14:paraId="2665BEF5" w14:textId="2A8B8ACF" w:rsidR="00295CFF" w:rsidRPr="00435E2A" w:rsidRDefault="00F21B82" w:rsidP="00295CFF">
            <w:pPr>
              <w:pStyle w:val="ListParagraph"/>
              <w:numPr>
                <w:ilvl w:val="0"/>
                <w:numId w:val="27"/>
              </w:numPr>
              <w:spacing w:after="120" w:line="288" w:lineRule="auto"/>
              <w:ind w:left="387"/>
              <w:contextualSpacing w:val="0"/>
              <w:jc w:val="both"/>
              <w:rPr>
                <w:rFonts w:ascii="Times New Roman" w:hAnsi="Times New Roman" w:cs="Times New Roman"/>
              </w:rPr>
            </w:pPr>
            <w:r>
              <w:rPr>
                <w:rFonts w:ascii="Times New Roman" w:hAnsi="Times New Roman"/>
              </w:rPr>
              <w:t xml:space="preserve">Sondierung von Möglichkeiten zur wirksamen Bekämpfung der </w:t>
            </w:r>
            <w:r>
              <w:rPr>
                <w:rFonts w:ascii="Times New Roman" w:hAnsi="Times New Roman"/>
                <w:b/>
              </w:rPr>
              <w:t>Lebensmittelverschwendung</w:t>
            </w:r>
            <w:r>
              <w:rPr>
                <w:rFonts w:ascii="Times New Roman" w:hAnsi="Times New Roman"/>
              </w:rPr>
              <w:t xml:space="preserve"> und Ermittlung bewährter </w:t>
            </w:r>
            <w:r>
              <w:rPr>
                <w:rFonts w:ascii="Times New Roman" w:hAnsi="Times New Roman"/>
              </w:rPr>
              <w:lastRenderedPageBreak/>
              <w:t xml:space="preserve">Verfahren im Einklang mit Lebensmittelspenden und kreislauforientierten Ansätzen; aktivere Beteiligung an der Europäischen Plattform für Lebensmittelverluste und </w:t>
            </w:r>
            <w:r w:rsidR="00643D18">
              <w:rPr>
                <w:rFonts w:ascii="Times New Roman" w:hAnsi="Times New Roman"/>
              </w:rPr>
              <w:noBreakHyphen/>
            </w:r>
            <w:proofErr w:type="spellStart"/>
            <w:r>
              <w:rPr>
                <w:rFonts w:ascii="Times New Roman" w:hAnsi="Times New Roman"/>
              </w:rPr>
              <w:t>verschwendung</w:t>
            </w:r>
            <w:proofErr w:type="spellEnd"/>
            <w:r>
              <w:rPr>
                <w:rFonts w:ascii="Times New Roman" w:hAnsi="Times New Roman"/>
              </w:rPr>
              <w:t>;</w:t>
            </w:r>
          </w:p>
        </w:tc>
      </w:tr>
      <w:tr w:rsidR="00474652" w:rsidRPr="00435E2A" w14:paraId="2755EA2A" w14:textId="77777777" w:rsidTr="00643D18">
        <w:trPr>
          <w:cantSplit/>
        </w:trPr>
        <w:tc>
          <w:tcPr>
            <w:tcW w:w="3048" w:type="dxa"/>
          </w:tcPr>
          <w:p w14:paraId="3B623BE5" w14:textId="013C685E" w:rsidR="000E5751" w:rsidRPr="00435E2A" w:rsidRDefault="00474652" w:rsidP="000E5751">
            <w:pPr>
              <w:spacing w:line="288" w:lineRule="auto"/>
              <w:rPr>
                <w:rFonts w:ascii="Times New Roman" w:hAnsi="Times New Roman" w:cs="Times New Roman"/>
                <w:b/>
                <w:highlight w:val="yellow"/>
              </w:rPr>
            </w:pPr>
            <w:r>
              <w:rPr>
                <w:rFonts w:ascii="Times New Roman" w:hAnsi="Times New Roman"/>
                <w:b/>
              </w:rPr>
              <w:lastRenderedPageBreak/>
              <w:t>Stärkung der Ernährungssouveränität, der Krisenvorsorge, der Ernährungssicherheit und der strategischen Autonomie der EU im Kontext des internationalen Handels</w:t>
            </w:r>
          </w:p>
        </w:tc>
        <w:tc>
          <w:tcPr>
            <w:tcW w:w="6012" w:type="dxa"/>
          </w:tcPr>
          <w:p w14:paraId="7A418558" w14:textId="5C27BD48" w:rsidR="00F21B82" w:rsidRPr="00435E2A" w:rsidRDefault="00373A0C" w:rsidP="00F21B82">
            <w:pPr>
              <w:pStyle w:val="Default"/>
              <w:numPr>
                <w:ilvl w:val="0"/>
                <w:numId w:val="4"/>
              </w:numPr>
              <w:spacing w:after="120" w:line="288" w:lineRule="auto"/>
              <w:ind w:left="357" w:hanging="357"/>
              <w:jc w:val="both"/>
              <w:rPr>
                <w:sz w:val="22"/>
                <w:szCs w:val="22"/>
              </w:rPr>
            </w:pPr>
            <w:r>
              <w:rPr>
                <w:sz w:val="22"/>
              </w:rPr>
              <w:t>Analyse der Entwicklung des Agrar- und Lebensmittelsektors angesichts des geopolitischen Kontexts (Einfuhren/Ausfuhren mit der Ukraine) und internationaler Handelsabkommen, z. B. mit dem Mercosur (Angleichung der Einfuhrstandards an die EU</w:t>
            </w:r>
            <w:r w:rsidR="00643D18">
              <w:rPr>
                <w:sz w:val="22"/>
              </w:rPr>
              <w:noBreakHyphen/>
            </w:r>
            <w:r>
              <w:rPr>
                <w:sz w:val="22"/>
              </w:rPr>
              <w:t>Produktionsstandards/tatsächliche Gegenseitigkeit der Standards);</w:t>
            </w:r>
          </w:p>
          <w:p w14:paraId="7C582BC0" w14:textId="00431E6F" w:rsidR="00474652" w:rsidRPr="00435E2A" w:rsidRDefault="00F21B82" w:rsidP="00F21B82">
            <w:pPr>
              <w:pStyle w:val="Default"/>
              <w:numPr>
                <w:ilvl w:val="0"/>
                <w:numId w:val="4"/>
              </w:numPr>
              <w:spacing w:after="120" w:line="288" w:lineRule="auto"/>
              <w:ind w:left="357" w:hanging="357"/>
              <w:jc w:val="both"/>
              <w:rPr>
                <w:sz w:val="22"/>
                <w:szCs w:val="22"/>
              </w:rPr>
            </w:pPr>
            <w:r>
              <w:rPr>
                <w:sz w:val="22"/>
              </w:rPr>
              <w:t>Prüfung von Instrumenten und Mitteln für das Risikomanagement angesichts der Marktvolatilität und anderer Arten von Marktstörungen; Integration von Lieferketten für nachhaltige Modelle (insbesondere für Kleinlandwirte); Sicherstellung der Wettbewerbsfähigkeit und Vorsorge des Agrar- und Lebensmittelsektors der EU;</w:t>
            </w:r>
          </w:p>
          <w:p w14:paraId="42A0A139" w14:textId="00C8402F" w:rsidR="001C3697" w:rsidRPr="00435E2A" w:rsidRDefault="004C300F" w:rsidP="007D7711">
            <w:pPr>
              <w:pStyle w:val="Default"/>
              <w:numPr>
                <w:ilvl w:val="0"/>
                <w:numId w:val="4"/>
              </w:numPr>
              <w:spacing w:after="120" w:line="288" w:lineRule="auto"/>
              <w:ind w:left="357" w:hanging="357"/>
              <w:jc w:val="both"/>
              <w:rPr>
                <w:sz w:val="22"/>
                <w:szCs w:val="22"/>
              </w:rPr>
            </w:pPr>
            <w:r>
              <w:rPr>
                <w:sz w:val="22"/>
              </w:rPr>
              <w:t xml:space="preserve">Förderung von mehr Transparenz und Rückverfolgbarkeit entlang der gesamten Lebensmittelkette und Fortführung des Einsatzes gegen die </w:t>
            </w:r>
            <w:r>
              <w:rPr>
                <w:b/>
                <w:sz w:val="22"/>
              </w:rPr>
              <w:t>Finanzialisierung des Lebensmittelsektors</w:t>
            </w:r>
            <w:r>
              <w:rPr>
                <w:sz w:val="22"/>
              </w:rPr>
              <w:t xml:space="preserve">, die zu Spekulationen mit Lebensmittelpreisen führt; </w:t>
            </w:r>
          </w:p>
        </w:tc>
      </w:tr>
      <w:tr w:rsidR="00474652" w:rsidRPr="00435E2A" w14:paraId="3DBAD0CC" w14:textId="77777777" w:rsidTr="00643D18">
        <w:trPr>
          <w:cantSplit/>
        </w:trPr>
        <w:tc>
          <w:tcPr>
            <w:tcW w:w="3048" w:type="dxa"/>
          </w:tcPr>
          <w:p w14:paraId="1DD2CA0E" w14:textId="70322DAE" w:rsidR="00E9753A" w:rsidRPr="00435E2A" w:rsidRDefault="00474652" w:rsidP="00333FD0">
            <w:pPr>
              <w:pStyle w:val="Default"/>
            </w:pPr>
            <w:r>
              <w:rPr>
                <w:b/>
                <w:sz w:val="22"/>
              </w:rPr>
              <w:lastRenderedPageBreak/>
              <w:t xml:space="preserve">Stärkung der Fischerei und des Sektors der blauen Lebensmittel – hin zu einer nachhaltigen Fischerei und Aquakultur </w:t>
            </w:r>
          </w:p>
          <w:p w14:paraId="09467D3C" w14:textId="3A9E4E2F" w:rsidR="00474652" w:rsidRPr="00435E2A" w:rsidRDefault="00474652" w:rsidP="00474652">
            <w:pPr>
              <w:spacing w:line="288" w:lineRule="auto"/>
              <w:rPr>
                <w:rFonts w:ascii="Times New Roman" w:hAnsi="Times New Roman" w:cs="Times New Roman"/>
                <w:b/>
                <w:lang w:val="en-GB"/>
              </w:rPr>
            </w:pPr>
          </w:p>
        </w:tc>
        <w:tc>
          <w:tcPr>
            <w:tcW w:w="6012" w:type="dxa"/>
          </w:tcPr>
          <w:p w14:paraId="5D9F0B4E" w14:textId="23E0A854" w:rsidR="00E9753A" w:rsidRPr="00435E2A" w:rsidRDefault="00333FD0" w:rsidP="00132957">
            <w:pPr>
              <w:pStyle w:val="ListParagraph"/>
              <w:numPr>
                <w:ilvl w:val="0"/>
                <w:numId w:val="4"/>
              </w:numPr>
              <w:spacing w:after="120" w:line="288" w:lineRule="auto"/>
              <w:ind w:left="357" w:hanging="357"/>
              <w:jc w:val="both"/>
              <w:rPr>
                <w:rFonts w:ascii="Times New Roman" w:hAnsi="Times New Roman" w:cs="Times New Roman"/>
              </w:rPr>
            </w:pPr>
            <w:r>
              <w:rPr>
                <w:rFonts w:ascii="Times New Roman" w:hAnsi="Times New Roman"/>
              </w:rPr>
              <w:t xml:space="preserve">Verbesserung der Sichtbarkeit des Fischerei- und Aquakultursektors durch gezielte Debatten in den Sitzungen der Ständigen Arbeitsgruppe, um die wichtigsten Themen des Sektors anzusprechen, z. B. faire Einkommen für Fischer, die Notwendigkeit einer Vereinfachung des Sektors, Fischereierzeugnisse in der gesamten EU und unlauterer Wettbewerb mit Drittländern (70 % der Erzeugnisse werden eingeführt) sowie Erwärmung der Gewässer (Verlagerung der Bestände nach Norden) und Klimawandel; </w:t>
            </w:r>
          </w:p>
          <w:p w14:paraId="52D6976A" w14:textId="75630F0B" w:rsidR="007D7711" w:rsidRPr="00435E2A" w:rsidRDefault="00132957" w:rsidP="00643D18">
            <w:pPr>
              <w:numPr>
                <w:ilvl w:val="0"/>
                <w:numId w:val="4"/>
              </w:numPr>
              <w:autoSpaceDE w:val="0"/>
              <w:autoSpaceDN w:val="0"/>
              <w:adjustRightInd w:val="0"/>
              <w:spacing w:after="120" w:line="288" w:lineRule="auto"/>
              <w:ind w:left="357" w:hanging="357"/>
              <w:jc w:val="both"/>
              <w:rPr>
                <w:rFonts w:ascii="Times New Roman" w:hAnsi="Times New Roman" w:cs="Times New Roman"/>
              </w:rPr>
            </w:pPr>
            <w:r>
              <w:rPr>
                <w:rFonts w:ascii="Times New Roman" w:hAnsi="Times New Roman"/>
              </w:rPr>
              <w:t xml:space="preserve">Beitrag zur Entwicklung einer </w:t>
            </w:r>
            <w:r>
              <w:rPr>
                <w:rFonts w:ascii="Times New Roman" w:hAnsi="Times New Roman"/>
                <w:b/>
              </w:rPr>
              <w:t>umfassenden Vision der EU</w:t>
            </w:r>
            <w:r>
              <w:rPr>
                <w:rFonts w:ascii="Times New Roman" w:hAnsi="Times New Roman"/>
              </w:rPr>
              <w:t>, mit der ein gerechter Übergang für den Sektor gefördert und gleichzeitig der Generationswechsel und die Dekarbonisierung vorangetrieben (</w:t>
            </w:r>
            <w:r>
              <w:rPr>
                <w:rFonts w:ascii="Times New Roman" w:hAnsi="Times New Roman"/>
                <w:color w:val="000000"/>
              </w:rPr>
              <w:t>im Zusammenhang mit der anstehenden Bewertung der GFP, die in eine Vision für Fischerei und Aquakultur für 2040 einfließen wird) sowie</w:t>
            </w:r>
            <w:r>
              <w:rPr>
                <w:rFonts w:ascii="Times New Roman" w:hAnsi="Times New Roman"/>
              </w:rPr>
              <w:t xml:space="preserve"> Chancen für ländliche Gebiete und Küstengebiete geschaffen werden; </w:t>
            </w:r>
          </w:p>
          <w:p w14:paraId="703F0BF6" w14:textId="1765A20A" w:rsidR="00E9753A" w:rsidRPr="00435E2A" w:rsidRDefault="007D7711" w:rsidP="00643D18">
            <w:pPr>
              <w:numPr>
                <w:ilvl w:val="0"/>
                <w:numId w:val="4"/>
              </w:numPr>
              <w:autoSpaceDE w:val="0"/>
              <w:autoSpaceDN w:val="0"/>
              <w:adjustRightInd w:val="0"/>
              <w:spacing w:after="120" w:line="288" w:lineRule="auto"/>
              <w:ind w:left="357" w:hanging="357"/>
              <w:jc w:val="both"/>
              <w:rPr>
                <w:rFonts w:ascii="Times New Roman" w:hAnsi="Times New Roman" w:cs="Times New Roman"/>
              </w:rPr>
            </w:pPr>
            <w:r>
              <w:rPr>
                <w:rFonts w:ascii="Times New Roman" w:hAnsi="Times New Roman"/>
              </w:rPr>
              <w:t xml:space="preserve">Beitrag zum Aktionsplan für blaue Lebensmittel und zur Stärkung der Ernährungssicherheit und der strategischen Autonomie unter Hervorhebung der Tatsache, wie gesund, nahrhaft und nachhaltig diese Erzeugnisse sind; </w:t>
            </w:r>
          </w:p>
        </w:tc>
      </w:tr>
      <w:tr w:rsidR="00474652" w:rsidRPr="00435E2A" w14:paraId="1D1FB32D" w14:textId="77777777" w:rsidTr="00643D18">
        <w:trPr>
          <w:cantSplit/>
        </w:trPr>
        <w:tc>
          <w:tcPr>
            <w:tcW w:w="3048" w:type="dxa"/>
          </w:tcPr>
          <w:p w14:paraId="26262AED" w14:textId="74451DFE" w:rsidR="00474652" w:rsidRPr="00435E2A" w:rsidRDefault="00474652" w:rsidP="006E65D5">
            <w:pPr>
              <w:spacing w:line="288" w:lineRule="auto"/>
              <w:rPr>
                <w:rFonts w:ascii="Times New Roman" w:hAnsi="Times New Roman" w:cs="Times New Roman"/>
                <w:b/>
                <w:highlight w:val="yellow"/>
              </w:rPr>
            </w:pPr>
            <w:r>
              <w:rPr>
                <w:rFonts w:ascii="Times New Roman" w:hAnsi="Times New Roman"/>
                <w:b/>
              </w:rPr>
              <w:t>Verknüpfung der Lebensmittelsysteme mit Umwelt, Klima, den Nachhaltigkeitszielen und der Agenda 2030</w:t>
            </w:r>
          </w:p>
        </w:tc>
        <w:tc>
          <w:tcPr>
            <w:tcW w:w="6012" w:type="dxa"/>
          </w:tcPr>
          <w:p w14:paraId="63D954BD" w14:textId="7B89F80B" w:rsidR="00521764" w:rsidRPr="00435E2A" w:rsidRDefault="00521764" w:rsidP="00521764">
            <w:pPr>
              <w:pStyle w:val="ListParagraph"/>
              <w:numPr>
                <w:ilvl w:val="0"/>
                <w:numId w:val="30"/>
              </w:numPr>
              <w:spacing w:after="120" w:line="288" w:lineRule="auto"/>
              <w:ind w:left="357" w:hanging="357"/>
              <w:contextualSpacing w:val="0"/>
              <w:jc w:val="both"/>
              <w:rPr>
                <w:rFonts w:ascii="Times New Roman" w:hAnsi="Times New Roman" w:cs="Times New Roman"/>
              </w:rPr>
            </w:pPr>
            <w:r>
              <w:rPr>
                <w:rFonts w:ascii="Times New Roman" w:hAnsi="Times New Roman"/>
              </w:rPr>
              <w:t>Enge Zusammenarbeit mit der Beobachtungsstelle für nachhaltige Entwicklung (gemeinsame Sitzungen) mit besonderem Schwerpunkt auf dem Nachhaltigkeitsziel 2; Bewertung der Fortschritte und Ermittlung von Lücken auf dem Weg der EU zu gerechteren, inklusiveren und nachhaltigeren Lebensmittelsystemen im Einklang mit der Agenda 2030 und den Zielen für nachhaltige Entwicklung;</w:t>
            </w:r>
          </w:p>
          <w:p w14:paraId="7284AF6C" w14:textId="621C3309" w:rsidR="00E9753A" w:rsidRPr="00435E2A" w:rsidRDefault="00910DC2" w:rsidP="0003203D">
            <w:pPr>
              <w:pStyle w:val="ListParagraph"/>
              <w:numPr>
                <w:ilvl w:val="0"/>
                <w:numId w:val="30"/>
              </w:numPr>
              <w:spacing w:after="120" w:line="288" w:lineRule="auto"/>
              <w:ind w:left="357" w:hanging="357"/>
              <w:contextualSpacing w:val="0"/>
              <w:jc w:val="both"/>
              <w:rPr>
                <w:rFonts w:ascii="Times New Roman" w:hAnsi="Times New Roman" w:cs="Times New Roman"/>
              </w:rPr>
            </w:pPr>
            <w:r>
              <w:rPr>
                <w:rFonts w:ascii="Times New Roman" w:hAnsi="Times New Roman"/>
              </w:rPr>
              <w:t xml:space="preserve">Analyse der Szenarien im Bericht der Gemeinsamen Forschungsstelle mit dem Titel </w:t>
            </w:r>
            <w:hyperlink r:id="rId16" w:history="1">
              <w:r>
                <w:rPr>
                  <w:rStyle w:val="Hyperlink"/>
                  <w:rFonts w:ascii="Times New Roman" w:hAnsi="Times New Roman"/>
                  <w:i/>
                  <w:iCs/>
                </w:rPr>
                <w:t xml:space="preserve">EU </w:t>
              </w:r>
              <w:proofErr w:type="spellStart"/>
              <w:r>
                <w:rPr>
                  <w:rStyle w:val="Hyperlink"/>
                  <w:rFonts w:ascii="Times New Roman" w:hAnsi="Times New Roman"/>
                  <w:i/>
                  <w:iCs/>
                </w:rPr>
                <w:t>agriculture</w:t>
              </w:r>
              <w:proofErr w:type="spellEnd"/>
              <w:r>
                <w:rPr>
                  <w:rStyle w:val="Hyperlink"/>
                  <w:rFonts w:ascii="Times New Roman" w:hAnsi="Times New Roman"/>
                  <w:i/>
                  <w:iCs/>
                </w:rPr>
                <w:t xml:space="preserve"> 2040: </w:t>
              </w:r>
              <w:proofErr w:type="spellStart"/>
              <w:r>
                <w:rPr>
                  <w:rStyle w:val="Hyperlink"/>
                  <w:rFonts w:ascii="Times New Roman" w:hAnsi="Times New Roman"/>
                  <w:i/>
                  <w:iCs/>
                </w:rPr>
                <w:t>no</w:t>
              </w:r>
              <w:proofErr w:type="spellEnd"/>
              <w:r>
                <w:rPr>
                  <w:rStyle w:val="Hyperlink"/>
                  <w:rFonts w:ascii="Times New Roman" w:hAnsi="Times New Roman"/>
                  <w:i/>
                  <w:iCs/>
                </w:rPr>
                <w:t xml:space="preserve"> easy fix </w:t>
              </w:r>
              <w:proofErr w:type="spellStart"/>
              <w:r>
                <w:rPr>
                  <w:rStyle w:val="Hyperlink"/>
                  <w:rFonts w:ascii="Times New Roman" w:hAnsi="Times New Roman"/>
                  <w:i/>
                  <w:iCs/>
                </w:rPr>
                <w:t>for</w:t>
              </w:r>
              <w:proofErr w:type="spellEnd"/>
              <w:r>
                <w:rPr>
                  <w:rStyle w:val="Hyperlink"/>
                  <w:rFonts w:ascii="Times New Roman" w:hAnsi="Times New Roman"/>
                  <w:i/>
                  <w:iCs/>
                </w:rPr>
                <w:t xml:space="preserve"> environmental and </w:t>
              </w:r>
              <w:proofErr w:type="spellStart"/>
              <w:r>
                <w:rPr>
                  <w:rStyle w:val="Hyperlink"/>
                  <w:rFonts w:ascii="Times New Roman" w:hAnsi="Times New Roman"/>
                  <w:i/>
                  <w:iCs/>
                </w:rPr>
                <w:t>socio-economic</w:t>
              </w:r>
              <w:proofErr w:type="spellEnd"/>
              <w:r>
                <w:rPr>
                  <w:rStyle w:val="Hyperlink"/>
                  <w:rFonts w:ascii="Times New Roman" w:hAnsi="Times New Roman"/>
                  <w:i/>
                  <w:iCs/>
                </w:rPr>
                <w:t xml:space="preserve"> </w:t>
              </w:r>
              <w:proofErr w:type="spellStart"/>
              <w:r>
                <w:rPr>
                  <w:rStyle w:val="Hyperlink"/>
                  <w:rFonts w:ascii="Times New Roman" w:hAnsi="Times New Roman"/>
                  <w:i/>
                  <w:iCs/>
                </w:rPr>
                <w:t>aspects</w:t>
              </w:r>
              <w:proofErr w:type="spellEnd"/>
              <w:r>
                <w:rPr>
                  <w:rStyle w:val="Hyperlink"/>
                  <w:rFonts w:ascii="Times New Roman" w:hAnsi="Times New Roman"/>
                  <w:i/>
                  <w:iCs/>
                </w:rPr>
                <w:t xml:space="preserve">, </w:t>
              </w:r>
              <w:proofErr w:type="spellStart"/>
              <w:r>
                <w:rPr>
                  <w:rStyle w:val="Hyperlink"/>
                  <w:rFonts w:ascii="Times New Roman" w:hAnsi="Times New Roman"/>
                  <w:i/>
                  <w:iCs/>
                </w:rPr>
                <w:t>including</w:t>
              </w:r>
              <w:proofErr w:type="spellEnd"/>
              <w:r>
                <w:rPr>
                  <w:rStyle w:val="Hyperlink"/>
                  <w:rFonts w:ascii="Times New Roman" w:hAnsi="Times New Roman"/>
                  <w:i/>
                  <w:iCs/>
                </w:rPr>
                <w:t xml:space="preserve"> on </w:t>
              </w:r>
              <w:proofErr w:type="spellStart"/>
              <w:r>
                <w:rPr>
                  <w:rStyle w:val="Hyperlink"/>
                  <w:rFonts w:ascii="Times New Roman" w:hAnsi="Times New Roman"/>
                  <w:i/>
                  <w:iCs/>
                </w:rPr>
                <w:t>carbon-efficient</w:t>
              </w:r>
              <w:proofErr w:type="spellEnd"/>
              <w:r>
                <w:rPr>
                  <w:rStyle w:val="Hyperlink"/>
                  <w:rFonts w:ascii="Times New Roman" w:hAnsi="Times New Roman"/>
                  <w:i/>
                  <w:iCs/>
                </w:rPr>
                <w:t xml:space="preserve"> </w:t>
              </w:r>
              <w:proofErr w:type="spellStart"/>
              <w:r>
                <w:rPr>
                  <w:rStyle w:val="Hyperlink"/>
                  <w:rFonts w:ascii="Times New Roman" w:hAnsi="Times New Roman"/>
                  <w:i/>
                  <w:iCs/>
                </w:rPr>
                <w:t>farming</w:t>
              </w:r>
              <w:proofErr w:type="spellEnd"/>
            </w:hyperlink>
            <w:r>
              <w:rPr>
                <w:rFonts w:ascii="Times New Roman" w:hAnsi="Times New Roman"/>
              </w:rPr>
              <w:t xml:space="preserve"> (EU-Landwirtschaft 2040: keine einfache Lösung für ökologische und sozioökonomische Aspekte, einschließlich einer CO</w:t>
            </w:r>
            <w:r>
              <w:rPr>
                <w:rFonts w:ascii="Times New Roman" w:hAnsi="Times New Roman"/>
                <w:vertAlign w:val="subscript"/>
              </w:rPr>
              <w:t>2</w:t>
            </w:r>
            <w:r>
              <w:rPr>
                <w:rFonts w:ascii="Times New Roman" w:hAnsi="Times New Roman"/>
              </w:rPr>
              <w:t xml:space="preserve">-effizienten Landwirtschaft); </w:t>
            </w:r>
          </w:p>
          <w:p w14:paraId="21498929" w14:textId="0A2FD16E" w:rsidR="000943CA" w:rsidRPr="00435E2A" w:rsidRDefault="000943CA" w:rsidP="0003203D">
            <w:pPr>
              <w:pStyle w:val="ListParagraph"/>
              <w:numPr>
                <w:ilvl w:val="0"/>
                <w:numId w:val="30"/>
              </w:numPr>
              <w:spacing w:after="120" w:line="288" w:lineRule="auto"/>
              <w:ind w:left="357" w:hanging="357"/>
              <w:contextualSpacing w:val="0"/>
              <w:jc w:val="both"/>
              <w:rPr>
                <w:rFonts w:ascii="Times New Roman" w:hAnsi="Times New Roman" w:cs="Times New Roman"/>
              </w:rPr>
            </w:pPr>
            <w:r>
              <w:rPr>
                <w:rFonts w:ascii="Times New Roman" w:hAnsi="Times New Roman"/>
              </w:rPr>
              <w:t xml:space="preserve">Sicherstellung, dass die Prioritäten dieser Gruppe mit der </w:t>
            </w:r>
            <w:r>
              <w:rPr>
                <w:rFonts w:ascii="Times New Roman" w:hAnsi="Times New Roman"/>
                <w:b/>
              </w:rPr>
              <w:t>Wasserrahmenrichtlinie</w:t>
            </w:r>
            <w:r>
              <w:rPr>
                <w:rFonts w:ascii="Times New Roman" w:hAnsi="Times New Roman"/>
              </w:rPr>
              <w:t xml:space="preserve"> im Einklang stehen (Überarbeitung voraussichtlich im zweiten Quartal 2026);</w:t>
            </w:r>
          </w:p>
        </w:tc>
      </w:tr>
      <w:tr w:rsidR="00474652" w:rsidRPr="00435E2A" w14:paraId="4CE025C4" w14:textId="77777777" w:rsidTr="00643D18">
        <w:trPr>
          <w:cantSplit/>
        </w:trPr>
        <w:tc>
          <w:tcPr>
            <w:tcW w:w="3048" w:type="dxa"/>
          </w:tcPr>
          <w:p w14:paraId="0EB19B08" w14:textId="54C33E3A" w:rsidR="00474652" w:rsidRPr="00435E2A" w:rsidRDefault="0003203D" w:rsidP="006E65D5">
            <w:pPr>
              <w:spacing w:line="288" w:lineRule="auto"/>
              <w:rPr>
                <w:rFonts w:ascii="Times New Roman" w:hAnsi="Times New Roman" w:cs="Times New Roman"/>
                <w:b/>
                <w:highlight w:val="yellow"/>
              </w:rPr>
            </w:pPr>
            <w:r>
              <w:rPr>
                <w:rFonts w:ascii="Times New Roman" w:hAnsi="Times New Roman"/>
                <w:b/>
              </w:rPr>
              <w:lastRenderedPageBreak/>
              <w:t>Verknüpfung der Lebensmittelsysteme mit dem Konzept „Eine Gesundheit“ und Förderung einer Kennzeichnung nachhaltiger Lebensmittel, um die Verbraucherinnen und Verbraucher in die Lage zu versetzen, sich für nachhaltigere und gesündere Lebensmittel zu entscheiden („gesunde Ernährung“)</w:t>
            </w:r>
          </w:p>
        </w:tc>
        <w:tc>
          <w:tcPr>
            <w:tcW w:w="6012" w:type="dxa"/>
          </w:tcPr>
          <w:p w14:paraId="351FD480" w14:textId="36491855" w:rsidR="0003203D" w:rsidRPr="00435E2A" w:rsidRDefault="0003203D" w:rsidP="004521BA">
            <w:pPr>
              <w:pStyle w:val="ListParagraph"/>
              <w:numPr>
                <w:ilvl w:val="0"/>
                <w:numId w:val="4"/>
              </w:numPr>
              <w:spacing w:after="120" w:line="288" w:lineRule="auto"/>
              <w:ind w:left="357" w:hanging="357"/>
              <w:jc w:val="both"/>
              <w:rPr>
                <w:rFonts w:ascii="Times New Roman" w:hAnsi="Times New Roman" w:cs="Times New Roman"/>
              </w:rPr>
            </w:pPr>
            <w:r>
              <w:rPr>
                <w:rFonts w:ascii="Times New Roman" w:hAnsi="Times New Roman"/>
              </w:rPr>
              <w:t xml:space="preserve">Stärkung des Zusammenhangs zwischen Ernährung und Gesundheit: Einbeziehung des Konzepts „Eine Gesundheit“ in Ernährungsgewohnheiten, gesunde Ernährung, Krankheitsprävention, psychische Gesundheit und die </w:t>
            </w:r>
            <w:r>
              <w:rPr>
                <w:rFonts w:ascii="Times New Roman" w:hAnsi="Times New Roman"/>
                <w:color w:val="000000"/>
              </w:rPr>
              <w:t>Prävention von Zoonosen und antimikrobieller Resistenzen;</w:t>
            </w:r>
          </w:p>
          <w:p w14:paraId="208B0409" w14:textId="2FB69627" w:rsidR="00D03B2B" w:rsidRPr="00435E2A" w:rsidRDefault="004521BA" w:rsidP="004521BA">
            <w:pPr>
              <w:pStyle w:val="ListParagraph"/>
              <w:numPr>
                <w:ilvl w:val="0"/>
                <w:numId w:val="4"/>
              </w:numPr>
              <w:spacing w:after="120" w:line="288" w:lineRule="auto"/>
              <w:ind w:left="357" w:hanging="357"/>
              <w:jc w:val="both"/>
              <w:rPr>
                <w:rFonts w:ascii="Times New Roman" w:hAnsi="Times New Roman" w:cs="Times New Roman"/>
              </w:rPr>
            </w:pPr>
            <w:r>
              <w:rPr>
                <w:rFonts w:ascii="Times New Roman" w:hAnsi="Times New Roman"/>
              </w:rPr>
              <w:t>Fokus auf die Verbraucherseite durch die Arbeit an folgenden Themen: Vorschlag für eine Verordnung betreffend die Information der Verbraucher über Lebensmittel, der von der Kommission noch veröffentlicht werden muss, Informationen über die Herkunft von Lebensmitteln als Instrument für nachhaltige und gesunde Lebensmittelsysteme, Nachhaltigkeitskennzeichnung und Sensibilisierung der Verbraucherinnen und Verbraucher für nachhaltige Lebensmittel (einschließlich Fischereierzeugnissen), Stärkung der Rolle der Bio-Zertifizierung und der geografischen Angaben sowie der Frage, wie diese Sektoren als Richtschnur genutzt werden können, Untersuchung, wie Preisänderungen die Entscheidungen der Verbraucherinnen und Verbraucher beeinflussen und wie sie mit dem Ziel einer nachhaltigen Ernährung im Einklang stehen;</w:t>
            </w:r>
          </w:p>
          <w:p w14:paraId="4E95335C" w14:textId="19CB7ED5" w:rsidR="004521BA" w:rsidRPr="00435E2A" w:rsidRDefault="00C2269C" w:rsidP="004521BA">
            <w:pPr>
              <w:pStyle w:val="ListParagraph"/>
              <w:numPr>
                <w:ilvl w:val="0"/>
                <w:numId w:val="4"/>
              </w:numPr>
              <w:spacing w:after="120" w:line="288" w:lineRule="auto"/>
              <w:ind w:left="357" w:hanging="357"/>
              <w:jc w:val="both"/>
              <w:rPr>
                <w:rFonts w:ascii="Times New Roman" w:hAnsi="Times New Roman" w:cs="Times New Roman"/>
              </w:rPr>
            </w:pPr>
            <w:r>
              <w:rPr>
                <w:rFonts w:ascii="Times New Roman" w:hAnsi="Times New Roman"/>
              </w:rPr>
              <w:t xml:space="preserve">Bewertung der Umsetzung der Kampagne der Kommission „Kaufe europäische Lebensmittel“; </w:t>
            </w:r>
          </w:p>
        </w:tc>
      </w:tr>
      <w:tr w:rsidR="00474652" w:rsidRPr="00435E2A" w14:paraId="79FCD611" w14:textId="77777777" w:rsidTr="00643D18">
        <w:trPr>
          <w:cantSplit/>
        </w:trPr>
        <w:tc>
          <w:tcPr>
            <w:tcW w:w="3048" w:type="dxa"/>
          </w:tcPr>
          <w:p w14:paraId="38B500F4" w14:textId="6928CDBD" w:rsidR="00474652" w:rsidRPr="00435E2A" w:rsidRDefault="00085668" w:rsidP="006E65D5">
            <w:pPr>
              <w:spacing w:line="288" w:lineRule="auto"/>
              <w:rPr>
                <w:rFonts w:ascii="Times New Roman" w:hAnsi="Times New Roman" w:cs="Times New Roman"/>
                <w:b/>
              </w:rPr>
            </w:pPr>
            <w:r>
              <w:rPr>
                <w:rFonts w:ascii="Times New Roman" w:hAnsi="Times New Roman"/>
                <w:b/>
              </w:rPr>
              <w:t>Nachhaltige Entwicklung von Stadt und Land</w:t>
            </w:r>
          </w:p>
        </w:tc>
        <w:tc>
          <w:tcPr>
            <w:tcW w:w="6012" w:type="dxa"/>
          </w:tcPr>
          <w:p w14:paraId="12F2719A" w14:textId="2A43613A" w:rsidR="00474652" w:rsidRPr="00435E2A" w:rsidRDefault="00440C1D" w:rsidP="00474652">
            <w:pPr>
              <w:pStyle w:val="ListParagraph"/>
              <w:numPr>
                <w:ilvl w:val="0"/>
                <w:numId w:val="4"/>
              </w:numPr>
              <w:spacing w:after="240" w:line="288" w:lineRule="auto"/>
              <w:jc w:val="both"/>
              <w:rPr>
                <w:rFonts w:ascii="Times New Roman" w:hAnsi="Times New Roman" w:cs="Times New Roman"/>
              </w:rPr>
            </w:pPr>
            <w:r>
              <w:rPr>
                <w:rFonts w:ascii="Times New Roman" w:hAnsi="Times New Roman"/>
              </w:rPr>
              <w:t xml:space="preserve">Beitrag zum aktualisierten </w:t>
            </w:r>
            <w:r>
              <w:rPr>
                <w:rFonts w:ascii="Times New Roman" w:hAnsi="Times New Roman"/>
                <w:b/>
              </w:rPr>
              <w:t>Aktionsplan für den ländlichen Raum</w:t>
            </w:r>
            <w:r>
              <w:rPr>
                <w:rFonts w:ascii="Times New Roman" w:hAnsi="Times New Roman"/>
              </w:rPr>
              <w:t>, wie in der Vision angekündigt, unter Berücksichtigung der Rolle nachhaltiger Lebensmittelsysteme für eine nachhaltige Entwicklung des ländlichen und städtischen Raums;</w:t>
            </w:r>
          </w:p>
        </w:tc>
      </w:tr>
      <w:tr w:rsidR="00474652" w:rsidRPr="00435E2A" w14:paraId="23A353B4" w14:textId="77777777" w:rsidTr="00643D18">
        <w:trPr>
          <w:cantSplit/>
        </w:trPr>
        <w:tc>
          <w:tcPr>
            <w:tcW w:w="3048" w:type="dxa"/>
          </w:tcPr>
          <w:p w14:paraId="1B646204" w14:textId="4D621A27" w:rsidR="00474652" w:rsidRPr="00435E2A" w:rsidRDefault="00281960" w:rsidP="006E65D5">
            <w:pPr>
              <w:spacing w:line="288" w:lineRule="auto"/>
              <w:rPr>
                <w:rFonts w:ascii="Times New Roman" w:hAnsi="Times New Roman" w:cs="Times New Roman"/>
                <w:b/>
              </w:rPr>
            </w:pPr>
            <w:r>
              <w:rPr>
                <w:rFonts w:ascii="Times New Roman" w:hAnsi="Times New Roman"/>
                <w:b/>
              </w:rPr>
              <w:t>Bewertung neuer nachhaltiger Technologien und Förderung der Bildung</w:t>
            </w:r>
          </w:p>
        </w:tc>
        <w:tc>
          <w:tcPr>
            <w:tcW w:w="6012" w:type="dxa"/>
          </w:tcPr>
          <w:p w14:paraId="3B4D1EDD" w14:textId="15AC764F" w:rsidR="00D03B2B" w:rsidRPr="00435E2A" w:rsidRDefault="00281960" w:rsidP="00D03B2B">
            <w:pPr>
              <w:pStyle w:val="ListParagraph"/>
              <w:numPr>
                <w:ilvl w:val="0"/>
                <w:numId w:val="4"/>
              </w:numPr>
              <w:spacing w:after="120" w:line="288" w:lineRule="auto"/>
              <w:ind w:left="357" w:hanging="357"/>
              <w:jc w:val="both"/>
              <w:rPr>
                <w:rFonts w:ascii="Times New Roman" w:hAnsi="Times New Roman" w:cs="Times New Roman"/>
              </w:rPr>
            </w:pPr>
            <w:r>
              <w:rPr>
                <w:rFonts w:ascii="Times New Roman" w:hAnsi="Times New Roman"/>
              </w:rPr>
              <w:t xml:space="preserve">Bewertung neuer Technologien (z. B. intelligente Landwirtschaft, digitale Technologien, Potenzial und Schwächen der künstlichen Intelligenz usw.) im Hinblick auf Produktivität, Nachhaltigkeit und Wettbewerbsfähigkeit und damit zusammenhängende EU-Initiativen wie die künftige </w:t>
            </w:r>
            <w:r>
              <w:rPr>
                <w:rFonts w:ascii="Times New Roman" w:hAnsi="Times New Roman"/>
                <w:b/>
              </w:rPr>
              <w:t>Digitalstrategie der EU für die Landwirtschaft</w:t>
            </w:r>
            <w:r>
              <w:rPr>
                <w:rFonts w:ascii="Times New Roman" w:hAnsi="Times New Roman"/>
              </w:rPr>
              <w:t xml:space="preserve">; </w:t>
            </w:r>
          </w:p>
          <w:p w14:paraId="72FD9FB1" w14:textId="14437391" w:rsidR="000943CA" w:rsidRPr="00435E2A" w:rsidRDefault="00D03B2B" w:rsidP="00860AE8">
            <w:pPr>
              <w:pStyle w:val="ListParagraph"/>
              <w:numPr>
                <w:ilvl w:val="0"/>
                <w:numId w:val="4"/>
              </w:numPr>
              <w:spacing w:after="120" w:line="288" w:lineRule="auto"/>
              <w:ind w:left="357" w:hanging="357"/>
              <w:jc w:val="both"/>
              <w:rPr>
                <w:rFonts w:ascii="Times New Roman" w:hAnsi="Times New Roman" w:cs="Times New Roman"/>
              </w:rPr>
            </w:pPr>
            <w:r>
              <w:rPr>
                <w:rFonts w:ascii="Times New Roman" w:hAnsi="Times New Roman"/>
              </w:rPr>
              <w:t>Befassung mit der Frage der Kompetenzen in dem Sektor und der Art und Weise, wie sie erworben werden können;</w:t>
            </w:r>
          </w:p>
          <w:p w14:paraId="7510E162" w14:textId="1006DED2" w:rsidR="009404A5" w:rsidRPr="00435E2A" w:rsidRDefault="009404A5" w:rsidP="00643D18">
            <w:pPr>
              <w:pStyle w:val="ListParagraph"/>
              <w:numPr>
                <w:ilvl w:val="0"/>
                <w:numId w:val="4"/>
              </w:numPr>
              <w:spacing w:after="120" w:line="288" w:lineRule="auto"/>
              <w:ind w:left="357" w:hanging="357"/>
              <w:jc w:val="both"/>
              <w:rPr>
                <w:rFonts w:ascii="Times New Roman" w:hAnsi="Times New Roman" w:cs="Times New Roman"/>
              </w:rPr>
            </w:pPr>
            <w:r>
              <w:rPr>
                <w:rFonts w:ascii="Times New Roman" w:hAnsi="Times New Roman"/>
              </w:rPr>
              <w:t>Prüfung von Instrumenten wie dem Nachhaltigkeitskompass für landwirtschaftliche Betriebe und dem Benchmarking zur Verbesserung der Nachhaltigkeit landwirtschaftlicher Betriebe;</w:t>
            </w:r>
          </w:p>
        </w:tc>
      </w:tr>
      <w:tr w:rsidR="00085668" w:rsidRPr="00435E2A" w14:paraId="50CC753C" w14:textId="77777777" w:rsidTr="00643D18">
        <w:trPr>
          <w:cantSplit/>
        </w:trPr>
        <w:tc>
          <w:tcPr>
            <w:tcW w:w="3048" w:type="dxa"/>
          </w:tcPr>
          <w:p w14:paraId="549A6B48" w14:textId="77777777" w:rsidR="00085668" w:rsidRPr="00435E2A" w:rsidRDefault="00085668" w:rsidP="00085668">
            <w:pPr>
              <w:spacing w:line="288" w:lineRule="auto"/>
              <w:rPr>
                <w:rFonts w:ascii="Times New Roman" w:hAnsi="Times New Roman" w:cs="Times New Roman"/>
                <w:b/>
              </w:rPr>
            </w:pPr>
            <w:r>
              <w:rPr>
                <w:rFonts w:ascii="Times New Roman" w:hAnsi="Times New Roman"/>
                <w:b/>
              </w:rPr>
              <w:lastRenderedPageBreak/>
              <w:t>Aktive und sinnvolle Beteiligung an europäischen und internationalen Foren/Plattformen – Stärkung und Aufbau von Synergien</w:t>
            </w:r>
          </w:p>
          <w:p w14:paraId="5C630A3C" w14:textId="77777777" w:rsidR="00085668" w:rsidRPr="00435E2A" w:rsidRDefault="00085668" w:rsidP="00085668">
            <w:pPr>
              <w:spacing w:line="288" w:lineRule="auto"/>
              <w:rPr>
                <w:rFonts w:ascii="Times New Roman" w:hAnsi="Times New Roman" w:cs="Times New Roman"/>
                <w:b/>
                <w:lang w:val="en-GB"/>
              </w:rPr>
            </w:pPr>
          </w:p>
        </w:tc>
        <w:tc>
          <w:tcPr>
            <w:tcW w:w="6012" w:type="dxa"/>
          </w:tcPr>
          <w:p w14:paraId="43127CC7" w14:textId="46D89656" w:rsidR="00085668" w:rsidRPr="00435E2A" w:rsidRDefault="00085668" w:rsidP="00085668">
            <w:pPr>
              <w:pStyle w:val="ListParagraph"/>
              <w:numPr>
                <w:ilvl w:val="0"/>
                <w:numId w:val="5"/>
              </w:numPr>
              <w:spacing w:after="120" w:line="288" w:lineRule="auto"/>
              <w:ind w:left="357" w:hanging="357"/>
              <w:jc w:val="both"/>
              <w:rPr>
                <w:rFonts w:ascii="Times New Roman" w:hAnsi="Times New Roman" w:cs="Times New Roman"/>
                <w:b/>
              </w:rPr>
            </w:pPr>
            <w:r>
              <w:rPr>
                <w:rFonts w:ascii="Times New Roman" w:hAnsi="Times New Roman"/>
              </w:rPr>
              <w:t xml:space="preserve">Aktive Beteiligung an den jährlichen </w:t>
            </w:r>
            <w:r>
              <w:rPr>
                <w:rFonts w:ascii="Times New Roman" w:hAnsi="Times New Roman"/>
                <w:b/>
              </w:rPr>
              <w:t>Lebensmitteldialogen</w:t>
            </w:r>
            <w:r>
              <w:rPr>
                <w:rFonts w:ascii="Times New Roman" w:hAnsi="Times New Roman"/>
              </w:rPr>
              <w:t xml:space="preserve"> der Kommission durch vorbereitende Debatten;</w:t>
            </w:r>
          </w:p>
          <w:p w14:paraId="3749AD0B" w14:textId="7688F4F9" w:rsidR="00085668" w:rsidRPr="00435E2A" w:rsidRDefault="00085668" w:rsidP="00085668">
            <w:pPr>
              <w:pStyle w:val="ListParagraph"/>
              <w:numPr>
                <w:ilvl w:val="0"/>
                <w:numId w:val="5"/>
              </w:numPr>
              <w:spacing w:after="120" w:line="288" w:lineRule="auto"/>
              <w:ind w:left="357" w:hanging="357"/>
              <w:jc w:val="both"/>
              <w:rPr>
                <w:rFonts w:ascii="Times New Roman" w:hAnsi="Times New Roman" w:cs="Times New Roman"/>
                <w:b/>
              </w:rPr>
            </w:pPr>
            <w:r>
              <w:rPr>
                <w:rFonts w:ascii="Times New Roman" w:hAnsi="Times New Roman"/>
              </w:rPr>
              <w:t xml:space="preserve">Beitrag zu den Folgemaßnahmen zu dem vom Generalsekretär der Vereinten Nationen einberufenen </w:t>
            </w:r>
            <w:r>
              <w:rPr>
                <w:rFonts w:ascii="Times New Roman" w:hAnsi="Times New Roman"/>
                <w:b/>
              </w:rPr>
              <w:t>Weltgipfel 2021 der Vereinten Nationen zu Ernährungssystemen</w:t>
            </w:r>
            <w:r>
              <w:rPr>
                <w:rFonts w:ascii="Times New Roman" w:hAnsi="Times New Roman"/>
              </w:rPr>
              <w:t xml:space="preserve"> durch die geplanten Bestandsaufnahmen, die alle zwei Jahre stattfinden; </w:t>
            </w:r>
          </w:p>
          <w:p w14:paraId="2080552A" w14:textId="52491C13" w:rsidR="00085668" w:rsidRPr="00435E2A" w:rsidRDefault="00085668" w:rsidP="00085668">
            <w:pPr>
              <w:pStyle w:val="ListParagraph"/>
              <w:numPr>
                <w:ilvl w:val="0"/>
                <w:numId w:val="5"/>
              </w:numPr>
              <w:spacing w:after="120" w:line="288" w:lineRule="auto"/>
              <w:ind w:left="357" w:hanging="357"/>
              <w:jc w:val="both"/>
              <w:rPr>
                <w:rFonts w:ascii="Times New Roman" w:hAnsi="Times New Roman" w:cs="Times New Roman"/>
                <w:b/>
              </w:rPr>
            </w:pPr>
            <w:r>
              <w:rPr>
                <w:rFonts w:ascii="Times New Roman" w:hAnsi="Times New Roman"/>
              </w:rPr>
              <w:t xml:space="preserve">Betonung, dass Lebensmittelsysteme bei den Vorbereitungen für die </w:t>
            </w:r>
            <w:r>
              <w:rPr>
                <w:rFonts w:ascii="Times New Roman" w:hAnsi="Times New Roman"/>
                <w:b/>
              </w:rPr>
              <w:t>COP über biologische Vielfalt</w:t>
            </w:r>
            <w:r>
              <w:rPr>
                <w:rFonts w:ascii="Times New Roman" w:hAnsi="Times New Roman"/>
              </w:rPr>
              <w:t xml:space="preserve"> </w:t>
            </w:r>
            <w:r>
              <w:rPr>
                <w:rFonts w:ascii="Times New Roman" w:hAnsi="Times New Roman"/>
                <w:b/>
              </w:rPr>
              <w:t>und Klima</w:t>
            </w:r>
            <w:r>
              <w:rPr>
                <w:rFonts w:ascii="Times New Roman" w:hAnsi="Times New Roman"/>
              </w:rPr>
              <w:t xml:space="preserve"> wichtig sind, z. B. durch die Zusammenarbeit mit der Ständigen Arbeitsgruppe zur COP bei Debatten, schriftlichen Beiträgen oder der Organisation von Nebenveranstaltungen; </w:t>
            </w:r>
          </w:p>
          <w:p w14:paraId="765001BF" w14:textId="7198D5C1" w:rsidR="00085668" w:rsidRPr="00435E2A" w:rsidRDefault="00085668" w:rsidP="00085668">
            <w:pPr>
              <w:pStyle w:val="ListParagraph"/>
              <w:numPr>
                <w:ilvl w:val="0"/>
                <w:numId w:val="5"/>
              </w:numPr>
              <w:spacing w:after="120" w:line="288" w:lineRule="auto"/>
              <w:ind w:left="357" w:hanging="357"/>
              <w:jc w:val="both"/>
              <w:rPr>
                <w:rFonts w:ascii="Times New Roman" w:hAnsi="Times New Roman" w:cs="Times New Roman"/>
                <w:b/>
              </w:rPr>
            </w:pPr>
            <w:r>
              <w:rPr>
                <w:rFonts w:ascii="Times New Roman" w:hAnsi="Times New Roman"/>
              </w:rPr>
              <w:t xml:space="preserve">Beteiligung an der </w:t>
            </w:r>
            <w:r>
              <w:rPr>
                <w:rFonts w:ascii="Times New Roman" w:hAnsi="Times New Roman"/>
                <w:b/>
              </w:rPr>
              <w:t>jährlichen Sitzung des Ausschusses der Vereinten Nationen für Welternährungssicherheit (CFS)</w:t>
            </w:r>
            <w:r>
              <w:rPr>
                <w:rFonts w:ascii="Times New Roman" w:hAnsi="Times New Roman"/>
              </w:rPr>
              <w:t>, bei der es sich um die wichtigste inklusive internationale und zwischenstaatliche Plattform handelt, die es allen Interessenträgern ermöglicht, zusammenzuarbeiten, um Ernährungssicherheit und Ernährung für alle zu gewährleisten, möglicherweise mit einem Beitrag ähnlich dem für die COP; Zusammenarbeit mit der Gruppe „Internationale Fragen zur Ernährung und Landwirtschaft“ des Rates, die u. a. für die Koordinierung und Vorbereitung der Standpunkte der EU für den CFS zuständig ist;</w:t>
            </w:r>
          </w:p>
          <w:p w14:paraId="76600640" w14:textId="77777777" w:rsidR="00085668" w:rsidRPr="00435E2A" w:rsidRDefault="00085668" w:rsidP="00085668">
            <w:pPr>
              <w:pStyle w:val="ListParagraph"/>
              <w:numPr>
                <w:ilvl w:val="0"/>
                <w:numId w:val="5"/>
              </w:numPr>
              <w:spacing w:after="120" w:line="288" w:lineRule="auto"/>
              <w:ind w:left="357" w:hanging="357"/>
              <w:jc w:val="both"/>
              <w:rPr>
                <w:rFonts w:ascii="Times New Roman" w:hAnsi="Times New Roman" w:cs="Times New Roman"/>
                <w:b/>
              </w:rPr>
            </w:pPr>
            <w:r>
              <w:rPr>
                <w:rFonts w:ascii="Times New Roman" w:hAnsi="Times New Roman"/>
              </w:rPr>
              <w:t xml:space="preserve">Teilnahme am </w:t>
            </w:r>
            <w:r>
              <w:rPr>
                <w:rFonts w:ascii="Times New Roman" w:hAnsi="Times New Roman"/>
                <w:b/>
              </w:rPr>
              <w:t>jährlichen Welternährungsforum</w:t>
            </w:r>
            <w:r>
              <w:rPr>
                <w:rFonts w:ascii="Times New Roman" w:hAnsi="Times New Roman"/>
              </w:rPr>
              <w:t>;</w:t>
            </w:r>
          </w:p>
          <w:p w14:paraId="5E8C8B64" w14:textId="32AE810C" w:rsidR="00085668" w:rsidRPr="00435E2A" w:rsidRDefault="00085668" w:rsidP="004521BA">
            <w:pPr>
              <w:pStyle w:val="ListParagraph"/>
              <w:numPr>
                <w:ilvl w:val="0"/>
                <w:numId w:val="5"/>
              </w:numPr>
              <w:spacing w:after="120" w:line="288" w:lineRule="auto"/>
              <w:jc w:val="both"/>
              <w:rPr>
                <w:rFonts w:ascii="Times New Roman" w:hAnsi="Times New Roman" w:cs="Times New Roman"/>
              </w:rPr>
            </w:pPr>
            <w:r>
              <w:rPr>
                <w:rFonts w:ascii="Times New Roman" w:hAnsi="Times New Roman"/>
              </w:rPr>
              <w:t xml:space="preserve">Verstärkung und Vertiefung der </w:t>
            </w:r>
            <w:r>
              <w:rPr>
                <w:rFonts w:ascii="Times New Roman" w:hAnsi="Times New Roman"/>
                <w:b/>
              </w:rPr>
              <w:t>Zusammenarbeit mit der FAO</w:t>
            </w:r>
            <w:r>
              <w:rPr>
                <w:rFonts w:ascii="Times New Roman" w:hAnsi="Times New Roman"/>
              </w:rPr>
              <w:t xml:space="preserve"> über den einmaligen Austausch, z. B. im Rahmen des CFS und des WFF, hinaus zu einem regelmäßigeren Austausch zwischen dem Vorsitzenden der Ständigen Arbeitsgruppe und den hochrangigen Vertretern der FAO, um die Entwicklungen in verschiedenen Foren besser zu gestalten.</w:t>
            </w:r>
          </w:p>
        </w:tc>
      </w:tr>
    </w:tbl>
    <w:p w14:paraId="277BB2C6" w14:textId="77777777" w:rsidR="00FB6675" w:rsidRPr="00435E2A" w:rsidRDefault="00FB6675" w:rsidP="006E65D5">
      <w:pPr>
        <w:spacing w:after="0" w:line="288" w:lineRule="auto"/>
        <w:jc w:val="both"/>
        <w:rPr>
          <w:rFonts w:ascii="Times New Roman" w:hAnsi="Times New Roman" w:cs="Times New Roman"/>
          <w:b/>
          <w:u w:val="single"/>
          <w:lang w:val="en-GB"/>
        </w:rPr>
      </w:pPr>
    </w:p>
    <w:p w14:paraId="4F8612D9" w14:textId="77777777" w:rsidR="00951B89" w:rsidRPr="00435E2A" w:rsidRDefault="00951B89" w:rsidP="006E65D5">
      <w:pPr>
        <w:keepNext/>
        <w:spacing w:after="0" w:line="288" w:lineRule="auto"/>
        <w:jc w:val="both"/>
        <w:rPr>
          <w:rFonts w:ascii="Times New Roman" w:hAnsi="Times New Roman" w:cs="Times New Roman"/>
          <w:b/>
          <w:u w:val="single"/>
        </w:rPr>
      </w:pPr>
      <w:r>
        <w:rPr>
          <w:rFonts w:ascii="Times New Roman" w:hAnsi="Times New Roman"/>
          <w:b/>
          <w:u w:val="single"/>
        </w:rPr>
        <w:t>Arbeitsweise:</w:t>
      </w:r>
    </w:p>
    <w:p w14:paraId="22DCC8DB" w14:textId="77777777" w:rsidR="00614988" w:rsidRPr="00435E2A" w:rsidRDefault="00614988" w:rsidP="006E65D5">
      <w:pPr>
        <w:spacing w:after="0" w:line="288" w:lineRule="auto"/>
        <w:jc w:val="both"/>
        <w:rPr>
          <w:rFonts w:ascii="Times New Roman" w:hAnsi="Times New Roman" w:cs="Times New Roman"/>
          <w:highlight w:val="yellow"/>
          <w:lang w:val="en-GB"/>
        </w:rPr>
      </w:pPr>
    </w:p>
    <w:p w14:paraId="0E43D5C2" w14:textId="73CFE095" w:rsidR="00951B89" w:rsidRPr="00435E2A" w:rsidRDefault="00951B89" w:rsidP="006E65D5">
      <w:pPr>
        <w:spacing w:after="0" w:line="288" w:lineRule="auto"/>
        <w:jc w:val="both"/>
        <w:rPr>
          <w:rFonts w:ascii="Times New Roman" w:hAnsi="Times New Roman" w:cs="Times New Roman"/>
        </w:rPr>
      </w:pPr>
      <w:r>
        <w:rPr>
          <w:rFonts w:ascii="Times New Roman" w:hAnsi="Times New Roman"/>
        </w:rPr>
        <w:t xml:space="preserve">Der Vorsitzende und die Mitglieder sowie das Sekretariat der Ständigen Arbeitsgruppe spielen bei der </w:t>
      </w:r>
      <w:r>
        <w:rPr>
          <w:rFonts w:ascii="Times New Roman" w:hAnsi="Times New Roman"/>
          <w:b/>
        </w:rPr>
        <w:t>gemeinsamen Gestaltung und Umsetzung</w:t>
      </w:r>
      <w:r>
        <w:rPr>
          <w:rFonts w:ascii="Times New Roman" w:hAnsi="Times New Roman"/>
        </w:rPr>
        <w:t xml:space="preserve"> der Tätigkeiten eine jeweils unterschiedliche, aber entscheidende Rolle. Der Vorsitzende und die Mitglieder der Ständigen Arbeitsgruppe treten als Fürsprecher für nachhaltige Lebensmittelsysteme auf und werden aufgefordert, sich zu passenden Anlässen </w:t>
      </w:r>
      <w:r>
        <w:rPr>
          <w:rFonts w:ascii="Times New Roman" w:hAnsi="Times New Roman"/>
          <w:b/>
        </w:rPr>
        <w:t>in den sozialen Medien</w:t>
      </w:r>
      <w:r>
        <w:rPr>
          <w:rFonts w:ascii="Times New Roman" w:hAnsi="Times New Roman"/>
        </w:rPr>
        <w:t xml:space="preserve"> (X, </w:t>
      </w:r>
      <w:proofErr w:type="spellStart"/>
      <w:r>
        <w:rPr>
          <w:rFonts w:ascii="Times New Roman" w:hAnsi="Times New Roman"/>
        </w:rPr>
        <w:t>BlueSky</w:t>
      </w:r>
      <w:proofErr w:type="spellEnd"/>
      <w:r>
        <w:rPr>
          <w:rFonts w:ascii="Times New Roman" w:hAnsi="Times New Roman"/>
        </w:rPr>
        <w:t xml:space="preserve">, Instagram) zu engagieren. Die Ständige Arbeitsgruppe wird auch </w:t>
      </w:r>
      <w:r>
        <w:rPr>
          <w:rFonts w:ascii="Times New Roman" w:hAnsi="Times New Roman"/>
          <w:b/>
        </w:rPr>
        <w:t>den Worten Taten folgen lassen</w:t>
      </w:r>
      <w:r>
        <w:rPr>
          <w:rFonts w:ascii="Times New Roman" w:hAnsi="Times New Roman"/>
        </w:rPr>
        <w:t xml:space="preserve">, wenn es um nachhaltige Arbeitsmethoden geht, indem sie die kontinuierliche Zusammenarbeit mit der Kommission, dem Ausschuss der Regionen und Organisationen der Zivilgesellschaft aus der gesamten Lebensmittelkette fortsetzt und dafür sorgt, dass ihre Veranstaltungen inklusiv sind, z. B. im Hinblick auf ein ausgewogenes Geschlechterverhältnis und die Beteiligung junger Menschen, und indem sie über die „Brüsseler Blase“ hinausgeht. </w:t>
      </w:r>
    </w:p>
    <w:p w14:paraId="5B6C242E" w14:textId="77777777" w:rsidR="00F5422D" w:rsidRPr="00435E2A" w:rsidRDefault="00F5422D" w:rsidP="006E65D5">
      <w:pPr>
        <w:spacing w:after="0" w:line="288" w:lineRule="auto"/>
        <w:jc w:val="both"/>
        <w:rPr>
          <w:rFonts w:ascii="Times New Roman" w:hAnsi="Times New Roman" w:cs="Times New Roman"/>
          <w:highlight w:val="yellow"/>
          <w:lang w:val="en-GB"/>
        </w:rPr>
      </w:pPr>
    </w:p>
    <w:p w14:paraId="5EB4D519" w14:textId="3C2630D1" w:rsidR="00951B89" w:rsidRPr="00435E2A" w:rsidRDefault="005312E3" w:rsidP="006E65D5">
      <w:pPr>
        <w:spacing w:after="0" w:line="288" w:lineRule="auto"/>
        <w:jc w:val="both"/>
        <w:rPr>
          <w:rFonts w:ascii="Times New Roman" w:hAnsi="Times New Roman" w:cs="Times New Roman"/>
        </w:rPr>
      </w:pPr>
      <w:r>
        <w:rPr>
          <w:rFonts w:ascii="Times New Roman" w:hAnsi="Times New Roman"/>
        </w:rPr>
        <w:t>Die nachhaltige Lebensmittelversorgung steht im Zusammenhang mit mehreren anderen Themen, mit denen sich die Fachgruppe NAT und andere Fachgruppen des EWSA bzw. die Beratende Kommission für den industriellen Wandel (CCMI) befassen. Der regelmäßige Austausch mit anderen Fachgruppen, Organen und Gruppen könnte ausgebaut werden.</w:t>
      </w:r>
    </w:p>
    <w:p w14:paraId="56B8BA0B" w14:textId="7ADF7D22" w:rsidR="00F5422D" w:rsidRPr="00435E2A" w:rsidRDefault="00F5422D" w:rsidP="007F0E48">
      <w:pPr>
        <w:overflowPunct w:val="0"/>
        <w:autoSpaceDE w:val="0"/>
        <w:autoSpaceDN w:val="0"/>
        <w:adjustRightInd w:val="0"/>
        <w:spacing w:line="288" w:lineRule="auto"/>
        <w:jc w:val="center"/>
        <w:textAlignment w:val="baseline"/>
      </w:pPr>
      <w:r>
        <w:t>_____________</w:t>
      </w:r>
    </w:p>
    <w:sectPr w:rsidR="00F5422D" w:rsidRPr="00435E2A" w:rsidSect="00CC69D5">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7E5BC" w14:textId="77777777" w:rsidR="00604F09" w:rsidRDefault="00604F09" w:rsidP="00534D87">
      <w:pPr>
        <w:spacing w:after="0" w:line="240" w:lineRule="auto"/>
      </w:pPr>
      <w:r>
        <w:separator/>
      </w:r>
    </w:p>
  </w:endnote>
  <w:endnote w:type="continuationSeparator" w:id="0">
    <w:p w14:paraId="384C869E" w14:textId="77777777" w:rsidR="00604F09" w:rsidRDefault="00604F09" w:rsidP="00534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D8CA" w14:textId="77777777" w:rsidR="00732545" w:rsidRDefault="00732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C88C" w14:textId="459BFC04" w:rsidR="0085234D" w:rsidRPr="008B7B7F" w:rsidRDefault="008B7B7F" w:rsidP="008B7B7F">
    <w:pPr>
      <w:pStyle w:val="Footer"/>
    </w:pPr>
    <w:r>
      <w:t xml:space="preserve">EESC-2026-00459-00-00-TCD-TRA (EN) </w:t>
    </w:r>
    <w:r>
      <w:fldChar w:fldCharType="begin"/>
    </w:r>
    <w:r>
      <w:instrText xml:space="preserve"> PAGE  \* Arabic  \* MERGEFORMAT </w:instrText>
    </w:r>
    <w:r>
      <w:fldChar w:fldCharType="separate"/>
    </w:r>
    <w:r w:rsidR="00A75177">
      <w:t>1</w:t>
    </w:r>
    <w:r>
      <w:fldChar w:fldCharType="end"/>
    </w:r>
    <w:r>
      <w:t>/</w:t>
    </w:r>
    <w:r w:rsidR="00FD62E5">
      <w:fldChar w:fldCharType="begin"/>
    </w:r>
    <w:r w:rsidR="00FD62E5">
      <w:instrText xml:space="preserve"> NUMPAGES </w:instrText>
    </w:r>
    <w:r w:rsidR="00FD62E5">
      <w:fldChar w:fldCharType="separate"/>
    </w:r>
    <w:r w:rsidR="00A75177">
      <w:t>1</w:t>
    </w:r>
    <w:r w:rsidR="00FD62E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58D6" w14:textId="77777777" w:rsidR="00732545" w:rsidRDefault="00732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A7CEE" w14:textId="77777777" w:rsidR="00604F09" w:rsidRDefault="00604F09" w:rsidP="00534D87">
      <w:pPr>
        <w:spacing w:after="0" w:line="240" w:lineRule="auto"/>
      </w:pPr>
      <w:r>
        <w:separator/>
      </w:r>
    </w:p>
  </w:footnote>
  <w:footnote w:type="continuationSeparator" w:id="0">
    <w:p w14:paraId="4C03610A" w14:textId="77777777" w:rsidR="00604F09" w:rsidRDefault="00604F09" w:rsidP="00534D87">
      <w:pPr>
        <w:spacing w:after="0" w:line="240" w:lineRule="auto"/>
      </w:pPr>
      <w:r>
        <w:continuationSeparator/>
      </w:r>
    </w:p>
  </w:footnote>
  <w:footnote w:id="1">
    <w:p w14:paraId="408DA3FA" w14:textId="7428D83A" w:rsidR="00F1597C" w:rsidRPr="004B4514" w:rsidRDefault="00F1597C" w:rsidP="0000021C">
      <w:pPr>
        <w:pStyle w:val="FootnoteText"/>
        <w:ind w:left="567" w:hanging="567"/>
      </w:pPr>
      <w:r>
        <w:rPr>
          <w:rStyle w:val="FootnoteReference"/>
          <w:rFonts w:ascii="Times New Roman" w:hAnsi="Times New Roman" w:cs="Times New Roman"/>
          <w:sz w:val="24"/>
          <w:szCs w:val="24"/>
        </w:rPr>
        <w:footnoteRef/>
      </w:r>
      <w:r>
        <w:rPr>
          <w:rFonts w:ascii="Times New Roman" w:hAnsi="Times New Roman"/>
          <w:sz w:val="24"/>
        </w:rPr>
        <w:t xml:space="preserve"> </w:t>
      </w:r>
      <w:r>
        <w:tab/>
      </w:r>
      <w:r>
        <w:rPr>
          <w:rFonts w:ascii="Times New Roman" w:hAnsi="Times New Roman"/>
          <w:sz w:val="16"/>
        </w:rPr>
        <w:t xml:space="preserve">Stellungnahme des EWSA – </w:t>
      </w:r>
      <w:hyperlink r:id="rId1" w:history="1">
        <w:r>
          <w:rPr>
            <w:rStyle w:val="Hyperlink"/>
            <w:rFonts w:ascii="Times New Roman" w:hAnsi="Times New Roman"/>
            <w:sz w:val="16"/>
          </w:rPr>
          <w:t>Ein Europäischer Rat für Ernährungspolitik als neue Steuerungsstruktur im künftigen EU-Rahmen für nachhaltige Lebensmittelsysteme</w:t>
        </w:r>
      </w:hyperlink>
      <w:r>
        <w:rPr>
          <w:rFonts w:ascii="Times New Roman" w:hAnsi="Times New Roman"/>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922F" w14:textId="77777777" w:rsidR="00732545" w:rsidRDefault="007325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BC6E" w14:textId="77777777" w:rsidR="00732545" w:rsidRDefault="007325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6B68" w14:textId="77777777" w:rsidR="00732545" w:rsidRDefault="00732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1C9B3D"/>
    <w:multiLevelType w:val="hybridMultilevel"/>
    <w:tmpl w:val="9EE9D08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E974DC"/>
    <w:multiLevelType w:val="hybridMultilevel"/>
    <w:tmpl w:val="AAB4D6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A78E6F"/>
    <w:multiLevelType w:val="hybridMultilevel"/>
    <w:tmpl w:val="E764BB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8319C0B"/>
    <w:multiLevelType w:val="hybridMultilevel"/>
    <w:tmpl w:val="691D85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B3B8E8F"/>
    <w:multiLevelType w:val="hybridMultilevel"/>
    <w:tmpl w:val="7FEEB0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BE39BAD"/>
    <w:multiLevelType w:val="hybridMultilevel"/>
    <w:tmpl w:val="2BEEBF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790F1D"/>
    <w:multiLevelType w:val="hybridMultilevel"/>
    <w:tmpl w:val="8D50D79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099E334C"/>
    <w:multiLevelType w:val="hybridMultilevel"/>
    <w:tmpl w:val="D97057D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163F2744"/>
    <w:multiLevelType w:val="hybridMultilevel"/>
    <w:tmpl w:val="0E8C4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C0CFB"/>
    <w:multiLevelType w:val="hybridMultilevel"/>
    <w:tmpl w:val="C5D650B8"/>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0" w15:restartNumberingAfterBreak="0">
    <w:nsid w:val="2D029FAF"/>
    <w:multiLevelType w:val="hybridMultilevel"/>
    <w:tmpl w:val="1F6951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1A7719"/>
    <w:multiLevelType w:val="hybridMultilevel"/>
    <w:tmpl w:val="BD9473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6EA6BDD"/>
    <w:multiLevelType w:val="hybridMultilevel"/>
    <w:tmpl w:val="808C14E2"/>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15:restartNumberingAfterBreak="0">
    <w:nsid w:val="39582CD1"/>
    <w:multiLevelType w:val="hybridMultilevel"/>
    <w:tmpl w:val="2E32BC9E"/>
    <w:lvl w:ilvl="0" w:tplc="08090003">
      <w:start w:val="1"/>
      <w:numFmt w:val="bullet"/>
      <w:lvlText w:val="o"/>
      <w:lvlJc w:val="left"/>
      <w:pPr>
        <w:ind w:left="824" w:hanging="360"/>
      </w:pPr>
      <w:rPr>
        <w:rFonts w:ascii="Courier New" w:hAnsi="Courier New" w:cs="Courier New"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4" w15:restartNumberingAfterBreak="0">
    <w:nsid w:val="3B267258"/>
    <w:multiLevelType w:val="hybridMultilevel"/>
    <w:tmpl w:val="B9845E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DB6E18"/>
    <w:multiLevelType w:val="hybridMultilevel"/>
    <w:tmpl w:val="C7A0BB34"/>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16" w15:restartNumberingAfterBreak="0">
    <w:nsid w:val="4BC04C33"/>
    <w:multiLevelType w:val="hybridMultilevel"/>
    <w:tmpl w:val="4F8295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3093D3D"/>
    <w:multiLevelType w:val="hybridMultilevel"/>
    <w:tmpl w:val="1E7A7AA4"/>
    <w:lvl w:ilvl="0" w:tplc="08090001">
      <w:start w:val="1"/>
      <w:numFmt w:val="bullet"/>
      <w:lvlText w:val=""/>
      <w:lvlJc w:val="left"/>
      <w:pPr>
        <w:ind w:left="1107" w:hanging="360"/>
      </w:pPr>
      <w:rPr>
        <w:rFonts w:ascii="Symbol" w:hAnsi="Symbol" w:hint="default"/>
      </w:rPr>
    </w:lvl>
    <w:lvl w:ilvl="1" w:tplc="08090003" w:tentative="1">
      <w:start w:val="1"/>
      <w:numFmt w:val="bullet"/>
      <w:lvlText w:val="o"/>
      <w:lvlJc w:val="left"/>
      <w:pPr>
        <w:ind w:left="1827" w:hanging="360"/>
      </w:pPr>
      <w:rPr>
        <w:rFonts w:ascii="Courier New" w:hAnsi="Courier New" w:cs="Courier New" w:hint="default"/>
      </w:rPr>
    </w:lvl>
    <w:lvl w:ilvl="2" w:tplc="08090005" w:tentative="1">
      <w:start w:val="1"/>
      <w:numFmt w:val="bullet"/>
      <w:lvlText w:val=""/>
      <w:lvlJc w:val="left"/>
      <w:pPr>
        <w:ind w:left="2547" w:hanging="360"/>
      </w:pPr>
      <w:rPr>
        <w:rFonts w:ascii="Wingdings" w:hAnsi="Wingdings" w:hint="default"/>
      </w:rPr>
    </w:lvl>
    <w:lvl w:ilvl="3" w:tplc="08090001" w:tentative="1">
      <w:start w:val="1"/>
      <w:numFmt w:val="bullet"/>
      <w:lvlText w:val=""/>
      <w:lvlJc w:val="left"/>
      <w:pPr>
        <w:ind w:left="3267" w:hanging="360"/>
      </w:pPr>
      <w:rPr>
        <w:rFonts w:ascii="Symbol" w:hAnsi="Symbol" w:hint="default"/>
      </w:rPr>
    </w:lvl>
    <w:lvl w:ilvl="4" w:tplc="08090003" w:tentative="1">
      <w:start w:val="1"/>
      <w:numFmt w:val="bullet"/>
      <w:lvlText w:val="o"/>
      <w:lvlJc w:val="left"/>
      <w:pPr>
        <w:ind w:left="3987" w:hanging="360"/>
      </w:pPr>
      <w:rPr>
        <w:rFonts w:ascii="Courier New" w:hAnsi="Courier New" w:cs="Courier New" w:hint="default"/>
      </w:rPr>
    </w:lvl>
    <w:lvl w:ilvl="5" w:tplc="08090005" w:tentative="1">
      <w:start w:val="1"/>
      <w:numFmt w:val="bullet"/>
      <w:lvlText w:val=""/>
      <w:lvlJc w:val="left"/>
      <w:pPr>
        <w:ind w:left="4707" w:hanging="360"/>
      </w:pPr>
      <w:rPr>
        <w:rFonts w:ascii="Wingdings" w:hAnsi="Wingdings" w:hint="default"/>
      </w:rPr>
    </w:lvl>
    <w:lvl w:ilvl="6" w:tplc="08090001" w:tentative="1">
      <w:start w:val="1"/>
      <w:numFmt w:val="bullet"/>
      <w:lvlText w:val=""/>
      <w:lvlJc w:val="left"/>
      <w:pPr>
        <w:ind w:left="5427" w:hanging="360"/>
      </w:pPr>
      <w:rPr>
        <w:rFonts w:ascii="Symbol" w:hAnsi="Symbol" w:hint="default"/>
      </w:rPr>
    </w:lvl>
    <w:lvl w:ilvl="7" w:tplc="08090003" w:tentative="1">
      <w:start w:val="1"/>
      <w:numFmt w:val="bullet"/>
      <w:lvlText w:val="o"/>
      <w:lvlJc w:val="left"/>
      <w:pPr>
        <w:ind w:left="6147" w:hanging="360"/>
      </w:pPr>
      <w:rPr>
        <w:rFonts w:ascii="Courier New" w:hAnsi="Courier New" w:cs="Courier New" w:hint="default"/>
      </w:rPr>
    </w:lvl>
    <w:lvl w:ilvl="8" w:tplc="08090005" w:tentative="1">
      <w:start w:val="1"/>
      <w:numFmt w:val="bullet"/>
      <w:lvlText w:val=""/>
      <w:lvlJc w:val="left"/>
      <w:pPr>
        <w:ind w:left="6867" w:hanging="360"/>
      </w:pPr>
      <w:rPr>
        <w:rFonts w:ascii="Wingdings" w:hAnsi="Wingdings" w:hint="default"/>
      </w:rPr>
    </w:lvl>
  </w:abstractNum>
  <w:abstractNum w:abstractNumId="18" w15:restartNumberingAfterBreak="0">
    <w:nsid w:val="5FFF0AFB"/>
    <w:multiLevelType w:val="hybridMultilevel"/>
    <w:tmpl w:val="F27E7D4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60B83FF3"/>
    <w:multiLevelType w:val="hybridMultilevel"/>
    <w:tmpl w:val="731A43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A5B00AD"/>
    <w:multiLevelType w:val="hybridMultilevel"/>
    <w:tmpl w:val="AA7838D4"/>
    <w:lvl w:ilvl="0" w:tplc="0C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21" w15:restartNumberingAfterBreak="0">
    <w:nsid w:val="6C9E4B73"/>
    <w:multiLevelType w:val="hybridMultilevel"/>
    <w:tmpl w:val="45436A3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FA153A8"/>
    <w:multiLevelType w:val="hybridMultilevel"/>
    <w:tmpl w:val="A28D0F9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A851CAE"/>
    <w:multiLevelType w:val="hybridMultilevel"/>
    <w:tmpl w:val="D1FAE19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F17764D"/>
    <w:multiLevelType w:val="hybridMultilevel"/>
    <w:tmpl w:val="653AE3F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1289437400">
    <w:abstractNumId w:val="24"/>
  </w:num>
  <w:num w:numId="2" w16cid:durableId="147063646">
    <w:abstractNumId w:val="6"/>
  </w:num>
  <w:num w:numId="3" w16cid:durableId="1873498868">
    <w:abstractNumId w:val="18"/>
  </w:num>
  <w:num w:numId="4" w16cid:durableId="698580058">
    <w:abstractNumId w:val="12"/>
  </w:num>
  <w:num w:numId="5" w16cid:durableId="2063941898">
    <w:abstractNumId w:val="7"/>
  </w:num>
  <w:num w:numId="6" w16cid:durableId="952706200">
    <w:abstractNumId w:val="18"/>
  </w:num>
  <w:num w:numId="7" w16cid:durableId="1533492060">
    <w:abstractNumId w:val="24"/>
  </w:num>
  <w:num w:numId="8" w16cid:durableId="1472596642">
    <w:abstractNumId w:val="6"/>
  </w:num>
  <w:num w:numId="9" w16cid:durableId="1269923514">
    <w:abstractNumId w:val="12"/>
  </w:num>
  <w:num w:numId="10" w16cid:durableId="1166894048">
    <w:abstractNumId w:val="18"/>
  </w:num>
  <w:num w:numId="11" w16cid:durableId="523396516">
    <w:abstractNumId w:val="15"/>
  </w:num>
  <w:num w:numId="12" w16cid:durableId="1682123760">
    <w:abstractNumId w:val="20"/>
  </w:num>
  <w:num w:numId="13" w16cid:durableId="1631205028">
    <w:abstractNumId w:val="8"/>
  </w:num>
  <w:num w:numId="14" w16cid:durableId="727581268">
    <w:abstractNumId w:val="11"/>
  </w:num>
  <w:num w:numId="15" w16cid:durableId="1777747178">
    <w:abstractNumId w:val="19"/>
  </w:num>
  <w:num w:numId="16" w16cid:durableId="1987397972">
    <w:abstractNumId w:val="1"/>
  </w:num>
  <w:num w:numId="17" w16cid:durableId="517551010">
    <w:abstractNumId w:val="10"/>
  </w:num>
  <w:num w:numId="18" w16cid:durableId="670714829">
    <w:abstractNumId w:val="3"/>
  </w:num>
  <w:num w:numId="19" w16cid:durableId="1086539955">
    <w:abstractNumId w:val="14"/>
  </w:num>
  <w:num w:numId="20" w16cid:durableId="1368481375">
    <w:abstractNumId w:val="16"/>
  </w:num>
  <w:num w:numId="21" w16cid:durableId="1434471354">
    <w:abstractNumId w:val="5"/>
  </w:num>
  <w:num w:numId="22" w16cid:durableId="464349592">
    <w:abstractNumId w:val="4"/>
  </w:num>
  <w:num w:numId="23" w16cid:durableId="16586731">
    <w:abstractNumId w:val="0"/>
  </w:num>
  <w:num w:numId="24" w16cid:durableId="1312713887">
    <w:abstractNumId w:val="2"/>
  </w:num>
  <w:num w:numId="25" w16cid:durableId="29840732">
    <w:abstractNumId w:val="22"/>
  </w:num>
  <w:num w:numId="26" w16cid:durableId="426773023">
    <w:abstractNumId w:val="21"/>
  </w:num>
  <w:num w:numId="27" w16cid:durableId="852693946">
    <w:abstractNumId w:val="9"/>
  </w:num>
  <w:num w:numId="28" w16cid:durableId="406877489">
    <w:abstractNumId w:val="13"/>
  </w:num>
  <w:num w:numId="29" w16cid:durableId="1306812451">
    <w:abstractNumId w:val="23"/>
  </w:num>
  <w:num w:numId="30" w16cid:durableId="20670249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06D"/>
    <w:rsid w:val="0000021C"/>
    <w:rsid w:val="00010C1C"/>
    <w:rsid w:val="00013D60"/>
    <w:rsid w:val="00016A19"/>
    <w:rsid w:val="00017DFD"/>
    <w:rsid w:val="00023C1F"/>
    <w:rsid w:val="000252D2"/>
    <w:rsid w:val="0003203D"/>
    <w:rsid w:val="00034B7E"/>
    <w:rsid w:val="0004301F"/>
    <w:rsid w:val="0005101F"/>
    <w:rsid w:val="00054376"/>
    <w:rsid w:val="000574BC"/>
    <w:rsid w:val="00060565"/>
    <w:rsid w:val="000725E7"/>
    <w:rsid w:val="00072A84"/>
    <w:rsid w:val="00081FE2"/>
    <w:rsid w:val="0008251E"/>
    <w:rsid w:val="00083B85"/>
    <w:rsid w:val="00083FD7"/>
    <w:rsid w:val="00085668"/>
    <w:rsid w:val="00092106"/>
    <w:rsid w:val="000943CA"/>
    <w:rsid w:val="000964FD"/>
    <w:rsid w:val="000B5059"/>
    <w:rsid w:val="000D7764"/>
    <w:rsid w:val="000E5751"/>
    <w:rsid w:val="000F3293"/>
    <w:rsid w:val="000F59D1"/>
    <w:rsid w:val="00101004"/>
    <w:rsid w:val="001014D3"/>
    <w:rsid w:val="00104FDB"/>
    <w:rsid w:val="00126654"/>
    <w:rsid w:val="00126D15"/>
    <w:rsid w:val="00127A57"/>
    <w:rsid w:val="00132957"/>
    <w:rsid w:val="00150F00"/>
    <w:rsid w:val="0015351B"/>
    <w:rsid w:val="00163F00"/>
    <w:rsid w:val="00165F9E"/>
    <w:rsid w:val="00173037"/>
    <w:rsid w:val="00183568"/>
    <w:rsid w:val="001B48C3"/>
    <w:rsid w:val="001B7B77"/>
    <w:rsid w:val="001C3697"/>
    <w:rsid w:val="001C7255"/>
    <w:rsid w:val="001C7EC1"/>
    <w:rsid w:val="001D2D5B"/>
    <w:rsid w:val="001D5361"/>
    <w:rsid w:val="001F1F2C"/>
    <w:rsid w:val="002005A9"/>
    <w:rsid w:val="00203D2F"/>
    <w:rsid w:val="002065C7"/>
    <w:rsid w:val="00207CA9"/>
    <w:rsid w:val="00210280"/>
    <w:rsid w:val="002113BE"/>
    <w:rsid w:val="002124B0"/>
    <w:rsid w:val="002150E8"/>
    <w:rsid w:val="00215C44"/>
    <w:rsid w:val="00221FA0"/>
    <w:rsid w:val="00226044"/>
    <w:rsid w:val="00227F61"/>
    <w:rsid w:val="00230289"/>
    <w:rsid w:val="00240345"/>
    <w:rsid w:val="002408D5"/>
    <w:rsid w:val="002415FB"/>
    <w:rsid w:val="00250853"/>
    <w:rsid w:val="00270023"/>
    <w:rsid w:val="0027329D"/>
    <w:rsid w:val="00275C6E"/>
    <w:rsid w:val="00276097"/>
    <w:rsid w:val="00281960"/>
    <w:rsid w:val="00283AE9"/>
    <w:rsid w:val="00290FAB"/>
    <w:rsid w:val="00295CFF"/>
    <w:rsid w:val="00297FFA"/>
    <w:rsid w:val="002A1AC5"/>
    <w:rsid w:val="002A22CD"/>
    <w:rsid w:val="002D3337"/>
    <w:rsid w:val="002D57CE"/>
    <w:rsid w:val="002D5EE3"/>
    <w:rsid w:val="002E1EB2"/>
    <w:rsid w:val="002E2D73"/>
    <w:rsid w:val="002E3AD4"/>
    <w:rsid w:val="002F26EA"/>
    <w:rsid w:val="00301601"/>
    <w:rsid w:val="00316F98"/>
    <w:rsid w:val="0032383C"/>
    <w:rsid w:val="0032446E"/>
    <w:rsid w:val="00325296"/>
    <w:rsid w:val="00326F1C"/>
    <w:rsid w:val="00327938"/>
    <w:rsid w:val="003321F3"/>
    <w:rsid w:val="00333FD0"/>
    <w:rsid w:val="00334BA5"/>
    <w:rsid w:val="00336AAD"/>
    <w:rsid w:val="00342D28"/>
    <w:rsid w:val="00342F14"/>
    <w:rsid w:val="003466EA"/>
    <w:rsid w:val="00347D87"/>
    <w:rsid w:val="00373A0C"/>
    <w:rsid w:val="00374F2C"/>
    <w:rsid w:val="003804F0"/>
    <w:rsid w:val="00384788"/>
    <w:rsid w:val="003879DC"/>
    <w:rsid w:val="00387DB2"/>
    <w:rsid w:val="00393C98"/>
    <w:rsid w:val="003A00B1"/>
    <w:rsid w:val="003A1632"/>
    <w:rsid w:val="003A301E"/>
    <w:rsid w:val="003B23D4"/>
    <w:rsid w:val="003B2554"/>
    <w:rsid w:val="003B7AFE"/>
    <w:rsid w:val="003C6F52"/>
    <w:rsid w:val="003E7CDE"/>
    <w:rsid w:val="003F5C2F"/>
    <w:rsid w:val="004033D1"/>
    <w:rsid w:val="00405262"/>
    <w:rsid w:val="00411199"/>
    <w:rsid w:val="004158D7"/>
    <w:rsid w:val="00435E2A"/>
    <w:rsid w:val="00440C1D"/>
    <w:rsid w:val="004436A0"/>
    <w:rsid w:val="00451891"/>
    <w:rsid w:val="004521BA"/>
    <w:rsid w:val="00463179"/>
    <w:rsid w:val="00472954"/>
    <w:rsid w:val="00474652"/>
    <w:rsid w:val="00476D5C"/>
    <w:rsid w:val="0047734C"/>
    <w:rsid w:val="00495C8E"/>
    <w:rsid w:val="004A0C1C"/>
    <w:rsid w:val="004A10B4"/>
    <w:rsid w:val="004B4514"/>
    <w:rsid w:val="004C300F"/>
    <w:rsid w:val="004C5E86"/>
    <w:rsid w:val="004C67D0"/>
    <w:rsid w:val="004D7BDA"/>
    <w:rsid w:val="004E2A69"/>
    <w:rsid w:val="004E6386"/>
    <w:rsid w:val="004F6AEC"/>
    <w:rsid w:val="00507C4A"/>
    <w:rsid w:val="005148DB"/>
    <w:rsid w:val="00521764"/>
    <w:rsid w:val="00521B1F"/>
    <w:rsid w:val="00530870"/>
    <w:rsid w:val="00531023"/>
    <w:rsid w:val="005312E3"/>
    <w:rsid w:val="005345B6"/>
    <w:rsid w:val="00534D87"/>
    <w:rsid w:val="00536936"/>
    <w:rsid w:val="0054246A"/>
    <w:rsid w:val="00545F80"/>
    <w:rsid w:val="005521D3"/>
    <w:rsid w:val="0055343D"/>
    <w:rsid w:val="005602DD"/>
    <w:rsid w:val="005824BA"/>
    <w:rsid w:val="00582ABD"/>
    <w:rsid w:val="005A2AC6"/>
    <w:rsid w:val="005A6BD4"/>
    <w:rsid w:val="005B4D53"/>
    <w:rsid w:val="005B6B2F"/>
    <w:rsid w:val="005D1591"/>
    <w:rsid w:val="005D64AC"/>
    <w:rsid w:val="005E4341"/>
    <w:rsid w:val="005F2698"/>
    <w:rsid w:val="005F3A6F"/>
    <w:rsid w:val="005F4557"/>
    <w:rsid w:val="00601B9A"/>
    <w:rsid w:val="00602D6D"/>
    <w:rsid w:val="00604F09"/>
    <w:rsid w:val="00606C73"/>
    <w:rsid w:val="00614988"/>
    <w:rsid w:val="00635D70"/>
    <w:rsid w:val="00643D18"/>
    <w:rsid w:val="00646938"/>
    <w:rsid w:val="00650386"/>
    <w:rsid w:val="00655F68"/>
    <w:rsid w:val="00657B2F"/>
    <w:rsid w:val="0066049C"/>
    <w:rsid w:val="00675B5D"/>
    <w:rsid w:val="006A78C9"/>
    <w:rsid w:val="006B2E58"/>
    <w:rsid w:val="006B6DF5"/>
    <w:rsid w:val="006C43C3"/>
    <w:rsid w:val="006C6279"/>
    <w:rsid w:val="006D6AD0"/>
    <w:rsid w:val="006E3D86"/>
    <w:rsid w:val="006E4F68"/>
    <w:rsid w:val="006E55B4"/>
    <w:rsid w:val="006E65D5"/>
    <w:rsid w:val="006E6796"/>
    <w:rsid w:val="0070763D"/>
    <w:rsid w:val="00712300"/>
    <w:rsid w:val="00726067"/>
    <w:rsid w:val="007274ED"/>
    <w:rsid w:val="00730CFA"/>
    <w:rsid w:val="00732545"/>
    <w:rsid w:val="00746FC8"/>
    <w:rsid w:val="007504AB"/>
    <w:rsid w:val="007561F8"/>
    <w:rsid w:val="00757858"/>
    <w:rsid w:val="0076156A"/>
    <w:rsid w:val="00790A5D"/>
    <w:rsid w:val="007A272A"/>
    <w:rsid w:val="007A513D"/>
    <w:rsid w:val="007B0F66"/>
    <w:rsid w:val="007C5A1C"/>
    <w:rsid w:val="007C74CF"/>
    <w:rsid w:val="007D0689"/>
    <w:rsid w:val="007D09A2"/>
    <w:rsid w:val="007D1B6E"/>
    <w:rsid w:val="007D7711"/>
    <w:rsid w:val="007F0E48"/>
    <w:rsid w:val="007F5D59"/>
    <w:rsid w:val="00804314"/>
    <w:rsid w:val="008062FB"/>
    <w:rsid w:val="00813C5D"/>
    <w:rsid w:val="0082006D"/>
    <w:rsid w:val="00823062"/>
    <w:rsid w:val="00823EC1"/>
    <w:rsid w:val="008253F9"/>
    <w:rsid w:val="0084065A"/>
    <w:rsid w:val="00844999"/>
    <w:rsid w:val="0084501D"/>
    <w:rsid w:val="0085234D"/>
    <w:rsid w:val="0085792B"/>
    <w:rsid w:val="00860AE8"/>
    <w:rsid w:val="0086514B"/>
    <w:rsid w:val="008746D2"/>
    <w:rsid w:val="0087722E"/>
    <w:rsid w:val="00885E81"/>
    <w:rsid w:val="008908CB"/>
    <w:rsid w:val="008B7B7F"/>
    <w:rsid w:val="008D56ED"/>
    <w:rsid w:val="008D603B"/>
    <w:rsid w:val="008E2106"/>
    <w:rsid w:val="008E2217"/>
    <w:rsid w:val="008E5A21"/>
    <w:rsid w:val="008E730D"/>
    <w:rsid w:val="00902482"/>
    <w:rsid w:val="00910DC2"/>
    <w:rsid w:val="009219A7"/>
    <w:rsid w:val="00927025"/>
    <w:rsid w:val="00935170"/>
    <w:rsid w:val="00937C72"/>
    <w:rsid w:val="009404A5"/>
    <w:rsid w:val="00945060"/>
    <w:rsid w:val="00951B89"/>
    <w:rsid w:val="00952CA0"/>
    <w:rsid w:val="00952F11"/>
    <w:rsid w:val="00954BBC"/>
    <w:rsid w:val="0096654D"/>
    <w:rsid w:val="009757BF"/>
    <w:rsid w:val="00987A78"/>
    <w:rsid w:val="00993568"/>
    <w:rsid w:val="009952BA"/>
    <w:rsid w:val="009A560D"/>
    <w:rsid w:val="009B17E8"/>
    <w:rsid w:val="009B3845"/>
    <w:rsid w:val="009B6837"/>
    <w:rsid w:val="009C0AFC"/>
    <w:rsid w:val="009C1763"/>
    <w:rsid w:val="009C2A25"/>
    <w:rsid w:val="009C4FB0"/>
    <w:rsid w:val="009F2339"/>
    <w:rsid w:val="00A03256"/>
    <w:rsid w:val="00A26B04"/>
    <w:rsid w:val="00A26C11"/>
    <w:rsid w:val="00A305F5"/>
    <w:rsid w:val="00A44AB3"/>
    <w:rsid w:val="00A57E1A"/>
    <w:rsid w:val="00A61156"/>
    <w:rsid w:val="00A62A18"/>
    <w:rsid w:val="00A74587"/>
    <w:rsid w:val="00A75177"/>
    <w:rsid w:val="00A92A06"/>
    <w:rsid w:val="00A97619"/>
    <w:rsid w:val="00AB488B"/>
    <w:rsid w:val="00AB61B0"/>
    <w:rsid w:val="00AC13F6"/>
    <w:rsid w:val="00AC22BE"/>
    <w:rsid w:val="00B00F97"/>
    <w:rsid w:val="00B15703"/>
    <w:rsid w:val="00B165A1"/>
    <w:rsid w:val="00B212DF"/>
    <w:rsid w:val="00B21F5F"/>
    <w:rsid w:val="00B24698"/>
    <w:rsid w:val="00B24876"/>
    <w:rsid w:val="00B256D0"/>
    <w:rsid w:val="00B25F3D"/>
    <w:rsid w:val="00B31BEE"/>
    <w:rsid w:val="00B363B2"/>
    <w:rsid w:val="00B50CE9"/>
    <w:rsid w:val="00B5345E"/>
    <w:rsid w:val="00B567A2"/>
    <w:rsid w:val="00B6359F"/>
    <w:rsid w:val="00B7335B"/>
    <w:rsid w:val="00B83C89"/>
    <w:rsid w:val="00B8539A"/>
    <w:rsid w:val="00B87B1E"/>
    <w:rsid w:val="00B87B40"/>
    <w:rsid w:val="00B87BD8"/>
    <w:rsid w:val="00B87E9A"/>
    <w:rsid w:val="00B9200C"/>
    <w:rsid w:val="00B95A63"/>
    <w:rsid w:val="00BB4D92"/>
    <w:rsid w:val="00BC2304"/>
    <w:rsid w:val="00BE1054"/>
    <w:rsid w:val="00BF4B88"/>
    <w:rsid w:val="00C06A49"/>
    <w:rsid w:val="00C2269C"/>
    <w:rsid w:val="00C33DD4"/>
    <w:rsid w:val="00C5244C"/>
    <w:rsid w:val="00C6082A"/>
    <w:rsid w:val="00C662F3"/>
    <w:rsid w:val="00C74CD5"/>
    <w:rsid w:val="00C77C61"/>
    <w:rsid w:val="00C80DDE"/>
    <w:rsid w:val="00C9711F"/>
    <w:rsid w:val="00C979BD"/>
    <w:rsid w:val="00CA5D59"/>
    <w:rsid w:val="00CA78A4"/>
    <w:rsid w:val="00CA79F8"/>
    <w:rsid w:val="00CB431D"/>
    <w:rsid w:val="00CB6A9B"/>
    <w:rsid w:val="00CC5DD7"/>
    <w:rsid w:val="00CC69D5"/>
    <w:rsid w:val="00CC723F"/>
    <w:rsid w:val="00CD63E0"/>
    <w:rsid w:val="00CE1B58"/>
    <w:rsid w:val="00CF10B8"/>
    <w:rsid w:val="00CF4FFF"/>
    <w:rsid w:val="00D03B2B"/>
    <w:rsid w:val="00D067A3"/>
    <w:rsid w:val="00D10CDE"/>
    <w:rsid w:val="00D14E97"/>
    <w:rsid w:val="00D23B8C"/>
    <w:rsid w:val="00D31EE3"/>
    <w:rsid w:val="00D331AF"/>
    <w:rsid w:val="00D359CC"/>
    <w:rsid w:val="00D541A3"/>
    <w:rsid w:val="00D5459F"/>
    <w:rsid w:val="00D55B1A"/>
    <w:rsid w:val="00D64EFE"/>
    <w:rsid w:val="00D70109"/>
    <w:rsid w:val="00D712F0"/>
    <w:rsid w:val="00D74893"/>
    <w:rsid w:val="00D86A7E"/>
    <w:rsid w:val="00DA068F"/>
    <w:rsid w:val="00DB4F2C"/>
    <w:rsid w:val="00E0448D"/>
    <w:rsid w:val="00E23A9C"/>
    <w:rsid w:val="00E23E4D"/>
    <w:rsid w:val="00E25677"/>
    <w:rsid w:val="00E30B56"/>
    <w:rsid w:val="00E31A55"/>
    <w:rsid w:val="00E409AB"/>
    <w:rsid w:val="00E42701"/>
    <w:rsid w:val="00E42CFD"/>
    <w:rsid w:val="00E62F52"/>
    <w:rsid w:val="00E72F88"/>
    <w:rsid w:val="00E75DFE"/>
    <w:rsid w:val="00E91391"/>
    <w:rsid w:val="00E9753A"/>
    <w:rsid w:val="00E97714"/>
    <w:rsid w:val="00EA2053"/>
    <w:rsid w:val="00EA4A21"/>
    <w:rsid w:val="00EA7B8D"/>
    <w:rsid w:val="00EB0582"/>
    <w:rsid w:val="00EC00F3"/>
    <w:rsid w:val="00EC6D73"/>
    <w:rsid w:val="00ED186D"/>
    <w:rsid w:val="00ED3F97"/>
    <w:rsid w:val="00EF34F7"/>
    <w:rsid w:val="00EF526B"/>
    <w:rsid w:val="00EF7004"/>
    <w:rsid w:val="00F071B7"/>
    <w:rsid w:val="00F145BE"/>
    <w:rsid w:val="00F1597C"/>
    <w:rsid w:val="00F21B82"/>
    <w:rsid w:val="00F310D4"/>
    <w:rsid w:val="00F460C4"/>
    <w:rsid w:val="00F467FD"/>
    <w:rsid w:val="00F5422D"/>
    <w:rsid w:val="00F67705"/>
    <w:rsid w:val="00F737CB"/>
    <w:rsid w:val="00F85EAD"/>
    <w:rsid w:val="00F8623C"/>
    <w:rsid w:val="00F902FD"/>
    <w:rsid w:val="00FA0E74"/>
    <w:rsid w:val="00FA1D41"/>
    <w:rsid w:val="00FA2292"/>
    <w:rsid w:val="00FA56DB"/>
    <w:rsid w:val="00FB085E"/>
    <w:rsid w:val="00FB4CA8"/>
    <w:rsid w:val="00FB6675"/>
    <w:rsid w:val="00FD62E5"/>
    <w:rsid w:val="00FE7C58"/>
    <w:rsid w:val="00FF08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F93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F5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4F2C"/>
    <w:rPr>
      <w:color w:val="0000FF" w:themeColor="hyperlink"/>
      <w:u w:val="single"/>
    </w:rPr>
  </w:style>
  <w:style w:type="paragraph" w:styleId="ListParagraph">
    <w:name w:val="List Paragraph"/>
    <w:aliases w:val="FooterText,Paragraphe de liste1,List Paragraph (bulleted list),Bullet 1 List,Lettre d'introduction,List Paragraph1,1st level - Bullet List Paragraph,Medium Grid 1 - Accent 21,Bullet List Paragraph,Paragrafo elenco numerato,Bullet point"/>
    <w:basedOn w:val="Normal"/>
    <w:link w:val="ListParagraphChar"/>
    <w:uiPriority w:val="34"/>
    <w:qFormat/>
    <w:rsid w:val="00DB4F2C"/>
    <w:pPr>
      <w:ind w:left="720"/>
      <w:contextualSpacing/>
    </w:pPr>
  </w:style>
  <w:style w:type="character" w:styleId="FollowedHyperlink">
    <w:name w:val="FollowedHyperlink"/>
    <w:basedOn w:val="DefaultParagraphFont"/>
    <w:uiPriority w:val="99"/>
    <w:semiHidden/>
    <w:unhideWhenUsed/>
    <w:rsid w:val="00104FDB"/>
    <w:rPr>
      <w:color w:val="800080" w:themeColor="followedHyperlink"/>
      <w:u w:val="single"/>
    </w:rPr>
  </w:style>
  <w:style w:type="paragraph" w:styleId="FootnoteText">
    <w:name w:val="footnote text"/>
    <w:basedOn w:val="Normal"/>
    <w:link w:val="FootnoteTextChar"/>
    <w:uiPriority w:val="99"/>
    <w:unhideWhenUsed/>
    <w:rsid w:val="00534D87"/>
    <w:pPr>
      <w:spacing w:after="0" w:line="240" w:lineRule="auto"/>
    </w:pPr>
    <w:rPr>
      <w:sz w:val="20"/>
      <w:szCs w:val="20"/>
    </w:rPr>
  </w:style>
  <w:style w:type="character" w:customStyle="1" w:styleId="FootnoteTextChar">
    <w:name w:val="Footnote Text Char"/>
    <w:basedOn w:val="DefaultParagraphFont"/>
    <w:link w:val="FootnoteText"/>
    <w:uiPriority w:val="99"/>
    <w:rsid w:val="00534D87"/>
    <w:rPr>
      <w:sz w:val="20"/>
      <w:szCs w:val="20"/>
    </w:rPr>
  </w:style>
  <w:style w:type="character" w:styleId="FootnoteReference">
    <w:name w:val="footnote reference"/>
    <w:basedOn w:val="DefaultParagraphFont"/>
    <w:uiPriority w:val="99"/>
    <w:semiHidden/>
    <w:unhideWhenUsed/>
    <w:rsid w:val="00534D87"/>
    <w:rPr>
      <w:vertAlign w:val="superscript"/>
    </w:rPr>
  </w:style>
  <w:style w:type="character" w:styleId="Strong">
    <w:name w:val="Strong"/>
    <w:basedOn w:val="DefaultParagraphFont"/>
    <w:uiPriority w:val="22"/>
    <w:qFormat/>
    <w:rsid w:val="00534D87"/>
    <w:rPr>
      <w:b/>
      <w:bCs/>
    </w:rPr>
  </w:style>
  <w:style w:type="paragraph" w:styleId="CommentText">
    <w:name w:val="annotation text"/>
    <w:basedOn w:val="Normal"/>
    <w:link w:val="CommentTextChar"/>
    <w:uiPriority w:val="99"/>
    <w:unhideWhenUsed/>
    <w:rsid w:val="00A26C11"/>
    <w:pPr>
      <w:spacing w:line="240" w:lineRule="auto"/>
    </w:pPr>
    <w:rPr>
      <w:sz w:val="20"/>
      <w:szCs w:val="20"/>
    </w:rPr>
  </w:style>
  <w:style w:type="character" w:customStyle="1" w:styleId="CommentTextChar">
    <w:name w:val="Comment Text Char"/>
    <w:basedOn w:val="DefaultParagraphFont"/>
    <w:link w:val="CommentText"/>
    <w:uiPriority w:val="99"/>
    <w:rsid w:val="00A26C11"/>
    <w:rPr>
      <w:sz w:val="20"/>
      <w:szCs w:val="20"/>
    </w:rPr>
  </w:style>
  <w:style w:type="character" w:styleId="CommentReference">
    <w:name w:val="annotation reference"/>
    <w:basedOn w:val="DefaultParagraphFont"/>
    <w:uiPriority w:val="99"/>
    <w:semiHidden/>
    <w:unhideWhenUsed/>
    <w:rsid w:val="00A26C11"/>
    <w:rPr>
      <w:sz w:val="16"/>
      <w:szCs w:val="16"/>
    </w:rPr>
  </w:style>
  <w:style w:type="paragraph" w:styleId="BalloonText">
    <w:name w:val="Balloon Text"/>
    <w:basedOn w:val="Normal"/>
    <w:link w:val="BalloonTextChar"/>
    <w:uiPriority w:val="99"/>
    <w:semiHidden/>
    <w:unhideWhenUsed/>
    <w:rsid w:val="00A26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C1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2339"/>
    <w:rPr>
      <w:b/>
      <w:bCs/>
    </w:rPr>
  </w:style>
  <w:style w:type="character" w:customStyle="1" w:styleId="CommentSubjectChar">
    <w:name w:val="Comment Subject Char"/>
    <w:basedOn w:val="CommentTextChar"/>
    <w:link w:val="CommentSubject"/>
    <w:uiPriority w:val="99"/>
    <w:semiHidden/>
    <w:rsid w:val="009F2339"/>
    <w:rPr>
      <w:b/>
      <w:bCs/>
      <w:sz w:val="20"/>
      <w:szCs w:val="20"/>
    </w:rPr>
  </w:style>
  <w:style w:type="paragraph" w:styleId="Header">
    <w:name w:val="header"/>
    <w:basedOn w:val="Normal"/>
    <w:link w:val="HeaderChar"/>
    <w:uiPriority w:val="99"/>
    <w:unhideWhenUsed/>
    <w:rsid w:val="0085234D"/>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85234D"/>
    <w:rPr>
      <w:rFonts w:ascii="Times New Roman" w:hAnsi="Times New Roman" w:cs="Times New Roman"/>
    </w:rPr>
  </w:style>
  <w:style w:type="paragraph" w:styleId="Footer">
    <w:name w:val="footer"/>
    <w:basedOn w:val="Normal"/>
    <w:link w:val="FooterChar"/>
    <w:uiPriority w:val="99"/>
    <w:unhideWhenUsed/>
    <w:rsid w:val="0085234D"/>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85234D"/>
    <w:rPr>
      <w:rFonts w:ascii="Times New Roman" w:hAnsi="Times New Roman" w:cs="Times New Roman"/>
    </w:rPr>
  </w:style>
  <w:style w:type="character" w:customStyle="1" w:styleId="normaltextrun">
    <w:name w:val="normaltextrun"/>
    <w:basedOn w:val="DefaultParagraphFont"/>
    <w:rsid w:val="00650386"/>
  </w:style>
  <w:style w:type="character" w:customStyle="1" w:styleId="ListParagraphChar">
    <w:name w:val="List Paragraph Char"/>
    <w:aliases w:val="FooterText Char,Paragraphe de liste1 Char,List Paragraph (bulleted list) Char,Bullet 1 List Char,Lettre d'introduction Char,List Paragraph1 Char,1st level - Bullet List Paragraph Char,Medium Grid 1 - Accent 21 Char,Bullet point Char"/>
    <w:basedOn w:val="DefaultParagraphFont"/>
    <w:link w:val="ListParagraph"/>
    <w:uiPriority w:val="34"/>
    <w:qFormat/>
    <w:locked/>
    <w:rsid w:val="007A513D"/>
    <w:rPr>
      <w:lang w:val="de-DE"/>
    </w:rPr>
  </w:style>
  <w:style w:type="character" w:customStyle="1" w:styleId="Mencinsinresolver1">
    <w:name w:val="Mención sin resolver1"/>
    <w:basedOn w:val="DefaultParagraphFont"/>
    <w:uiPriority w:val="99"/>
    <w:semiHidden/>
    <w:unhideWhenUsed/>
    <w:rsid w:val="00987A78"/>
    <w:rPr>
      <w:color w:val="605E5C"/>
      <w:shd w:val="clear" w:color="auto" w:fill="E1DFDD"/>
    </w:rPr>
  </w:style>
  <w:style w:type="paragraph" w:styleId="Revision">
    <w:name w:val="Revision"/>
    <w:hidden/>
    <w:uiPriority w:val="99"/>
    <w:semiHidden/>
    <w:rsid w:val="00B87E9A"/>
    <w:pPr>
      <w:spacing w:after="0" w:line="240" w:lineRule="auto"/>
    </w:pPr>
  </w:style>
  <w:style w:type="paragraph" w:customStyle="1" w:styleId="Default">
    <w:name w:val="Default"/>
    <w:rsid w:val="00E975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521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7184">
      <w:bodyDiv w:val="1"/>
      <w:marLeft w:val="0"/>
      <w:marRight w:val="0"/>
      <w:marTop w:val="0"/>
      <w:marBottom w:val="0"/>
      <w:divBdr>
        <w:top w:val="none" w:sz="0" w:space="0" w:color="auto"/>
        <w:left w:val="none" w:sz="0" w:space="0" w:color="auto"/>
        <w:bottom w:val="none" w:sz="0" w:space="0" w:color="auto"/>
        <w:right w:val="none" w:sz="0" w:space="0" w:color="auto"/>
      </w:divBdr>
    </w:div>
    <w:div w:id="84494394">
      <w:bodyDiv w:val="1"/>
      <w:marLeft w:val="0"/>
      <w:marRight w:val="0"/>
      <w:marTop w:val="0"/>
      <w:marBottom w:val="0"/>
      <w:divBdr>
        <w:top w:val="none" w:sz="0" w:space="0" w:color="auto"/>
        <w:left w:val="none" w:sz="0" w:space="0" w:color="auto"/>
        <w:bottom w:val="none" w:sz="0" w:space="0" w:color="auto"/>
        <w:right w:val="none" w:sz="0" w:space="0" w:color="auto"/>
      </w:divBdr>
    </w:div>
    <w:div w:id="136916959">
      <w:bodyDiv w:val="1"/>
      <w:marLeft w:val="0"/>
      <w:marRight w:val="0"/>
      <w:marTop w:val="0"/>
      <w:marBottom w:val="0"/>
      <w:divBdr>
        <w:top w:val="none" w:sz="0" w:space="0" w:color="auto"/>
        <w:left w:val="none" w:sz="0" w:space="0" w:color="auto"/>
        <w:bottom w:val="none" w:sz="0" w:space="0" w:color="auto"/>
        <w:right w:val="none" w:sz="0" w:space="0" w:color="auto"/>
      </w:divBdr>
    </w:div>
    <w:div w:id="159195059">
      <w:bodyDiv w:val="1"/>
      <w:marLeft w:val="0"/>
      <w:marRight w:val="0"/>
      <w:marTop w:val="0"/>
      <w:marBottom w:val="0"/>
      <w:divBdr>
        <w:top w:val="none" w:sz="0" w:space="0" w:color="auto"/>
        <w:left w:val="none" w:sz="0" w:space="0" w:color="auto"/>
        <w:bottom w:val="none" w:sz="0" w:space="0" w:color="auto"/>
        <w:right w:val="none" w:sz="0" w:space="0" w:color="auto"/>
      </w:divBdr>
    </w:div>
    <w:div w:id="522981756">
      <w:bodyDiv w:val="1"/>
      <w:marLeft w:val="0"/>
      <w:marRight w:val="0"/>
      <w:marTop w:val="0"/>
      <w:marBottom w:val="0"/>
      <w:divBdr>
        <w:top w:val="none" w:sz="0" w:space="0" w:color="auto"/>
        <w:left w:val="none" w:sz="0" w:space="0" w:color="auto"/>
        <w:bottom w:val="none" w:sz="0" w:space="0" w:color="auto"/>
        <w:right w:val="none" w:sz="0" w:space="0" w:color="auto"/>
      </w:divBdr>
    </w:div>
    <w:div w:id="1216162260">
      <w:bodyDiv w:val="1"/>
      <w:marLeft w:val="0"/>
      <w:marRight w:val="0"/>
      <w:marTop w:val="0"/>
      <w:marBottom w:val="0"/>
      <w:divBdr>
        <w:top w:val="none" w:sz="0" w:space="0" w:color="auto"/>
        <w:left w:val="none" w:sz="0" w:space="0" w:color="auto"/>
        <w:bottom w:val="none" w:sz="0" w:space="0" w:color="auto"/>
        <w:right w:val="none" w:sz="0" w:space="0" w:color="auto"/>
      </w:divBdr>
    </w:div>
    <w:div w:id="1347948308">
      <w:bodyDiv w:val="1"/>
      <w:marLeft w:val="0"/>
      <w:marRight w:val="0"/>
      <w:marTop w:val="0"/>
      <w:marBottom w:val="0"/>
      <w:divBdr>
        <w:top w:val="none" w:sz="0" w:space="0" w:color="auto"/>
        <w:left w:val="none" w:sz="0" w:space="0" w:color="auto"/>
        <w:bottom w:val="none" w:sz="0" w:space="0" w:color="auto"/>
        <w:right w:val="none" w:sz="0" w:space="0" w:color="auto"/>
      </w:divBdr>
    </w:div>
    <w:div w:id="1434209115">
      <w:bodyDiv w:val="1"/>
      <w:marLeft w:val="0"/>
      <w:marRight w:val="0"/>
      <w:marTop w:val="0"/>
      <w:marBottom w:val="0"/>
      <w:divBdr>
        <w:top w:val="none" w:sz="0" w:space="0" w:color="auto"/>
        <w:left w:val="none" w:sz="0" w:space="0" w:color="auto"/>
        <w:bottom w:val="none" w:sz="0" w:space="0" w:color="auto"/>
        <w:right w:val="none" w:sz="0" w:space="0" w:color="auto"/>
      </w:divBdr>
    </w:div>
    <w:div w:id="1517576179">
      <w:bodyDiv w:val="1"/>
      <w:marLeft w:val="0"/>
      <w:marRight w:val="0"/>
      <w:marTop w:val="0"/>
      <w:marBottom w:val="0"/>
      <w:divBdr>
        <w:top w:val="none" w:sz="0" w:space="0" w:color="auto"/>
        <w:left w:val="none" w:sz="0" w:space="0" w:color="auto"/>
        <w:bottom w:val="none" w:sz="0" w:space="0" w:color="auto"/>
        <w:right w:val="none" w:sz="0" w:space="0" w:color="auto"/>
      </w:divBdr>
    </w:div>
    <w:div w:id="1788810417">
      <w:bodyDiv w:val="1"/>
      <w:marLeft w:val="0"/>
      <w:marRight w:val="0"/>
      <w:marTop w:val="0"/>
      <w:marBottom w:val="0"/>
      <w:divBdr>
        <w:top w:val="none" w:sz="0" w:space="0" w:color="auto"/>
        <w:left w:val="none" w:sz="0" w:space="0" w:color="auto"/>
        <w:bottom w:val="none" w:sz="0" w:space="0" w:color="auto"/>
        <w:right w:val="none" w:sz="0" w:space="0" w:color="auto"/>
      </w:divBdr>
    </w:div>
    <w:div w:id="2037658037">
      <w:bodyDiv w:val="1"/>
      <w:marLeft w:val="0"/>
      <w:marRight w:val="0"/>
      <w:marTop w:val="0"/>
      <w:marBottom w:val="0"/>
      <w:divBdr>
        <w:top w:val="none" w:sz="0" w:space="0" w:color="auto"/>
        <w:left w:val="none" w:sz="0" w:space="0" w:color="auto"/>
        <w:bottom w:val="none" w:sz="0" w:space="0" w:color="auto"/>
        <w:right w:val="none" w:sz="0" w:space="0" w:color="auto"/>
      </w:divBdr>
    </w:div>
    <w:div w:id="2040741963">
      <w:bodyDiv w:val="1"/>
      <w:marLeft w:val="0"/>
      <w:marRight w:val="0"/>
      <w:marTop w:val="0"/>
      <w:marBottom w:val="0"/>
      <w:divBdr>
        <w:top w:val="none" w:sz="0" w:space="0" w:color="auto"/>
        <w:left w:val="none" w:sz="0" w:space="0" w:color="auto"/>
        <w:bottom w:val="none" w:sz="0" w:space="0" w:color="auto"/>
        <w:right w:val="none" w:sz="0" w:space="0" w:color="auto"/>
      </w:divBdr>
    </w:div>
    <w:div w:id="211000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joint-research-centre.ec.europa.eu/jrc-news-and-updates/eu-agriculture-2040-no-easy-fix-environmental-and-socio-economic-aspects-2025-10-27_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un.org/en/food-systems-summit" TargetMode="External"/><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ur-lex.europa.eu/legal-content/EN/TXT/PDF/?uri=CELEX:52025DC0075" TargetMode="External"/><Relationship Id="rId22" Type="http://schemas.openxmlformats.org/officeDocument/2006/relationships/footer" Target="footer3.xml"/><Relationship Id="rId27"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eesc.europa.eu/de/our-work/opinions-information-reports/opinions/towards-european-food-policy-council-new-governance-model-future-eu-framework-sustainable-food-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VP3JK3XSEPRV-2087481956-5705</_dlc_DocId>
    <_dlc_DocIdUrl xmlns="7d640e6d-779c-472f-a269-6b546787f1c9">
      <Url>http://dm/eesc/2026/_layouts/15/DocIdRedir.aspx?ID=VP3JK3XSEPRV-2087481956-5705</Url>
      <Description>VP3JK3XSEPRV-2087481956-5705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2026-03-27T12:00:00+00:00</ProductionDate>
    <DocumentNumber xmlns="a95533f8-59af-4217-bc7a-c1167744adb0">459</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2026-03-30T12:00:00+00:00</MeetingDate>
    <TaxCatchAll xmlns="7d640e6d-779c-472f-a269-6b546787f1c9">
      <Value>50</Value>
      <Value>29</Value>
      <Value>18</Value>
      <Value>11</Value>
      <Value>9</Value>
      <Value>144</Value>
      <Value>23</Value>
      <Value>4</Value>
      <Value>19</Value>
      <Value>1</Value>
      <Value>12</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Obsolete</TermName>
          <TermId xmlns="http://schemas.microsoft.com/office/infopath/2007/PartnerControls">ef7b2089-53ec-4293-a3a0-fe07d3abc41e</TermId>
        </TermInfo>
      </Terms>
    </VersionStatus_0>
    <Rapporteur xmlns="7d640e6d-779c-472f-a269-6b546787f1c9" xsi:nil="true"/>
    <DocumentYear xmlns="7d640e6d-779c-472f-a269-6b546787f1c9">2026</DocumentYear>
    <FicheNumber xmlns="7d640e6d-779c-472f-a269-6b546787f1c9">301382</FicheNumber>
    <OriginalSender xmlns="7d640e6d-779c-472f-a269-6b546787f1c9">
      <UserInfo>
        <DisplayName>Deichsel Josefine</DisplayName>
        <AccountId>1387</AccountId>
        <AccountType/>
      </UserInfo>
    </OriginalSender>
    <DocumentPart xmlns="7d640e6d-779c-472f-a269-6b546787f1c9">0</DocumentPart>
    <AdoptionDate xmlns="7d640e6d-779c-472f-a269-6b546787f1c9" xsi:nil="true"/>
    <RequestingService xmlns="7d640e6d-779c-472f-a269-6b546787f1c9">Systèmes alimentaires durables, environnement, dév. rural</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PG on food</TermName>
          <TermId xmlns="http://schemas.microsoft.com/office/infopath/2007/PartnerControls">2d683d6e-d85b-488d-89c3-3b91e47165b1</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1</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Props1.xml><?xml version="1.0" encoding="utf-8"?>
<ds:datastoreItem xmlns:ds="http://schemas.openxmlformats.org/officeDocument/2006/customXml" ds:itemID="{13F299A3-4D9C-4C9D-8263-3B41D17D5B79}">
  <ds:schemaRefs>
    <ds:schemaRef ds:uri="http://schemas.openxmlformats.org/officeDocument/2006/bibliography"/>
  </ds:schemaRefs>
</ds:datastoreItem>
</file>

<file path=customXml/itemProps2.xml><?xml version="1.0" encoding="utf-8"?>
<ds:datastoreItem xmlns:ds="http://schemas.openxmlformats.org/officeDocument/2006/customXml" ds:itemID="{C523E7EB-BF54-4A34-A9DC-981515818D3B}"/>
</file>

<file path=customXml/itemProps3.xml><?xml version="1.0" encoding="utf-8"?>
<ds:datastoreItem xmlns:ds="http://schemas.openxmlformats.org/officeDocument/2006/customXml" ds:itemID="{FFB5E287-3649-4B3F-A2FA-B34339352837}"/>
</file>

<file path=customXml/itemProps4.xml><?xml version="1.0" encoding="utf-8"?>
<ds:datastoreItem xmlns:ds="http://schemas.openxmlformats.org/officeDocument/2006/customXml" ds:itemID="{46755F55-417C-4004-9EF3-A95439CFF873}"/>
</file>

<file path=customXml/itemProps5.xml><?xml version="1.0" encoding="utf-8"?>
<ds:datastoreItem xmlns:ds="http://schemas.openxmlformats.org/officeDocument/2006/customXml" ds:itemID="{68E7BF4C-B9D9-48EA-9837-3D0506D78576}"/>
</file>

<file path=docProps/app.xml><?xml version="1.0" encoding="utf-8"?>
<Properties xmlns="http://schemas.openxmlformats.org/officeDocument/2006/extended-properties" xmlns:vt="http://schemas.openxmlformats.org/officeDocument/2006/docPropsVTypes">
  <Template>Normal.dotm</Template>
  <TotalTime>5</TotalTime>
  <Pages>9</Pages>
  <Words>2584</Words>
  <Characters>18610</Characters>
  <Application>Microsoft Office Word</Application>
  <DocSecurity>0</DocSecurity>
  <Lines>387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Ständige Arbeitsgruppe 'Nachhaltige Lebensmittelsysteme' - Arbeitsprogramm 2025-2027</dc:title>
  <dc:subject/>
  <dc:creator/>
  <cp:keywords/>
  <dc:description/>
  <cp:lastModifiedBy/>
  <cp:revision>7</cp:revision>
  <dcterms:created xsi:type="dcterms:W3CDTF">2026-03-20T10:24:00Z</dcterms:created>
  <dcterms:modified xsi:type="dcterms:W3CDTF">2026-03-27T10:54:00Z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20/03/2026</vt:lpwstr>
  </property>
  <property fmtid="{D5CDD505-2E9C-101B-9397-08002B2CF9AE}" pid="4" name="Pref_Time">
    <vt:lpwstr>11:21:40</vt:lpwstr>
  </property>
  <property fmtid="{D5CDD505-2E9C-101B-9397-08002B2CF9AE}" pid="5" name="Pref_User">
    <vt:lpwstr>jhvi</vt:lpwstr>
  </property>
  <property fmtid="{D5CDD505-2E9C-101B-9397-08002B2CF9AE}" pid="6" name="Pref_FileName">
    <vt:lpwstr>EESC-2026-00459-00-00-TCD-ORI.docx</vt:lpwstr>
  </property>
  <property fmtid="{D5CDD505-2E9C-101B-9397-08002B2CF9AE}" pid="7" name="ContentTypeId">
    <vt:lpwstr>0x010100EA97B91038054C99906057A708A1480A0042CFDF3EA65A64469BBC042F89C9AB74</vt:lpwstr>
  </property>
  <property fmtid="{D5CDD505-2E9C-101B-9397-08002B2CF9AE}" pid="8" name="_dlc_DocIdItemGuid">
    <vt:lpwstr>eea8826e-3de9-45fe-b473-6eb3a27b4738</vt:lpwstr>
  </property>
  <property fmtid="{D5CDD505-2E9C-101B-9397-08002B2CF9AE}" pid="9" name="AvailableTranslations">
    <vt:lpwstr>12;#ES|e7a6b05b-ae16-40c8-add9-68b64b03aeba;#29;#CS|72f9705b-0217-4fd3-bea2-cbc7ed80e26e;#4;#EN|f2175f21-25d7-44a3-96da-d6a61b075e1b;#11;#DE|f6b31e5a-26fa-4935-b661-318e46daf27e;#23;#FR|d2afafd3-4c81-4f60-8f52-ee33f2f54ff3</vt:lpwstr>
  </property>
  <property fmtid="{D5CDD505-2E9C-101B-9397-08002B2CF9AE}" pid="10" name="DocumentType_0">
    <vt:lpwstr>TCD|cd9d6eb6-3f4f-424a-b2d1-57c9d450eaaf</vt:lpwstr>
  </property>
  <property fmtid="{D5CDD505-2E9C-101B-9397-08002B2CF9AE}" pid="11" name="MeetingNumber">
    <vt:i4>1</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459</vt:i4>
  </property>
  <property fmtid="{D5CDD505-2E9C-101B-9397-08002B2CF9AE}" pid="15" name="DocumentVersion">
    <vt:i4>0</vt:i4>
  </property>
  <property fmtid="{D5CDD505-2E9C-101B-9397-08002B2CF9AE}" pid="16" name="DocumentStatus">
    <vt:lpwstr>9;#TRA|150d2a88-1431-44e6-a8ca-0bb753ab8672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18;#TCD|cd9d6eb6-3f4f-424a-b2d1-57c9d450eaaf</vt:lpwstr>
  </property>
  <property fmtid="{D5CDD505-2E9C-101B-9397-08002B2CF9AE}" pid="22" name="RequestingService">
    <vt:lpwstr>Systèmes alimentaires durables, environnement, dév. rural</vt:lpwstr>
  </property>
  <property fmtid="{D5CDD505-2E9C-101B-9397-08002B2CF9AE}" pid="23" name="Confidentiality">
    <vt:lpwstr>19;#Unrestricted|826e22d7-d029-4ec0-a450-0c28ff673572</vt:lpwstr>
  </property>
  <property fmtid="{D5CDD505-2E9C-101B-9397-08002B2CF9AE}" pid="24" name="MeetingName_0">
    <vt:lpwstr>PG on food|2d683d6e-d85b-488d-89c3-3b91e47165b1</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144;#PG on food|2d683d6e-d85b-488d-89c3-3b91e47165b1</vt:lpwstr>
  </property>
  <property fmtid="{D5CDD505-2E9C-101B-9397-08002B2CF9AE}" pid="28" name="MeetingDate">
    <vt:filetime>2026-03-30T12:00:00Z</vt:filetime>
  </property>
  <property fmtid="{D5CDD505-2E9C-101B-9397-08002B2CF9AE}" pid="29" name="AvailableTranslations_0">
    <vt:lpwstr>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18;#TCD|cd9d6eb6-3f4f-424a-b2d1-57c9d450eaaf;#9;#TRA|150d2a88-1431-44e6-a8ca-0bb753ab8672;#144;#PG on food|2d683d6e-d85b-488d-89c3-3b91e47165b1;#7;#Final|ea5e6674-7b27-4bac-b091-73adbb394efe;#4;#EN|f2175f21-25d7-44a3-96da-d6a61b075e1b;#19;#Unrestricted|826e22d7-d029-4ec0-a450-0c28ff673572;#1;#EESC|422833ec-8d7e-4e65-8e4e-8bed07ffb729</vt:lpwstr>
  </property>
  <property fmtid="{D5CDD505-2E9C-101B-9397-08002B2CF9AE}" pid="33" name="VersionStatus_0">
    <vt:lpwstr>Final|ea5e6674-7b27-4bac-b091-73adbb394efe</vt:lpwstr>
  </property>
  <property fmtid="{D5CDD505-2E9C-101B-9397-08002B2CF9AE}" pid="34" name="VersionStatus">
    <vt:lpwstr>50;#Obsolete|ef7b2089-53ec-4293-a3a0-fe07d3abc41e</vt:lpwstr>
  </property>
  <property fmtid="{D5CDD505-2E9C-101B-9397-08002B2CF9AE}" pid="35" name="DocumentYear">
    <vt:i4>2026</vt:i4>
  </property>
  <property fmtid="{D5CDD505-2E9C-101B-9397-08002B2CF9AE}" pid="36" name="FicheNumber">
    <vt:i4>301382</vt:i4>
  </property>
  <property fmtid="{D5CDD505-2E9C-101B-9397-08002B2CF9AE}" pid="37" name="DocumentLanguage">
    <vt:lpwstr>11;#DE|f6b31e5a-26fa-4935-b661-318e46daf27e</vt:lpwstr>
  </property>
  <property fmtid="{D5CDD505-2E9C-101B-9397-08002B2CF9AE}" pid="38" name="_docset_NoMedatataSyncRequired">
    <vt:lpwstr>False</vt:lpwstr>
  </property>
</Properties>
</file>