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AF5734" w14:paraId="02555730" w14:textId="58DE97D4">
      <w:pPr>
        <w:jc w:val="right"/>
      </w:pPr>
      <w:r>
        <w:rPr>
          <w:b/>
        </w:rPr>
        <w:t>INT</w:t>
      </w:r>
      <w:r w:rsidRPr="0082636E" w:rsidR="0015330A">
        <w:rPr>
          <w:b/>
        </w:rPr>
        <w:t>/</w:t>
      </w:r>
      <w:r>
        <w:rPr>
          <w:b/>
        </w:rPr>
        <w:t>11</w:t>
      </w:r>
      <w:r w:rsidR="00BC0F98">
        <w:rPr>
          <w:b/>
        </w:rPr>
        <w:t>1</w:t>
      </w:r>
      <w:r w:rsidR="00D34BD7">
        <w:rPr>
          <w:b/>
        </w:rPr>
        <w:t>5</w:t>
      </w:r>
    </w:p>
    <w:p w:rsidRPr="00D34BD7" w:rsidR="00D34BD7" w:rsidP="00D34BD7" w:rsidRDefault="00D34BD7" w14:paraId="626514BF" w14:textId="77777777">
      <w:pPr>
        <w:jc w:val="right"/>
        <w:rPr>
          <w:b/>
          <w:bCs/>
        </w:rPr>
      </w:pPr>
      <w:r w:rsidRPr="00D34BD7">
        <w:rPr>
          <w:b/>
          <w:bCs/>
        </w:rPr>
        <w:t xml:space="preserve">CO2 standards for </w:t>
      </w:r>
    </w:p>
    <w:p w:rsidRPr="00A67235" w:rsidR="000E4B6B" w:rsidP="00D34BD7" w:rsidRDefault="00D34BD7" w14:paraId="1EFE7F2B" w14:textId="3074DA80">
      <w:pPr>
        <w:jc w:val="right"/>
      </w:pPr>
      <w:r w:rsidRPr="00D34BD7">
        <w:rPr>
          <w:b/>
          <w:bCs/>
        </w:rPr>
        <w:t>cars and vans/Revision</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3A35364">
      <w:pPr>
        <w:jc w:val="right"/>
      </w:pPr>
      <w:r w:rsidRPr="00A67235">
        <w:t xml:space="preserve">Brussels, </w:t>
      </w:r>
      <w:r w:rsidR="00121D76">
        <w:t>29 April 2026</w:t>
      </w:r>
    </w:p>
    <w:p w:rsidRPr="00A67235" w:rsidR="000E4B6B" w:rsidP="00EC0F0F" w:rsidRDefault="000E4B6B" w14:paraId="31FA757B" w14:textId="77777777"/>
    <w:p w:rsidR="000E4B6B" w:rsidP="00EC0F0F" w:rsidRDefault="000E4B6B" w14:paraId="0B406AD6" w14:textId="77777777"/>
    <w:p w:rsidRPr="00A67235" w:rsidR="00347E56" w:rsidP="00EC0F0F" w:rsidRDefault="00347E56" w14:paraId="4E16D844" w14:textId="77777777"/>
    <w:p w:rsidRPr="00A67235" w:rsidR="000E4B6B" w:rsidP="00EC0F0F" w:rsidRDefault="000E4B6B" w14:paraId="414F5CCC" w14:textId="77777777"/>
    <w:p w:rsidR="00DD6B86" w:rsidP="00121D76" w:rsidRDefault="00964A13" w14:paraId="1F618761" w14:textId="5361A622">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p>
    <w:p w:rsidRPr="004C3F5D" w:rsidR="00D34BD7" w:rsidP="00D34BD7" w:rsidRDefault="00D34BD7" w14:paraId="61F5B469" w14:textId="77777777">
      <w:pPr>
        <w:jc w:val="center"/>
        <w:rPr>
          <w:b/>
          <w:bCs/>
          <w:sz w:val="24"/>
          <w:szCs w:val="24"/>
        </w:rPr>
      </w:pPr>
      <w:r w:rsidRPr="004C3F5D">
        <w:rPr>
          <w:b/>
          <w:bCs/>
          <w:sz w:val="24"/>
          <w:szCs w:val="24"/>
        </w:rPr>
        <w:t>Proposal for a Regulation of the European Parliament and of the Council amending Regulation (EU) 2019/631 as regards CO2 emission performance standards for new light duty vehicles and vehicle labelling and repealing Directive 1999/94/EC</w:t>
      </w:r>
    </w:p>
    <w:p w:rsidRPr="004C3F5D" w:rsidR="00BC0F98" w:rsidP="00D34BD7" w:rsidRDefault="005B52B3" w14:paraId="20900CBD" w14:textId="642DAB2C">
      <w:pPr>
        <w:jc w:val="center"/>
        <w:rPr>
          <w:sz w:val="24"/>
          <w:szCs w:val="24"/>
        </w:rPr>
      </w:pPr>
      <w:r>
        <w:rPr>
          <w:sz w:val="24"/>
          <w:szCs w:val="24"/>
        </w:rPr>
        <w:t>[</w:t>
      </w:r>
      <w:r w:rsidRPr="004C3F5D" w:rsidR="00D34BD7">
        <w:rPr>
          <w:sz w:val="24"/>
          <w:szCs w:val="24"/>
        </w:rPr>
        <w:t>COM(2025) 995 final - 2025/420 (COD)</w:t>
      </w:r>
      <w:r>
        <w:rPr>
          <w:sz w:val="24"/>
          <w:szCs w:val="24"/>
        </w:rPr>
        <w:t>]</w:t>
      </w:r>
    </w:p>
    <w:p w:rsidRPr="00A67235" w:rsidR="00964A13" w:rsidP="00EC0F0F" w:rsidRDefault="00964A13" w14:paraId="6EA6F05A" w14:textId="77777777">
      <w:pPr>
        <w:jc w:val="center"/>
      </w:pPr>
      <w:r w:rsidRPr="00A67235">
        <w:t>_____________</w:t>
      </w:r>
    </w:p>
    <w:p w:rsidRPr="00A67235" w:rsidR="00964A13" w:rsidP="00EC0F0F" w:rsidRDefault="00964A13" w14:paraId="023E833B" w14:textId="77777777">
      <w:pPr>
        <w:jc w:val="center"/>
      </w:pPr>
    </w:p>
    <w:p w:rsidRPr="00A67235" w:rsidR="00964A13" w:rsidP="00EC0F0F" w:rsidRDefault="00121D76" w14:paraId="0FA745B1" w14:textId="1E62493C">
      <w:pPr>
        <w:jc w:val="center"/>
        <w:rPr>
          <w:bCs/>
        </w:rPr>
      </w:pPr>
      <w:r>
        <w:t>605</w:t>
      </w:r>
      <w:r w:rsidRPr="00121D76">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Pr>
          <w:bCs/>
        </w:rPr>
        <w:t>29</w:t>
      </w:r>
      <w:r w:rsidR="0015330A">
        <w:rPr>
          <w:bCs/>
        </w:rPr>
        <w:t>-</w:t>
      </w:r>
      <w:r>
        <w:rPr>
          <w:bCs/>
        </w:rPr>
        <w:t>30 April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6692F162">
      <w:pPr>
        <w:jc w:val="center"/>
      </w:pPr>
      <w:r w:rsidRPr="00A67235">
        <w:t xml:space="preserve">Meeting of </w:t>
      </w:r>
      <w:r w:rsidR="00121D76">
        <w:t>29 April 2026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71045E20">
      <w:pPr>
        <w:pStyle w:val="Footer"/>
        <w:jc w:val="center"/>
      </w:pPr>
      <w:r w:rsidRPr="00A67235">
        <w:t>Agenda item</w:t>
      </w:r>
      <w:r w:rsidR="00177DAC">
        <w:t xml:space="preserve"> </w:t>
      </w:r>
      <w:r w:rsidR="0043778E">
        <w:t>18</w:t>
      </w:r>
    </w:p>
    <w:p w:rsidRPr="00A67235" w:rsidR="00964A13" w:rsidP="00EC0F0F" w:rsidRDefault="00964A13" w14:paraId="51C5CA93" w14:textId="77777777">
      <w:pPr>
        <w:pStyle w:val="Footer"/>
        <w:jc w:val="center"/>
      </w:pPr>
      <w:r w:rsidRPr="00A67235">
        <w:t>_____________</w:t>
      </w:r>
    </w:p>
    <w:p w:rsidR="006F603A" w:rsidRDefault="006F603A" w14:paraId="2BF941E5" w14:textId="33940FCF">
      <w:pPr>
        <w:spacing w:line="240" w:lineRule="auto"/>
        <w:jc w:val="left"/>
      </w:pPr>
      <w:r>
        <w:br w:type="page"/>
      </w:r>
    </w:p>
    <w:p w:rsidRPr="00A67235" w:rsidR="000E4B6B" w:rsidP="00EC0F0F" w:rsidRDefault="000E4B6B" w14:paraId="522F423A" w14:textId="77777777"/>
    <w:p w:rsidRPr="00A67235" w:rsidR="000E4B6B" w:rsidP="00EC0F0F" w:rsidRDefault="000E4B6B" w14:paraId="1461B587" w14:textId="0B831E72">
      <w:r w:rsidRPr="00A67235">
        <w:rPr>
          <w:b/>
          <w:bCs/>
        </w:rPr>
        <w:t xml:space="preserve">The president </w:t>
      </w:r>
      <w:r w:rsidRPr="00A67235">
        <w:t xml:space="preserve">moved that the Committee turn to agenda item </w:t>
      </w:r>
      <w:r w:rsidR="0043778E">
        <w:t>18</w:t>
      </w:r>
      <w:r w:rsidRPr="00A67235">
        <w:t xml:space="preserve"> - adoption of an opinion on the</w:t>
      </w:r>
    </w:p>
    <w:p w:rsidRPr="00A67235" w:rsidR="000E4B6B" w:rsidP="00EC0F0F" w:rsidRDefault="000E4B6B" w14:paraId="037DAC87" w14:textId="77777777"/>
    <w:p w:rsidRPr="00D34BD7" w:rsidR="00D34BD7" w:rsidP="00D34BD7" w:rsidRDefault="00D34BD7" w14:paraId="2DF5755D" w14:textId="77777777">
      <w:pPr>
        <w:ind w:left="1430"/>
        <w:rPr>
          <w:i/>
          <w:iCs/>
        </w:rPr>
      </w:pPr>
      <w:r w:rsidRPr="00D34BD7">
        <w:rPr>
          <w:i/>
          <w:iCs/>
        </w:rPr>
        <w:t>Proposal for a Regulation of the European Parliament and of the Council amending Regulation (EU) 2019/631 as regards CO2 emission performance standards for new light duty vehicles and vehicle labelling and repealing Directive 1999/94/EC</w:t>
      </w:r>
    </w:p>
    <w:p w:rsidRPr="00D34BD7" w:rsidR="006D06D3" w:rsidP="00D34BD7" w:rsidRDefault="00D34BD7" w14:paraId="1E3AC411" w14:textId="490E3576">
      <w:pPr>
        <w:ind w:left="1430"/>
      </w:pPr>
      <w:r w:rsidRPr="00D34BD7">
        <w:t>COM(2025) 995 final - 2025/420 (COD)</w:t>
      </w:r>
      <w:r>
        <w:t>.</w:t>
      </w:r>
    </w:p>
    <w:p w:rsidRPr="006D06D3" w:rsidR="006D06D3" w:rsidP="006D06D3" w:rsidRDefault="006D06D3" w14:paraId="4F80894E" w14:textId="77777777">
      <w:pPr>
        <w:ind w:left="1430"/>
        <w:rPr>
          <w:i/>
          <w:iCs/>
        </w:rPr>
      </w:pPr>
    </w:p>
    <w:p w:rsidRPr="00A67235" w:rsidR="000E4B6B" w:rsidP="00EC0F0F" w:rsidRDefault="000E4B6B" w14:paraId="2D8D7685" w14:textId="17682C9B">
      <w:r w:rsidRPr="00A67235">
        <w:t xml:space="preserve">The preliminary work had been carried out by the Section for </w:t>
      </w:r>
      <w:r w:rsidR="008850C4">
        <w:t>the Single Market, Production and Production</w:t>
      </w:r>
      <w:r w:rsidRPr="00A67235">
        <w:t xml:space="preserve"> (president:</w:t>
      </w:r>
      <w:r w:rsidR="00177DAC">
        <w:t xml:space="preserve"> </w:t>
      </w:r>
      <w:r w:rsidR="008850C4">
        <w:t>Émilie PROUZET</w:t>
      </w:r>
      <w:r w:rsidRPr="00A67235">
        <w:t>). The rapporteur was</w:t>
      </w:r>
      <w:r w:rsidR="00BC0F98">
        <w:rPr>
          <w:b/>
          <w:bCs/>
        </w:rPr>
        <w:t xml:space="preserve"> </w:t>
      </w:r>
      <w:r w:rsidR="00D34BD7">
        <w:rPr>
          <w:b/>
          <w:bCs/>
        </w:rPr>
        <w:t>Matteo BORSANI</w:t>
      </w:r>
      <w:r w:rsidRPr="00A67235">
        <w:t>.</w:t>
      </w:r>
    </w:p>
    <w:p w:rsidRPr="00A67235" w:rsidR="000E4B6B" w:rsidP="00EC0F0F" w:rsidRDefault="000E4B6B" w14:paraId="2708AAF4" w14:textId="77777777"/>
    <w:p w:rsidRPr="009D67E1" w:rsidR="009D67E1" w:rsidP="009D67E1" w:rsidRDefault="009D67E1" w14:paraId="758DBC89" w14:textId="435518AE">
      <w:r w:rsidRPr="009D67E1">
        <w:t xml:space="preserve">The rapporteur presented the opinion. </w:t>
      </w:r>
      <w:r w:rsidRPr="009D67E1">
        <w:rPr>
          <w:b/>
          <w:bCs/>
        </w:rPr>
        <w:t>Mr</w:t>
      </w:r>
      <w:r w:rsidRPr="009D67E1">
        <w:t xml:space="preserve"> </w:t>
      </w:r>
      <w:r w:rsidRPr="009D67E1">
        <w:rPr>
          <w:b/>
          <w:bCs/>
        </w:rPr>
        <w:t>Borsani</w:t>
      </w:r>
      <w:r w:rsidRPr="009D67E1">
        <w:t xml:space="preserve"> explained that</w:t>
      </w:r>
      <w:r w:rsidR="00ED49E0">
        <w:t xml:space="preserve"> in the last few years the automotive sector lost 200 jobs per day and that it was therefore necessary to act decisively. He called</w:t>
      </w:r>
      <w:r w:rsidRPr="00ED49E0" w:rsidR="00ED49E0">
        <w:t xml:space="preserve"> for a balanced and coherent EU framework for the automotive transition, combining a strong push for zero- and low-emission mobility with technological neutrality, a reinforced value chain, and the protection of quality jobs, industrial capacity and innovation</w:t>
      </w:r>
      <w:r w:rsidR="00125AC4">
        <w:t>.</w:t>
      </w:r>
    </w:p>
    <w:p w:rsidRPr="009D67E1" w:rsidR="009D67E1" w:rsidP="009D67E1" w:rsidRDefault="009D67E1" w14:paraId="5986D5D8" w14:textId="77777777"/>
    <w:p w:rsidRPr="009D67E1" w:rsidR="009D67E1" w:rsidP="009D67E1" w:rsidRDefault="009D67E1" w14:paraId="24C6A5E6" w14:textId="3EA31A00">
      <w:r w:rsidRPr="009D67E1">
        <w:t xml:space="preserve">In the ensuing debate, </w:t>
      </w:r>
      <w:r w:rsidRPr="009D67E1">
        <w:rPr>
          <w:b/>
          <w:bCs/>
        </w:rPr>
        <w:t xml:space="preserve">Mr </w:t>
      </w:r>
      <w:r w:rsidR="005350CC">
        <w:rPr>
          <w:b/>
          <w:bCs/>
        </w:rPr>
        <w:t>Bergrath</w:t>
      </w:r>
      <w:r>
        <w:rPr>
          <w:b/>
          <w:bCs/>
        </w:rPr>
        <w:t xml:space="preserve">, Ms </w:t>
      </w:r>
      <w:r w:rsidR="005350CC">
        <w:rPr>
          <w:b/>
          <w:bCs/>
        </w:rPr>
        <w:t xml:space="preserve">Murafa Benga and Mr </w:t>
      </w:r>
      <w:r w:rsidRPr="00867653" w:rsidR="00867653">
        <w:rPr>
          <w:b/>
          <w:bCs/>
        </w:rPr>
        <w:t xml:space="preserve">Tracevičius </w:t>
      </w:r>
      <w:r w:rsidRPr="009D67E1">
        <w:t>took the floor and raised the following issues:</w:t>
      </w:r>
      <w:r w:rsidRPr="009D67E1">
        <w:br/>
      </w:r>
    </w:p>
    <w:p w:rsidR="009D67E1" w:rsidP="009D67E1" w:rsidRDefault="005350CC" w14:paraId="24986140" w14:textId="3F7DEBEB">
      <w:pPr>
        <w:numPr>
          <w:ilvl w:val="0"/>
          <w:numId w:val="6"/>
        </w:numPr>
        <w:contextualSpacing/>
      </w:pPr>
      <w:r>
        <w:t xml:space="preserve">The role of EV in the future of automotive; </w:t>
      </w:r>
    </w:p>
    <w:p w:rsidR="005350CC" w:rsidP="009D67E1" w:rsidRDefault="005350CC" w14:paraId="161F66CE" w14:textId="1BFF1617">
      <w:pPr>
        <w:numPr>
          <w:ilvl w:val="0"/>
          <w:numId w:val="6"/>
        </w:numPr>
        <w:contextualSpacing/>
      </w:pPr>
      <w:r>
        <w:t xml:space="preserve">The need for social conditionalities to be included in new initiatives to support the sector; </w:t>
      </w:r>
    </w:p>
    <w:p w:rsidRPr="009D67E1" w:rsidR="00F61314" w:rsidP="009D67E1" w:rsidRDefault="00867653" w14:paraId="2C377340" w14:textId="7B9290E7">
      <w:pPr>
        <w:numPr>
          <w:ilvl w:val="0"/>
          <w:numId w:val="6"/>
        </w:numPr>
        <w:contextualSpacing/>
      </w:pPr>
      <w:r>
        <w:t>China's manufacturing capacity and global leadership</w:t>
      </w:r>
      <w:r w:rsidR="00F61314">
        <w:t xml:space="preserve">. </w:t>
      </w:r>
    </w:p>
    <w:p w:rsidRPr="009D67E1" w:rsidR="009D67E1" w:rsidP="009D67E1" w:rsidRDefault="009D67E1" w14:paraId="75E23950" w14:textId="77777777"/>
    <w:p w:rsidRPr="009D67E1" w:rsidR="009D67E1" w:rsidP="00A42E13" w:rsidRDefault="009D67E1" w14:paraId="02BD9B1E" w14:textId="4125C85C">
      <w:pPr>
        <w:numPr>
          <w:ilvl w:val="0"/>
          <w:numId w:val="7"/>
        </w:numPr>
        <w:contextualSpacing/>
      </w:pPr>
      <w:r w:rsidRPr="009D67E1">
        <w:t>The Assembly then examined the opinion on the basis of the amendment</w:t>
      </w:r>
      <w:r w:rsidR="005B52B3">
        <w:t>s</w:t>
      </w:r>
      <w:r w:rsidRPr="009D67E1">
        <w:t xml:space="preserve"> tabled by </w:t>
      </w:r>
      <w:r w:rsidRPr="00A42E13" w:rsidR="00A42E13">
        <w:rPr>
          <w:b/>
          <w:bCs/>
        </w:rPr>
        <w:t xml:space="preserve">Mr Bergrath Dirk, Ms Desiano Carole, Mr </w:t>
      </w:r>
      <w:r w:rsidR="00A42E13">
        <w:rPr>
          <w:b/>
          <w:bCs/>
        </w:rPr>
        <w:t>H</w:t>
      </w:r>
      <w:r w:rsidRPr="00A42E13" w:rsidR="00A42E13">
        <w:rPr>
          <w:b/>
          <w:bCs/>
        </w:rPr>
        <w:t xml:space="preserve">ernandez </w:t>
      </w:r>
      <w:r w:rsidR="00A42E13">
        <w:rPr>
          <w:b/>
          <w:bCs/>
        </w:rPr>
        <w:t>C</w:t>
      </w:r>
      <w:r w:rsidRPr="00A42E13" w:rsidR="00A42E13">
        <w:rPr>
          <w:b/>
          <w:bCs/>
        </w:rPr>
        <w:t>olomer José Angel, Mr Pagliara Angelo, Mr Von Brockdorff Philip</w:t>
      </w:r>
      <w:r w:rsidRPr="000832C5" w:rsidR="000832C5">
        <w:rPr>
          <w:b/>
          <w:bCs/>
        </w:rPr>
        <w:t xml:space="preserve">, </w:t>
      </w:r>
      <w:r w:rsidR="000832C5">
        <w:rPr>
          <w:b/>
          <w:bCs/>
        </w:rPr>
        <w:t xml:space="preserve">Ms </w:t>
      </w:r>
      <w:r w:rsidRPr="000832C5" w:rsidR="000832C5">
        <w:rPr>
          <w:b/>
          <w:bCs/>
        </w:rPr>
        <w:t xml:space="preserve">Drobinski-Weiß Elvira, </w:t>
      </w:r>
      <w:r w:rsidR="000832C5">
        <w:rPr>
          <w:b/>
          <w:bCs/>
        </w:rPr>
        <w:t xml:space="preserve">Ms </w:t>
      </w:r>
      <w:r w:rsidRPr="000832C5" w:rsidR="000832C5">
        <w:rPr>
          <w:b/>
          <w:bCs/>
        </w:rPr>
        <w:t xml:space="preserve">Miltoviča Baiba, </w:t>
      </w:r>
      <w:r w:rsidR="000832C5">
        <w:rPr>
          <w:b/>
          <w:bCs/>
        </w:rPr>
        <w:t xml:space="preserve">Mr </w:t>
      </w:r>
      <w:r w:rsidRPr="000832C5" w:rsidR="000832C5">
        <w:rPr>
          <w:b/>
          <w:bCs/>
        </w:rPr>
        <w:t xml:space="preserve">Nikolov Bogomil, </w:t>
      </w:r>
      <w:r w:rsidR="000832C5">
        <w:rPr>
          <w:b/>
          <w:bCs/>
        </w:rPr>
        <w:t xml:space="preserve">Ms </w:t>
      </w:r>
      <w:r w:rsidRPr="000832C5" w:rsidR="000832C5">
        <w:rPr>
          <w:b/>
          <w:bCs/>
        </w:rPr>
        <w:t xml:space="preserve">Ristkok Kädi, </w:t>
      </w:r>
      <w:r w:rsidR="000832C5">
        <w:rPr>
          <w:b/>
          <w:bCs/>
        </w:rPr>
        <w:t xml:space="preserve">Mr </w:t>
      </w:r>
      <w:r w:rsidRPr="000832C5" w:rsidR="000832C5">
        <w:rPr>
          <w:b/>
          <w:bCs/>
        </w:rPr>
        <w:t>Tracevičius Domantas</w:t>
      </w:r>
      <w:r w:rsidRPr="009D67E1">
        <w:t xml:space="preserve"> (</w:t>
      </w:r>
      <w:r w:rsidR="00A42E13">
        <w:t>EESC-2025-04308-01-0</w:t>
      </w:r>
      <w:r w:rsidR="005B52B3">
        <w:t>2</w:t>
      </w:r>
      <w:r w:rsidR="00A42E13">
        <w:t>-AMP-TRA</w:t>
      </w:r>
      <w:r w:rsidRPr="009D67E1">
        <w:t>).</w:t>
      </w:r>
    </w:p>
    <w:p w:rsidRPr="009D67E1" w:rsidR="009D67E1" w:rsidP="009D67E1" w:rsidRDefault="009D67E1" w14:paraId="3EF4747D" w14:textId="77777777"/>
    <w:p w:rsidR="00A42E13" w:rsidP="00A42E13" w:rsidRDefault="009D67E1" w14:paraId="1D19C970" w14:textId="596546BD">
      <w:pPr>
        <w:rPr>
          <w:b/>
          <w:bCs/>
        </w:rPr>
      </w:pPr>
      <w:r w:rsidRPr="009D67E1">
        <w:rPr>
          <w:b/>
          <w:bCs/>
        </w:rPr>
        <w:t>a)</w:t>
      </w:r>
      <w:r w:rsidRPr="009D67E1">
        <w:tab/>
      </w:r>
      <w:r w:rsidR="00A42E13">
        <w:rPr>
          <w:b/>
          <w:bCs/>
        </w:rPr>
        <w:t>Point 2.7</w:t>
      </w:r>
      <w:r w:rsidRPr="00C11C87" w:rsidR="00C11C87">
        <w:rPr>
          <w:b/>
          <w:bCs/>
        </w:rPr>
        <w:t xml:space="preserve"> </w:t>
      </w:r>
      <w:r w:rsidR="00C11C87">
        <w:rPr>
          <w:b/>
          <w:bCs/>
        </w:rPr>
        <w:t>(Amendment 1)</w:t>
      </w:r>
    </w:p>
    <w:p w:rsidR="00A42E13" w:rsidP="00A42E13" w:rsidRDefault="00A42E13" w14:paraId="01518643" w14:textId="77777777">
      <w:pPr>
        <w:rPr>
          <w:b/>
          <w:bCs/>
        </w:rPr>
      </w:pPr>
    </w:p>
    <w:p w:rsidRPr="009D67E1" w:rsidR="009D67E1" w:rsidP="00A42E13" w:rsidRDefault="00A42E13" w14:paraId="4325A7CB" w14:textId="2F987123">
      <w:r w:rsidRPr="00C11C87">
        <w:t>Amend as follows</w:t>
      </w:r>
    </w:p>
    <w:p w:rsidR="009D67E1" w:rsidP="009D67E1" w:rsidRDefault="009D67E1" w14:paraId="16A2F310"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15B41" w:rsidTr="004C3F5D" w14:paraId="295B99AF" w14:textId="77777777">
        <w:tc>
          <w:tcPr>
            <w:tcW w:w="2500" w:type="pct"/>
            <w:tcBorders>
              <w:top w:val="single" w:color="auto" w:sz="4" w:space="0"/>
              <w:left w:val="single" w:color="auto" w:sz="4" w:space="0"/>
              <w:bottom w:val="single" w:color="auto" w:sz="4" w:space="0"/>
              <w:right w:val="single" w:color="auto" w:sz="4" w:space="0"/>
            </w:tcBorders>
          </w:tcPr>
          <w:p w:rsidRPr="00AC50AC" w:rsidR="00C15B41" w:rsidP="00C15B41" w:rsidRDefault="00C15B41" w14:paraId="666C5900" w14:textId="618438C0">
            <w:pPr>
              <w:jc w:val="center"/>
              <w:rPr>
                <w:b/>
                <w:bCs/>
                <w:iCs/>
              </w:rPr>
            </w:pPr>
            <w:r w:rsidRPr="00AC50AC">
              <w:rPr>
                <w:b/>
                <w:bCs/>
                <w:iCs/>
              </w:rPr>
              <w:t>Section opinion</w:t>
            </w:r>
          </w:p>
        </w:tc>
        <w:tc>
          <w:tcPr>
            <w:tcW w:w="2500" w:type="pct"/>
            <w:tcBorders>
              <w:top w:val="single" w:color="auto" w:sz="4" w:space="0"/>
              <w:left w:val="single" w:color="auto" w:sz="4" w:space="0"/>
              <w:bottom w:val="single" w:color="auto" w:sz="4" w:space="0"/>
              <w:right w:val="single" w:color="auto" w:sz="4" w:space="0"/>
            </w:tcBorders>
          </w:tcPr>
          <w:p w:rsidRPr="00AC50AC" w:rsidR="00C15B41" w:rsidP="00C15B41" w:rsidRDefault="00C15B41" w14:paraId="659F3FB3" w14:textId="2250F07D">
            <w:pPr>
              <w:jc w:val="center"/>
              <w:rPr>
                <w:b/>
                <w:bCs/>
                <w:iCs/>
              </w:rPr>
            </w:pPr>
            <w:r w:rsidRPr="00AC50AC">
              <w:rPr>
                <w:b/>
                <w:bCs/>
                <w:iCs/>
              </w:rPr>
              <w:t>Compromise</w:t>
            </w:r>
          </w:p>
        </w:tc>
      </w:tr>
      <w:tr w:rsidR="00C15B41" w:rsidTr="004C3F5D" w14:paraId="5963857F" w14:textId="77777777">
        <w:tc>
          <w:tcPr>
            <w:tcW w:w="2500" w:type="pct"/>
            <w:tcBorders>
              <w:top w:val="single" w:color="auto" w:sz="4" w:space="0"/>
              <w:left w:val="single" w:color="auto" w:sz="4" w:space="0"/>
              <w:bottom w:val="single" w:color="auto" w:sz="4" w:space="0"/>
              <w:right w:val="single" w:color="auto" w:sz="4" w:space="0"/>
            </w:tcBorders>
          </w:tcPr>
          <w:p w:rsidR="00C15B41" w:rsidP="00C15B41" w:rsidRDefault="00C15B41" w14:paraId="3A239861" w14:textId="644DE941">
            <w:pPr>
              <w:spacing w:before="80" w:after="80"/>
              <w:ind w:left="80" w:right="80"/>
            </w:pPr>
            <w:r>
              <w:t>The EESC welcomes the need to maintain electrification as the principal path to achieve road transport decarbonisation. However, it acknowledges that, despite recent positive trends, the current uptake of battery-electric vehicles is still far from sufficient to meet existing emission reduction targets, revealing the persistence of a significant gap between current market performance and regulatory targets. Bridging this gap requires a balanced combination of regulatory flexibility, necessary to avoid sector-based deindustrialisation in Europe and potential employment disruptions, together with incentive mechanisms to promote investments in the electrification and digitalisation of vehicles.</w:t>
            </w:r>
          </w:p>
        </w:tc>
        <w:tc>
          <w:tcPr>
            <w:tcW w:w="2500" w:type="pct"/>
            <w:tcBorders>
              <w:top w:val="single" w:color="auto" w:sz="4" w:space="0"/>
              <w:left w:val="single" w:color="auto" w:sz="4" w:space="0"/>
              <w:bottom w:val="single" w:color="auto" w:sz="4" w:space="0"/>
              <w:right w:val="single" w:color="auto" w:sz="4" w:space="0"/>
            </w:tcBorders>
          </w:tcPr>
          <w:p w:rsidR="00C15B41" w:rsidP="00C15B41" w:rsidRDefault="00C15B41" w14:paraId="029997DC" w14:textId="1FDA4BB1">
            <w:pPr>
              <w:spacing w:before="80" w:after="80"/>
              <w:ind w:left="80" w:right="80"/>
            </w:pPr>
            <w:r>
              <w:t>The EESC welcomes the need to maintain electrification as the principal path to achieve road transport decarbonisation. However, it acknowledges that, despite recent positive trends, the current uptake of battery-electric vehicles is still far from sufficient to meet existing emission reduction targets, revealing the persistence of a significant gap between current market performance and regulatory targets. Bridging this gap requires a balanced combination of regulatory flexibility, necessary to avoid sector-based deindustrialisation in Europe and potential employment disruptions, together with incentive mechanisms to promote investments in the electrification and digitalisation of vehicles.</w:t>
            </w:r>
            <w:r>
              <w:rPr>
                <w:b/>
                <w:bCs/>
                <w:i/>
              </w:rPr>
              <w:t xml:space="preserve"> Appropriate ways should be found to take into account social, environmental and innovation objectives.</w:t>
            </w:r>
          </w:p>
        </w:tc>
      </w:tr>
    </w:tbl>
    <w:p w:rsidRPr="009D67E1" w:rsidR="009D67E1" w:rsidP="009D67E1" w:rsidRDefault="009D67E1" w14:paraId="3860F3DA" w14:textId="77777777"/>
    <w:p w:rsidRPr="009D67E1" w:rsidR="009D67E1" w:rsidP="009D67E1" w:rsidRDefault="009D67E1" w14:paraId="7A77BADF" w14:textId="149697E0">
      <w:r w:rsidRPr="009D67E1">
        <w:t xml:space="preserve">The </w:t>
      </w:r>
      <w:r w:rsidR="00DE7965">
        <w:t>compromise</w:t>
      </w:r>
      <w:r w:rsidRPr="009D67E1" w:rsidR="00DE7965">
        <w:t xml:space="preserve"> </w:t>
      </w:r>
      <w:r w:rsidRPr="009D67E1">
        <w:t>was accepted by the rapporteur and the Assembly.</w:t>
      </w:r>
    </w:p>
    <w:p w:rsidR="009D67E1" w:rsidP="009D67E1" w:rsidRDefault="009D67E1" w14:paraId="5E49048E" w14:textId="77777777"/>
    <w:p w:rsidR="00C11C87" w:rsidP="00C11C87" w:rsidRDefault="00C11C87" w14:paraId="192C07A9" w14:textId="6CE31444">
      <w:pPr>
        <w:rPr>
          <w:b/>
          <w:bCs/>
        </w:rPr>
      </w:pPr>
      <w:r w:rsidRPr="00C11C87">
        <w:rPr>
          <w:b/>
          <w:bCs/>
        </w:rPr>
        <w:t>b)</w:t>
      </w:r>
      <w:r w:rsidRPr="009D67E1">
        <w:tab/>
      </w:r>
      <w:r>
        <w:rPr>
          <w:b/>
          <w:bCs/>
        </w:rPr>
        <w:t>Point 2.12</w:t>
      </w:r>
      <w:r w:rsidRPr="00C11C87">
        <w:rPr>
          <w:b/>
          <w:bCs/>
        </w:rPr>
        <w:t xml:space="preserve"> </w:t>
      </w:r>
      <w:r>
        <w:rPr>
          <w:b/>
          <w:bCs/>
        </w:rPr>
        <w:t>(Amendment 2)</w:t>
      </w:r>
    </w:p>
    <w:p w:rsidR="00C11C87" w:rsidP="00C11C87" w:rsidRDefault="00C11C87" w14:paraId="492E8FB2" w14:textId="77777777">
      <w:pPr>
        <w:rPr>
          <w:b/>
          <w:bCs/>
        </w:rPr>
      </w:pPr>
    </w:p>
    <w:p w:rsidRPr="009D67E1" w:rsidR="00C11C87" w:rsidP="00C11C87" w:rsidRDefault="00C11C87" w14:paraId="1A4B8D70" w14:textId="77777777">
      <w:r w:rsidRPr="00C11C87">
        <w:t>Amend as follows</w:t>
      </w:r>
    </w:p>
    <w:p w:rsidR="00C11C87" w:rsidP="009D67E1" w:rsidRDefault="00C11C87" w14:paraId="6703908F"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11C87" w:rsidTr="00D264E0" w14:paraId="1E799BAD" w14:textId="77777777">
        <w:tc>
          <w:tcPr>
            <w:tcW w:w="2500" w:type="pct"/>
            <w:tcBorders>
              <w:top w:val="single" w:color="auto" w:sz="4" w:space="0"/>
              <w:left w:val="single" w:color="auto" w:sz="4" w:space="0"/>
              <w:bottom w:val="single" w:color="auto" w:sz="4" w:space="0"/>
              <w:right w:val="single" w:color="auto" w:sz="4" w:space="0"/>
            </w:tcBorders>
            <w:hideMark/>
          </w:tcPr>
          <w:p w:rsidRPr="00AC50AC" w:rsidR="00C11C87" w:rsidP="00D264E0" w:rsidRDefault="00C11C87" w14:paraId="4142C7BE" w14:textId="77777777">
            <w:pPr>
              <w:jc w:val="center"/>
              <w:rPr>
                <w:b/>
                <w:bCs/>
                <w:iCs/>
              </w:rPr>
            </w:pPr>
            <w:r w:rsidRPr="00AC50AC">
              <w:rPr>
                <w:b/>
                <w:bCs/>
                <w:iC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AC50AC" w:rsidR="00C11C87" w:rsidP="00D264E0" w:rsidRDefault="00C11C87" w14:paraId="39F59C4A" w14:textId="77777777">
            <w:pPr>
              <w:jc w:val="center"/>
              <w:rPr>
                <w:b/>
                <w:bCs/>
                <w:iCs/>
              </w:rPr>
            </w:pPr>
            <w:r w:rsidRPr="00AC50AC">
              <w:rPr>
                <w:b/>
                <w:bCs/>
                <w:iCs/>
              </w:rPr>
              <w:t>Amendment</w:t>
            </w:r>
          </w:p>
        </w:tc>
      </w:tr>
      <w:tr w:rsidR="00C11C87" w:rsidTr="00D264E0" w14:paraId="1B4C7061" w14:textId="77777777">
        <w:tc>
          <w:tcPr>
            <w:tcW w:w="2500" w:type="pct"/>
            <w:tcBorders>
              <w:top w:val="single" w:color="auto" w:sz="4" w:space="0"/>
              <w:left w:val="single" w:color="auto" w:sz="4" w:space="0"/>
              <w:bottom w:val="single" w:color="auto" w:sz="4" w:space="0"/>
              <w:right w:val="single" w:color="auto" w:sz="4" w:space="0"/>
            </w:tcBorders>
            <w:hideMark/>
          </w:tcPr>
          <w:p w:rsidR="00C11C87" w:rsidP="00D264E0" w:rsidRDefault="00C11C87" w14:paraId="3A55F8B1" w14:textId="77777777">
            <w:pPr>
              <w:spacing w:before="80" w:after="80"/>
              <w:ind w:left="80" w:right="80"/>
            </w:pPr>
            <w:r>
              <w:t xml:space="preserve">In particular, the EESC welcomes the introduction of multi-year compliance for the 2030–2032 period for passenger cars and light commercial vehicles, which allows manufacturers to manage the emissions reduction pathway more efficiently and in a more predictable manner, taking into account market dynamics, demand trends and supply chain constraints. This approach does not weaken the overall </w:t>
            </w:r>
            <w:r>
              <w:rPr>
                <w:b/>
                <w:bCs/>
                <w:i/>
              </w:rPr>
              <w:t>level of</w:t>
            </w:r>
            <w:r>
              <w:t xml:space="preserve"> climate </w:t>
            </w:r>
            <w:r>
              <w:rPr>
                <w:b/>
                <w:bCs/>
                <w:i/>
              </w:rPr>
              <w:t>ambition</w:t>
            </w:r>
            <w:r>
              <w:t>, as the target remains unchanged and can be met cumulatively over the compliance period. The EESC therefore recommends that the co-legislators preserve this provision during the negotiations, but insists that flexibility must come with conditionalities in the form of investment in European plants, job security agreements and affordability programmes directed at consumers.</w:t>
            </w:r>
          </w:p>
        </w:tc>
        <w:tc>
          <w:tcPr>
            <w:tcW w:w="2500" w:type="pct"/>
            <w:tcBorders>
              <w:top w:val="single" w:color="auto" w:sz="4" w:space="0"/>
              <w:left w:val="single" w:color="auto" w:sz="4" w:space="0"/>
              <w:bottom w:val="single" w:color="auto" w:sz="4" w:space="0"/>
              <w:right w:val="single" w:color="auto" w:sz="4" w:space="0"/>
            </w:tcBorders>
            <w:hideMark/>
          </w:tcPr>
          <w:p w:rsidR="00C11C87" w:rsidP="00D264E0" w:rsidRDefault="00C11C87" w14:paraId="0F3264A9" w14:textId="264B0493">
            <w:pPr>
              <w:spacing w:before="80" w:after="80"/>
              <w:ind w:left="80" w:right="80"/>
            </w:pPr>
            <w:r>
              <w:t xml:space="preserve">In particular, the EESC welcomes the introduction of multi-year compliance for the 2030–2032 period for passenger cars and light commercial vehicles, which allows manufacturers to manage the emissions reduction pathway more efficiently and in a more predictable manner, taking into account market dynamics, demand trends and supply chain constraints. This approach does not weaken the overall climate </w:t>
            </w:r>
            <w:r>
              <w:rPr>
                <w:b/>
                <w:bCs/>
                <w:i/>
              </w:rPr>
              <w:t>objectives</w:t>
            </w:r>
            <w:r>
              <w:t xml:space="preserve">, as the target remains unchanged and can be met cumulatively over the compliance period. The EESC therefore recommends that the co-legislators preserve this provision during the negotiations, but insists that flexibility must come with conditionalities in the form of investment in European plants, job security agreements and </w:t>
            </w:r>
            <w:r w:rsidRPr="004C3F5D" w:rsidR="00C15B41">
              <w:rPr>
                <w:b/>
                <w:bCs/>
                <w:i/>
                <w:iCs/>
              </w:rPr>
              <w:t>should be accompanied with</w:t>
            </w:r>
            <w:r w:rsidR="00C15B41">
              <w:t xml:space="preserve"> </w:t>
            </w:r>
            <w:r>
              <w:t>affordability programmes directed at consumers.</w:t>
            </w:r>
          </w:p>
        </w:tc>
      </w:tr>
    </w:tbl>
    <w:p w:rsidR="000E4B6B" w:rsidP="00EC0F0F" w:rsidRDefault="000E4B6B" w14:paraId="2FBD0349" w14:textId="77777777"/>
    <w:p w:rsidR="000832C5" w:rsidP="00EC0F0F" w:rsidRDefault="00DE7965" w14:paraId="221F8E04" w14:textId="4BC741A4">
      <w:r w:rsidRPr="009D67E1">
        <w:t xml:space="preserve">The </w:t>
      </w:r>
      <w:r>
        <w:t>am</w:t>
      </w:r>
      <w:r w:rsidR="009A16AD">
        <w:t>e</w:t>
      </w:r>
      <w:r>
        <w:t>ndment</w:t>
      </w:r>
      <w:r w:rsidRPr="009D67E1">
        <w:t xml:space="preserve"> was accepted by the rapporteur and the Assembly</w:t>
      </w:r>
    </w:p>
    <w:p w:rsidR="00347E56" w:rsidP="00EC0F0F" w:rsidRDefault="00347E56" w14:paraId="4984D2BC" w14:textId="77777777"/>
    <w:p w:rsidR="002C39DC" w:rsidP="002C39DC" w:rsidRDefault="002C39DC" w14:paraId="6D4B1A3F" w14:textId="169E2085">
      <w:pPr>
        <w:rPr>
          <w:b/>
          <w:bCs/>
        </w:rPr>
      </w:pPr>
      <w:r>
        <w:rPr>
          <w:b/>
          <w:bCs/>
        </w:rPr>
        <w:t>c</w:t>
      </w:r>
      <w:r w:rsidRPr="00C11C87">
        <w:rPr>
          <w:b/>
          <w:bCs/>
        </w:rPr>
        <w:t>)</w:t>
      </w:r>
      <w:r w:rsidRPr="009D67E1">
        <w:tab/>
      </w:r>
      <w:r>
        <w:rPr>
          <w:b/>
          <w:bCs/>
        </w:rPr>
        <w:t>Point 2.1</w:t>
      </w:r>
      <w:r w:rsidR="000832C5">
        <w:rPr>
          <w:b/>
          <w:bCs/>
        </w:rPr>
        <w:t>7</w:t>
      </w:r>
      <w:r w:rsidRPr="00C11C87">
        <w:rPr>
          <w:b/>
          <w:bCs/>
        </w:rPr>
        <w:t xml:space="preserve"> </w:t>
      </w:r>
      <w:r>
        <w:rPr>
          <w:b/>
          <w:bCs/>
        </w:rPr>
        <w:t xml:space="preserve">(Amendment </w:t>
      </w:r>
      <w:r w:rsidR="000832C5">
        <w:rPr>
          <w:b/>
          <w:bCs/>
        </w:rPr>
        <w:t>3</w:t>
      </w:r>
      <w:r>
        <w:rPr>
          <w:b/>
          <w:bCs/>
        </w:rPr>
        <w:t>)</w:t>
      </w:r>
    </w:p>
    <w:p w:rsidR="002C39DC" w:rsidP="002C39DC" w:rsidRDefault="002C39DC" w14:paraId="753AC497" w14:textId="77777777">
      <w:pPr>
        <w:rPr>
          <w:b/>
          <w:bCs/>
        </w:rPr>
      </w:pPr>
    </w:p>
    <w:p w:rsidRPr="009D67E1" w:rsidR="002C39DC" w:rsidP="002C39DC" w:rsidRDefault="0046608C" w14:paraId="6A94CFA9" w14:textId="704D264B">
      <w:r>
        <w:t xml:space="preserve">Amend as follows: </w:t>
      </w:r>
    </w:p>
    <w:p w:rsidR="004C3F5D" w:rsidP="00EC0F0F" w:rsidRDefault="004C3F5D" w14:paraId="4B1D21E5"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C15B41" w:rsidTr="00D264E0" w14:paraId="6AEF6E4F" w14:textId="77777777">
        <w:tc>
          <w:tcPr>
            <w:tcW w:w="2500" w:type="pct"/>
            <w:tcBorders>
              <w:top w:val="single" w:color="auto" w:sz="4" w:space="0"/>
              <w:left w:val="single" w:color="auto" w:sz="4" w:space="0"/>
              <w:bottom w:val="single" w:color="auto" w:sz="4" w:space="0"/>
              <w:right w:val="single" w:color="auto" w:sz="4" w:space="0"/>
            </w:tcBorders>
            <w:hideMark/>
          </w:tcPr>
          <w:p w:rsidRPr="00AC50AC" w:rsidR="00C15B41" w:rsidP="00C15B41" w:rsidRDefault="00C15B41" w14:paraId="19F57414" w14:textId="5AC2F4BE">
            <w:pPr>
              <w:jc w:val="center"/>
              <w:rPr>
                <w:b/>
                <w:bCs/>
                <w:iCs/>
              </w:rPr>
            </w:pPr>
            <w:r w:rsidRPr="00AC50AC">
              <w:rPr>
                <w:b/>
                <w:bCs/>
                <w:iC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AC50AC" w:rsidR="00C15B41" w:rsidP="00C15B41" w:rsidRDefault="00C15B41" w14:paraId="7872E606" w14:textId="5CE21C4B">
            <w:pPr>
              <w:jc w:val="center"/>
              <w:rPr>
                <w:b/>
                <w:bCs/>
                <w:iCs/>
              </w:rPr>
            </w:pPr>
            <w:r w:rsidRPr="00AC50AC">
              <w:rPr>
                <w:b/>
                <w:bCs/>
                <w:iCs/>
              </w:rPr>
              <w:t>Compromise</w:t>
            </w:r>
          </w:p>
        </w:tc>
      </w:tr>
      <w:tr w:rsidR="00C15B41" w:rsidTr="00D264E0" w14:paraId="55F764D1" w14:textId="77777777">
        <w:tc>
          <w:tcPr>
            <w:tcW w:w="2500" w:type="pct"/>
            <w:tcBorders>
              <w:top w:val="single" w:color="auto" w:sz="4" w:space="0"/>
              <w:left w:val="single" w:color="auto" w:sz="4" w:space="0"/>
              <w:bottom w:val="single" w:color="auto" w:sz="4" w:space="0"/>
              <w:right w:val="single" w:color="auto" w:sz="4" w:space="0"/>
            </w:tcBorders>
            <w:hideMark/>
          </w:tcPr>
          <w:p w:rsidR="00C15B41" w:rsidP="00C15B41" w:rsidRDefault="00C15B41" w14:paraId="7E67CFE5" w14:textId="4AAD03C7">
            <w:pPr>
              <w:spacing w:before="80" w:after="80"/>
              <w:ind w:left="80" w:right="80"/>
              <w:rPr>
                <w:b/>
                <w:bCs/>
                <w:i/>
              </w:rPr>
            </w:pPr>
            <w:r>
              <w:t xml:space="preserve">In addition, with reference to the 2030 emissions reduction target for passenger cars, the </w:t>
            </w:r>
            <w:r>
              <w:rPr>
                <w:b/>
                <w:bCs/>
                <w:i/>
              </w:rPr>
              <w:t>experience with the 2025 reduction target of 15%, which has required</w:t>
            </w:r>
            <w:r>
              <w:t xml:space="preserve"> the </w:t>
            </w:r>
            <w:r>
              <w:rPr>
                <w:b/>
                <w:bCs/>
                <w:i/>
              </w:rPr>
              <w:t>use of flexibility mechanisms, shows that more needs</w:t>
            </w:r>
            <w:r>
              <w:t xml:space="preserve"> to </w:t>
            </w:r>
            <w:r>
              <w:rPr>
                <w:b/>
                <w:bCs/>
                <w:i/>
              </w:rPr>
              <w:t>be done</w:t>
            </w:r>
            <w:r>
              <w:t xml:space="preserve"> to </w:t>
            </w:r>
            <w:r>
              <w:rPr>
                <w:b/>
                <w:bCs/>
                <w:i/>
              </w:rPr>
              <w:t>meet the current targets</w:t>
            </w:r>
            <w:r>
              <w:t>.</w:t>
            </w:r>
            <w:r>
              <w:rPr>
                <w:b/>
                <w:bCs/>
                <w:i/>
              </w:rPr>
              <w:t xml:space="preserve"> Therefore</w:t>
            </w:r>
            <w:r>
              <w:t>,</w:t>
            </w:r>
            <w:r>
              <w:rPr>
                <w:b/>
                <w:bCs/>
                <w:i/>
              </w:rPr>
              <w:t xml:space="preserve"> while</w:t>
            </w:r>
            <w:r>
              <w:t xml:space="preserve"> the introduction of super credits and three-year flexibility for the 2030 target are welcome,</w:t>
            </w:r>
            <w:r>
              <w:rPr>
                <w:b/>
                <w:bCs/>
                <w:i/>
              </w:rPr>
              <w:t xml:space="preserve"> these instruments alone are considered insufficient</w:t>
            </w:r>
            <w:r>
              <w:t xml:space="preserve"> to </w:t>
            </w:r>
            <w:r>
              <w:rPr>
                <w:b/>
                <w:bCs/>
                <w:i/>
              </w:rPr>
              <w:t>address the sector’s structural challenges. The EESC therefore recommends that</w:t>
            </w:r>
            <w:r>
              <w:t xml:space="preserve"> the </w:t>
            </w:r>
            <w:r>
              <w:rPr>
                <w:b/>
                <w:bCs/>
                <w:i/>
              </w:rPr>
              <w:t>2030 emissions reduction target for passenger cars be revised, to ensure</w:t>
            </w:r>
            <w:r>
              <w:t xml:space="preserve"> a </w:t>
            </w:r>
            <w:r>
              <w:rPr>
                <w:b/>
                <w:bCs/>
                <w:i/>
              </w:rPr>
              <w:t>more inclusive, realistic and</w:t>
            </w:r>
            <w:r>
              <w:t xml:space="preserve"> socially sustainable </w:t>
            </w:r>
            <w:r>
              <w:rPr>
                <w:b/>
                <w:bCs/>
                <w:i/>
              </w:rPr>
              <w:t>transition for the European automotive ecosystem</w:t>
            </w:r>
            <w:r>
              <w:t>.</w:t>
            </w:r>
          </w:p>
        </w:tc>
        <w:tc>
          <w:tcPr>
            <w:tcW w:w="2500" w:type="pct"/>
            <w:tcBorders>
              <w:top w:val="single" w:color="auto" w:sz="4" w:space="0"/>
              <w:left w:val="single" w:color="auto" w:sz="4" w:space="0"/>
              <w:bottom w:val="single" w:color="auto" w:sz="4" w:space="0"/>
              <w:right w:val="single" w:color="auto" w:sz="4" w:space="0"/>
            </w:tcBorders>
            <w:hideMark/>
          </w:tcPr>
          <w:p w:rsidR="00C15B41" w:rsidP="00C15B41" w:rsidRDefault="00C15B41" w14:paraId="6F9F867D" w14:textId="2732B76E">
            <w:r>
              <w:t xml:space="preserve">In addition, with reference to the 2030 emissions reduction target for passenger cars, the </w:t>
            </w:r>
            <w:r>
              <w:rPr>
                <w:b/>
                <w:bCs/>
                <w:i/>
              </w:rPr>
              <w:t>EESC highlights</w:t>
            </w:r>
            <w:r>
              <w:t xml:space="preserve"> the </w:t>
            </w:r>
            <w:r>
              <w:rPr>
                <w:b/>
                <w:bCs/>
                <w:i/>
              </w:rPr>
              <w:t>need</w:t>
            </w:r>
            <w:r>
              <w:t xml:space="preserve"> to </w:t>
            </w:r>
            <w:r>
              <w:rPr>
                <w:b/>
                <w:bCs/>
                <w:i/>
              </w:rPr>
              <w:t>strengthen efforts</w:t>
            </w:r>
            <w:r>
              <w:t xml:space="preserve"> to </w:t>
            </w:r>
            <w:r>
              <w:rPr>
                <w:b/>
                <w:bCs/>
                <w:i/>
              </w:rPr>
              <w:t>stay on track with climate objectives</w:t>
            </w:r>
            <w:r>
              <w:t>.</w:t>
            </w:r>
            <w:r>
              <w:rPr>
                <w:b/>
                <w:bCs/>
                <w:i/>
              </w:rPr>
              <w:t xml:space="preserve"> In this regard</w:t>
            </w:r>
            <w:r>
              <w:t>, the introduction of super credits and three-year flexibility for the 2030 target are welcome,</w:t>
            </w:r>
            <w:r>
              <w:rPr>
                <w:b/>
                <w:bCs/>
                <w:i/>
              </w:rPr>
              <w:t xml:space="preserve"> as they can serve as useful tools</w:t>
            </w:r>
            <w:r>
              <w:t xml:space="preserve"> to </w:t>
            </w:r>
            <w:r>
              <w:rPr>
                <w:b/>
                <w:bCs/>
                <w:i/>
              </w:rPr>
              <w:t>support</w:t>
            </w:r>
            <w:r>
              <w:t xml:space="preserve"> the </w:t>
            </w:r>
            <w:r>
              <w:rPr>
                <w:b/>
                <w:bCs/>
                <w:i/>
              </w:rPr>
              <w:t>industry in achieving</w:t>
            </w:r>
            <w:r>
              <w:t xml:space="preserve"> a </w:t>
            </w:r>
            <w:r>
              <w:rPr>
                <w:b/>
                <w:bCs/>
                <w:i/>
              </w:rPr>
              <w:t>decarbonisation pathway that is both</w:t>
            </w:r>
            <w:r>
              <w:t xml:space="preserve"> socially </w:t>
            </w:r>
            <w:r>
              <w:rPr>
                <w:b/>
                <w:bCs/>
                <w:i/>
              </w:rPr>
              <w:t>and economically</w:t>
            </w:r>
            <w:r>
              <w:t xml:space="preserve"> sustainable</w:t>
            </w:r>
            <w:r>
              <w:rPr>
                <w:b/>
                <w:bCs/>
                <w:i/>
              </w:rPr>
              <w:t>, while remaining aligned with broader environmental objectives</w:t>
            </w:r>
            <w:r>
              <w:t>.</w:t>
            </w:r>
          </w:p>
        </w:tc>
      </w:tr>
    </w:tbl>
    <w:p w:rsidR="00C11C87" w:rsidP="00EC0F0F" w:rsidRDefault="00C11C87" w14:paraId="543E4821" w14:textId="77777777"/>
    <w:p w:rsidR="0046608C" w:rsidP="00EC0F0F" w:rsidRDefault="0046608C" w14:paraId="0B96E7A9" w14:textId="55DED9B8">
      <w:r w:rsidRPr="009D67E1">
        <w:t xml:space="preserve">The </w:t>
      </w:r>
      <w:r>
        <w:t>compromise</w:t>
      </w:r>
      <w:r w:rsidRPr="009D67E1">
        <w:t xml:space="preserve"> was accepted by the rapporteur and the Assembly</w:t>
      </w:r>
    </w:p>
    <w:p w:rsidR="00546FBE" w:rsidP="00EC0F0F" w:rsidRDefault="00546FBE" w14:paraId="5132D654" w14:textId="77777777"/>
    <w:p w:rsidR="000832C5" w:rsidP="000832C5" w:rsidRDefault="000832C5" w14:paraId="1FB640EE" w14:textId="5FB3BBAB">
      <w:pPr>
        <w:rPr>
          <w:b/>
          <w:bCs/>
        </w:rPr>
      </w:pPr>
      <w:r>
        <w:rPr>
          <w:b/>
          <w:bCs/>
        </w:rPr>
        <w:t>d</w:t>
      </w:r>
      <w:r w:rsidRPr="00C11C87">
        <w:rPr>
          <w:b/>
          <w:bCs/>
        </w:rPr>
        <w:t>)</w:t>
      </w:r>
      <w:r w:rsidRPr="009D67E1">
        <w:tab/>
      </w:r>
      <w:r>
        <w:rPr>
          <w:b/>
          <w:bCs/>
        </w:rPr>
        <w:t>Point 3</w:t>
      </w:r>
      <w:r w:rsidRPr="00C11C87">
        <w:rPr>
          <w:b/>
          <w:bCs/>
        </w:rPr>
        <w:t xml:space="preserve"> </w:t>
      </w:r>
      <w:r>
        <w:rPr>
          <w:b/>
          <w:bCs/>
        </w:rPr>
        <w:t>(Amendment 4)</w:t>
      </w:r>
      <w:r w:rsidR="0046608C">
        <w:rPr>
          <w:b/>
          <w:bCs/>
        </w:rPr>
        <w:t xml:space="preserve"> </w:t>
      </w:r>
      <w:r w:rsidR="00C15B41">
        <w:rPr>
          <w:b/>
          <w:bCs/>
        </w:rPr>
        <w:t xml:space="preserve">linked to </w:t>
      </w:r>
      <w:r w:rsidR="0046608C">
        <w:rPr>
          <w:b/>
          <w:bCs/>
        </w:rPr>
        <w:t xml:space="preserve">Amendment 6 </w:t>
      </w:r>
    </w:p>
    <w:p w:rsidR="000832C5" w:rsidP="000832C5" w:rsidRDefault="000832C5" w14:paraId="2DE5AB20" w14:textId="2C36170B">
      <w:pPr>
        <w:rPr>
          <w:b/>
          <w:bCs/>
        </w:rPr>
      </w:pPr>
      <w:r w:rsidRPr="00F30FAF">
        <w:rPr>
          <w:b/>
          <w:bCs/>
          <w:szCs w:val="20"/>
        </w:rPr>
        <w:t xml:space="preserve">Amendment </w:t>
      </w:r>
      <w:r>
        <w:rPr>
          <w:b/>
          <w:bCs/>
          <w:szCs w:val="20"/>
        </w:rPr>
        <w:t xml:space="preserve">1 </w:t>
      </w:r>
      <w:r w:rsidRPr="00F30FAF">
        <w:rPr>
          <w:b/>
          <w:bCs/>
        </w:rPr>
        <w:t>linked to recommendation 1.2</w:t>
      </w:r>
    </w:p>
    <w:p w:rsidR="000832C5" w:rsidP="000832C5" w:rsidRDefault="000832C5" w14:paraId="2CD3FE17" w14:textId="77777777"/>
    <w:p w:rsidRPr="009D67E1" w:rsidR="000832C5" w:rsidP="000832C5" w:rsidRDefault="000832C5" w14:paraId="5EE2BB19" w14:textId="4C351E30">
      <w:r w:rsidRPr="00C11C87">
        <w:t>Amend as follows</w:t>
      </w:r>
    </w:p>
    <w:p w:rsidR="00C11C87" w:rsidP="00EC0F0F" w:rsidRDefault="00C11C87" w14:paraId="3031E6E0" w14:textId="77777777"/>
    <w:tbl>
      <w:tblPr>
        <w:tblStyle w:val="TableGrid"/>
        <w:tblW w:w="0" w:type="auto"/>
        <w:tblLook w:val="04A0" w:firstRow="1" w:lastRow="0" w:firstColumn="1" w:lastColumn="0" w:noHBand="0" w:noVBand="1"/>
      </w:tblPr>
      <w:tblGrid>
        <w:gridCol w:w="9063"/>
      </w:tblGrid>
      <w:tr w:rsidRPr="001C06B5" w:rsidR="000832C5" w:rsidTr="00D264E0" w14:paraId="5C0F5F9C" w14:textId="77777777">
        <w:tc>
          <w:tcPr>
            <w:tcW w:w="9063" w:type="dxa"/>
          </w:tcPr>
          <w:p w:rsidRPr="00401F0F" w:rsidR="000832C5" w:rsidP="00D264E0" w:rsidRDefault="000832C5" w14:paraId="7BEA06AF" w14:textId="77777777">
            <w:pPr>
              <w:jc w:val="center"/>
              <w:rPr>
                <w:rFonts w:ascii="Times New Roman" w:hAnsi="Times New Roman" w:cs="Times New Roman"/>
                <w:iCs/>
              </w:rPr>
            </w:pPr>
            <w:r w:rsidRPr="00401F0F">
              <w:rPr>
                <w:rFonts w:ascii="Times New Roman" w:hAnsi="Times New Roman" w:cs="Times New Roman"/>
                <w:b/>
                <w:iCs/>
                <w:lang w:eastAsia="en-GB" w:bidi="en-GB"/>
              </w:rPr>
              <w:t>Text proposed by the European Commission</w:t>
            </w:r>
          </w:p>
        </w:tc>
      </w:tr>
      <w:tr w:rsidRPr="001C06B5" w:rsidR="000832C5" w:rsidTr="00D264E0" w14:paraId="5A0E9CC7" w14:textId="77777777">
        <w:tc>
          <w:tcPr>
            <w:tcW w:w="9063" w:type="dxa"/>
          </w:tcPr>
          <w:p w:rsidRPr="001C06B5" w:rsidR="000832C5" w:rsidP="00D264E0" w:rsidRDefault="000832C5" w14:paraId="54D3BD36" w14:textId="77777777">
            <w:pPr>
              <w:spacing w:before="40" w:after="40"/>
              <w:ind w:left="80" w:right="80"/>
            </w:pPr>
            <w:r w:rsidRPr="000832C5">
              <w:rPr>
                <w:rFonts w:ascii="Times New Roman" w:hAnsi="Times New Roman" w:eastAsia="Times New Roman" w:cs="Times New Roman"/>
              </w:rPr>
              <w:t>10. The use of low-carbon steel credits and sustainable renewable fuel credits should be capped in order to preserve investments in the zero-emission value-chain. By allowing to compensate emissions up to 10% of the EU fleet-wide target of 2021 as from 203</w:t>
            </w:r>
            <w:r w:rsidRPr="000832C5">
              <w:rPr>
                <w:rFonts w:ascii="Times New Roman" w:hAnsi="Times New Roman" w:eastAsia="Times New Roman" w:cs="Times New Roman"/>
                <w:b/>
                <w:bCs/>
                <w:i/>
                <w:iCs/>
              </w:rPr>
              <w:t>5</w:t>
            </w:r>
            <w:r w:rsidRPr="000832C5">
              <w:rPr>
                <w:rFonts w:ascii="Times New Roman" w:hAnsi="Times New Roman" w:eastAsia="Times New Roman" w:cs="Times New Roman"/>
              </w:rPr>
              <w:t>, these credits, combined with the 90% emissions reduction target, support the overall climate neutrality objective.</w:t>
            </w:r>
          </w:p>
        </w:tc>
      </w:tr>
    </w:tbl>
    <w:p w:rsidR="000832C5" w:rsidP="000832C5" w:rsidRDefault="000832C5" w14:paraId="7DA1682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000832C5" w:rsidTr="00D264E0" w14:paraId="54FF8FA8" w14:textId="77777777">
        <w:tc>
          <w:tcPr>
            <w:tcW w:w="2500" w:type="pct"/>
            <w:tcBorders>
              <w:top w:val="single" w:color="auto" w:sz="4" w:space="0"/>
              <w:left w:val="single" w:color="auto" w:sz="4" w:space="0"/>
              <w:bottom w:val="single" w:color="auto" w:sz="4" w:space="0"/>
              <w:right w:val="single" w:color="auto" w:sz="4" w:space="0"/>
            </w:tcBorders>
            <w:hideMark/>
          </w:tcPr>
          <w:p w:rsidRPr="00401F0F" w:rsidR="000832C5" w:rsidP="00D264E0" w:rsidRDefault="000832C5" w14:paraId="34260659" w14:textId="77777777">
            <w:pPr>
              <w:jc w:val="center"/>
              <w:rPr>
                <w:b/>
                <w:bCs/>
                <w:iCs/>
              </w:rPr>
            </w:pPr>
            <w:r w:rsidRPr="00401F0F">
              <w:rPr>
                <w:b/>
                <w:bCs/>
                <w:iCs/>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401F0F" w:rsidR="000832C5" w:rsidP="00D264E0" w:rsidRDefault="000832C5" w14:paraId="31CE5E2C" w14:textId="77777777">
            <w:pPr>
              <w:jc w:val="center"/>
              <w:rPr>
                <w:b/>
                <w:bCs/>
                <w:iCs/>
              </w:rPr>
            </w:pPr>
            <w:r w:rsidRPr="00401F0F">
              <w:rPr>
                <w:b/>
                <w:bCs/>
                <w:iCs/>
              </w:rPr>
              <w:t>Amendment</w:t>
            </w:r>
          </w:p>
        </w:tc>
      </w:tr>
      <w:tr w:rsidR="000832C5" w:rsidTr="00D264E0" w14:paraId="4D32E49F" w14:textId="77777777">
        <w:tc>
          <w:tcPr>
            <w:tcW w:w="2500" w:type="pct"/>
            <w:tcBorders>
              <w:top w:val="single" w:color="auto" w:sz="4" w:space="0"/>
              <w:left w:val="single" w:color="auto" w:sz="4" w:space="0"/>
              <w:bottom w:val="single" w:color="auto" w:sz="4" w:space="0"/>
              <w:right w:val="single" w:color="auto" w:sz="4" w:space="0"/>
            </w:tcBorders>
            <w:hideMark/>
          </w:tcPr>
          <w:p w:rsidR="000832C5" w:rsidP="00D264E0" w:rsidRDefault="000832C5" w14:paraId="6B36F96B" w14:textId="77777777">
            <w:pPr>
              <w:spacing w:before="80" w:after="80"/>
              <w:ind w:left="80" w:right="80"/>
              <w:rPr>
                <w:b/>
                <w:bCs/>
                <w:i/>
              </w:rPr>
            </w:pPr>
            <w:r w:rsidRPr="003B727B">
              <w:t>10. The use of low-carbon steel credits and sustainable renewable fuel credits should be capped in order to preserve investments in the zero-emission value-chain. By allowing to compensate emissions up to</w:t>
            </w:r>
            <w:r w:rsidRPr="003B727B">
              <w:rPr>
                <w:i/>
                <w:iCs/>
              </w:rPr>
              <w:t xml:space="preserve"> </w:t>
            </w:r>
            <w:r w:rsidRPr="003B727B">
              <w:t>10% of the EU fleet-wide target of 2021 as from 203</w:t>
            </w:r>
            <w:r w:rsidRPr="003B727B">
              <w:rPr>
                <w:b/>
                <w:bCs/>
                <w:i/>
                <w:iCs/>
                <w:u w:val="single"/>
              </w:rPr>
              <w:t>0</w:t>
            </w:r>
            <w:r w:rsidRPr="003B727B">
              <w:t>, these credits, combined with the 90% emissions reduction target, support the overall climate neutrality objective.</w:t>
            </w:r>
          </w:p>
        </w:tc>
        <w:tc>
          <w:tcPr>
            <w:tcW w:w="2500" w:type="pct"/>
            <w:tcBorders>
              <w:top w:val="single" w:color="auto" w:sz="4" w:space="0"/>
              <w:left w:val="single" w:color="auto" w:sz="4" w:space="0"/>
              <w:bottom w:val="single" w:color="auto" w:sz="4" w:space="0"/>
              <w:right w:val="single" w:color="auto" w:sz="4" w:space="0"/>
            </w:tcBorders>
            <w:hideMark/>
          </w:tcPr>
          <w:p w:rsidR="000832C5" w:rsidP="00D264E0" w:rsidRDefault="004C3F5D" w14:paraId="370B7276" w14:textId="1DE7257E">
            <w:r w:rsidRPr="004C3F5D">
              <w:rPr>
                <w:lang w:val="en-US"/>
              </w:rPr>
              <w:t xml:space="preserve">10. The use of low-carbon steel credits and sustainable </w:t>
            </w:r>
            <w:r w:rsidRPr="004C3F5D">
              <w:rPr>
                <w:b/>
                <w:bCs/>
                <w:i/>
                <w:iCs/>
                <w:u w:val="single"/>
                <w:lang w:val="en-US"/>
              </w:rPr>
              <w:t>ՙMade in the EU՚</w:t>
            </w:r>
            <w:r w:rsidRPr="004C3F5D">
              <w:rPr>
                <w:lang w:val="en-US"/>
              </w:rPr>
              <w:t xml:space="preserve"> renewable fuel credits should be capped in order to preserve investments in the zero-emission value-chain. By allowing to compensate emissions up to</w:t>
            </w:r>
            <w:r w:rsidRPr="004C3F5D">
              <w:rPr>
                <w:i/>
                <w:iCs/>
                <w:lang w:val="en-US"/>
              </w:rPr>
              <w:t xml:space="preserve"> </w:t>
            </w:r>
            <w:r w:rsidRPr="004C3F5D">
              <w:rPr>
                <w:lang w:val="en-US"/>
              </w:rPr>
              <w:t>10% of the EU fleet-wide target of 2021 as from 203</w:t>
            </w:r>
            <w:r w:rsidRPr="004C3F5D">
              <w:rPr>
                <w:b/>
                <w:bCs/>
                <w:i/>
                <w:iCs/>
                <w:lang w:val="en-US"/>
              </w:rPr>
              <w:t>0</w:t>
            </w:r>
            <w:r w:rsidRPr="004C3F5D">
              <w:rPr>
                <w:lang w:val="en-US"/>
              </w:rPr>
              <w:t>, these credits, combined with the 90% emissions reduction target, support the overall climate neutrality objective.</w:t>
            </w:r>
          </w:p>
        </w:tc>
      </w:tr>
    </w:tbl>
    <w:p w:rsidR="000832C5" w:rsidP="00EC0F0F" w:rsidRDefault="000832C5" w14:paraId="11F58A18" w14:textId="77777777"/>
    <w:p w:rsidR="00C15B41" w:rsidP="00C15B41" w:rsidRDefault="00C15B41" w14:paraId="6E34F193" w14:textId="0B8D31AB">
      <w:pPr>
        <w:rPr>
          <w:b/>
          <w:bCs/>
        </w:rPr>
      </w:pPr>
      <w:r>
        <w:rPr>
          <w:b/>
          <w:bCs/>
        </w:rPr>
        <w:t>e</w:t>
      </w:r>
      <w:r w:rsidRPr="00C11C87">
        <w:rPr>
          <w:b/>
          <w:bCs/>
        </w:rPr>
        <w:t>)</w:t>
      </w:r>
      <w:r w:rsidRPr="009D67E1">
        <w:tab/>
      </w:r>
      <w:r>
        <w:rPr>
          <w:b/>
          <w:bCs/>
        </w:rPr>
        <w:t>Point 3</w:t>
      </w:r>
      <w:r w:rsidRPr="00C11C87">
        <w:rPr>
          <w:b/>
          <w:bCs/>
        </w:rPr>
        <w:t xml:space="preserve"> </w:t>
      </w:r>
      <w:r>
        <w:rPr>
          <w:b/>
          <w:bCs/>
        </w:rPr>
        <w:t>(Amendment 6) linked to Amendment 4</w:t>
      </w:r>
    </w:p>
    <w:p w:rsidR="00C15B41" w:rsidP="00C15B41" w:rsidRDefault="00C15B41" w14:paraId="00248E51" w14:textId="77777777">
      <w:pPr>
        <w:rPr>
          <w:b/>
          <w:bCs/>
        </w:rPr>
      </w:pPr>
      <w:r w:rsidRPr="00F30FAF">
        <w:rPr>
          <w:b/>
          <w:bCs/>
          <w:szCs w:val="20"/>
        </w:rPr>
        <w:t xml:space="preserve">Amendment </w:t>
      </w:r>
      <w:r>
        <w:rPr>
          <w:b/>
          <w:bCs/>
          <w:szCs w:val="20"/>
        </w:rPr>
        <w:t xml:space="preserve">1 </w:t>
      </w:r>
      <w:r w:rsidRPr="00F30FAF">
        <w:rPr>
          <w:b/>
          <w:bCs/>
        </w:rPr>
        <w:t>linked to recommendation 1.2</w:t>
      </w:r>
    </w:p>
    <w:p w:rsidR="00C15B41" w:rsidP="00C15B41" w:rsidRDefault="00C15B41" w14:paraId="15745AEC" w14:textId="77777777"/>
    <w:p w:rsidRPr="009D67E1" w:rsidR="00C15B41" w:rsidP="00C15B41" w:rsidRDefault="00C15B41" w14:paraId="2BD0CAA2" w14:textId="77777777">
      <w:r w:rsidRPr="00C11C87">
        <w:t>Amend as follows</w:t>
      </w:r>
    </w:p>
    <w:p w:rsidR="00C15B41" w:rsidP="00C15B41" w:rsidRDefault="00C15B41" w14:paraId="03FA61DB" w14:textId="77777777"/>
    <w:tbl>
      <w:tblPr>
        <w:tblStyle w:val="TableGrid2"/>
        <w:tblW w:w="0" w:type="auto"/>
        <w:tblLook w:val="04A0" w:firstRow="1" w:lastRow="0" w:firstColumn="1" w:lastColumn="0" w:noHBand="0" w:noVBand="1"/>
      </w:tblPr>
      <w:tblGrid>
        <w:gridCol w:w="9063"/>
      </w:tblGrid>
      <w:tr w:rsidRPr="000832C5" w:rsidR="00C15B41" w:rsidTr="00CF30E6" w14:paraId="1706C83C" w14:textId="77777777">
        <w:tc>
          <w:tcPr>
            <w:tcW w:w="9063" w:type="dxa"/>
          </w:tcPr>
          <w:p w:rsidRPr="000832C5" w:rsidR="00C15B41" w:rsidP="00CF30E6" w:rsidRDefault="00C15B41" w14:paraId="3788D2AB" w14:textId="77777777">
            <w:pPr>
              <w:spacing w:line="240" w:lineRule="auto"/>
              <w:jc w:val="center"/>
            </w:pPr>
            <w:r w:rsidRPr="000832C5">
              <w:rPr>
                <w:b/>
              </w:rPr>
              <w:t>Text proposed by the European Commission</w:t>
            </w:r>
          </w:p>
        </w:tc>
      </w:tr>
      <w:tr w:rsidRPr="000832C5" w:rsidR="00C15B41" w:rsidTr="00CF30E6" w14:paraId="5A271B1C" w14:textId="77777777">
        <w:tc>
          <w:tcPr>
            <w:tcW w:w="9063" w:type="dxa"/>
          </w:tcPr>
          <w:p w:rsidRPr="000832C5" w:rsidR="00C15B41" w:rsidP="00CF30E6" w:rsidRDefault="00C15B41" w14:paraId="7A3C5EAA" w14:textId="77777777">
            <w:pPr>
              <w:spacing w:before="40" w:after="40"/>
              <w:ind w:left="80" w:right="80"/>
            </w:pPr>
            <w:r w:rsidRPr="000832C5">
              <w:t>‘Article 5a Role of sustainable renewable fuels</w:t>
            </w:r>
          </w:p>
          <w:p w:rsidRPr="000832C5" w:rsidR="00C15B41" w:rsidP="00CF30E6" w:rsidRDefault="00C15B41" w14:paraId="79089AC9" w14:textId="77777777">
            <w:pPr>
              <w:spacing w:before="40" w:after="40"/>
              <w:ind w:left="80" w:right="80"/>
            </w:pPr>
            <w:r w:rsidRPr="000832C5">
              <w:t>1. Starting from 203</w:t>
            </w:r>
            <w:r w:rsidRPr="000832C5">
              <w:rPr>
                <w:b/>
                <w:bCs/>
                <w:i/>
                <w:iCs/>
              </w:rPr>
              <w:t>5</w:t>
            </w:r>
            <w:r w:rsidRPr="000832C5">
              <w:t>, the Commission shall calculate, for each manufacturer, fuel credits based on the greenhouse gas emission savings achieved by the use of the fuels referred to in paragraph 2, as determined in accordance with point 7 of Parts A and B of Annex I, to compensate emissions from new passenger cars and new light commercial vehicles registered in the calendar year. […]</w:t>
            </w:r>
          </w:p>
        </w:tc>
      </w:tr>
    </w:tbl>
    <w:p w:rsidR="00C15B41" w:rsidP="00C15B41" w:rsidRDefault="00C15B41" w14:paraId="2947F862"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0832C5" w:rsidR="00C15B41" w:rsidTr="00CF30E6" w14:paraId="7C02AA24" w14:textId="77777777">
        <w:tc>
          <w:tcPr>
            <w:tcW w:w="2500" w:type="pct"/>
            <w:tcBorders>
              <w:top w:val="single" w:color="auto" w:sz="4" w:space="0"/>
              <w:left w:val="single" w:color="auto" w:sz="4" w:space="0"/>
              <w:bottom w:val="single" w:color="auto" w:sz="4" w:space="0"/>
              <w:right w:val="single" w:color="auto" w:sz="4" w:space="0"/>
            </w:tcBorders>
            <w:hideMark/>
          </w:tcPr>
          <w:p w:rsidRPr="00401F0F" w:rsidR="00C15B41" w:rsidP="00CF30E6" w:rsidRDefault="00C15B41" w14:paraId="4910A111" w14:textId="77777777">
            <w:pPr>
              <w:jc w:val="center"/>
              <w:rPr>
                <w:b/>
                <w:bCs/>
                <w:iCs/>
                <w:lang w:eastAsia="en-GB"/>
              </w:rPr>
            </w:pPr>
            <w:r w:rsidRPr="00401F0F">
              <w:rPr>
                <w:b/>
                <w:bCs/>
                <w:iCs/>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401F0F" w:rsidR="00C15B41" w:rsidP="00CF30E6" w:rsidRDefault="00C15B41" w14:paraId="1DFFDE5F" w14:textId="77777777">
            <w:pPr>
              <w:jc w:val="center"/>
              <w:rPr>
                <w:b/>
                <w:bCs/>
                <w:iCs/>
                <w:lang w:eastAsia="en-GB"/>
              </w:rPr>
            </w:pPr>
            <w:r w:rsidRPr="00401F0F">
              <w:rPr>
                <w:b/>
                <w:bCs/>
                <w:iCs/>
                <w:lang w:eastAsia="en-GB"/>
              </w:rPr>
              <w:t>Amendment</w:t>
            </w:r>
          </w:p>
        </w:tc>
      </w:tr>
      <w:tr w:rsidRPr="000832C5" w:rsidR="00C15B41" w:rsidTr="00CF30E6" w14:paraId="579D3A43" w14:textId="77777777">
        <w:tc>
          <w:tcPr>
            <w:tcW w:w="2500" w:type="pct"/>
            <w:tcBorders>
              <w:top w:val="single" w:color="auto" w:sz="4" w:space="0"/>
              <w:left w:val="single" w:color="auto" w:sz="4" w:space="0"/>
              <w:bottom w:val="single" w:color="auto" w:sz="4" w:space="0"/>
              <w:right w:val="single" w:color="auto" w:sz="4" w:space="0"/>
            </w:tcBorders>
            <w:hideMark/>
          </w:tcPr>
          <w:p w:rsidRPr="000832C5" w:rsidR="00C15B41" w:rsidP="00CF30E6" w:rsidRDefault="00C15B41" w14:paraId="0D4619CC" w14:textId="77777777">
            <w:pPr>
              <w:ind w:left="30" w:right="30"/>
              <w:textAlignment w:val="baseline"/>
            </w:pPr>
            <w:r w:rsidRPr="000832C5">
              <w:t>“Article 5a Role of sustainable renewable fuels</w:t>
            </w:r>
          </w:p>
          <w:p w:rsidRPr="000832C5" w:rsidR="00C15B41" w:rsidP="00CF30E6" w:rsidRDefault="00C15B41" w14:paraId="55585E2E" w14:textId="77777777">
            <w:pPr>
              <w:spacing w:before="40" w:after="80"/>
              <w:ind w:left="80" w:right="80"/>
              <w:rPr>
                <w:iCs/>
                <w:lang w:eastAsia="en-GB"/>
              </w:rPr>
            </w:pPr>
            <w:r w:rsidRPr="000832C5">
              <w:t>1. Starting from 203</w:t>
            </w:r>
            <w:r w:rsidRPr="000832C5">
              <w:rPr>
                <w:b/>
                <w:bCs/>
                <w:i/>
                <w:iCs/>
                <w:u w:val="single"/>
              </w:rPr>
              <w:t>0</w:t>
            </w:r>
            <w:r w:rsidRPr="000832C5">
              <w:t>, The Commission shall calculate, for each manufacturer, fuel credits based on the greenhouse gas emission savings achieved by the use of the fuels referred to in paragraph 2, as determined in accordance with point 7 of Parts A and B of Annex I, to compensate emissions from new passenger cars and new light commercial vehicles registered in the calendar year. […]</w:t>
            </w:r>
          </w:p>
        </w:tc>
        <w:tc>
          <w:tcPr>
            <w:tcW w:w="2500" w:type="pct"/>
            <w:tcBorders>
              <w:top w:val="single" w:color="auto" w:sz="4" w:space="0"/>
              <w:left w:val="single" w:color="auto" w:sz="4" w:space="0"/>
              <w:bottom w:val="single" w:color="auto" w:sz="4" w:space="0"/>
              <w:right w:val="single" w:color="auto" w:sz="4" w:space="0"/>
            </w:tcBorders>
          </w:tcPr>
          <w:p w:rsidRPr="004C3F5D" w:rsidR="004C3F5D" w:rsidP="004C3F5D" w:rsidRDefault="004C3F5D" w14:paraId="00A0BFC4" w14:textId="77777777">
            <w:pPr>
              <w:ind w:left="30" w:right="30"/>
              <w:textAlignment w:val="baseline"/>
              <w:rPr>
                <w:lang w:val="en-US"/>
              </w:rPr>
            </w:pPr>
            <w:r w:rsidRPr="004C3F5D">
              <w:rPr>
                <w:lang w:val="en-US"/>
              </w:rPr>
              <w:t>ՙArticle 5a Role of sustainable renewable fuels</w:t>
            </w:r>
          </w:p>
          <w:p w:rsidRPr="000832C5" w:rsidR="00C15B41" w:rsidP="004C3F5D" w:rsidRDefault="004C3F5D" w14:paraId="44324566" w14:textId="42555640">
            <w:pPr>
              <w:rPr>
                <w:iCs/>
                <w:szCs w:val="20"/>
                <w:lang w:eastAsia="en-GB"/>
              </w:rPr>
            </w:pPr>
            <w:r w:rsidRPr="004C3F5D">
              <w:rPr>
                <w:lang w:val="en-US"/>
              </w:rPr>
              <w:t>1. Starting from 203</w:t>
            </w:r>
            <w:r w:rsidRPr="004C3F5D">
              <w:rPr>
                <w:b/>
                <w:bCs/>
                <w:i/>
                <w:iCs/>
                <w:lang w:val="en-US"/>
              </w:rPr>
              <w:t>0</w:t>
            </w:r>
            <w:r w:rsidRPr="004C3F5D">
              <w:rPr>
                <w:lang w:val="en-US"/>
              </w:rPr>
              <w:t xml:space="preserve">, The Commission shall calculate, for each manufacturer, fuel credits based on the greenhouse gas emission savings achieved by the use of the fuels referred to in paragraph 2, as determined in accordance with point 7 of Parts A and B of Annex I, to compensate emissions from new passenger cars and new light commercial vehicles registered in the calendar year. </w:t>
            </w:r>
            <w:r w:rsidRPr="004C3F5D">
              <w:rPr>
                <w:b/>
                <w:bCs/>
                <w:i/>
                <w:iCs/>
                <w:u w:val="single"/>
                <w:lang w:val="en-US"/>
              </w:rPr>
              <w:t xml:space="preserve">Additionally, those fuels should be </w:t>
            </w:r>
            <w:r w:rsidRPr="004C3F5D" w:rsidR="00D77321">
              <w:rPr>
                <w:b/>
                <w:bCs/>
                <w:i/>
                <w:iCs/>
                <w:u w:val="single"/>
                <w:lang w:val="en-US"/>
              </w:rPr>
              <w:t>ՙ</w:t>
            </w:r>
            <w:r w:rsidRPr="004C3F5D">
              <w:rPr>
                <w:b/>
                <w:bCs/>
                <w:i/>
                <w:iCs/>
                <w:u w:val="single"/>
                <w:lang w:val="en-US"/>
              </w:rPr>
              <w:t>Made in the EU</w:t>
            </w:r>
            <w:r w:rsidRPr="004C3F5D" w:rsidR="00D77321">
              <w:rPr>
                <w:b/>
                <w:bCs/>
                <w:i/>
                <w:iCs/>
                <w:u w:val="single"/>
                <w:lang w:val="en-US"/>
              </w:rPr>
              <w:t>՚</w:t>
            </w:r>
            <w:r w:rsidRPr="004C3F5D">
              <w:rPr>
                <w:b/>
                <w:bCs/>
                <w:i/>
                <w:iCs/>
                <w:u w:val="single"/>
                <w:lang w:val="en-US"/>
              </w:rPr>
              <w:t>.</w:t>
            </w:r>
            <w:r w:rsidRPr="004C3F5D">
              <w:rPr>
                <w:lang w:val="en-US"/>
              </w:rPr>
              <w:t xml:space="preserve"> […]</w:t>
            </w:r>
          </w:p>
        </w:tc>
      </w:tr>
    </w:tbl>
    <w:p w:rsidR="00C15B41" w:rsidP="00EC0F0F" w:rsidRDefault="00C15B41" w14:paraId="70D4D767" w14:textId="77777777"/>
    <w:p w:rsidR="000832C5" w:rsidP="00EC0F0F" w:rsidRDefault="0046608C" w14:paraId="3602448A" w14:textId="49FA9BE0">
      <w:r w:rsidRPr="009D67E1">
        <w:t>The</w:t>
      </w:r>
      <w:r>
        <w:t xml:space="preserve"> two linked</w:t>
      </w:r>
      <w:r w:rsidRPr="009D67E1">
        <w:t xml:space="preserve"> </w:t>
      </w:r>
      <w:r>
        <w:t>amendments</w:t>
      </w:r>
      <w:r w:rsidRPr="009D67E1">
        <w:t xml:space="preserve"> w</w:t>
      </w:r>
      <w:r>
        <w:t>ere</w:t>
      </w:r>
      <w:r w:rsidRPr="009D67E1">
        <w:t xml:space="preserve"> accepted by the rapporteur and the Assembly</w:t>
      </w:r>
      <w:r>
        <w:t xml:space="preserve">. </w:t>
      </w:r>
    </w:p>
    <w:p w:rsidR="0046608C" w:rsidP="00EC0F0F" w:rsidRDefault="0046608C" w14:paraId="08E69140" w14:textId="77777777"/>
    <w:p w:rsidR="000832C5" w:rsidP="000832C5" w:rsidRDefault="00BD556C" w14:paraId="3B659B60" w14:textId="42B71E6D">
      <w:pPr>
        <w:rPr>
          <w:b/>
          <w:bCs/>
        </w:rPr>
      </w:pPr>
      <w:r>
        <w:rPr>
          <w:b/>
          <w:bCs/>
        </w:rPr>
        <w:t>f</w:t>
      </w:r>
      <w:r w:rsidRPr="00C11C87" w:rsidR="000832C5">
        <w:rPr>
          <w:b/>
          <w:bCs/>
        </w:rPr>
        <w:t>)</w:t>
      </w:r>
      <w:r w:rsidRPr="009D67E1" w:rsidR="000832C5">
        <w:tab/>
      </w:r>
      <w:r w:rsidR="000832C5">
        <w:rPr>
          <w:b/>
          <w:bCs/>
        </w:rPr>
        <w:t>Point 3</w:t>
      </w:r>
      <w:r w:rsidRPr="00C11C87" w:rsidR="000832C5">
        <w:rPr>
          <w:b/>
          <w:bCs/>
        </w:rPr>
        <w:t xml:space="preserve"> </w:t>
      </w:r>
      <w:r w:rsidR="000832C5">
        <w:rPr>
          <w:b/>
          <w:bCs/>
        </w:rPr>
        <w:t>(Amendment 5)</w:t>
      </w:r>
    </w:p>
    <w:p w:rsidR="000832C5" w:rsidP="000832C5" w:rsidRDefault="000832C5" w14:paraId="4406929C" w14:textId="1598C673">
      <w:pPr>
        <w:rPr>
          <w:b/>
          <w:bCs/>
        </w:rPr>
      </w:pPr>
      <w:r w:rsidRPr="00F30FAF">
        <w:rPr>
          <w:b/>
          <w:bCs/>
          <w:szCs w:val="20"/>
        </w:rPr>
        <w:t>Amendment 2</w:t>
      </w:r>
      <w:r>
        <w:rPr>
          <w:b/>
          <w:bCs/>
          <w:szCs w:val="20"/>
        </w:rPr>
        <w:t xml:space="preserve"> </w:t>
      </w:r>
      <w:r w:rsidRPr="00F30FAF">
        <w:rPr>
          <w:b/>
          <w:bCs/>
        </w:rPr>
        <w:t>linked to recommendation 1.2</w:t>
      </w:r>
    </w:p>
    <w:p w:rsidR="000832C5" w:rsidP="000832C5" w:rsidRDefault="000832C5" w14:paraId="4B333141" w14:textId="77777777"/>
    <w:p w:rsidRPr="009D67E1" w:rsidR="000832C5" w:rsidP="000832C5" w:rsidRDefault="000832C5" w14:paraId="05F56881" w14:textId="77777777">
      <w:r w:rsidRPr="00C11C87">
        <w:t>Amend as follows</w:t>
      </w:r>
    </w:p>
    <w:p w:rsidR="000832C5" w:rsidP="00EC0F0F" w:rsidRDefault="000832C5" w14:paraId="01DB0B50" w14:textId="77777777"/>
    <w:tbl>
      <w:tblPr>
        <w:tblStyle w:val="TableGrid"/>
        <w:tblW w:w="0" w:type="auto"/>
        <w:tblLook w:val="04A0" w:firstRow="1" w:lastRow="0" w:firstColumn="1" w:lastColumn="0" w:noHBand="0" w:noVBand="1"/>
      </w:tblPr>
      <w:tblGrid>
        <w:gridCol w:w="9063"/>
      </w:tblGrid>
      <w:tr w:rsidRPr="000832C5" w:rsidR="000832C5" w:rsidTr="00D264E0" w14:paraId="71D4A6B4" w14:textId="77777777">
        <w:tc>
          <w:tcPr>
            <w:tcW w:w="9063" w:type="dxa"/>
          </w:tcPr>
          <w:p w:rsidRPr="000832C5" w:rsidR="000832C5" w:rsidP="000832C5" w:rsidRDefault="000832C5" w14:paraId="42487C48" w14:textId="77777777">
            <w:r w:rsidRPr="000832C5">
              <w:rPr>
                <w:b/>
                <w:i/>
                <w:lang w:bidi="en-GB"/>
              </w:rPr>
              <w:t>Text proposed by the European Commission</w:t>
            </w:r>
          </w:p>
        </w:tc>
      </w:tr>
      <w:tr w:rsidRPr="000832C5" w:rsidR="000832C5" w:rsidTr="00D264E0" w14:paraId="5E6711AC" w14:textId="77777777">
        <w:tc>
          <w:tcPr>
            <w:tcW w:w="9063" w:type="dxa"/>
          </w:tcPr>
          <w:p w:rsidRPr="000832C5" w:rsidR="000832C5" w:rsidP="000832C5" w:rsidRDefault="000832C5" w14:paraId="060C2B59" w14:textId="77777777">
            <w:pPr>
              <w:rPr>
                <w:rFonts w:ascii="Times New Roman" w:hAnsi="Times New Roman" w:eastAsia="Times New Roman" w:cs="Times New Roman"/>
              </w:rPr>
            </w:pPr>
            <w:r w:rsidRPr="000832C5">
              <w:rPr>
                <w:rFonts w:ascii="Times New Roman" w:hAnsi="Times New Roman" w:eastAsia="Times New Roman" w:cs="Times New Roman"/>
              </w:rPr>
              <w:t>Article 1</w:t>
            </w:r>
          </w:p>
          <w:p w:rsidRPr="000832C5" w:rsidR="000832C5" w:rsidP="000832C5" w:rsidRDefault="000832C5" w14:paraId="1BE7B4CC" w14:textId="77777777">
            <w:pPr>
              <w:rPr>
                <w:rFonts w:ascii="Times New Roman" w:hAnsi="Times New Roman" w:eastAsia="Times New Roman" w:cs="Times New Roman"/>
              </w:rPr>
            </w:pPr>
            <w:r w:rsidRPr="000832C5">
              <w:rPr>
                <w:rFonts w:ascii="Times New Roman" w:hAnsi="Times New Roman" w:eastAsia="Times New Roman" w:cs="Times New Roman"/>
              </w:rPr>
              <w:t>Amendments to Regulation (EU) 2019/631</w:t>
            </w:r>
          </w:p>
          <w:p w:rsidRPr="000832C5" w:rsidR="000832C5" w:rsidP="000832C5" w:rsidRDefault="000832C5" w14:paraId="230FCA2E" w14:textId="77777777">
            <w:pPr>
              <w:rPr>
                <w:rFonts w:ascii="Times New Roman" w:hAnsi="Times New Roman" w:eastAsia="Times New Roman" w:cs="Times New Roman"/>
              </w:rPr>
            </w:pPr>
            <w:r w:rsidRPr="000832C5">
              <w:rPr>
                <w:rFonts w:ascii="Times New Roman" w:hAnsi="Times New Roman" w:eastAsia="Times New Roman" w:cs="Times New Roman"/>
              </w:rPr>
              <w:t>Regulation (EU) 2019/631 is amended as follows:</w:t>
            </w:r>
          </w:p>
          <w:p w:rsidRPr="000832C5" w:rsidR="000832C5" w:rsidP="000832C5" w:rsidRDefault="000832C5" w14:paraId="2FCC18E9" w14:textId="77777777">
            <w:pPr>
              <w:rPr>
                <w:rFonts w:ascii="Times New Roman" w:hAnsi="Times New Roman" w:eastAsia="Times New Roman" w:cs="Times New Roman"/>
              </w:rPr>
            </w:pPr>
            <w:r w:rsidRPr="000832C5">
              <w:rPr>
                <w:rFonts w:ascii="Times New Roman" w:hAnsi="Times New Roman" w:eastAsia="Times New Roman" w:cs="Times New Roman"/>
              </w:rPr>
              <w:t>(4) Article 4 is amended as follows:</w:t>
            </w:r>
          </w:p>
          <w:p w:rsidRPr="000832C5" w:rsidR="000832C5" w:rsidP="000832C5" w:rsidRDefault="000832C5" w14:paraId="43E46016" w14:textId="77777777">
            <w:pPr>
              <w:rPr>
                <w:rFonts w:ascii="Times New Roman" w:hAnsi="Times New Roman" w:eastAsia="Times New Roman" w:cs="Times New Roman"/>
              </w:rPr>
            </w:pPr>
            <w:r w:rsidRPr="000832C5">
              <w:rPr>
                <w:rFonts w:ascii="Times New Roman" w:hAnsi="Times New Roman" w:eastAsia="Times New Roman" w:cs="Times New Roman"/>
              </w:rPr>
              <w:t>(a) in paragraph 1 point (c), the following text is added:</w:t>
            </w:r>
          </w:p>
          <w:p w:rsidRPr="000832C5" w:rsidR="000832C5" w:rsidP="000832C5" w:rsidRDefault="000832C5" w14:paraId="2B4703BC" w14:textId="77777777">
            <w:pPr>
              <w:rPr>
                <w:rFonts w:ascii="Times New Roman" w:hAnsi="Times New Roman" w:eastAsia="Times New Roman" w:cs="Times New Roman"/>
              </w:rPr>
            </w:pPr>
            <w:r w:rsidRPr="000832C5">
              <w:rPr>
                <w:rFonts w:ascii="Times New Roman" w:hAnsi="Times New Roman" w:eastAsia="Times New Roman" w:cs="Times New Roman"/>
              </w:rPr>
              <w:t>“In addition, starting from 203</w:t>
            </w:r>
            <w:r w:rsidRPr="000832C5">
              <w:rPr>
                <w:rFonts w:ascii="Times New Roman" w:hAnsi="Times New Roman" w:eastAsia="Times New Roman" w:cs="Times New Roman"/>
                <w:b/>
                <w:bCs/>
                <w:i/>
                <w:iCs/>
              </w:rPr>
              <w:t>5</w:t>
            </w:r>
            <w:r w:rsidRPr="000832C5">
              <w:rPr>
                <w:rFonts w:ascii="Times New Roman" w:hAnsi="Times New Roman" w:eastAsia="Times New Roman" w:cs="Times New Roman"/>
              </w:rPr>
              <w:t>, the manufacturer shall also ensure that its average specific emissions of CO2 do not exceed the sum of its fuel credits as referred to in Article 5a, and its low-carbon steel credits as referred to in with Article 5b.”</w:t>
            </w:r>
          </w:p>
        </w:tc>
      </w:tr>
    </w:tbl>
    <w:p w:rsidRPr="000832C5" w:rsidR="000832C5" w:rsidP="000832C5" w:rsidRDefault="000832C5" w14:paraId="331DCD2D" w14:textId="77777777">
      <w:pPr>
        <w:rPr>
          <w:lang w:val="en-US"/>
        </w:rPr>
      </w:pPr>
    </w:p>
    <w:tbl>
      <w:tblPr>
        <w:tblW w:w="5000" w:type="pct"/>
        <w:tblLayout w:type="fixed"/>
        <w:tblCellMar>
          <w:left w:w="115" w:type="dxa"/>
          <w:right w:w="115" w:type="dxa"/>
        </w:tblCellMar>
        <w:tblLook w:val="01E0" w:firstRow="1" w:lastRow="1" w:firstColumn="1" w:lastColumn="1" w:noHBand="0" w:noVBand="0"/>
      </w:tblPr>
      <w:tblGrid>
        <w:gridCol w:w="4531"/>
        <w:gridCol w:w="4532"/>
      </w:tblGrid>
      <w:tr w:rsidRPr="000832C5" w:rsidR="000832C5" w:rsidTr="00D264E0" w14:paraId="36FB75D1" w14:textId="77777777">
        <w:tc>
          <w:tcPr>
            <w:tcW w:w="2500" w:type="pct"/>
            <w:tcBorders>
              <w:top w:val="single" w:color="auto" w:sz="4" w:space="0"/>
              <w:left w:val="single" w:color="auto" w:sz="4" w:space="0"/>
              <w:bottom w:val="single" w:color="auto" w:sz="4" w:space="0"/>
              <w:right w:val="single" w:color="auto" w:sz="4" w:space="0"/>
            </w:tcBorders>
            <w:hideMark/>
          </w:tcPr>
          <w:p w:rsidRPr="000832C5" w:rsidR="000832C5" w:rsidP="000832C5" w:rsidRDefault="000832C5" w14:paraId="1954FB16" w14:textId="77777777">
            <w:pPr>
              <w:rPr>
                <w:b/>
                <w:bCs/>
                <w:i/>
              </w:rPr>
            </w:pPr>
            <w:r w:rsidRPr="000832C5">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0832C5" w:rsidR="000832C5" w:rsidP="000832C5" w:rsidRDefault="000832C5" w14:paraId="6C313642" w14:textId="77777777">
            <w:pPr>
              <w:rPr>
                <w:b/>
                <w:bCs/>
                <w:i/>
              </w:rPr>
            </w:pPr>
            <w:r w:rsidRPr="000832C5">
              <w:rPr>
                <w:b/>
                <w:bCs/>
                <w:i/>
              </w:rPr>
              <w:t>Amendment</w:t>
            </w:r>
          </w:p>
        </w:tc>
      </w:tr>
      <w:tr w:rsidRPr="000832C5" w:rsidR="000832C5" w:rsidTr="00D264E0" w14:paraId="30809D70" w14:textId="77777777">
        <w:tc>
          <w:tcPr>
            <w:tcW w:w="2500" w:type="pct"/>
            <w:tcBorders>
              <w:top w:val="single" w:color="auto" w:sz="4" w:space="0"/>
              <w:left w:val="single" w:color="auto" w:sz="4" w:space="0"/>
              <w:bottom w:val="single" w:color="auto" w:sz="4" w:space="0"/>
              <w:right w:val="single" w:color="auto" w:sz="4" w:space="0"/>
            </w:tcBorders>
            <w:hideMark/>
          </w:tcPr>
          <w:p w:rsidRPr="000832C5" w:rsidR="000832C5" w:rsidP="000832C5" w:rsidRDefault="000832C5" w14:paraId="67E3A5DF" w14:textId="77777777">
            <w:r w:rsidRPr="000832C5">
              <w:t>Article 1</w:t>
            </w:r>
          </w:p>
          <w:p w:rsidRPr="000832C5" w:rsidR="000832C5" w:rsidP="000832C5" w:rsidRDefault="000832C5" w14:paraId="235F38C6" w14:textId="77777777">
            <w:r w:rsidRPr="000832C5">
              <w:t>Amendments to Regulation (EU) 2019/631</w:t>
            </w:r>
          </w:p>
          <w:p w:rsidRPr="000832C5" w:rsidR="000832C5" w:rsidP="000832C5" w:rsidRDefault="000832C5" w14:paraId="1711D8D4" w14:textId="77777777">
            <w:r w:rsidRPr="000832C5">
              <w:t>Regulation (EU) 2019/631 is amended as follows:</w:t>
            </w:r>
          </w:p>
          <w:p w:rsidRPr="000832C5" w:rsidR="000832C5" w:rsidP="000832C5" w:rsidRDefault="000832C5" w14:paraId="22B7E8C7" w14:textId="77777777">
            <w:r w:rsidRPr="000832C5">
              <w:t>4) Article 4 is amended as follows:</w:t>
            </w:r>
          </w:p>
          <w:p w:rsidRPr="000832C5" w:rsidR="000832C5" w:rsidP="000832C5" w:rsidRDefault="000832C5" w14:paraId="0469D0C5" w14:textId="77777777">
            <w:r w:rsidRPr="000832C5">
              <w:t>(a) in paragraph 1 point (c), the following text is added:</w:t>
            </w:r>
          </w:p>
          <w:p w:rsidRPr="000832C5" w:rsidR="000832C5" w:rsidP="000832C5" w:rsidRDefault="000832C5" w14:paraId="6A7ACB10" w14:textId="77777777">
            <w:r w:rsidRPr="000832C5">
              <w:t>“In addition, starting from 203</w:t>
            </w:r>
            <w:r w:rsidRPr="000832C5">
              <w:rPr>
                <w:b/>
                <w:bCs/>
                <w:i/>
                <w:iCs/>
                <w:u w:val="single"/>
              </w:rPr>
              <w:t>0</w:t>
            </w:r>
            <w:r w:rsidRPr="000832C5">
              <w:t>, the manufacturer shall also ensure that its average specific emissions of CO2 do not exceed the sum of its fuel credits as referred to in Article 5a, and its low-carbon steel credits as referred to in with Article 5b.”</w:t>
            </w:r>
          </w:p>
        </w:tc>
        <w:tc>
          <w:tcPr>
            <w:tcW w:w="2500" w:type="pct"/>
            <w:tcBorders>
              <w:top w:val="single" w:color="auto" w:sz="4" w:space="0"/>
              <w:left w:val="single" w:color="auto" w:sz="4" w:space="0"/>
              <w:bottom w:val="single" w:color="auto" w:sz="4" w:space="0"/>
              <w:right w:val="single" w:color="auto" w:sz="4" w:space="0"/>
            </w:tcBorders>
            <w:hideMark/>
          </w:tcPr>
          <w:p w:rsidRPr="000832C5" w:rsidR="000832C5" w:rsidP="000832C5" w:rsidRDefault="000832C5" w14:paraId="03CD192E" w14:textId="77777777">
            <w:r w:rsidRPr="000832C5">
              <w:t>Article 1</w:t>
            </w:r>
          </w:p>
          <w:p w:rsidRPr="000832C5" w:rsidR="000832C5" w:rsidP="000832C5" w:rsidRDefault="000832C5" w14:paraId="6E4BB08E" w14:textId="77777777">
            <w:r w:rsidRPr="000832C5">
              <w:t>Amendments to Regulation (EU) 2019/631</w:t>
            </w:r>
          </w:p>
          <w:p w:rsidRPr="000832C5" w:rsidR="000832C5" w:rsidP="000832C5" w:rsidRDefault="000832C5" w14:paraId="68C1364A" w14:textId="77777777">
            <w:r w:rsidRPr="000832C5">
              <w:t>Regulation (EU) 2019/631 is amended as follows:</w:t>
            </w:r>
          </w:p>
          <w:p w:rsidRPr="000832C5" w:rsidR="000832C5" w:rsidP="000832C5" w:rsidRDefault="000832C5" w14:paraId="574C94B7" w14:textId="77777777">
            <w:r w:rsidRPr="000832C5">
              <w:t>4) Article 4 is amended as follows:</w:t>
            </w:r>
          </w:p>
          <w:p w:rsidRPr="000832C5" w:rsidR="000832C5" w:rsidP="000832C5" w:rsidRDefault="000832C5" w14:paraId="2FF21689" w14:textId="77777777">
            <w:r w:rsidRPr="000832C5">
              <w:t>(a) in paragraph 1 point (c), the following text is added:</w:t>
            </w:r>
          </w:p>
          <w:p w:rsidRPr="000832C5" w:rsidR="000832C5" w:rsidP="000832C5" w:rsidRDefault="000832C5" w14:paraId="75574861" w14:textId="77777777">
            <w:r w:rsidRPr="000832C5">
              <w:t>“In addition, starting from 203</w:t>
            </w:r>
            <w:r w:rsidRPr="000832C5">
              <w:rPr>
                <w:b/>
                <w:bCs/>
                <w:i/>
                <w:iCs/>
                <w:u w:val="single"/>
              </w:rPr>
              <w:t>5</w:t>
            </w:r>
            <w:r w:rsidRPr="000832C5">
              <w:t>, the manufacturer shall also ensure that its average specific emissions of CO2 do not exceed the sum of its fuel credits as referred to in Article 5a, and its low-carbon steel credits as referred to in with Article 5b.”</w:t>
            </w:r>
          </w:p>
        </w:tc>
      </w:tr>
    </w:tbl>
    <w:p w:rsidRPr="000832C5" w:rsidR="000832C5" w:rsidP="00EC0F0F" w:rsidRDefault="000832C5" w14:paraId="23489C37" w14:textId="77777777">
      <w:pPr>
        <w:rPr>
          <w:lang w:val="en-US"/>
        </w:rPr>
      </w:pPr>
    </w:p>
    <w:p w:rsidR="000832C5" w:rsidP="00EC0F0F" w:rsidRDefault="0046608C" w14:paraId="6AC2A2E6" w14:textId="15ADB7E7">
      <w:r>
        <w:t xml:space="preserve">The amendment was withdrawn. </w:t>
      </w:r>
    </w:p>
    <w:p w:rsidRPr="000832C5" w:rsidR="000832C5" w:rsidP="00EC0F0F" w:rsidRDefault="000832C5" w14:paraId="0AC5DEC4" w14:textId="77777777">
      <w:pPr>
        <w:rPr>
          <w:lang w:val="en-US"/>
        </w:rPr>
      </w:pPr>
    </w:p>
    <w:p w:rsidRPr="00A67235" w:rsidR="009D67E1" w:rsidP="00EC0F0F" w:rsidRDefault="009D67E1" w14:paraId="736E11D4" w14:textId="77777777"/>
    <w:p w:rsidR="002C39DC" w:rsidP="002C39DC" w:rsidRDefault="002C39DC" w14:paraId="720EB358" w14:textId="6599F7B3">
      <w:r w:rsidRPr="00893F74">
        <w:t>The opinion</w:t>
      </w:r>
      <w:r>
        <w:t>, as amended,</w:t>
      </w:r>
      <w:r w:rsidRPr="00893F74">
        <w:t xml:space="preserve"> was adopted by </w:t>
      </w:r>
      <w:r w:rsidR="00DE7965">
        <w:t>171</w:t>
      </w:r>
      <w:r w:rsidRPr="00893F74" w:rsidR="00DE7965">
        <w:t xml:space="preserve"> </w:t>
      </w:r>
      <w:r w:rsidRPr="00893F74">
        <w:t xml:space="preserve">votes to </w:t>
      </w:r>
      <w:r w:rsidR="009A16AD">
        <w:t>3</w:t>
      </w:r>
      <w:r w:rsidRPr="00893F74">
        <w:t xml:space="preserve">, with </w:t>
      </w:r>
      <w:r w:rsidR="004C3F5D">
        <w:t>eight</w:t>
      </w:r>
      <w:r w:rsidRPr="00893F74">
        <w:t xml:space="preserve"> 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912CCB5" w:rsidR="00964A13" w:rsidRPr="00BC0F98" w:rsidRDefault="00121D76" w:rsidP="00964A13">
    <w:pPr>
      <w:pStyle w:val="Footer"/>
      <w:rPr>
        <w:lang w:val="fr-BE"/>
      </w:rPr>
    </w:pPr>
    <w:r w:rsidRPr="00BC0F98">
      <w:rPr>
        <w:lang w:val="fr-BE"/>
      </w:rPr>
      <w:t>INT/11</w:t>
    </w:r>
    <w:r w:rsidR="00BC0F98">
      <w:rPr>
        <w:lang w:val="fr-BE"/>
      </w:rPr>
      <w:t>1</w:t>
    </w:r>
    <w:r w:rsidR="00D34BD7">
      <w:rPr>
        <w:lang w:val="fr-BE"/>
      </w:rPr>
      <w:t>5</w:t>
    </w:r>
    <w:r w:rsidRPr="00BC0F98">
      <w:rPr>
        <w:lang w:val="fr-BE"/>
      </w:rPr>
      <w:t xml:space="preserve"> – </w:t>
    </w:r>
    <w:r w:rsidR="00BC0F98" w:rsidRPr="00BC0F98">
      <w:rPr>
        <w:lang w:val="fr-BE"/>
      </w:rPr>
      <w:t>EESC-2025-04</w:t>
    </w:r>
    <w:r w:rsidR="00D34BD7">
      <w:rPr>
        <w:lang w:val="fr-BE"/>
      </w:rPr>
      <w:t>308</w:t>
    </w:r>
    <w:r w:rsidR="00BC0F98" w:rsidRPr="00BC0F98">
      <w:rPr>
        <w:lang w:val="fr-BE"/>
      </w:rPr>
      <w:t>-00-00</w:t>
    </w:r>
    <w:r w:rsidRPr="00BC0F98">
      <w:rPr>
        <w:lang w:val="fr-BE"/>
      </w:rPr>
      <w:t>-CR-</w:t>
    </w:r>
    <w:r w:rsidR="00964A13" w:rsidRPr="00BC0F98">
      <w:rPr>
        <w:lang w:val="fr-BE"/>
      </w:rPr>
      <w:t>REF (</w:t>
    </w:r>
    <w:r w:rsidRPr="00BC0F98">
      <w:rPr>
        <w:lang w:val="fr-BE"/>
      </w:rPr>
      <w:t>EN</w:t>
    </w:r>
    <w:r w:rsidR="00964A13" w:rsidRPr="00BC0F98">
      <w:rPr>
        <w:lang w:val="fr-BE"/>
      </w:rPr>
      <w:t xml:space="preserve">) </w:t>
    </w:r>
    <w:r w:rsidR="00964A13">
      <w:fldChar w:fldCharType="begin"/>
    </w:r>
    <w:r w:rsidR="00964A13" w:rsidRPr="00BC0F98">
      <w:rPr>
        <w:lang w:val="fr-BE"/>
      </w:rPr>
      <w:instrText xml:space="preserve"> PAGE  \* Arabic  \* MERGEFORMAT </w:instrText>
    </w:r>
    <w:r w:rsidR="00964A13">
      <w:fldChar w:fldCharType="separate"/>
    </w:r>
    <w:r w:rsidR="000720A5">
      <w:rPr>
        <w:noProof/>
        <w:lang w:val="fr-BE"/>
      </w:rPr>
      <w:t>1</w:t>
    </w:r>
    <w:r w:rsidR="00964A13">
      <w:fldChar w:fldCharType="end"/>
    </w:r>
    <w:r w:rsidR="00964A13" w:rsidRPr="00BC0F98">
      <w:rPr>
        <w:lang w:val="fr-BE"/>
      </w:rPr>
      <w:t>/</w:t>
    </w:r>
    <w:r w:rsidR="00964A13">
      <w:fldChar w:fldCharType="begin"/>
    </w:r>
    <w:r w:rsidR="00964A13" w:rsidRPr="00BC0F98">
      <w:rPr>
        <w:lang w:val="fr-BE"/>
      </w:rPr>
      <w:instrText xml:space="preserve"> = </w:instrText>
    </w:r>
    <w:r w:rsidR="00964A13">
      <w:fldChar w:fldCharType="begin"/>
    </w:r>
    <w:r w:rsidR="00964A13" w:rsidRPr="00BC0F98">
      <w:rPr>
        <w:lang w:val="fr-BE"/>
      </w:rPr>
      <w:instrText xml:space="preserve"> NUMPAGES </w:instrText>
    </w:r>
    <w:r w:rsidR="00964A13">
      <w:fldChar w:fldCharType="separate"/>
    </w:r>
    <w:r w:rsidR="000720A5">
      <w:rPr>
        <w:noProof/>
        <w:lang w:val="fr-BE"/>
      </w:rPr>
      <w:instrText>1</w:instrText>
    </w:r>
    <w:r w:rsidR="00964A13">
      <w:fldChar w:fldCharType="end"/>
    </w:r>
    <w:r w:rsidR="00964A13" w:rsidRPr="00BC0F98">
      <w:rPr>
        <w:lang w:val="fr-BE"/>
      </w:rPr>
      <w:instrText xml:space="preserve"> -0 </w:instrText>
    </w:r>
    <w:r w:rsidR="00964A13">
      <w:fldChar w:fldCharType="separate"/>
    </w:r>
    <w:r w:rsidR="000720A5">
      <w:rPr>
        <w:noProof/>
        <w:lang w:val="fr-BE"/>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4FC193E"/>
    <w:multiLevelType w:val="hybridMultilevel"/>
    <w:tmpl w:val="A0E638D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2879B4"/>
    <w:multiLevelType w:val="hybridMultilevel"/>
    <w:tmpl w:val="8C6C744E"/>
    <w:lvl w:ilvl="0" w:tplc="A8B22DA0">
      <w:start w:val="1"/>
      <w:numFmt w:val="bullet"/>
      <w:lvlText w:val="─"/>
      <w:lvlJc w:val="left"/>
      <w:pPr>
        <w:ind w:left="360" w:hanging="360"/>
      </w:pPr>
      <w:rPr>
        <w:rFonts w:ascii="Calibri" w:hAnsi="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603F13DC"/>
    <w:multiLevelType w:val="hybridMultilevel"/>
    <w:tmpl w:val="05FAA6F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E6F64DE"/>
    <w:multiLevelType w:val="hybridMultilevel"/>
    <w:tmpl w:val="E35867A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720A5"/>
    <w:rsid w:val="000832C5"/>
    <w:rsid w:val="000B3441"/>
    <w:rsid w:val="000D6AA3"/>
    <w:rsid w:val="000E3E98"/>
    <w:rsid w:val="000E4B6B"/>
    <w:rsid w:val="000F03D6"/>
    <w:rsid w:val="00121D76"/>
    <w:rsid w:val="00125AC4"/>
    <w:rsid w:val="00143A71"/>
    <w:rsid w:val="0015330A"/>
    <w:rsid w:val="00165632"/>
    <w:rsid w:val="001766AB"/>
    <w:rsid w:val="00177DAC"/>
    <w:rsid w:val="001C7254"/>
    <w:rsid w:val="002346F9"/>
    <w:rsid w:val="002601CF"/>
    <w:rsid w:val="00273FDB"/>
    <w:rsid w:val="002925F3"/>
    <w:rsid w:val="00297572"/>
    <w:rsid w:val="002C39DC"/>
    <w:rsid w:val="00320C0B"/>
    <w:rsid w:val="003439B0"/>
    <w:rsid w:val="00347E56"/>
    <w:rsid w:val="003876B5"/>
    <w:rsid w:val="00392924"/>
    <w:rsid w:val="003C15D7"/>
    <w:rsid w:val="003C2604"/>
    <w:rsid w:val="003E1619"/>
    <w:rsid w:val="00401F0F"/>
    <w:rsid w:val="00423299"/>
    <w:rsid w:val="00436C9A"/>
    <w:rsid w:val="0043778E"/>
    <w:rsid w:val="00460CC5"/>
    <w:rsid w:val="0046608C"/>
    <w:rsid w:val="004A0843"/>
    <w:rsid w:val="004B6EB8"/>
    <w:rsid w:val="004C30C7"/>
    <w:rsid w:val="004C3F5D"/>
    <w:rsid w:val="005350CC"/>
    <w:rsid w:val="00546FBE"/>
    <w:rsid w:val="00564B0D"/>
    <w:rsid w:val="00590C1E"/>
    <w:rsid w:val="005B52B3"/>
    <w:rsid w:val="005E1A79"/>
    <w:rsid w:val="00646E27"/>
    <w:rsid w:val="00674B53"/>
    <w:rsid w:val="006C4075"/>
    <w:rsid w:val="006D06D3"/>
    <w:rsid w:val="006F603A"/>
    <w:rsid w:val="00730CFC"/>
    <w:rsid w:val="0073571F"/>
    <w:rsid w:val="007C6A55"/>
    <w:rsid w:val="00815851"/>
    <w:rsid w:val="00826375"/>
    <w:rsid w:val="00862EFF"/>
    <w:rsid w:val="00867653"/>
    <w:rsid w:val="008850C4"/>
    <w:rsid w:val="00896B02"/>
    <w:rsid w:val="00897B45"/>
    <w:rsid w:val="008A371F"/>
    <w:rsid w:val="008E0097"/>
    <w:rsid w:val="008F2211"/>
    <w:rsid w:val="00911202"/>
    <w:rsid w:val="009326E3"/>
    <w:rsid w:val="00934DAC"/>
    <w:rsid w:val="00961F04"/>
    <w:rsid w:val="00964A13"/>
    <w:rsid w:val="009A16AD"/>
    <w:rsid w:val="009D67E1"/>
    <w:rsid w:val="009E138D"/>
    <w:rsid w:val="009F7FE7"/>
    <w:rsid w:val="00A14D3A"/>
    <w:rsid w:val="00A37423"/>
    <w:rsid w:val="00A42E13"/>
    <w:rsid w:val="00A53158"/>
    <w:rsid w:val="00A64D59"/>
    <w:rsid w:val="00A67235"/>
    <w:rsid w:val="00AC50AC"/>
    <w:rsid w:val="00AF5734"/>
    <w:rsid w:val="00B72BAC"/>
    <w:rsid w:val="00BC0F98"/>
    <w:rsid w:val="00BD556C"/>
    <w:rsid w:val="00BE7410"/>
    <w:rsid w:val="00C05B64"/>
    <w:rsid w:val="00C11C87"/>
    <w:rsid w:val="00C15B41"/>
    <w:rsid w:val="00C4683E"/>
    <w:rsid w:val="00C87758"/>
    <w:rsid w:val="00D11214"/>
    <w:rsid w:val="00D27CE5"/>
    <w:rsid w:val="00D34BD7"/>
    <w:rsid w:val="00D54F5F"/>
    <w:rsid w:val="00D71506"/>
    <w:rsid w:val="00D77321"/>
    <w:rsid w:val="00D806A2"/>
    <w:rsid w:val="00DD05A8"/>
    <w:rsid w:val="00DD6B86"/>
    <w:rsid w:val="00DE7965"/>
    <w:rsid w:val="00E24886"/>
    <w:rsid w:val="00E55BBF"/>
    <w:rsid w:val="00E70261"/>
    <w:rsid w:val="00EC0F0F"/>
    <w:rsid w:val="00ED49E0"/>
    <w:rsid w:val="00ED6BB4"/>
    <w:rsid w:val="00F001F1"/>
    <w:rsid w:val="00F01EB5"/>
    <w:rsid w:val="00F61314"/>
    <w:rsid w:val="00FC0B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121D76"/>
    <w:pPr>
      <w:overflowPunct w:val="0"/>
      <w:autoSpaceDE w:val="0"/>
      <w:autoSpaceDN w:val="0"/>
      <w:adjustRightInd w:val="0"/>
      <w:ind w:left="720"/>
      <w:contextualSpacing/>
      <w:textAlignment w:val="baseline"/>
    </w:pPr>
    <w:rPr>
      <w:szCs w:val="20"/>
    </w:rPr>
  </w:style>
  <w:style w:type="table" w:styleId="TableGrid">
    <w:name w:val="Table Grid"/>
    <w:basedOn w:val="TableNormal"/>
    <w:rsid w:val="00BC0F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D67E1"/>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32C5"/>
    <w:pPr>
      <w:jc w:val="both"/>
    </w:pPr>
    <w:rPr>
      <w:sz w:val="22"/>
      <w:szCs w:val="22"/>
      <w:lang w:val="en-US"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965"/>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A6WAAD5KZT2Q-1415362569-8058</_dlc_DocId>
    <_dlc_DocIdUrl xmlns="1a33af13-4045-4f88-9d7b-618e30f79918">
      <Url>http://dm/eesc/2025/_layouts/15/DocIdRedir.aspx?ID=A6WAAD5KZT2Q-1415362569-8058</Url>
      <Description>A6WAAD5KZT2Q-1415362569-8058</Description>
    </_dlc_DocIdUrl>
    <Procedure xmlns="1a33af13-4045-4f88-9d7b-618e30f79918">2025/0420(COD)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2026-04-30T12:00:00+00:00</ProductionDate>
    <FicheYear xmlns="1a33af13-4045-4f88-9d7b-618e30f79918">2025</FicheYear>
    <DocumentNumber xmlns="03db1768-8e83-4c4e-a8fb-1eb1d05ab6cf">4308</DocumentNumber>
    <DossierNumber xmlns="1a33af13-4045-4f88-9d7b-618e30f79918">1115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BORSANI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4677</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7221E162-B838-4DFE-A5C8-A4FB1A80D809}"/>
</file>

<file path=customXml/itemProps2.xml><?xml version="1.0" encoding="utf-8"?>
<ds:datastoreItem xmlns:ds="http://schemas.openxmlformats.org/officeDocument/2006/customXml" ds:itemID="{E2DBC6BC-0D2B-4F32-8C58-1BB4C912BD5A}"/>
</file>

<file path=customXml/itemProps3.xml><?xml version="1.0" encoding="utf-8"?>
<ds:datastoreItem xmlns:ds="http://schemas.openxmlformats.org/officeDocument/2006/customXml" ds:itemID="{DA8764E4-D770-4F3A-A030-5020D626274A}"/>
</file>

<file path=customXml/itemProps4.xml><?xml version="1.0" encoding="utf-8"?>
<ds:datastoreItem xmlns:ds="http://schemas.openxmlformats.org/officeDocument/2006/customXml" ds:itemID="{B63B1B2E-4922-4224-BE22-7EF9902F9F7B}"/>
</file>

<file path=docProps/app.xml><?xml version="1.0" encoding="utf-8"?>
<Properties xmlns="http://schemas.openxmlformats.org/officeDocument/2006/extended-properties" xmlns:vt="http://schemas.openxmlformats.org/officeDocument/2006/docPropsVTypes">
  <Template>Normal</Template>
  <TotalTime>0</TotalTime>
  <Pages>2</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CR - EESC revised template</vt:lpstr>
    </vt:vector>
  </TitlesOfParts>
  <Company>CESE-CdR</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CO2 standards for cars and vans/Revision</dc:title>
  <dc:subject>Record of proceedings</dc:subject>
  <dc:creator>Hilary Morris</dc:creator>
  <cp:keywords>EESC-2025-04308-00-00-CR-TRA-EN</cp:keywords>
  <dc:description>Rapporteur: - BORSANI Original language: - EN Date of document: - 30/04/2026 Date of meeting: -  External documents: - COM(2025)995- final Administrator responsible: - Mme STAFFA Silvia</dc:description>
  <cp:lastModifiedBy>TDriveSVCUserProd</cp:lastModifiedBy>
  <cp:revision>24</cp:revision>
  <cp:lastPrinted>2004-02-16T15:16:00Z</cp:lastPrinted>
  <dcterms:created xsi:type="dcterms:W3CDTF">2026-04-27T12:22:00Z</dcterms:created>
  <dcterms:modified xsi:type="dcterms:W3CDTF">2026-04-30T12:07:00Z</dcterms:modified>
  <cp:category>INT/1115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66802a59-11e1-4f1f-80d2-eec3ba40a40b</vt:lpwstr>
  </property>
  <property fmtid="{D5CDD505-2E9C-101B-9397-08002B2CF9AE}" pid="9" name="Procedure">
    <vt:lpwstr>2025/0420(COD)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INT|e1edfecb-ed43-427b-bb02-d45fe6645386</vt:lpwstr>
  </property>
  <property fmtid="{D5CDD505-2E9C-101B-9397-08002B2CF9AE}" pid="13" name="DocumentSource_0">
    <vt:lpwstr>EESC|422833ec-8d7e-4e65-8e4e-8bed07ffb729</vt:lpwstr>
  </property>
  <property fmtid="{D5CDD505-2E9C-101B-9397-08002B2CF9AE}" pid="14" name="DocumentNumber">
    <vt:i4>4308</vt:i4>
  </property>
  <property fmtid="{D5CDD505-2E9C-101B-9397-08002B2CF9AE}" pid="15" name="FicheYear">
    <vt:i4>2025</vt:i4>
  </property>
  <property fmtid="{D5CDD505-2E9C-101B-9397-08002B2CF9AE}" pid="16" name="DocumentVersion">
    <vt:i4>0</vt:i4>
  </property>
  <property fmtid="{D5CDD505-2E9C-101B-9397-08002B2CF9AE}" pid="17" name="DossierNumber">
    <vt:i4>1115</vt:i4>
  </property>
  <property fmtid="{D5CDD505-2E9C-101B-9397-08002B2CF9AE}" pid="18" name="DocumentStatus">
    <vt:lpwstr>3;#REF|722611fd-7eaf-44e3-8780-a3226646f5f0</vt:lpwstr>
  </property>
  <property fmtid="{D5CDD505-2E9C-101B-9397-08002B2CF9AE}" pid="19" name="DossierName">
    <vt:lpwstr>51;#INT|e1edfecb-ed43-427b-bb02-d45fe6645386</vt:lpwstr>
  </property>
  <property fmtid="{D5CDD505-2E9C-101B-9397-08002B2CF9AE}" pid="20" name="RequestingService">
    <vt:lpwstr>Marché unique, production, consommation</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1" name="Rapporteur">
    <vt:lpwstr>BORSANI</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4677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2026-04-29T12:00:00Z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