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B6B" w:rsidP="00F01EB5" w:rsidRDefault="00F01EB5" w14:paraId="08C99350" w14:textId="77777777">
      <w:pPr>
        <w:jc w:val="center"/>
      </w:pPr>
      <w:bookmarkStart w:name="_GoBack" w:id="0"/>
      <w:bookmarkEnd w:id="0"/>
      <w:r>
        <w:rPr>
          <w:noProof/>
          <w:lang w:val="en-US"/>
        </w:rPr>
        <w:drawing>
          <wp:inline distT="0" distB="0" distL="0" distR="0" wp14:anchorId="7AA3D77F" wp14:editId="7A8F2DFA">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00165632">
        <w:rPr>
          <w:noProof/>
          <w:sz w:val="20"/>
          <w:lang w:val="en-US"/>
        </w:rPr>
        <mc:AlternateContent>
          <mc:Choice Requires="wps">
            <w:drawing>
              <wp:anchor distT="0" distB="0" distL="114300" distR="114300" simplePos="0" relativeHeight="251659264" behindDoc="1" locked="0" layoutInCell="0" allowOverlap="1" wp14:editId="79492399" wp14:anchorId="61E3BFFC">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1E3BFFC">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F01EB5" w:rsidR="00F01EB5" w:rsidP="00F01EB5" w:rsidRDefault="00F01EB5" w14:paraId="382519A3" w14:textId="77777777">
      <w:pPr>
        <w:jc w:val="left"/>
      </w:pPr>
    </w:p>
    <w:p w:rsidR="0015330A" w:rsidP="0015330A" w:rsidRDefault="00284B50" w14:paraId="02555730" w14:textId="01B38FFC">
      <w:pPr>
        <w:jc w:val="right"/>
        <w:rPr>
          <w:b/>
        </w:rPr>
      </w:pPr>
      <w:r>
        <w:rPr>
          <w:b/>
        </w:rPr>
        <w:t>ECO</w:t>
      </w:r>
      <w:r w:rsidRPr="0082636E" w:rsidR="0015330A">
        <w:rPr>
          <w:b/>
        </w:rPr>
        <w:t>/</w:t>
      </w:r>
      <w:r>
        <w:rPr>
          <w:b/>
        </w:rPr>
        <w:t>6</w:t>
      </w:r>
      <w:r w:rsidR="004F33BD">
        <w:rPr>
          <w:b/>
        </w:rPr>
        <w:t>96</w:t>
      </w:r>
    </w:p>
    <w:p w:rsidRPr="009122E7" w:rsidR="009122E7" w:rsidP="00B2153B" w:rsidRDefault="004F33BD" w14:paraId="60937E90" w14:textId="2E233819">
      <w:pPr>
        <w:jc w:val="right"/>
        <w:rPr>
          <w:b/>
          <w:bCs/>
        </w:rPr>
      </w:pPr>
      <w:r w:rsidRPr="004F33BD">
        <w:rPr>
          <w:b/>
          <w:bCs/>
        </w:rPr>
        <w:t>EU Policy agenda for liveable cities</w:t>
      </w:r>
    </w:p>
    <w:p w:rsidR="000E4B6B" w:rsidP="00EC0F0F" w:rsidRDefault="000E4B6B" w14:paraId="246146FA" w14:textId="77777777"/>
    <w:p w:rsidRPr="00A67235" w:rsidR="0015330A" w:rsidP="00EC0F0F" w:rsidRDefault="0015330A" w14:paraId="42ECB1B2" w14:textId="77777777"/>
    <w:p w:rsidRPr="00A67235" w:rsidR="000E4B6B" w:rsidP="00EC0F0F" w:rsidRDefault="000E4B6B" w14:paraId="0D69E171" w14:textId="411FD383">
      <w:pPr>
        <w:jc w:val="right"/>
      </w:pPr>
      <w:r w:rsidRPr="00A67235">
        <w:t xml:space="preserve">Brussels, </w:t>
      </w:r>
      <w:r w:rsidR="004F33BD">
        <w:t>29</w:t>
      </w:r>
      <w:r w:rsidR="00A70F44">
        <w:t xml:space="preserve"> </w:t>
      </w:r>
      <w:r w:rsidR="004F33BD">
        <w:t>April</w:t>
      </w:r>
      <w:r w:rsidR="00A70F44">
        <w:t xml:space="preserve"> 202</w:t>
      </w:r>
      <w:r w:rsidR="00B2153B">
        <w:t>6</w:t>
      </w:r>
    </w:p>
    <w:p w:rsidRPr="00A67235" w:rsidR="000E4B6B" w:rsidP="00EC0F0F" w:rsidRDefault="000E4B6B" w14:paraId="31FA757B" w14:textId="77777777"/>
    <w:p w:rsidRPr="00A67235" w:rsidR="000E4B6B" w:rsidP="00EC0F0F" w:rsidRDefault="000E4B6B" w14:paraId="7079C9D2" w14:textId="77777777"/>
    <w:p w:rsidRPr="00A67235" w:rsidR="000E4B6B" w:rsidP="00EC0F0F" w:rsidRDefault="000E4B6B" w14:paraId="0B406AD6" w14:textId="77777777"/>
    <w:p w:rsidRPr="00A67235" w:rsidR="000E4B6B" w:rsidP="00EC0F0F" w:rsidRDefault="000E4B6B" w14:paraId="414F5CCC" w14:textId="77777777"/>
    <w:p w:rsidRPr="004F33BD" w:rsidR="004F33BD" w:rsidP="004F33BD" w:rsidRDefault="00964A13" w14:paraId="43FBDB69" w14:textId="77777777">
      <w:pPr>
        <w:jc w:val="center"/>
        <w:rPr>
          <w:b/>
        </w:rPr>
      </w:pPr>
      <w:r w:rsidRPr="00A67235">
        <w:rPr>
          <w:b/>
          <w:sz w:val="32"/>
        </w:rPr>
        <w:t>RECORD OF THE PROCEEDINGS</w:t>
      </w:r>
      <w:r w:rsidR="009E138D">
        <w:rPr>
          <w:b/>
          <w:sz w:val="32"/>
        </w:rPr>
        <w:br/>
      </w:r>
      <w:r w:rsidR="003876B5">
        <w:br/>
      </w:r>
      <w:r w:rsidRPr="00A67235">
        <w:t>European Economic and Social Committee</w:t>
      </w:r>
      <w:r w:rsidR="009E138D">
        <w:br/>
      </w:r>
      <w:r w:rsidR="009E138D">
        <w:br/>
      </w:r>
      <w:r w:rsidRPr="004F33BD" w:rsidR="004F33BD">
        <w:rPr>
          <w:b/>
        </w:rPr>
        <w:t>Communication from the Commission to the European Parliament, the Council, the European Economic and Social Committee and the Committee of the Regions</w:t>
      </w:r>
    </w:p>
    <w:p w:rsidRPr="004F33BD" w:rsidR="004F33BD" w:rsidP="004F33BD" w:rsidRDefault="004F33BD" w14:paraId="301D1A32" w14:textId="77777777">
      <w:pPr>
        <w:jc w:val="center"/>
        <w:rPr>
          <w:b/>
        </w:rPr>
      </w:pPr>
      <w:r w:rsidRPr="004F33BD">
        <w:rPr>
          <w:b/>
        </w:rPr>
        <w:t>An EU Agenda for Cities: Driving Growth and Prosperity</w:t>
      </w:r>
    </w:p>
    <w:p w:rsidRPr="004F33BD" w:rsidR="00964A13" w:rsidP="004F33BD" w:rsidRDefault="004F33BD" w14:paraId="1CA7DBC6" w14:textId="32B94133">
      <w:pPr>
        <w:jc w:val="center"/>
        <w:rPr>
          <w:bCs/>
        </w:rPr>
      </w:pPr>
      <w:r w:rsidRPr="004F33BD">
        <w:rPr>
          <w:bCs/>
        </w:rPr>
        <w:t>[COM(2025) 739 final]</w:t>
      </w:r>
    </w:p>
    <w:p w:rsidRPr="00A67235" w:rsidR="00964A13" w:rsidP="00EC0F0F" w:rsidRDefault="00964A13" w14:paraId="6EA6F05A" w14:textId="77777777">
      <w:pPr>
        <w:jc w:val="center"/>
      </w:pPr>
      <w:r w:rsidRPr="00A67235">
        <w:t>_____________</w:t>
      </w:r>
    </w:p>
    <w:p w:rsidRPr="00A67235" w:rsidR="00964A13" w:rsidP="00EC0F0F" w:rsidRDefault="00964A13" w14:paraId="155F9A18" w14:textId="77777777">
      <w:pPr>
        <w:jc w:val="center"/>
      </w:pPr>
    </w:p>
    <w:p w:rsidRPr="00A67235" w:rsidR="00964A13" w:rsidP="00EC0F0F" w:rsidRDefault="00B2153B" w14:paraId="0FA745B1" w14:textId="1F8530A4">
      <w:pPr>
        <w:jc w:val="center"/>
        <w:rPr>
          <w:bCs/>
        </w:rPr>
      </w:pPr>
      <w:r>
        <w:t>60</w:t>
      </w:r>
      <w:r w:rsidR="004F33BD">
        <w:t>5th</w:t>
      </w:r>
      <w:r w:rsidR="00655B4A">
        <w:t xml:space="preserve"> </w:t>
      </w:r>
      <w:r w:rsidR="0015330A">
        <w:t>plenary session</w:t>
      </w:r>
      <w:r w:rsidR="009E138D">
        <w:br/>
      </w:r>
      <w:r w:rsidR="009E138D">
        <w:rPr>
          <w:bCs/>
        </w:rPr>
        <w:br/>
      </w:r>
      <w:r w:rsidRPr="00A67235" w:rsidR="00964A13">
        <w:rPr>
          <w:bCs/>
        </w:rPr>
        <w:t>Brussels</w:t>
      </w:r>
      <w:r w:rsidR="009E138D">
        <w:rPr>
          <w:bCs/>
        </w:rPr>
        <w:br/>
      </w:r>
      <w:r w:rsidRPr="0060093D">
        <w:rPr>
          <w:bCs/>
        </w:rPr>
        <w:t>2</w:t>
      </w:r>
      <w:r w:rsidR="004F33BD">
        <w:rPr>
          <w:bCs/>
        </w:rPr>
        <w:t>9</w:t>
      </w:r>
      <w:r w:rsidRPr="0060093D" w:rsidR="00C240C5">
        <w:rPr>
          <w:bCs/>
        </w:rPr>
        <w:t>-</w:t>
      </w:r>
      <w:r w:rsidR="004F33BD">
        <w:rPr>
          <w:bCs/>
        </w:rPr>
        <w:t>30</w:t>
      </w:r>
      <w:r w:rsidR="00A70F44">
        <w:rPr>
          <w:bCs/>
        </w:rPr>
        <w:t xml:space="preserve"> </w:t>
      </w:r>
      <w:r w:rsidR="004F33BD">
        <w:rPr>
          <w:bCs/>
        </w:rPr>
        <w:t>April</w:t>
      </w:r>
      <w:r w:rsidR="00DB76EB">
        <w:rPr>
          <w:bCs/>
        </w:rPr>
        <w:t xml:space="preserve"> 202</w:t>
      </w:r>
      <w:r>
        <w:rPr>
          <w:bCs/>
        </w:rPr>
        <w:t>6</w:t>
      </w:r>
    </w:p>
    <w:p w:rsidRPr="00A67235" w:rsidR="00964A13" w:rsidP="00EC0F0F" w:rsidRDefault="00964A13" w14:paraId="1F2948E8" w14:textId="77777777">
      <w:pPr>
        <w:jc w:val="center"/>
      </w:pPr>
      <w:r w:rsidRPr="00A67235">
        <w:t>_____________</w:t>
      </w:r>
    </w:p>
    <w:p w:rsidRPr="00A67235" w:rsidR="00964A13" w:rsidP="00EC0F0F" w:rsidRDefault="00964A13" w14:paraId="0DDEA934" w14:textId="77777777">
      <w:pPr>
        <w:jc w:val="center"/>
      </w:pPr>
    </w:p>
    <w:p w:rsidRPr="00A67235" w:rsidR="00964A13" w:rsidP="00EC0F0F" w:rsidRDefault="00964A13" w14:paraId="320DD6DB" w14:textId="59516030">
      <w:pPr>
        <w:jc w:val="center"/>
      </w:pPr>
      <w:r w:rsidRPr="00A70F44">
        <w:t xml:space="preserve">Meeting of </w:t>
      </w:r>
      <w:r w:rsidR="0060093D">
        <w:t>2</w:t>
      </w:r>
      <w:r w:rsidR="004F33BD">
        <w:t>9</w:t>
      </w:r>
      <w:r w:rsidRPr="00A70F44" w:rsidR="00657235">
        <w:t xml:space="preserve"> </w:t>
      </w:r>
      <w:r w:rsidR="004F33BD">
        <w:t>April</w:t>
      </w:r>
      <w:r w:rsidRPr="00A70F44" w:rsidR="009E138D">
        <w:br/>
      </w:r>
      <w:r w:rsidRPr="00A70F44">
        <w:rPr>
          <w:bCs/>
        </w:rPr>
        <w:t>_____________</w:t>
      </w:r>
    </w:p>
    <w:p w:rsidRPr="00A67235" w:rsidR="00964A13" w:rsidP="00EC0F0F" w:rsidRDefault="00964A13" w14:paraId="57F8546B" w14:textId="77777777">
      <w:pPr>
        <w:jc w:val="center"/>
      </w:pPr>
    </w:p>
    <w:p w:rsidRPr="00A67235" w:rsidR="00964A13" w:rsidP="00EC0F0F" w:rsidRDefault="00964A13" w14:paraId="6CCB63EF" w14:textId="12AFDA0C">
      <w:pPr>
        <w:pStyle w:val="Footer"/>
        <w:jc w:val="center"/>
      </w:pPr>
      <w:r w:rsidRPr="00A67235">
        <w:t>Agenda item</w:t>
      </w:r>
      <w:r w:rsidR="00177DAC">
        <w:t xml:space="preserve"> </w:t>
      </w:r>
      <w:r w:rsidRPr="00D95D9E" w:rsidR="0060093D">
        <w:t>1</w:t>
      </w:r>
      <w:r w:rsidR="00D95D9E">
        <w:t>4</w:t>
      </w:r>
    </w:p>
    <w:p w:rsidRPr="00A67235" w:rsidR="00964A13" w:rsidP="00EC0F0F" w:rsidRDefault="00964A13" w14:paraId="51C5CA93" w14:textId="77777777">
      <w:pPr>
        <w:pStyle w:val="Footer"/>
        <w:jc w:val="center"/>
      </w:pPr>
      <w:r w:rsidRPr="00A67235">
        <w:t>_____________</w:t>
      </w:r>
    </w:p>
    <w:p w:rsidRPr="00A67235" w:rsidR="000E4B6B" w:rsidP="00EC0F0F" w:rsidRDefault="000E4B6B" w14:paraId="2BF941E5" w14:textId="77777777"/>
    <w:p w:rsidR="000E4B6B" w:rsidP="00EC0F0F" w:rsidRDefault="00964A13" w14:paraId="1461B587" w14:textId="31A0DB14">
      <w:r w:rsidRPr="00A67235">
        <w:rPr>
          <w:b/>
          <w:bCs/>
        </w:rPr>
        <w:br w:type="page"/>
      </w:r>
      <w:r w:rsidRPr="0060093D" w:rsidR="000E4B6B">
        <w:rPr>
          <w:b/>
          <w:bCs/>
        </w:rPr>
        <w:lastRenderedPageBreak/>
        <w:t>The president</w:t>
      </w:r>
      <w:r w:rsidRPr="00A67235" w:rsidR="000E4B6B">
        <w:rPr>
          <w:b/>
          <w:bCs/>
        </w:rPr>
        <w:t xml:space="preserve"> </w:t>
      </w:r>
      <w:r w:rsidRPr="00A67235" w:rsidR="000E4B6B">
        <w:t xml:space="preserve">moved that the Committee turn to agenda item </w:t>
      </w:r>
      <w:r w:rsidRPr="00D95D9E" w:rsidR="0060093D">
        <w:t>1</w:t>
      </w:r>
      <w:r w:rsidR="00D95D9E">
        <w:t>4</w:t>
      </w:r>
      <w:r w:rsidRPr="00A67235" w:rsidR="000E4B6B">
        <w:t xml:space="preserve"> - adoption of an </w:t>
      </w:r>
      <w:r w:rsidRPr="00CE366C" w:rsidR="00CE366C">
        <w:t xml:space="preserve">opinion </w:t>
      </w:r>
      <w:r w:rsidRPr="00A67235" w:rsidR="000E4B6B">
        <w:t xml:space="preserve">on </w:t>
      </w:r>
      <w:r w:rsidR="004459F8">
        <w:t xml:space="preserve">the </w:t>
      </w:r>
    </w:p>
    <w:p w:rsidR="002B0DA2" w:rsidP="004459F8" w:rsidRDefault="002B0DA2" w14:paraId="1BDAC295" w14:textId="77777777">
      <w:pPr>
        <w:ind w:left="426" w:hanging="426"/>
      </w:pPr>
    </w:p>
    <w:p w:rsidRPr="004F33BD" w:rsidR="004F33BD" w:rsidP="004F33BD" w:rsidRDefault="004F33BD" w14:paraId="6653C5F2" w14:textId="77777777">
      <w:pPr>
        <w:ind w:left="1418"/>
        <w:jc w:val="left"/>
        <w:rPr>
          <w:i/>
          <w:iCs/>
        </w:rPr>
      </w:pPr>
      <w:r w:rsidRPr="004F33BD">
        <w:rPr>
          <w:i/>
          <w:iCs/>
        </w:rPr>
        <w:t>Communication from the Commission to the European Parliament, the Council, the European Economic and Social Committee and the Committee of the Regions</w:t>
      </w:r>
    </w:p>
    <w:p w:rsidRPr="004F33BD" w:rsidR="004F33BD" w:rsidP="004F33BD" w:rsidRDefault="004F33BD" w14:paraId="36DDC9CE" w14:textId="77777777">
      <w:pPr>
        <w:ind w:left="1418"/>
        <w:jc w:val="left"/>
        <w:rPr>
          <w:i/>
          <w:iCs/>
        </w:rPr>
      </w:pPr>
      <w:r w:rsidRPr="004F33BD">
        <w:rPr>
          <w:i/>
          <w:iCs/>
        </w:rPr>
        <w:t>An EU Agenda for Cities: Driving Growth and Prosperity</w:t>
      </w:r>
    </w:p>
    <w:p w:rsidRPr="004F33BD" w:rsidR="000E4B6B" w:rsidP="004F33BD" w:rsidRDefault="004F33BD" w14:paraId="7B740915" w14:textId="1F38C22D">
      <w:pPr>
        <w:ind w:left="1418"/>
        <w:jc w:val="left"/>
      </w:pPr>
      <w:r w:rsidRPr="004F33BD">
        <w:t>COM(2025) 739 final</w:t>
      </w:r>
    </w:p>
    <w:p w:rsidRPr="00AD7FA9" w:rsidR="00AD7FA9" w:rsidP="00AD7FA9" w:rsidRDefault="00AD7FA9" w14:paraId="0423B3CB" w14:textId="77777777">
      <w:pPr>
        <w:ind w:left="1418"/>
        <w:jc w:val="left"/>
        <w:rPr>
          <w:i/>
          <w:iCs/>
        </w:rPr>
      </w:pPr>
    </w:p>
    <w:p w:rsidRPr="00A67235" w:rsidR="000E4B6B" w:rsidP="00EC0F0F" w:rsidRDefault="000E4B6B" w14:paraId="2D8D7685" w14:textId="55F2A7CC">
      <w:r w:rsidRPr="00A67235">
        <w:t>The preliminary work had been carried out by the Section for</w:t>
      </w:r>
      <w:r w:rsidR="00C36D1E">
        <w:t xml:space="preserve"> </w:t>
      </w:r>
      <w:r w:rsidRPr="00C36D1E" w:rsidR="00C36D1E">
        <w:t xml:space="preserve">Economic and Monetary Union and Economic and Social Cohesion (president: </w:t>
      </w:r>
      <w:r w:rsidR="00B2153B">
        <w:rPr>
          <w:b/>
          <w:bCs/>
        </w:rPr>
        <w:t>Elena Calistru</w:t>
      </w:r>
      <w:r w:rsidRPr="00C36D1E" w:rsidR="00C36D1E">
        <w:t xml:space="preserve">). </w:t>
      </w:r>
      <w:r w:rsidRPr="00A67235">
        <w:t>The rapporteur was</w:t>
      </w:r>
      <w:r w:rsidRPr="00A67235">
        <w:rPr>
          <w:b/>
          <w:bCs/>
        </w:rPr>
        <w:t xml:space="preserve"> </w:t>
      </w:r>
      <w:r w:rsidR="00B2153B">
        <w:rPr>
          <w:b/>
          <w:bCs/>
        </w:rPr>
        <w:t>Florian Marin</w:t>
      </w:r>
      <w:r w:rsidR="00CE366C">
        <w:rPr>
          <w:b/>
          <w:bCs/>
        </w:rPr>
        <w:t xml:space="preserve"> </w:t>
      </w:r>
      <w:r w:rsidRPr="00CE366C" w:rsidR="00CE366C">
        <w:t>and the co-rapporteur was</w:t>
      </w:r>
      <w:r w:rsidR="00CE366C">
        <w:rPr>
          <w:b/>
          <w:bCs/>
        </w:rPr>
        <w:t xml:space="preserve"> </w:t>
      </w:r>
      <w:r w:rsidRPr="004F33BD" w:rsidR="004F33BD">
        <w:rPr>
          <w:b/>
          <w:bCs/>
        </w:rPr>
        <w:t>Roman H</w:t>
      </w:r>
      <w:r w:rsidR="004F33BD">
        <w:rPr>
          <w:b/>
          <w:bCs/>
        </w:rPr>
        <w:t>aken</w:t>
      </w:r>
      <w:r w:rsidR="00C36D1E">
        <w:rPr>
          <w:b/>
          <w:bCs/>
        </w:rPr>
        <w:t>.</w:t>
      </w:r>
    </w:p>
    <w:p w:rsidR="000E4B6B" w:rsidP="00EC0F0F" w:rsidRDefault="000E4B6B" w14:paraId="2708AAF4" w14:textId="72039D75"/>
    <w:p w:rsidR="004F33BD" w:rsidP="00410EA4" w:rsidRDefault="00410EA4" w14:paraId="6D78626B" w14:textId="4EDBEADF">
      <w:r>
        <w:t>The rapporteur expressed its view tha</w:t>
      </w:r>
      <w:r w:rsidR="00BA69AE">
        <w:t>t</w:t>
      </w:r>
      <w:r w:rsidR="00F63B4A">
        <w:t xml:space="preserve"> cities are important and citizens too. In this context it is important that civil society is included in the implementation of urban policies. Without civil society the cities are divided and the democracy is not working. </w:t>
      </w:r>
    </w:p>
    <w:p w:rsidR="00410EA4" w:rsidP="00410EA4" w:rsidRDefault="009C01D3" w14:paraId="42727319" w14:textId="4361B197">
      <w:r>
        <w:t>The co-rapporteur</w:t>
      </w:r>
      <w:r w:rsidR="00BA00CF">
        <w:t xml:space="preserve"> mentioned tha</w:t>
      </w:r>
      <w:r w:rsidR="00F63B4A">
        <w:t>t dialogue is necessary and that partnership principle should be further implemented. He also stressed that the CLLD is a financial instrument which promotes the involvement and engagement of civil society and has proven to be very effective.</w:t>
      </w:r>
    </w:p>
    <w:p w:rsidRPr="005632D3" w:rsidR="007551A0" w:rsidP="005632D3" w:rsidRDefault="00410EA4" w14:paraId="3141BDAA" w14:textId="3F8F9275">
      <w:r>
        <w:t xml:space="preserve">The following members took the floor in the debate: </w:t>
      </w:r>
      <w:r w:rsidRPr="005632D3" w:rsidR="00F63B4A">
        <w:rPr>
          <w:b/>
          <w:bCs/>
        </w:rPr>
        <w:t>Elena Calistru, Peter Urbyani, Lidija Pavić-Rogošić,</w:t>
      </w:r>
      <w:r w:rsidRPr="005632D3" w:rsidR="007551A0">
        <w:rPr>
          <w:b/>
          <w:bCs/>
        </w:rPr>
        <w:t xml:space="preserve"> Corina Murafa Benga and Dovilė Juodkaitė</w:t>
      </w:r>
      <w:r w:rsidRPr="005632D3" w:rsidR="007551A0">
        <w:t>.</w:t>
      </w:r>
    </w:p>
    <w:p w:rsidR="005E0AC9" w:rsidP="00410EA4" w:rsidRDefault="00410EA4" w14:paraId="27A65DDC" w14:textId="25EF019D">
      <w:r>
        <w:t>They welcomed the opinion and congratulated the rapporteur</w:t>
      </w:r>
      <w:r w:rsidR="00BA00CF">
        <w:t>s</w:t>
      </w:r>
      <w:r>
        <w:t xml:space="preserve"> for </w:t>
      </w:r>
      <w:r w:rsidR="00BA00CF">
        <w:t>their excellent work and added tha</w:t>
      </w:r>
      <w:r w:rsidR="00BA69AE">
        <w:t>t</w:t>
      </w:r>
      <w:r w:rsidR="007551A0">
        <w:t xml:space="preserve"> civil society is important and that more actions are needed to involve them further. </w:t>
      </w:r>
      <w:r w:rsidR="00A45E48">
        <w:t>Furthermore,</w:t>
      </w:r>
      <w:r w:rsidR="00381168">
        <w:t xml:space="preserve"> they </w:t>
      </w:r>
      <w:r w:rsidR="007551A0">
        <w:t>stressed that cities are important economic factors and that a vast percentage of the EU GDP is produced in the cities. They also said that the social inclusion is necessary especially for the vulnerable groups.</w:t>
      </w:r>
    </w:p>
    <w:p w:rsidRPr="00A67235" w:rsidR="00410EA4" w:rsidP="00410EA4" w:rsidRDefault="00410EA4" w14:paraId="04EBB328" w14:textId="77777777"/>
    <w:p w:rsidR="00255A3F" w:rsidP="00255A3F" w:rsidRDefault="00255A3F" w14:paraId="5F7DD33C" w14:textId="7BF13E25">
      <w:r>
        <w:t>The Assembly then examined following amendment</w:t>
      </w:r>
      <w:r w:rsidR="00A11A21">
        <w:t>s</w:t>
      </w:r>
      <w:r>
        <w:t xml:space="preserve"> to the opinion:</w:t>
      </w:r>
    </w:p>
    <w:p w:rsidR="00EE54C7" w:rsidP="00255A3F" w:rsidRDefault="00EE54C7" w14:paraId="3E8A4A6A" w14:textId="77777777"/>
    <w:p w:rsidR="00EE54C7" w:rsidP="004F33BD" w:rsidRDefault="00EE54C7" w14:paraId="2EA12B75" w14:textId="189EE213">
      <w:r w:rsidRPr="00573097">
        <w:rPr>
          <w:b/>
          <w:bCs/>
        </w:rPr>
        <w:t xml:space="preserve">Point </w:t>
      </w:r>
      <w:r w:rsidR="004F33BD">
        <w:rPr>
          <w:b/>
          <w:bCs/>
        </w:rPr>
        <w:t>2.9</w:t>
      </w:r>
      <w:r w:rsidRPr="00573097">
        <w:rPr>
          <w:b/>
          <w:bCs/>
        </w:rPr>
        <w:t xml:space="preserve"> - Amendment 1</w:t>
      </w:r>
      <w:r>
        <w:t xml:space="preserve"> - tabled by </w:t>
      </w:r>
      <w:r w:rsidR="004F33BD">
        <w:t>Mira-Maria</w:t>
      </w:r>
      <w:r w:rsidRPr="004F33BD" w:rsidR="004F33BD">
        <w:t xml:space="preserve"> DANISMAN</w:t>
      </w:r>
      <w:r w:rsidR="004F33BD">
        <w:t xml:space="preserve">, Roman </w:t>
      </w:r>
      <w:r w:rsidRPr="004F33BD" w:rsidR="004F33BD">
        <w:t xml:space="preserve">HAKEN </w:t>
      </w:r>
      <w:r w:rsidR="004F33BD">
        <w:t>and Florian</w:t>
      </w:r>
      <w:r w:rsidRPr="004F33BD" w:rsidR="004F33BD">
        <w:t xml:space="preserve"> MARIN</w:t>
      </w:r>
    </w:p>
    <w:p w:rsidR="00EE54C7" w:rsidP="00255A3F" w:rsidRDefault="00EE54C7" w14:paraId="79646F6C" w14:textId="5682A52C"/>
    <w:p w:rsidR="00EE54C7" w:rsidP="00255A3F" w:rsidRDefault="00EE54C7" w14:paraId="6D076C30" w14:textId="388727A0">
      <w:r>
        <w:t>Amend as follows</w:t>
      </w:r>
      <w:r w:rsidR="006039C7">
        <w:t>:</w:t>
      </w:r>
    </w:p>
    <w:p w:rsidRPr="00CC3E5D" w:rsidR="004F33BD" w:rsidP="004F33BD" w:rsidRDefault="004F33BD" w14:paraId="0BD89FEA"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CC3E5D" w:rsidR="004F33BD" w:rsidTr="00FE0BDD" w14:paraId="4C038034" w14:textId="77777777">
        <w:tc>
          <w:tcPr>
            <w:tcW w:w="2500" w:type="pct"/>
            <w:tcBorders>
              <w:top w:val="single" w:color="auto" w:sz="4" w:space="0"/>
              <w:left w:val="single" w:color="auto" w:sz="4" w:space="0"/>
              <w:bottom w:val="single" w:color="auto" w:sz="4" w:space="0"/>
              <w:right w:val="single" w:color="auto" w:sz="4" w:space="0"/>
            </w:tcBorders>
            <w:hideMark/>
          </w:tcPr>
          <w:p w:rsidRPr="00CC3E5D" w:rsidR="004F33BD" w:rsidP="00FE0BDD" w:rsidRDefault="004F33BD" w14:paraId="107B8AEF" w14:textId="77777777">
            <w:pPr>
              <w:jc w:val="center"/>
              <w:rPr>
                <w:b/>
                <w:bCs/>
                <w:i/>
              </w:rPr>
            </w:pPr>
            <w:r w:rsidRPr="00CC3E5D">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CC3E5D" w:rsidR="004F33BD" w:rsidP="00FE0BDD" w:rsidRDefault="004F33BD" w14:paraId="6E8DABC4" w14:textId="77777777">
            <w:pPr>
              <w:jc w:val="center"/>
              <w:rPr>
                <w:b/>
                <w:bCs/>
                <w:i/>
              </w:rPr>
            </w:pPr>
            <w:r w:rsidRPr="00CC3E5D">
              <w:rPr>
                <w:b/>
                <w:bCs/>
                <w:i/>
              </w:rPr>
              <w:t>Amendment</w:t>
            </w:r>
          </w:p>
        </w:tc>
      </w:tr>
      <w:tr w:rsidRPr="00CC3E5D" w:rsidR="004F33BD" w:rsidTr="00FE0BDD" w14:paraId="70537868" w14:textId="77777777">
        <w:tc>
          <w:tcPr>
            <w:tcW w:w="2500" w:type="pct"/>
            <w:tcBorders>
              <w:top w:val="single" w:color="auto" w:sz="4" w:space="0"/>
              <w:left w:val="single" w:color="auto" w:sz="4" w:space="0"/>
              <w:bottom w:val="single" w:color="auto" w:sz="4" w:space="0"/>
              <w:right w:val="single" w:color="auto" w:sz="4" w:space="0"/>
            </w:tcBorders>
            <w:hideMark/>
          </w:tcPr>
          <w:p w:rsidRPr="00CC3E5D" w:rsidR="004F33BD" w:rsidP="00FE0BDD" w:rsidRDefault="004F33BD" w14:paraId="3D5A2A6D" w14:textId="77777777">
            <w:pPr>
              <w:spacing w:before="80" w:after="40"/>
              <w:ind w:left="80" w:right="80"/>
            </w:pPr>
            <w:r w:rsidRPr="00CC3E5D">
              <w:t>The EESC welcomes the references on allocating dedicated budgets for cities. However, it emphasises that this remains insufficient and that greater predictability is required, drawing lessons from previous experiences with the Recovery and Resilience Facility (RRF). Cities should have a better overview of available resources in the long term to be able to plan investments. Lessons need to be learned from previous experiences with the RRF, where cities and regions have often not been given sufficient information or timely opportunities to participate. Housing challenges in cities should be addressed together with issues of access to banking services, financial inclusivity and efforts to promote stable and high</w:t>
            </w:r>
            <w:r w:rsidRPr="00CC3E5D">
              <w:noBreakHyphen/>
              <w:t xml:space="preserve">quality employment, while additional measures are needed to enhance urban development financing through national and regional budgets as well as capital markets. When it comes to availability of housing, the EESC and other stakeholders acknowledge the specific challenges facing young people[1]; consequently, targeted </w:t>
            </w:r>
            <w:r w:rsidRPr="00CC3E5D">
              <w:rPr>
                <w:b/>
                <w:bCs/>
                <w:i/>
              </w:rPr>
              <w:t>regulatory and fiscal</w:t>
            </w:r>
            <w:r w:rsidRPr="00CC3E5D">
              <w:t xml:space="preserve"> measures are needed to address excessive gentrification, the proliferation of short-term rentals, and the </w:t>
            </w:r>
            <w:r w:rsidRPr="00CC3E5D">
              <w:rPr>
                <w:b/>
                <w:bCs/>
                <w:i/>
              </w:rPr>
              <w:t>structural</w:t>
            </w:r>
            <w:r w:rsidRPr="00CC3E5D">
              <w:t xml:space="preserve"> pressures of over-tourism, including </w:t>
            </w:r>
            <w:r w:rsidRPr="00CC3E5D">
              <w:rPr>
                <w:b/>
                <w:bCs/>
                <w:i/>
              </w:rPr>
              <w:t xml:space="preserve">limits on short-term rental platforms, stronger local governance powers, and the protection </w:t>
            </w:r>
            <w:r w:rsidRPr="00CC3E5D">
              <w:rPr>
                <w:iCs/>
              </w:rPr>
              <w:t>of housing as a social good</w:t>
            </w:r>
            <w:r w:rsidRPr="00CC3E5D">
              <w:rPr>
                <w:b/>
                <w:bCs/>
                <w:i/>
              </w:rPr>
              <w:t xml:space="preserve"> rather than an asset class</w:t>
            </w:r>
            <w:r w:rsidRPr="00CC3E5D">
              <w:t>. The relation between transport, housing and spatial planning is important for taking an urban integrated approach.</w:t>
            </w:r>
          </w:p>
          <w:p w:rsidRPr="00CC3E5D" w:rsidR="004F33BD" w:rsidP="00FE0BDD" w:rsidRDefault="004F33BD" w14:paraId="471A61C7" w14:textId="77777777">
            <w:pPr>
              <w:spacing w:before="40" w:after="80"/>
              <w:ind w:left="80" w:right="80"/>
            </w:pPr>
            <w:r w:rsidRPr="00CC3E5D">
              <w:t>[1] More than a roof – The European Youth Forum’s position on housing, European Youth Forum (EYF), 2025.</w:t>
            </w:r>
          </w:p>
        </w:tc>
        <w:tc>
          <w:tcPr>
            <w:tcW w:w="2500" w:type="pct"/>
            <w:tcBorders>
              <w:top w:val="single" w:color="auto" w:sz="4" w:space="0"/>
              <w:left w:val="single" w:color="auto" w:sz="4" w:space="0"/>
              <w:bottom w:val="single" w:color="auto" w:sz="4" w:space="0"/>
              <w:right w:val="single" w:color="auto" w:sz="4" w:space="0"/>
            </w:tcBorders>
            <w:hideMark/>
          </w:tcPr>
          <w:p w:rsidRPr="00CC3E5D" w:rsidR="004F33BD" w:rsidP="00FE0BDD" w:rsidRDefault="004F33BD" w14:paraId="5A25E263" w14:textId="77777777">
            <w:pPr>
              <w:spacing w:before="80" w:after="40"/>
              <w:ind w:left="80" w:right="80"/>
            </w:pPr>
            <w:r w:rsidRPr="00CC3E5D">
              <w:t>The EESC welcomes the references on allocating dedicated budgets for cities. However, it emphasises that this remains insufficient and that greater predictability is required, drawing lessons from previous experiences with the Recovery and Resilience Facility (RRF). Cities should have a better overview of available resources in the long term to be able to plan investments. Lessons need to be learned from previous experiences with the RRF, where cities and regions have often not been given sufficient information or timely opportunities to participate. Housing challenges in cities should be addressed together with issues of access to banking services, financial inclusivity and efforts to promote stable and high</w:t>
            </w:r>
            <w:r w:rsidRPr="00CC3E5D">
              <w:noBreakHyphen/>
              <w:t xml:space="preserve">quality employment, while additional measures are needed to enhance urban development financing through national and regional budgets as well as capital markets. When it comes to availability of housing, the EESC and other stakeholders acknowledge the specific challenges facing young people[1]; consequently, targeted measures are needed to address excessive gentrification, the proliferation of short-term rentals, and the pressures of over-tourism, including </w:t>
            </w:r>
            <w:r w:rsidRPr="00CC3E5D">
              <w:rPr>
                <w:b/>
                <w:bCs/>
                <w:i/>
              </w:rPr>
              <w:t>measures to increase</w:t>
            </w:r>
            <w:r w:rsidRPr="00CC3E5D">
              <w:t xml:space="preserve"> </w:t>
            </w:r>
            <w:r w:rsidRPr="00CC3E5D">
              <w:rPr>
                <w:b/>
                <w:bCs/>
                <w:i/>
                <w:iCs/>
              </w:rPr>
              <w:t>housing</w:t>
            </w:r>
            <w:r w:rsidRPr="00CC3E5D">
              <w:t xml:space="preserve"> </w:t>
            </w:r>
            <w:r w:rsidRPr="00CC3E5D">
              <w:rPr>
                <w:b/>
                <w:bCs/>
                <w:i/>
              </w:rPr>
              <w:t xml:space="preserve">affordability and accessibility for vulnerable groups, while also exploring the concept </w:t>
            </w:r>
            <w:r w:rsidRPr="00CC3E5D">
              <w:rPr>
                <w:iCs/>
              </w:rPr>
              <w:t xml:space="preserve">of housing as a </w:t>
            </w:r>
            <w:r w:rsidRPr="00CC3E5D">
              <w:rPr>
                <w:b/>
                <w:bCs/>
                <w:i/>
              </w:rPr>
              <w:t>“</w:t>
            </w:r>
            <w:r w:rsidRPr="00CC3E5D">
              <w:rPr>
                <w:iCs/>
              </w:rPr>
              <w:t>social good</w:t>
            </w:r>
            <w:r w:rsidRPr="00CC3E5D">
              <w:rPr>
                <w:b/>
                <w:bCs/>
                <w:i/>
              </w:rPr>
              <w:t>”</w:t>
            </w:r>
            <w:r w:rsidRPr="00CC3E5D">
              <w:t>. The relation between transport, housing and spatial planning is important for taking an urban integrated approach.</w:t>
            </w:r>
          </w:p>
          <w:p w:rsidRPr="00CC3E5D" w:rsidR="004F33BD" w:rsidP="00FE0BDD" w:rsidRDefault="004F33BD" w14:paraId="7A6ADAA9" w14:textId="77777777">
            <w:pPr>
              <w:spacing w:before="40" w:after="80"/>
              <w:ind w:left="80" w:right="80"/>
            </w:pPr>
            <w:r w:rsidRPr="00CC3E5D">
              <w:t>[1] More than a roof – The European Youth Forum’s position on housing, European Youth Forum (EYF), 2025.</w:t>
            </w:r>
          </w:p>
        </w:tc>
      </w:tr>
    </w:tbl>
    <w:p w:rsidR="00EE54C7" w:rsidP="00255A3F" w:rsidRDefault="00EE54C7" w14:paraId="11FBC0FD" w14:textId="1BF46827"/>
    <w:p w:rsidR="004A2A4D" w:rsidP="004A2A4D" w:rsidRDefault="00410EA4" w14:paraId="1EE246AB" w14:textId="1460D5F4">
      <w:pPr>
        <w:rPr>
          <w:rFonts w:ascii="Calibri" w:hAnsi="Calibri" w:cs="Calibri"/>
        </w:rPr>
      </w:pPr>
      <w:r w:rsidRPr="00AF359B">
        <w:t xml:space="preserve">The amendment </w:t>
      </w:r>
      <w:r w:rsidR="00857CB5">
        <w:t>w</w:t>
      </w:r>
      <w:r w:rsidR="006039C7">
        <w:t>as</w:t>
      </w:r>
      <w:r w:rsidRPr="00AF359B" w:rsidR="00857CB5">
        <w:t xml:space="preserve"> </w:t>
      </w:r>
      <w:r w:rsidRPr="00AF359B">
        <w:t>accepted by the rapporteur</w:t>
      </w:r>
      <w:r w:rsidR="006039C7">
        <w:t>s</w:t>
      </w:r>
      <w:r w:rsidRPr="00AF359B">
        <w:t xml:space="preserve"> and by the Assembly</w:t>
      </w:r>
      <w:r>
        <w:t>.</w:t>
      </w:r>
    </w:p>
    <w:p w:rsidR="00EA2E07" w:rsidP="00EA2E07" w:rsidRDefault="00EA2E07" w14:paraId="260BF282" w14:textId="77777777">
      <w:pPr>
        <w:rPr>
          <w:b/>
          <w:bCs/>
        </w:rPr>
      </w:pPr>
    </w:p>
    <w:p w:rsidR="00EA2E07" w:rsidP="00EA2E07" w:rsidRDefault="00EA2E07" w14:paraId="1001BE7E" w14:textId="473D5DC8">
      <w:r w:rsidRPr="00573097">
        <w:rPr>
          <w:b/>
          <w:bCs/>
        </w:rPr>
        <w:t xml:space="preserve">Point </w:t>
      </w:r>
      <w:r w:rsidR="008615B3">
        <w:rPr>
          <w:b/>
          <w:bCs/>
        </w:rPr>
        <w:t>2.10</w:t>
      </w:r>
      <w:r w:rsidRPr="00573097">
        <w:rPr>
          <w:b/>
          <w:bCs/>
        </w:rPr>
        <w:t xml:space="preserve"> - Amendment </w:t>
      </w:r>
      <w:r>
        <w:rPr>
          <w:b/>
          <w:bCs/>
        </w:rPr>
        <w:t>2</w:t>
      </w:r>
      <w:r>
        <w:t xml:space="preserve"> - tabled by </w:t>
      </w:r>
      <w:r w:rsidRPr="008615B3" w:rsidR="008615B3">
        <w:t>Mira-Maria DANISMAN, Roman HAKEN and Florian MARIN</w:t>
      </w:r>
    </w:p>
    <w:p w:rsidR="00EA2E07" w:rsidP="00EA2E07" w:rsidRDefault="00EA2E07" w14:paraId="2DF5AF55" w14:textId="77777777"/>
    <w:p w:rsidR="00EA2E07" w:rsidP="00EA2E07" w:rsidRDefault="00EA2E07" w14:paraId="45541543" w14:textId="77777777">
      <w:r>
        <w:t>Amend as follows:</w:t>
      </w:r>
    </w:p>
    <w:p w:rsidRPr="00CC3E5D" w:rsidR="008615B3" w:rsidP="008615B3" w:rsidRDefault="008615B3" w14:paraId="1E357EF5"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CC3E5D" w:rsidR="008615B3" w:rsidTr="00FE0BDD" w14:paraId="0F6AC4C8" w14:textId="77777777">
        <w:tc>
          <w:tcPr>
            <w:tcW w:w="2500" w:type="pct"/>
            <w:tcBorders>
              <w:top w:val="single" w:color="auto" w:sz="4" w:space="0"/>
              <w:left w:val="single" w:color="auto" w:sz="4" w:space="0"/>
              <w:bottom w:val="single" w:color="auto" w:sz="4" w:space="0"/>
              <w:right w:val="single" w:color="auto" w:sz="4" w:space="0"/>
            </w:tcBorders>
            <w:hideMark/>
          </w:tcPr>
          <w:p w:rsidRPr="00CC3E5D" w:rsidR="008615B3" w:rsidP="00FE0BDD" w:rsidRDefault="008615B3" w14:paraId="05545127" w14:textId="77777777">
            <w:pPr>
              <w:jc w:val="center"/>
              <w:rPr>
                <w:b/>
                <w:bCs/>
                <w:i/>
              </w:rPr>
            </w:pPr>
            <w:r w:rsidRPr="00CC3E5D">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CC3E5D" w:rsidR="008615B3" w:rsidP="00FE0BDD" w:rsidRDefault="008615B3" w14:paraId="0EB9F7F9" w14:textId="77777777">
            <w:pPr>
              <w:jc w:val="center"/>
              <w:rPr>
                <w:b/>
                <w:bCs/>
                <w:i/>
              </w:rPr>
            </w:pPr>
            <w:r w:rsidRPr="00CC3E5D">
              <w:rPr>
                <w:b/>
                <w:bCs/>
                <w:i/>
              </w:rPr>
              <w:t>Amendment</w:t>
            </w:r>
          </w:p>
        </w:tc>
      </w:tr>
      <w:tr w:rsidRPr="00CC3E5D" w:rsidR="008615B3" w:rsidTr="00FE0BDD" w14:paraId="1CAB1E16" w14:textId="77777777">
        <w:tc>
          <w:tcPr>
            <w:tcW w:w="2500" w:type="pct"/>
            <w:tcBorders>
              <w:top w:val="single" w:color="auto" w:sz="4" w:space="0"/>
              <w:left w:val="single" w:color="auto" w:sz="4" w:space="0"/>
              <w:bottom w:val="single" w:color="auto" w:sz="4" w:space="0"/>
              <w:right w:val="single" w:color="auto" w:sz="4" w:space="0"/>
            </w:tcBorders>
            <w:hideMark/>
          </w:tcPr>
          <w:p w:rsidRPr="00CC3E5D" w:rsidR="008615B3" w:rsidP="00FE0BDD" w:rsidRDefault="008615B3" w14:paraId="0E0BDE69" w14:textId="77777777">
            <w:pPr>
              <w:spacing w:before="80" w:after="80"/>
              <w:ind w:left="80" w:right="80"/>
            </w:pPr>
            <w:r w:rsidRPr="00CC3E5D">
              <w:rPr>
                <w:b/>
                <w:bCs/>
                <w:i/>
                <w:iCs/>
              </w:rPr>
              <w:t>The EESC stresses that increasing financialisation of urban land and housing undermines the objective of liveable cities.</w:t>
            </w:r>
            <w:r w:rsidRPr="00CC3E5D">
              <w:t xml:space="preserve"> The EU Agenda for Cities should </w:t>
            </w:r>
            <w:r w:rsidRPr="00CC3E5D">
              <w:rPr>
                <w:b/>
                <w:bCs/>
                <w:i/>
                <w:iCs/>
              </w:rPr>
              <w:t>address</w:t>
            </w:r>
            <w:r w:rsidRPr="00CC3E5D">
              <w:t xml:space="preserve"> the role of financial actors, investment funds and real estate speculation</w:t>
            </w:r>
            <w:r w:rsidRPr="00CC3E5D">
              <w:rPr>
                <w:b/>
                <w:bCs/>
                <w:i/>
                <w:iCs/>
              </w:rPr>
              <w:t>, and support policy tools that prioritise use value over exchange value in urban development.</w:t>
            </w:r>
          </w:p>
        </w:tc>
        <w:tc>
          <w:tcPr>
            <w:tcW w:w="2500" w:type="pct"/>
            <w:tcBorders>
              <w:top w:val="single" w:color="auto" w:sz="4" w:space="0"/>
              <w:left w:val="single" w:color="auto" w:sz="4" w:space="0"/>
              <w:bottom w:val="single" w:color="auto" w:sz="4" w:space="0"/>
              <w:right w:val="single" w:color="auto" w:sz="4" w:space="0"/>
            </w:tcBorders>
            <w:hideMark/>
          </w:tcPr>
          <w:p w:rsidRPr="00CC3E5D" w:rsidR="008615B3" w:rsidP="00FE0BDD" w:rsidRDefault="008615B3" w14:paraId="78602CFF" w14:textId="77777777">
            <w:pPr>
              <w:spacing w:before="80" w:after="80"/>
              <w:ind w:left="80" w:right="80"/>
            </w:pPr>
            <w:r w:rsidRPr="00CC3E5D">
              <w:t xml:space="preserve">The EU Agenda for Cities should </w:t>
            </w:r>
            <w:r w:rsidRPr="00CC3E5D">
              <w:rPr>
                <w:b/>
                <w:bCs/>
                <w:i/>
              </w:rPr>
              <w:t>look into</w:t>
            </w:r>
            <w:r w:rsidRPr="00CC3E5D">
              <w:t xml:space="preserve"> the role of financial actors, investment funds and real estate speculation,</w:t>
            </w:r>
            <w:r w:rsidRPr="00CC3E5D">
              <w:rPr>
                <w:b/>
                <w:bCs/>
                <w:i/>
              </w:rPr>
              <w:t xml:space="preserve"> in the housing challenges that cities face.</w:t>
            </w:r>
          </w:p>
        </w:tc>
      </w:tr>
    </w:tbl>
    <w:p w:rsidR="00EA2E07" w:rsidP="00EA2E07" w:rsidRDefault="00EA2E07" w14:paraId="6A7CD5ED" w14:textId="77777777"/>
    <w:p w:rsidR="00EA2E07" w:rsidP="00EA2E07" w:rsidRDefault="00EA2E07" w14:paraId="75FEEFF8" w14:textId="05AA1F3B">
      <w:pPr>
        <w:rPr>
          <w:rFonts w:ascii="Calibri" w:hAnsi="Calibri" w:cs="Calibri"/>
        </w:rPr>
      </w:pPr>
      <w:r w:rsidRPr="00AF359B">
        <w:t xml:space="preserve">The amendment </w:t>
      </w:r>
      <w:r>
        <w:t>was</w:t>
      </w:r>
      <w:r w:rsidRPr="00AF359B">
        <w:t xml:space="preserve"> accepted by the rapporteur</w:t>
      </w:r>
      <w:r>
        <w:t>s</w:t>
      </w:r>
      <w:r w:rsidRPr="00AF359B">
        <w:t xml:space="preserve"> and by the Assembly</w:t>
      </w:r>
      <w:r>
        <w:t>.</w:t>
      </w:r>
    </w:p>
    <w:p w:rsidR="00EA2E07" w:rsidP="00EA2E07" w:rsidRDefault="00EA2E07" w14:paraId="65FD6E2C" w14:textId="77777777">
      <w:pPr>
        <w:rPr>
          <w:b/>
          <w:bCs/>
        </w:rPr>
      </w:pPr>
    </w:p>
    <w:p w:rsidR="00EA2E07" w:rsidP="00EA2E07" w:rsidRDefault="00EA2E07" w14:paraId="7DD6DB57" w14:textId="50EE1F46">
      <w:r w:rsidRPr="00573097">
        <w:rPr>
          <w:b/>
          <w:bCs/>
        </w:rPr>
        <w:t xml:space="preserve">Point </w:t>
      </w:r>
      <w:r w:rsidR="00D31144">
        <w:rPr>
          <w:b/>
          <w:bCs/>
        </w:rPr>
        <w:t>2.14</w:t>
      </w:r>
      <w:r w:rsidRPr="00573097">
        <w:rPr>
          <w:b/>
          <w:bCs/>
        </w:rPr>
        <w:t xml:space="preserve"> - Amendment </w:t>
      </w:r>
      <w:r>
        <w:rPr>
          <w:b/>
          <w:bCs/>
        </w:rPr>
        <w:t>3</w:t>
      </w:r>
      <w:r>
        <w:t xml:space="preserve"> - tabled by </w:t>
      </w:r>
      <w:r w:rsidRPr="00D31144" w:rsidR="00D31144">
        <w:t>Mira-Maria DANISMAN, Roman HAKEN</w:t>
      </w:r>
      <w:r w:rsidR="00D31144">
        <w:t>,</w:t>
      </w:r>
      <w:r w:rsidRPr="00D31144" w:rsidR="00D31144">
        <w:t xml:space="preserve"> Florian</w:t>
      </w:r>
      <w:r w:rsidR="00D31144">
        <w:t xml:space="preserve"> MARIN and </w:t>
      </w:r>
      <w:r w:rsidRPr="00D31144" w:rsidR="00D31144">
        <w:t>Ajda PISTOTNIK</w:t>
      </w:r>
    </w:p>
    <w:p w:rsidR="00EA2E07" w:rsidP="00EA2E07" w:rsidRDefault="00EA2E07" w14:paraId="36A99FB4" w14:textId="77777777"/>
    <w:p w:rsidR="00EA2E07" w:rsidP="00EA2E07" w:rsidRDefault="00EA2E07" w14:paraId="2460830D" w14:textId="77777777">
      <w:r>
        <w:t>Amend as follows:</w:t>
      </w:r>
    </w:p>
    <w:p w:rsidR="00D31144" w:rsidP="00EA2E07" w:rsidRDefault="00D31144" w14:paraId="08A3EBAA" w14:textId="77777777"/>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CC3E5D" w:rsidR="00D31144" w:rsidTr="00FE0BDD" w14:paraId="7637A140" w14:textId="77777777">
        <w:tc>
          <w:tcPr>
            <w:tcW w:w="2500" w:type="pct"/>
            <w:tcBorders>
              <w:top w:val="single" w:color="auto" w:sz="4" w:space="0"/>
              <w:left w:val="single" w:color="auto" w:sz="4" w:space="0"/>
              <w:bottom w:val="single" w:color="auto" w:sz="4" w:space="0"/>
              <w:right w:val="single" w:color="auto" w:sz="4" w:space="0"/>
            </w:tcBorders>
            <w:hideMark/>
          </w:tcPr>
          <w:p w:rsidRPr="00CC3E5D" w:rsidR="00D31144" w:rsidP="00FE0BDD" w:rsidRDefault="00D31144" w14:paraId="7B4E1CE9" w14:textId="77777777">
            <w:pPr>
              <w:jc w:val="center"/>
              <w:rPr>
                <w:b/>
                <w:bCs/>
                <w:i/>
              </w:rPr>
            </w:pPr>
            <w:r w:rsidRPr="00CC3E5D">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CC3E5D" w:rsidR="00D31144" w:rsidP="00FE0BDD" w:rsidRDefault="00D31144" w14:paraId="7EB80F80" w14:textId="77777777">
            <w:pPr>
              <w:jc w:val="center"/>
              <w:rPr>
                <w:b/>
                <w:bCs/>
                <w:i/>
              </w:rPr>
            </w:pPr>
            <w:r w:rsidRPr="00CC3E5D">
              <w:rPr>
                <w:b/>
                <w:bCs/>
                <w:i/>
              </w:rPr>
              <w:t>Amendment</w:t>
            </w:r>
          </w:p>
        </w:tc>
      </w:tr>
      <w:tr w:rsidRPr="00CC3E5D" w:rsidR="00D31144" w:rsidTr="00FE0BDD" w14:paraId="2D736CA9" w14:textId="77777777">
        <w:tc>
          <w:tcPr>
            <w:tcW w:w="2500" w:type="pct"/>
            <w:tcBorders>
              <w:top w:val="single" w:color="auto" w:sz="4" w:space="0"/>
              <w:left w:val="single" w:color="auto" w:sz="4" w:space="0"/>
              <w:bottom w:val="single" w:color="auto" w:sz="4" w:space="0"/>
              <w:right w:val="single" w:color="auto" w:sz="4" w:space="0"/>
            </w:tcBorders>
            <w:hideMark/>
          </w:tcPr>
          <w:p w:rsidRPr="00CC3E5D" w:rsidR="00D31144" w:rsidP="00FE0BDD" w:rsidRDefault="00D31144" w14:paraId="4F3208EA" w14:textId="77777777">
            <w:pPr>
              <w:spacing w:before="80" w:after="80"/>
              <w:ind w:left="80" w:right="80"/>
            </w:pPr>
            <w:r w:rsidRPr="00CC3E5D">
              <w:t xml:space="preserve">The EESC considers it necessary to provide functional areas that protect important ecosystem services in cities and municipalities, specifically urban greenery, water bodies and micro-streams, to use rivers and to maximise the infiltration and retention of rainfall areas and minimise soil sealing in cities, leaving space with functional soil surface as big as possible, with closer-to-nature care for urban green spaces focused on diversity and support for pollinators. Preservation and protection of naturally valuable areas within the reach of urban agglomerations, i.e. urban natural monuments and reserves, including their appropriate management, is needed and elements of the ‘new urban wilderness’ with high biodiversity should be preserved. The EESC emphasises that cities are frontline spaces of climate vulnerability and inequality, where heat stress, pollution and climate risks disproportionately affect lower-income groups. The EU Agenda for Cities should therefore integrate </w:t>
            </w:r>
            <w:r w:rsidRPr="00CC3E5D">
              <w:rPr>
                <w:b/>
                <w:bCs/>
                <w:i/>
                <w:iCs/>
              </w:rPr>
              <w:t>climate justice as</w:t>
            </w:r>
            <w:r w:rsidRPr="00CC3E5D">
              <w:t xml:space="preserve"> a </w:t>
            </w:r>
            <w:r w:rsidRPr="00CC3E5D">
              <w:rPr>
                <w:b/>
                <w:bCs/>
                <w:i/>
                <w:iCs/>
              </w:rPr>
              <w:t xml:space="preserve">core principle, linking adaptation measures with </w:t>
            </w:r>
            <w:r w:rsidRPr="00CC3E5D">
              <w:t xml:space="preserve">social </w:t>
            </w:r>
            <w:r w:rsidRPr="00CC3E5D">
              <w:rPr>
                <w:b/>
                <w:bCs/>
                <w:i/>
                <w:iCs/>
              </w:rPr>
              <w:t>equity and access to public services</w:t>
            </w:r>
            <w:r w:rsidRPr="00CC3E5D">
              <w:t>.</w:t>
            </w:r>
          </w:p>
        </w:tc>
        <w:tc>
          <w:tcPr>
            <w:tcW w:w="2500" w:type="pct"/>
            <w:tcBorders>
              <w:top w:val="single" w:color="auto" w:sz="4" w:space="0"/>
              <w:left w:val="single" w:color="auto" w:sz="4" w:space="0"/>
              <w:bottom w:val="single" w:color="auto" w:sz="4" w:space="0"/>
              <w:right w:val="single" w:color="auto" w:sz="4" w:space="0"/>
            </w:tcBorders>
            <w:hideMark/>
          </w:tcPr>
          <w:p w:rsidRPr="00CC3E5D" w:rsidR="00D31144" w:rsidP="00FE0BDD" w:rsidRDefault="00D31144" w14:paraId="4D8CCBCE" w14:textId="77777777">
            <w:pPr>
              <w:spacing w:before="80" w:after="80"/>
              <w:ind w:left="80" w:right="80"/>
            </w:pPr>
            <w:r w:rsidRPr="00CC3E5D">
              <w:t>The EESC considers it necessary to provide functional areas that protect important ecosystem services in cities and municipalities, specifically urban greenery, water bodies and micro-streams, to use rivers and to maximise the infiltration and retention of rainfall areas and minimise soil sealing in cities, leaving space with functional soil surface as big as possible, with closer-to-nature care for urban green spaces focused on diversity and support for pollinators. Preservation and protection of naturally valuable areas within the reach of urban agglomerations, i.e. urban natural monuments and reserves, including their appropriate management, is needed and elements of the ‘new urban wilderness’ with high biodiversity should be preserved. The EESC emphasises that cities are frontline spaces of climate vulnerability and inequality, where heat stress, pollution and climate risks disproportionately affect lower-income groups</w:t>
            </w:r>
            <w:r w:rsidRPr="00CC3E5D">
              <w:rPr>
                <w:iCs/>
              </w:rPr>
              <w:t>.</w:t>
            </w:r>
            <w:r w:rsidRPr="00CC3E5D">
              <w:rPr>
                <w:b/>
                <w:bCs/>
                <w:i/>
              </w:rPr>
              <w:t xml:space="preserve"> </w:t>
            </w:r>
            <w:r w:rsidRPr="00CC3E5D">
              <w:t xml:space="preserve">The EU Agenda for Cities should therefore integrate a </w:t>
            </w:r>
            <w:r w:rsidRPr="001F1243">
              <w:t xml:space="preserve">social </w:t>
            </w:r>
            <w:r w:rsidRPr="00CC3E5D">
              <w:rPr>
                <w:b/>
                <w:bCs/>
                <w:i/>
                <w:iCs/>
              </w:rPr>
              <w:t>dimension into climate adaptation policies, including consideration of climate justice principles</w:t>
            </w:r>
            <w:r w:rsidRPr="00CC3E5D">
              <w:t>.</w:t>
            </w:r>
          </w:p>
        </w:tc>
      </w:tr>
    </w:tbl>
    <w:p w:rsidR="00EA2E07" w:rsidP="00EC0F0F" w:rsidRDefault="00EA2E07" w14:paraId="1A791C49" w14:textId="77777777"/>
    <w:p w:rsidR="004A2A4D" w:rsidP="00EC0F0F" w:rsidRDefault="00EA2E07" w14:paraId="6577426B" w14:textId="4343C8BF">
      <w:r w:rsidRPr="00AF359B">
        <w:t xml:space="preserve">The amendment </w:t>
      </w:r>
      <w:r>
        <w:t>was</w:t>
      </w:r>
      <w:r w:rsidRPr="00AF359B">
        <w:t xml:space="preserve"> accepted by the rapporteur</w:t>
      </w:r>
      <w:r>
        <w:t>s</w:t>
      </w:r>
      <w:r w:rsidRPr="00AF359B">
        <w:t xml:space="preserve"> and by the Assembly</w:t>
      </w:r>
      <w:r>
        <w:t>.</w:t>
      </w:r>
    </w:p>
    <w:p w:rsidR="00EA2E07" w:rsidP="00EC0F0F" w:rsidRDefault="00EA2E07" w14:paraId="726B0439" w14:textId="77777777"/>
    <w:p w:rsidRPr="00CC1E69" w:rsidR="00CC1E69" w:rsidP="00CC1E69" w:rsidRDefault="00CC1E69" w14:paraId="4FBBC31D" w14:textId="791F9EA2">
      <w:r w:rsidRPr="00CC1E69">
        <w:rPr>
          <w:b/>
          <w:bCs/>
        </w:rPr>
        <w:t xml:space="preserve">Point </w:t>
      </w:r>
      <w:r>
        <w:rPr>
          <w:b/>
          <w:bCs/>
        </w:rPr>
        <w:t>2.</w:t>
      </w:r>
      <w:r w:rsidR="0069664F">
        <w:rPr>
          <w:b/>
          <w:bCs/>
        </w:rPr>
        <w:t>14</w:t>
      </w:r>
      <w:r w:rsidRPr="00CC1E69">
        <w:rPr>
          <w:b/>
          <w:bCs/>
        </w:rPr>
        <w:t xml:space="preserve"> - Amendment </w:t>
      </w:r>
      <w:r w:rsidR="0069664F">
        <w:rPr>
          <w:b/>
          <w:bCs/>
        </w:rPr>
        <w:t>5</w:t>
      </w:r>
      <w:r w:rsidRPr="00CC1E69">
        <w:t xml:space="preserve"> - tabled by </w:t>
      </w:r>
      <w:r w:rsidRPr="0069664F" w:rsidR="0069664F">
        <w:t>Dovilė JUODKAITĖ</w:t>
      </w:r>
    </w:p>
    <w:p w:rsidRPr="00CC1E69" w:rsidR="00CC1E69" w:rsidP="00CC1E69" w:rsidRDefault="00CC1E69" w14:paraId="71390EFE" w14:textId="77777777"/>
    <w:p w:rsidRPr="00CC1E69" w:rsidR="00CC1E69" w:rsidP="00CC1E69" w:rsidRDefault="00CC1E69" w14:paraId="35010FD9" w14:textId="77777777">
      <w:r w:rsidRPr="00CC1E69">
        <w:t>Amend as follows:</w:t>
      </w:r>
    </w:p>
    <w:p w:rsidRPr="00CC3E5D" w:rsidR="0069664F" w:rsidP="0069664F" w:rsidRDefault="0069664F" w14:paraId="6449B127"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CC3E5D" w:rsidR="0069664F" w:rsidTr="00FE0BDD" w14:paraId="26C0E71B" w14:textId="77777777">
        <w:tc>
          <w:tcPr>
            <w:tcW w:w="2500" w:type="pct"/>
            <w:tcBorders>
              <w:top w:val="single" w:color="auto" w:sz="4" w:space="0"/>
              <w:left w:val="single" w:color="auto" w:sz="4" w:space="0"/>
              <w:bottom w:val="single" w:color="auto" w:sz="4" w:space="0"/>
              <w:right w:val="single" w:color="auto" w:sz="4" w:space="0"/>
            </w:tcBorders>
            <w:hideMark/>
          </w:tcPr>
          <w:p w:rsidRPr="00CC3E5D" w:rsidR="0069664F" w:rsidP="00FE0BDD" w:rsidRDefault="0069664F" w14:paraId="7A1E0FCA" w14:textId="77777777">
            <w:pPr>
              <w:jc w:val="center"/>
              <w:rPr>
                <w:b/>
                <w:bCs/>
                <w:i/>
              </w:rPr>
            </w:pPr>
            <w:r w:rsidRPr="00CC3E5D">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CC3E5D" w:rsidR="0069664F" w:rsidP="00FE0BDD" w:rsidRDefault="0069664F" w14:paraId="6E50A46D" w14:textId="77777777">
            <w:pPr>
              <w:jc w:val="center"/>
              <w:rPr>
                <w:b/>
                <w:bCs/>
                <w:i/>
              </w:rPr>
            </w:pPr>
            <w:r w:rsidRPr="00CC3E5D">
              <w:rPr>
                <w:b/>
                <w:bCs/>
                <w:i/>
              </w:rPr>
              <w:t>Amendment</w:t>
            </w:r>
          </w:p>
        </w:tc>
      </w:tr>
      <w:tr w:rsidRPr="00CC3E5D" w:rsidR="0069664F" w:rsidTr="00FE0BDD" w14:paraId="161C1733" w14:textId="77777777">
        <w:tc>
          <w:tcPr>
            <w:tcW w:w="2500" w:type="pct"/>
            <w:tcBorders>
              <w:top w:val="single" w:color="auto" w:sz="4" w:space="0"/>
              <w:left w:val="single" w:color="auto" w:sz="4" w:space="0"/>
              <w:bottom w:val="single" w:color="auto" w:sz="4" w:space="0"/>
              <w:right w:val="single" w:color="auto" w:sz="4" w:space="0"/>
            </w:tcBorders>
            <w:hideMark/>
          </w:tcPr>
          <w:p w:rsidRPr="00CC3E5D" w:rsidR="0069664F" w:rsidP="00FE0BDD" w:rsidRDefault="0069664F" w14:paraId="516EB3E0" w14:textId="77777777">
            <w:pPr>
              <w:spacing w:before="80" w:after="80"/>
              <w:ind w:left="80" w:right="80"/>
            </w:pPr>
            <w:r w:rsidRPr="00CC3E5D">
              <w:t>The EESC considers it necessary to provide functional areas that protect important ecosystem services in cities and municipalities, specifically urban greenery, water bodies and micro-streams, to use rivers and to maximise the infiltration and retention of rainfall areas and minimise soil sealing in cities, leaving space with functional soil surface as big as possible, with closer-to-nature care for urban green spaces focused on diversity and support for pollinators. Preservation and protection of naturally valuable areas within the reach of urban agglomerations, i.e. urban natural monuments and reserves, including their appropriate management, is needed and elements of the ‘new urban wilderness’ with high biodiversity should be preserved. The EESC emphasises that cities are frontline spaces of climate vulnerability and inequality, where heat stress, pollution and climate risks disproportionately affect lower-income groups. The EU Agenda for Cities should therefore integrate climate justice as a core principle, linking adaptation measures with social equity and access to public services.</w:t>
            </w:r>
          </w:p>
        </w:tc>
        <w:tc>
          <w:tcPr>
            <w:tcW w:w="2500" w:type="pct"/>
            <w:tcBorders>
              <w:top w:val="single" w:color="auto" w:sz="4" w:space="0"/>
              <w:left w:val="single" w:color="auto" w:sz="4" w:space="0"/>
              <w:bottom w:val="single" w:color="auto" w:sz="4" w:space="0"/>
              <w:right w:val="single" w:color="auto" w:sz="4" w:space="0"/>
            </w:tcBorders>
            <w:hideMark/>
          </w:tcPr>
          <w:p w:rsidRPr="00CC3E5D" w:rsidR="0069664F" w:rsidP="00FE0BDD" w:rsidRDefault="0069664F" w14:paraId="1EF773A4" w14:textId="77777777">
            <w:pPr>
              <w:spacing w:before="80" w:after="80"/>
              <w:ind w:left="80" w:right="80"/>
            </w:pPr>
            <w:r w:rsidRPr="00CC3E5D">
              <w:t xml:space="preserve">The EESC considers it necessary to provide functional areas that protect important ecosystem services in cities and municipalities, specifically urban greenery, water bodies and micro-streams, to use rivers and to maximise the infiltration and retention of rainfall areas and minimise soil sealing in cities, leaving space with functional soil surface as big as possible, with closer-to-nature care for urban green spaces focused on diversity and support for pollinators. Preservation and protection of naturally valuable areas within the reach of urban agglomerations, i.e. urban natural monuments and reserves, including their appropriate management, is needed and elements of the ‘new urban wilderness’ with high biodiversity should be preserved. The EESC emphasises that cities are frontline spaces of climate vulnerability and inequality, where heat stress, pollution and climate risks disproportionately affect </w:t>
            </w:r>
            <w:r w:rsidRPr="00CC3E5D">
              <w:rPr>
                <w:b/>
                <w:bCs/>
                <w:i/>
              </w:rPr>
              <w:t>the most vulnerable, including</w:t>
            </w:r>
            <w:r w:rsidRPr="00CC3E5D">
              <w:t xml:space="preserve"> lower-income groups. The EU Agenda for Cities should therefore integrate climate justice as a core principle, linking adaptation measures with social equity and access to public services.</w:t>
            </w:r>
          </w:p>
        </w:tc>
      </w:tr>
    </w:tbl>
    <w:p w:rsidRPr="00CC1E69" w:rsidR="00CC1E69" w:rsidP="00CC1E69" w:rsidRDefault="00CC1E69" w14:paraId="701D7D21" w14:textId="77777777"/>
    <w:p w:rsidRPr="00CC1E69" w:rsidR="00CC1E69" w:rsidP="00CC1E69" w:rsidRDefault="00CC1E69" w14:paraId="36563C79" w14:textId="77777777">
      <w:r w:rsidRPr="00CC1E69">
        <w:t>The amendment was accepted by the rapporteurs and by the Assembly.</w:t>
      </w:r>
    </w:p>
    <w:p w:rsidR="00CC1E69" w:rsidP="00EC0F0F" w:rsidRDefault="00CC1E69" w14:paraId="23388A92" w14:textId="77777777"/>
    <w:p w:rsidRPr="00CC1E69" w:rsidR="005F5315" w:rsidP="005F5315" w:rsidRDefault="005F5315" w14:paraId="5C37B498" w14:textId="2CC527DD">
      <w:r w:rsidRPr="00CC1E69">
        <w:rPr>
          <w:b/>
          <w:bCs/>
        </w:rPr>
        <w:t xml:space="preserve">Point </w:t>
      </w:r>
      <w:r>
        <w:rPr>
          <w:b/>
          <w:bCs/>
        </w:rPr>
        <w:t>2.</w:t>
      </w:r>
      <w:r w:rsidR="007A0E6C">
        <w:rPr>
          <w:b/>
          <w:bCs/>
        </w:rPr>
        <w:t>15</w:t>
      </w:r>
      <w:r w:rsidRPr="00CC1E69">
        <w:rPr>
          <w:b/>
          <w:bCs/>
        </w:rPr>
        <w:t xml:space="preserve"> - Amendment </w:t>
      </w:r>
      <w:r w:rsidR="007A0E6C">
        <w:rPr>
          <w:b/>
          <w:bCs/>
        </w:rPr>
        <w:t>6</w:t>
      </w:r>
      <w:r w:rsidRPr="00CC1E69">
        <w:t xml:space="preserve"> - tabled by </w:t>
      </w:r>
      <w:r w:rsidRPr="007A0E6C" w:rsidR="007A0E6C">
        <w:t>Dovilė JUODKAITĖ</w:t>
      </w:r>
    </w:p>
    <w:p w:rsidRPr="00CC1E69" w:rsidR="005F5315" w:rsidP="005F5315" w:rsidRDefault="005F5315" w14:paraId="60181ED5" w14:textId="77777777"/>
    <w:p w:rsidRPr="00CC1E69" w:rsidR="005F5315" w:rsidP="005F5315" w:rsidRDefault="005F5315" w14:paraId="1863B5A3" w14:textId="77777777">
      <w:r w:rsidRPr="00CC1E69">
        <w:t>Amend as follows:</w:t>
      </w:r>
    </w:p>
    <w:p w:rsidRPr="00CC3E5D" w:rsidR="007A0E6C" w:rsidP="007A0E6C" w:rsidRDefault="007A0E6C" w14:paraId="06C05C71"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CC3E5D" w:rsidR="007A0E6C" w:rsidTr="00FE0BDD" w14:paraId="4A290779" w14:textId="77777777">
        <w:tc>
          <w:tcPr>
            <w:tcW w:w="2500" w:type="pct"/>
            <w:tcBorders>
              <w:top w:val="single" w:color="auto" w:sz="4" w:space="0"/>
              <w:left w:val="single" w:color="auto" w:sz="4" w:space="0"/>
              <w:bottom w:val="single" w:color="auto" w:sz="4" w:space="0"/>
              <w:right w:val="single" w:color="auto" w:sz="4" w:space="0"/>
            </w:tcBorders>
            <w:hideMark/>
          </w:tcPr>
          <w:p w:rsidRPr="00CC3E5D" w:rsidR="007A0E6C" w:rsidP="00FE0BDD" w:rsidRDefault="007A0E6C" w14:paraId="1CA70277" w14:textId="77777777">
            <w:pPr>
              <w:jc w:val="center"/>
              <w:rPr>
                <w:b/>
                <w:bCs/>
                <w:i/>
              </w:rPr>
            </w:pPr>
            <w:r w:rsidRPr="00CC3E5D">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CC3E5D" w:rsidR="007A0E6C" w:rsidP="00FE0BDD" w:rsidRDefault="007A0E6C" w14:paraId="4E165789" w14:textId="77777777">
            <w:pPr>
              <w:jc w:val="center"/>
              <w:rPr>
                <w:b/>
                <w:bCs/>
                <w:i/>
              </w:rPr>
            </w:pPr>
            <w:r w:rsidRPr="00CC3E5D">
              <w:rPr>
                <w:b/>
                <w:bCs/>
                <w:i/>
              </w:rPr>
              <w:t>Amendment</w:t>
            </w:r>
          </w:p>
        </w:tc>
      </w:tr>
      <w:tr w:rsidRPr="00CC3E5D" w:rsidR="007A0E6C" w:rsidTr="00FE0BDD" w14:paraId="3121780D" w14:textId="77777777">
        <w:tc>
          <w:tcPr>
            <w:tcW w:w="2500" w:type="pct"/>
            <w:tcBorders>
              <w:top w:val="single" w:color="auto" w:sz="4" w:space="0"/>
              <w:left w:val="single" w:color="auto" w:sz="4" w:space="0"/>
              <w:bottom w:val="single" w:color="auto" w:sz="4" w:space="0"/>
              <w:right w:val="single" w:color="auto" w:sz="4" w:space="0"/>
            </w:tcBorders>
            <w:hideMark/>
          </w:tcPr>
          <w:p w:rsidRPr="00CC3E5D" w:rsidR="007A0E6C" w:rsidP="00FE0BDD" w:rsidRDefault="007A0E6C" w14:paraId="23108B98" w14:textId="77777777">
            <w:pPr>
              <w:spacing w:before="80" w:after="80"/>
              <w:ind w:left="80" w:right="80"/>
            </w:pPr>
            <w:r w:rsidRPr="00CC3E5D">
              <w:t>The EESC supports the idea that citizens become more involved in the new EU Agenda for Cities. For citizen participation to work effectively, civil society must be involved, and methodological support and practical tools developed to support this involvement should be provided. These tools should allow citizens to play an active role not only during elections but also in the periods between these (permanent working groups, citizen panels, citizen juries, public hearings, etc.). It is important, for effective participation, to choose an appropriate time and place for each meeting,</w:t>
            </w:r>
            <w:r w:rsidRPr="00CC3E5D">
              <w:rPr>
                <w:b/>
                <w:bCs/>
                <w:i/>
              </w:rPr>
              <w:t xml:space="preserve"> that is easy</w:t>
            </w:r>
            <w:r w:rsidRPr="00CC3E5D">
              <w:t xml:space="preserve"> accessible for citizens. This approach would make EU funding for local projects more effective, reduce corruption and increase public involvement. Where engagement is long term, participants should receive the necessary support, including financial resources, to participate.</w:t>
            </w:r>
          </w:p>
        </w:tc>
        <w:tc>
          <w:tcPr>
            <w:tcW w:w="2500" w:type="pct"/>
            <w:tcBorders>
              <w:top w:val="single" w:color="auto" w:sz="4" w:space="0"/>
              <w:left w:val="single" w:color="auto" w:sz="4" w:space="0"/>
              <w:bottom w:val="single" w:color="auto" w:sz="4" w:space="0"/>
              <w:right w:val="single" w:color="auto" w:sz="4" w:space="0"/>
            </w:tcBorders>
            <w:hideMark/>
          </w:tcPr>
          <w:p w:rsidRPr="00CC3E5D" w:rsidR="007A0E6C" w:rsidP="00FE0BDD" w:rsidRDefault="007A0E6C" w14:paraId="4CC80981" w14:textId="77777777">
            <w:pPr>
              <w:spacing w:before="80" w:after="80"/>
              <w:ind w:left="80" w:right="80"/>
            </w:pPr>
            <w:r w:rsidRPr="00CC3E5D">
              <w:t>The EESC supports the idea that citizens become more involved in the new EU Agenda for Cities. For citizen participation to work effectively,</w:t>
            </w:r>
            <w:r w:rsidRPr="00CC3E5D">
              <w:rPr>
                <w:b/>
                <w:bCs/>
                <w:i/>
              </w:rPr>
              <w:t xml:space="preserve"> diverse</w:t>
            </w:r>
            <w:r w:rsidRPr="00CC3E5D">
              <w:t xml:space="preserve"> civil society must be involved, and methodological support and practical tools developed to support this involvement should be provided. These tools should allow citizens to play an active role not only during elections but also in the periods between these (permanent working groups, citizen panels, citizen juries, public hearings, etc.). It is important, for effective </w:t>
            </w:r>
            <w:r w:rsidRPr="00CC3E5D">
              <w:rPr>
                <w:b/>
                <w:bCs/>
                <w:i/>
              </w:rPr>
              <w:t>and meaningful</w:t>
            </w:r>
            <w:r w:rsidRPr="00CC3E5D">
              <w:t xml:space="preserve"> participation, to choose an appropriate time and place for each meeting,</w:t>
            </w:r>
            <w:r w:rsidRPr="00CC3E5D">
              <w:rPr>
                <w:b/>
                <w:bCs/>
                <w:i/>
              </w:rPr>
              <w:t xml:space="preserve"> as well as to ensure relevant and</w:t>
            </w:r>
            <w:r w:rsidRPr="00CC3E5D">
              <w:t xml:space="preserve"> accessible </w:t>
            </w:r>
            <w:r w:rsidRPr="00CC3E5D">
              <w:rPr>
                <w:b/>
                <w:bCs/>
                <w:i/>
              </w:rPr>
              <w:t>information provision to ensure easy accessibility</w:t>
            </w:r>
            <w:r w:rsidRPr="00CC3E5D">
              <w:t xml:space="preserve"> for </w:t>
            </w:r>
            <w:r w:rsidRPr="00CC3E5D">
              <w:rPr>
                <w:b/>
                <w:bCs/>
                <w:i/>
              </w:rPr>
              <w:t>all</w:t>
            </w:r>
            <w:r w:rsidRPr="00CC3E5D">
              <w:t xml:space="preserve"> citizens. This approach would make EU funding for local projects more effective, reduce corruption and increase </w:t>
            </w:r>
            <w:r w:rsidRPr="00CC3E5D">
              <w:rPr>
                <w:b/>
                <w:bCs/>
                <w:i/>
              </w:rPr>
              <w:t>inclusive</w:t>
            </w:r>
            <w:r w:rsidRPr="00CC3E5D">
              <w:t xml:space="preserve"> public involvement. Where engagement is long term, participants should receive the necessary </w:t>
            </w:r>
            <w:r w:rsidRPr="00CC3E5D">
              <w:rPr>
                <w:b/>
                <w:bCs/>
                <w:i/>
              </w:rPr>
              <w:t>accomodations and</w:t>
            </w:r>
            <w:r w:rsidRPr="00CC3E5D">
              <w:t xml:space="preserve"> support, including financial resources, to participate.</w:t>
            </w:r>
          </w:p>
        </w:tc>
      </w:tr>
    </w:tbl>
    <w:p w:rsidRPr="00CC1E69" w:rsidR="005F5315" w:rsidP="005F5315" w:rsidRDefault="005F5315" w14:paraId="545FE26E" w14:textId="77777777"/>
    <w:p w:rsidRPr="00CC1E69" w:rsidR="005F5315" w:rsidP="005F5315" w:rsidRDefault="005F5315" w14:paraId="7D7E8560" w14:textId="77777777">
      <w:r w:rsidRPr="00CC1E69">
        <w:t>The amendment was accepted by the rapporteurs and by the Assembly.</w:t>
      </w:r>
    </w:p>
    <w:p w:rsidR="00CC1E69" w:rsidP="00EC0F0F" w:rsidRDefault="00CC1E69" w14:paraId="7F7FEC6E" w14:textId="77777777"/>
    <w:p w:rsidRPr="00CE1543" w:rsidR="00CE1543" w:rsidP="00CE1543" w:rsidRDefault="00CE1543" w14:paraId="5289CAD5" w14:textId="636395A2">
      <w:r w:rsidRPr="00CE1543">
        <w:rPr>
          <w:b/>
          <w:bCs/>
        </w:rPr>
        <w:t xml:space="preserve">Point </w:t>
      </w:r>
      <w:r w:rsidR="00DD1B31">
        <w:rPr>
          <w:b/>
          <w:bCs/>
        </w:rPr>
        <w:t>3.4</w:t>
      </w:r>
      <w:r w:rsidRPr="00CE1543">
        <w:rPr>
          <w:b/>
          <w:bCs/>
        </w:rPr>
        <w:t xml:space="preserve"> - Amendment </w:t>
      </w:r>
      <w:r w:rsidR="00DD1B31">
        <w:rPr>
          <w:b/>
          <w:bCs/>
        </w:rPr>
        <w:t>7</w:t>
      </w:r>
      <w:r w:rsidRPr="00CE1543">
        <w:t xml:space="preserve"> - tabled by </w:t>
      </w:r>
      <w:r w:rsidRPr="00DD1B31" w:rsidR="00DD1B31">
        <w:t>Dovilė JUODKAITĖ</w:t>
      </w:r>
    </w:p>
    <w:p w:rsidRPr="00CE1543" w:rsidR="00CE1543" w:rsidP="00CE1543" w:rsidRDefault="00CE1543" w14:paraId="0B373C93" w14:textId="77777777"/>
    <w:p w:rsidRPr="00CE1543" w:rsidR="00CE1543" w:rsidP="00CE1543" w:rsidRDefault="00CE1543" w14:paraId="611B9C28" w14:textId="77777777">
      <w:r w:rsidRPr="00CE1543">
        <w:t>Amend as follows:</w:t>
      </w:r>
    </w:p>
    <w:p w:rsidRPr="00CC3E5D" w:rsidR="00DD1B31" w:rsidP="00DD1B31" w:rsidRDefault="00DD1B31" w14:paraId="566317BE"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CC3E5D" w:rsidR="00DD1B31" w:rsidTr="00FE0BDD" w14:paraId="3867B3AF" w14:textId="77777777">
        <w:tc>
          <w:tcPr>
            <w:tcW w:w="2500" w:type="pct"/>
            <w:tcBorders>
              <w:top w:val="single" w:color="auto" w:sz="4" w:space="0"/>
              <w:left w:val="single" w:color="auto" w:sz="4" w:space="0"/>
              <w:bottom w:val="single" w:color="auto" w:sz="4" w:space="0"/>
              <w:right w:val="single" w:color="auto" w:sz="4" w:space="0"/>
            </w:tcBorders>
            <w:hideMark/>
          </w:tcPr>
          <w:p w:rsidRPr="00CC3E5D" w:rsidR="00DD1B31" w:rsidP="00FE0BDD" w:rsidRDefault="00DD1B31" w14:paraId="3292BECC" w14:textId="77777777">
            <w:pPr>
              <w:jc w:val="center"/>
              <w:rPr>
                <w:b/>
                <w:bCs/>
                <w:i/>
              </w:rPr>
            </w:pPr>
            <w:r w:rsidRPr="00CC3E5D">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CC3E5D" w:rsidR="00DD1B31" w:rsidP="00FE0BDD" w:rsidRDefault="00DD1B31" w14:paraId="42AE6BBB" w14:textId="77777777">
            <w:pPr>
              <w:jc w:val="center"/>
              <w:rPr>
                <w:b/>
                <w:bCs/>
                <w:i/>
              </w:rPr>
            </w:pPr>
            <w:r w:rsidRPr="00CC3E5D">
              <w:rPr>
                <w:b/>
                <w:bCs/>
                <w:i/>
              </w:rPr>
              <w:t>Amendment</w:t>
            </w:r>
          </w:p>
        </w:tc>
      </w:tr>
      <w:tr w:rsidRPr="00CC3E5D" w:rsidR="00DD1B31" w:rsidTr="00FE0BDD" w14:paraId="1A524789" w14:textId="77777777">
        <w:tc>
          <w:tcPr>
            <w:tcW w:w="2500" w:type="pct"/>
            <w:tcBorders>
              <w:top w:val="single" w:color="auto" w:sz="4" w:space="0"/>
              <w:left w:val="single" w:color="auto" w:sz="4" w:space="0"/>
              <w:bottom w:val="single" w:color="auto" w:sz="4" w:space="0"/>
              <w:right w:val="single" w:color="auto" w:sz="4" w:space="0"/>
            </w:tcBorders>
            <w:hideMark/>
          </w:tcPr>
          <w:p w:rsidRPr="00CC3E5D" w:rsidR="00DD1B31" w:rsidP="00FE0BDD" w:rsidRDefault="00DD1B31" w14:paraId="7D6516BD" w14:textId="77777777">
            <w:pPr>
              <w:spacing w:before="80" w:after="80"/>
              <w:ind w:left="80" w:right="80"/>
            </w:pPr>
            <w:r w:rsidRPr="00CC3E5D">
              <w:t>The EU Agenda for Cities should establish a permanent, structured and inclusive multi</w:t>
            </w:r>
            <w:r w:rsidRPr="00CC3E5D">
              <w:noBreakHyphen/>
              <w:t>level governance framework that ensures meaningful partnerships with subnational governments and civil society to shape EU legislation across all policy areas. It should also improve how EU policies are implemented at local level. The EESC believes that the partnership principle must be understood as a process of continuous engagement rather than a one</w:t>
            </w:r>
            <w:r w:rsidRPr="00CC3E5D">
              <w:noBreakHyphen/>
              <w:t>off consultation exercise. In line with the recommendations of the European Community of Practice on Partnership, partners should be involved throughout the entire policy cycle, from priority</w:t>
            </w:r>
            <w:r w:rsidRPr="00CC3E5D">
              <w:noBreakHyphen/>
              <w:t>setting and programme design to implementation, monitoring and evaluation. If the agenda is to be genuinely applied across all policies, a team or unit within the Commission should be designated to coordinate the EU Agenda for Cities and ensure an integrated approach. To date, it has often been the case that each policy area has addressed the urban dimension separately, leading to duplicated efforts and, at times, conflicting requirements placed on municipalities, which, in practice, make it difficult or impossible to implement measures.</w:t>
            </w:r>
          </w:p>
        </w:tc>
        <w:tc>
          <w:tcPr>
            <w:tcW w:w="2500" w:type="pct"/>
            <w:tcBorders>
              <w:top w:val="single" w:color="auto" w:sz="4" w:space="0"/>
              <w:left w:val="single" w:color="auto" w:sz="4" w:space="0"/>
              <w:bottom w:val="single" w:color="auto" w:sz="4" w:space="0"/>
              <w:right w:val="single" w:color="auto" w:sz="4" w:space="0"/>
            </w:tcBorders>
            <w:hideMark/>
          </w:tcPr>
          <w:p w:rsidRPr="00CC3E5D" w:rsidR="00DD1B31" w:rsidP="00FE0BDD" w:rsidRDefault="00DD1B31" w14:paraId="2A264C85" w14:textId="77777777">
            <w:pPr>
              <w:spacing w:before="80" w:after="80"/>
              <w:ind w:left="80" w:right="80"/>
            </w:pPr>
            <w:r w:rsidRPr="00CC3E5D">
              <w:t>The EU Agenda for Cities should establish a permanent, structured and inclusive multi</w:t>
            </w:r>
            <w:r w:rsidRPr="00CC3E5D">
              <w:noBreakHyphen/>
              <w:t xml:space="preserve">level governance framework that ensures meaningful partnerships with subnational governments and </w:t>
            </w:r>
            <w:r w:rsidRPr="00CC3E5D">
              <w:rPr>
                <w:b/>
                <w:bCs/>
                <w:i/>
              </w:rPr>
              <w:t>diverse</w:t>
            </w:r>
            <w:r w:rsidRPr="00CC3E5D">
              <w:t xml:space="preserve"> civil society to shape EU legislation across all policy areas. It should also improve how EU policies are implemented at local level. The EESC believes that the partnership principle must be understood as a process of continuous engagement rather than a one</w:t>
            </w:r>
            <w:r w:rsidRPr="00CC3E5D">
              <w:noBreakHyphen/>
              <w:t>off consultation exercise. In line with the recommendations of the European Community of Practice on Partnership, partners should be involved throughout the entire policy cycle, from priority</w:t>
            </w:r>
            <w:r w:rsidRPr="00CC3E5D">
              <w:noBreakHyphen/>
              <w:t>setting and programme design to implementation, monitoring and evaluation. If the agenda is to be genuinely applied across all policies, a team or unit within the Commission should be designated to coordinate the EU Agenda for Cities and ensure an integrated approach. To date, it has often been the case that each policy area has addressed the urban dimension separately, leading to duplicated efforts and, at times, conflicting requirements placed on municipalities, which, in practice, make it difficult or impossible to implement measures.</w:t>
            </w:r>
          </w:p>
        </w:tc>
      </w:tr>
    </w:tbl>
    <w:p w:rsidRPr="00CE1543" w:rsidR="00CE1543" w:rsidP="00CE1543" w:rsidRDefault="00CE1543" w14:paraId="2CD6A17F" w14:textId="77777777"/>
    <w:p w:rsidRPr="00CE1543" w:rsidR="00CE1543" w:rsidP="00CE1543" w:rsidRDefault="00CE1543" w14:paraId="40FE3F95" w14:textId="77777777">
      <w:r w:rsidRPr="00CE1543">
        <w:t>The amendment was accepted by the rapporteurs and by the Assembly.</w:t>
      </w:r>
    </w:p>
    <w:p w:rsidR="00D26B33" w:rsidP="00D26B33" w:rsidRDefault="00D26B33" w14:paraId="738F3784" w14:textId="77777777">
      <w:pPr>
        <w:rPr>
          <w:b/>
          <w:bCs/>
        </w:rPr>
      </w:pPr>
    </w:p>
    <w:p w:rsidRPr="00CE1543" w:rsidR="00D26B33" w:rsidP="00D26B33" w:rsidRDefault="00D26B33" w14:paraId="3328165B" w14:textId="70B7ED7D">
      <w:r w:rsidRPr="00CE1543">
        <w:rPr>
          <w:b/>
          <w:bCs/>
        </w:rPr>
        <w:t xml:space="preserve">Point </w:t>
      </w:r>
      <w:r>
        <w:rPr>
          <w:b/>
          <w:bCs/>
        </w:rPr>
        <w:t>3.9</w:t>
      </w:r>
      <w:r w:rsidRPr="00CE1543">
        <w:rPr>
          <w:b/>
          <w:bCs/>
        </w:rPr>
        <w:t xml:space="preserve"> - Amendment </w:t>
      </w:r>
      <w:r>
        <w:rPr>
          <w:b/>
          <w:bCs/>
        </w:rPr>
        <w:t>8</w:t>
      </w:r>
      <w:r w:rsidRPr="00CE1543">
        <w:t xml:space="preserve"> - tabled by </w:t>
      </w:r>
      <w:r w:rsidRPr="00DD1B31">
        <w:t>Dovilė JUODKAITĖ</w:t>
      </w:r>
    </w:p>
    <w:p w:rsidRPr="00CE1543" w:rsidR="00D26B33" w:rsidP="00D26B33" w:rsidRDefault="00D26B33" w14:paraId="23EE653F" w14:textId="77777777"/>
    <w:p w:rsidRPr="00CE1543" w:rsidR="00D26B33" w:rsidP="00D26B33" w:rsidRDefault="00D26B33" w14:paraId="0BAEE09B" w14:textId="77777777">
      <w:r w:rsidRPr="00CE1543">
        <w:t>Amend as follows:</w:t>
      </w:r>
    </w:p>
    <w:p w:rsidRPr="00CC3E5D" w:rsidR="00D26B33" w:rsidP="00D26B33" w:rsidRDefault="00D26B33" w14:paraId="26BFACD9"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CC3E5D" w:rsidR="00D26B33" w:rsidTr="00FE0BDD" w14:paraId="32E9CB67" w14:textId="77777777">
        <w:tc>
          <w:tcPr>
            <w:tcW w:w="2500" w:type="pct"/>
            <w:tcBorders>
              <w:top w:val="single" w:color="auto" w:sz="4" w:space="0"/>
              <w:left w:val="single" w:color="auto" w:sz="4" w:space="0"/>
              <w:bottom w:val="single" w:color="auto" w:sz="4" w:space="0"/>
              <w:right w:val="single" w:color="auto" w:sz="4" w:space="0"/>
            </w:tcBorders>
            <w:hideMark/>
          </w:tcPr>
          <w:p w:rsidRPr="00CC3E5D" w:rsidR="00D26B33" w:rsidP="00FE0BDD" w:rsidRDefault="00D26B33" w14:paraId="2256D2CE" w14:textId="77777777">
            <w:pPr>
              <w:jc w:val="center"/>
              <w:rPr>
                <w:b/>
                <w:bCs/>
                <w:i/>
              </w:rPr>
            </w:pPr>
            <w:r w:rsidRPr="00CC3E5D">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CC3E5D" w:rsidR="00D26B33" w:rsidP="00FE0BDD" w:rsidRDefault="00D26B33" w14:paraId="77E1F7BB" w14:textId="77777777">
            <w:pPr>
              <w:jc w:val="center"/>
              <w:rPr>
                <w:b/>
                <w:bCs/>
                <w:i/>
              </w:rPr>
            </w:pPr>
            <w:r w:rsidRPr="00CC3E5D">
              <w:rPr>
                <w:b/>
                <w:bCs/>
                <w:i/>
              </w:rPr>
              <w:t>Amendment</w:t>
            </w:r>
          </w:p>
        </w:tc>
      </w:tr>
      <w:tr w:rsidRPr="00CC3E5D" w:rsidR="00D26B33" w:rsidTr="00FE0BDD" w14:paraId="2ADD29D3" w14:textId="77777777">
        <w:tc>
          <w:tcPr>
            <w:tcW w:w="2500" w:type="pct"/>
            <w:tcBorders>
              <w:top w:val="single" w:color="auto" w:sz="4" w:space="0"/>
              <w:left w:val="single" w:color="auto" w:sz="4" w:space="0"/>
              <w:bottom w:val="single" w:color="auto" w:sz="4" w:space="0"/>
              <w:right w:val="single" w:color="auto" w:sz="4" w:space="0"/>
            </w:tcBorders>
            <w:hideMark/>
          </w:tcPr>
          <w:p w:rsidRPr="00CC3E5D" w:rsidR="00D26B33" w:rsidP="00FE0BDD" w:rsidRDefault="00D26B33" w14:paraId="4E2CFBAB" w14:textId="77777777">
            <w:pPr>
              <w:spacing w:before="40" w:after="40"/>
              <w:ind w:left="40" w:right="40"/>
            </w:pPr>
            <w:r w:rsidRPr="00CC3E5D">
              <w:t>3.9 The EESC considers that all forms of dialogue are necessary, and that approaching social and civic dialogue in a complementary and synergistic manner would constitute a major strength. Interest</w:t>
            </w:r>
            <w:r w:rsidRPr="00CC3E5D">
              <w:noBreakHyphen/>
              <w:t>representation and intergenerational processes should be revised to ensure that participation is inclusive and balanced from both a territorial and sectoral perspective. In this context, a thematic partnership should be established under the Ljubljana Agreement on the future of partnership, and the European Code of Conduct on Partnership reformed. Moreover, the proposed technical</w:t>
            </w:r>
            <w:r w:rsidRPr="00CC3E5D">
              <w:noBreakHyphen/>
              <w:t xml:space="preserve">level dialogue should be closely linked to the Ljubljana Agreement to guarantee coherence and alignment across governance levels. Within the dialogue, special attention should be given to representing European youth and their vision for the future development of EU cities, as well as to specific groups with specific needs (e.g., migrants). </w:t>
            </w:r>
          </w:p>
          <w:p w:rsidRPr="00CC3E5D" w:rsidR="00D26B33" w:rsidP="00FE0BDD" w:rsidRDefault="00D26B33" w14:paraId="2EBFB360" w14:textId="77777777">
            <w:pPr>
              <w:spacing w:before="40" w:after="40"/>
              <w:ind w:left="40" w:right="40"/>
            </w:pPr>
            <w:r w:rsidRPr="00CC3E5D">
              <w:t>At strategic level, cities should implement monitoring and mitigation strategies for noise and light pollution, integrating them into broader environmental and health policies, and integrate mental</w:t>
            </w:r>
            <w:r w:rsidRPr="00CC3E5D">
              <w:noBreakHyphen/>
              <w:t>health promotion and accessible psychological support into local strategies, ensuring that well</w:t>
            </w:r>
            <w:r w:rsidRPr="00CC3E5D">
              <w:noBreakHyphen/>
              <w:t>being is treated as a core urban priority rather than an afterthought.</w:t>
            </w:r>
          </w:p>
        </w:tc>
        <w:tc>
          <w:tcPr>
            <w:tcW w:w="2500" w:type="pct"/>
            <w:tcBorders>
              <w:top w:val="single" w:color="auto" w:sz="4" w:space="0"/>
              <w:left w:val="single" w:color="auto" w:sz="4" w:space="0"/>
              <w:bottom w:val="single" w:color="auto" w:sz="4" w:space="0"/>
              <w:right w:val="single" w:color="auto" w:sz="4" w:space="0"/>
            </w:tcBorders>
            <w:hideMark/>
          </w:tcPr>
          <w:p w:rsidRPr="00CC3E5D" w:rsidR="00D26B33" w:rsidP="00FE0BDD" w:rsidRDefault="00D26B33" w14:paraId="0B514511" w14:textId="77777777">
            <w:pPr>
              <w:spacing w:before="80" w:after="40"/>
              <w:ind w:left="80" w:right="80"/>
              <w:rPr>
                <w:b/>
                <w:bCs/>
                <w:i/>
              </w:rPr>
            </w:pPr>
            <w:r w:rsidRPr="00CC3E5D">
              <w:t>3.9 The EESC considers that all forms of dialogue are necessary, and that approaching social and civic dialogue in a complementary and synergistic manner would constitute a major strength. Interest</w:t>
            </w:r>
            <w:r w:rsidRPr="00CC3E5D">
              <w:noBreakHyphen/>
              <w:t>representation and intergenerational processes should be revised to ensure that participation is inclusive and balanced from both a territorial and sectoral perspective. In this context, a thematic partnership should be established under the Ljubljana Agreement on the future of partnership, and the European Code of Conduct on Partnership reformed. Moreover, the proposed technical</w:t>
            </w:r>
            <w:r w:rsidRPr="00CC3E5D">
              <w:noBreakHyphen/>
              <w:t>level dialogue should be closely linked to the Ljubljana Agreement to guarantee coherence and alignment across governance levels. Within the dialogue, special attention should be given to representing European youth and their vision for the future development of EU cities, as well as to specific groups with specific needs (e.g., migrants</w:t>
            </w:r>
            <w:r w:rsidRPr="00CC3E5D">
              <w:rPr>
                <w:b/>
                <w:bCs/>
                <w:i/>
              </w:rPr>
              <w:t>, people with disabilities</w:t>
            </w:r>
            <w:r w:rsidRPr="00CC3E5D">
              <w:t>)</w:t>
            </w:r>
            <w:r w:rsidRPr="00CC3E5D">
              <w:rPr>
                <w:b/>
                <w:bCs/>
                <w:i/>
              </w:rPr>
              <w:t>.</w:t>
            </w:r>
          </w:p>
          <w:p w:rsidRPr="00CC3E5D" w:rsidR="00D26B33" w:rsidP="00FE0BDD" w:rsidRDefault="00D26B33" w14:paraId="47D352D3" w14:textId="77777777">
            <w:pPr>
              <w:spacing w:before="80" w:after="40"/>
              <w:ind w:left="80" w:right="80"/>
            </w:pPr>
          </w:p>
          <w:p w:rsidRPr="00CC3E5D" w:rsidR="00D26B33" w:rsidP="00FE0BDD" w:rsidRDefault="00D26B33" w14:paraId="111D4498" w14:textId="77777777">
            <w:pPr>
              <w:spacing w:before="40" w:after="80"/>
              <w:ind w:left="80" w:right="80"/>
            </w:pPr>
            <w:r w:rsidRPr="00CC3E5D">
              <w:rPr>
                <w:b/>
                <w:bCs/>
                <w:i/>
              </w:rPr>
              <w:t>3</w:t>
            </w:r>
            <w:r w:rsidRPr="00CC3E5D">
              <w:t>.</w:t>
            </w:r>
            <w:r w:rsidRPr="00CC3E5D">
              <w:rPr>
                <w:b/>
                <w:bCs/>
                <w:i/>
              </w:rPr>
              <w:t>10</w:t>
            </w:r>
            <w:r w:rsidRPr="00CC3E5D">
              <w:t xml:space="preserve"> At strategic level, cities should implement monitoring and mitigation strategies for noise and light pollution, integrating them into broader environmental and health policies, and integrate mental</w:t>
            </w:r>
            <w:r w:rsidRPr="00CC3E5D">
              <w:noBreakHyphen/>
              <w:t>health promotion and accessible psychological support into local strategies, ensuring that well</w:t>
            </w:r>
            <w:r w:rsidRPr="00CC3E5D">
              <w:noBreakHyphen/>
              <w:t>being is treated as a core urban priority rather than an afterthought.</w:t>
            </w:r>
          </w:p>
        </w:tc>
      </w:tr>
    </w:tbl>
    <w:p w:rsidR="00D26B33" w:rsidP="00D26B33" w:rsidRDefault="00D26B33" w14:paraId="31247426" w14:textId="77777777"/>
    <w:p w:rsidRPr="00CE1543" w:rsidR="00D26B33" w:rsidP="00D26B33" w:rsidRDefault="00D26B33" w14:paraId="718CD47C" w14:textId="34C2D2F9">
      <w:r w:rsidRPr="00CE1543">
        <w:t>The amendment was accepted by the rapporteurs and by the Assembly.</w:t>
      </w:r>
    </w:p>
    <w:p w:rsidR="00D26B33" w:rsidP="00D26B33" w:rsidRDefault="00D26B33" w14:paraId="42C087F1" w14:textId="77777777">
      <w:pPr>
        <w:rPr>
          <w:b/>
          <w:bCs/>
        </w:rPr>
      </w:pPr>
    </w:p>
    <w:p w:rsidRPr="00CE1543" w:rsidR="00D26B33" w:rsidP="00D26B33" w:rsidRDefault="00D26B33" w14:paraId="6F2BFBCB" w14:textId="48B8DBDD">
      <w:r w:rsidRPr="00CE1543">
        <w:rPr>
          <w:b/>
          <w:bCs/>
        </w:rPr>
        <w:t xml:space="preserve">Point </w:t>
      </w:r>
      <w:r>
        <w:rPr>
          <w:b/>
          <w:bCs/>
        </w:rPr>
        <w:t>3.10</w:t>
      </w:r>
      <w:r w:rsidRPr="00CE1543">
        <w:rPr>
          <w:b/>
          <w:bCs/>
        </w:rPr>
        <w:t xml:space="preserve"> - Amendment </w:t>
      </w:r>
      <w:r>
        <w:rPr>
          <w:b/>
          <w:bCs/>
        </w:rPr>
        <w:t>9</w:t>
      </w:r>
      <w:r w:rsidRPr="00CE1543">
        <w:t xml:space="preserve"> - tabled by </w:t>
      </w:r>
      <w:r w:rsidRPr="00DD1B31">
        <w:t>Dovilė JUODKAITĖ</w:t>
      </w:r>
    </w:p>
    <w:p w:rsidRPr="00CE1543" w:rsidR="00D26B33" w:rsidP="00D26B33" w:rsidRDefault="00D26B33" w14:paraId="05679362" w14:textId="77777777"/>
    <w:p w:rsidRPr="00CE1543" w:rsidR="00D26B33" w:rsidP="00D26B33" w:rsidRDefault="00D26B33" w14:paraId="718DDB29" w14:textId="4E6878F4">
      <w:r w:rsidRPr="00D26B33">
        <w:t>Insert a new point</w:t>
      </w:r>
      <w:r w:rsidRPr="00CE1543">
        <w:t>:</w:t>
      </w:r>
    </w:p>
    <w:p w:rsidRPr="00CC3E5D" w:rsidR="00D26B33" w:rsidP="00D26B33" w:rsidRDefault="00D26B33" w14:paraId="7F571AAE"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CC3E5D" w:rsidR="00D26B33" w:rsidTr="00FE0BDD" w14:paraId="25399BDF" w14:textId="77777777">
        <w:tc>
          <w:tcPr>
            <w:tcW w:w="2500" w:type="pct"/>
            <w:tcBorders>
              <w:top w:val="single" w:color="auto" w:sz="4" w:space="0"/>
              <w:left w:val="single" w:color="auto" w:sz="4" w:space="0"/>
              <w:bottom w:val="single" w:color="auto" w:sz="4" w:space="0"/>
              <w:right w:val="single" w:color="auto" w:sz="4" w:space="0"/>
            </w:tcBorders>
            <w:hideMark/>
          </w:tcPr>
          <w:p w:rsidRPr="00CC3E5D" w:rsidR="00D26B33" w:rsidP="00FE0BDD" w:rsidRDefault="00D26B33" w14:paraId="4BA78E7B" w14:textId="77777777">
            <w:pPr>
              <w:jc w:val="center"/>
              <w:rPr>
                <w:b/>
                <w:bCs/>
                <w:i/>
              </w:rPr>
            </w:pPr>
            <w:r w:rsidRPr="00CC3E5D">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CC3E5D" w:rsidR="00D26B33" w:rsidP="00FE0BDD" w:rsidRDefault="00D26B33" w14:paraId="7611D587" w14:textId="77777777">
            <w:pPr>
              <w:jc w:val="center"/>
              <w:rPr>
                <w:b/>
                <w:bCs/>
                <w:i/>
              </w:rPr>
            </w:pPr>
            <w:r w:rsidRPr="00CC3E5D">
              <w:rPr>
                <w:b/>
                <w:bCs/>
                <w:i/>
              </w:rPr>
              <w:t>Amendment</w:t>
            </w:r>
          </w:p>
        </w:tc>
      </w:tr>
      <w:tr w:rsidRPr="00CC3E5D" w:rsidR="00D26B33" w:rsidTr="00FE0BDD" w14:paraId="1A5AC39A" w14:textId="77777777">
        <w:tc>
          <w:tcPr>
            <w:tcW w:w="2500" w:type="pct"/>
            <w:tcBorders>
              <w:top w:val="single" w:color="auto" w:sz="4" w:space="0"/>
              <w:left w:val="single" w:color="auto" w:sz="4" w:space="0"/>
              <w:bottom w:val="single" w:color="auto" w:sz="4" w:space="0"/>
              <w:right w:val="single" w:color="auto" w:sz="4" w:space="0"/>
            </w:tcBorders>
            <w:hideMark/>
          </w:tcPr>
          <w:p w:rsidRPr="00CC3E5D" w:rsidR="00D26B33" w:rsidP="00FE0BDD" w:rsidRDefault="00D26B33" w14:paraId="2E1D8F5B" w14:textId="77777777"/>
        </w:tc>
        <w:tc>
          <w:tcPr>
            <w:tcW w:w="2500" w:type="pct"/>
            <w:tcBorders>
              <w:top w:val="single" w:color="auto" w:sz="4" w:space="0"/>
              <w:left w:val="single" w:color="auto" w:sz="4" w:space="0"/>
              <w:bottom w:val="single" w:color="auto" w:sz="4" w:space="0"/>
              <w:right w:val="single" w:color="auto" w:sz="4" w:space="0"/>
            </w:tcBorders>
            <w:hideMark/>
          </w:tcPr>
          <w:p w:rsidRPr="00CC3E5D" w:rsidR="00D26B33" w:rsidP="00FE0BDD" w:rsidRDefault="00D26B33" w14:paraId="3F116BA1" w14:textId="77777777">
            <w:pPr>
              <w:spacing w:before="80" w:after="80"/>
              <w:ind w:left="80" w:right="80"/>
              <w:rPr>
                <w:b/>
                <w:bCs/>
                <w:i/>
              </w:rPr>
            </w:pPr>
            <w:r w:rsidRPr="00CC3E5D">
              <w:rPr>
                <w:b/>
                <w:bCs/>
                <w:i/>
              </w:rPr>
              <w:t>For cities to be liveable and accommodating all, they should systematically address barriers faced by some population groups, including persons with disabilities, older persons, etc. by ensuring accessible infrastructure, housing, public spaces, transport, and services, in line with universal design and reasonable accommodation. Urban policies must tackle challenges such as limited mobility, segregation, unequal access to services and full participation of vulnerable groups. Implementing EU policy and programmes of the Preparedness Union strategy, cities need to invest in resilience and preparedness measures to prevent and mitigate the impact of recent and future shocks to the system. Disability-inclusive disaster preparedness should be integrated across all stages, and persons with disabilities and their organizations must be meaningfully involved in planning and decision-making.</w:t>
            </w:r>
          </w:p>
        </w:tc>
      </w:tr>
    </w:tbl>
    <w:p w:rsidR="00CE1543" w:rsidP="00EC0F0F" w:rsidRDefault="00CE1543" w14:paraId="4B674221" w14:textId="77777777"/>
    <w:p w:rsidRPr="00CE1543" w:rsidR="00D26B33" w:rsidP="00D26B33" w:rsidRDefault="00D26B33" w14:paraId="00F9341D" w14:textId="77777777">
      <w:r w:rsidRPr="00CE1543">
        <w:t>The amendment was accepted by the rapporteurs and by the Assembly.</w:t>
      </w:r>
    </w:p>
    <w:p w:rsidR="00D26B33" w:rsidP="00D26B33" w:rsidRDefault="00D26B33" w14:paraId="7350E1D9" w14:textId="77777777">
      <w:pPr>
        <w:rPr>
          <w:b/>
          <w:bCs/>
        </w:rPr>
      </w:pPr>
    </w:p>
    <w:p w:rsidR="00D26B33" w:rsidP="00D26B33" w:rsidRDefault="00D26B33" w14:paraId="4D555221" w14:textId="3B3EB120">
      <w:r w:rsidRPr="00CE1543">
        <w:rPr>
          <w:b/>
          <w:bCs/>
        </w:rPr>
        <w:t xml:space="preserve">Point </w:t>
      </w:r>
      <w:r w:rsidR="0022595C">
        <w:rPr>
          <w:b/>
          <w:bCs/>
        </w:rPr>
        <w:t>1.4</w:t>
      </w:r>
      <w:r w:rsidRPr="00CE1543">
        <w:rPr>
          <w:b/>
          <w:bCs/>
        </w:rPr>
        <w:t xml:space="preserve"> - Amendment </w:t>
      </w:r>
      <w:r w:rsidR="0022595C">
        <w:rPr>
          <w:b/>
          <w:bCs/>
        </w:rPr>
        <w:t>4</w:t>
      </w:r>
      <w:r w:rsidRPr="00CE1543">
        <w:t xml:space="preserve"> - tabled by </w:t>
      </w:r>
      <w:r w:rsidRPr="0022595C" w:rsidR="0022595C">
        <w:t>Mira-Maria DANISMAN, Roman HAKEN and Florian MARIN</w:t>
      </w:r>
    </w:p>
    <w:p w:rsidR="0022595C" w:rsidP="00D26B33" w:rsidRDefault="0022595C" w14:paraId="163FCC23" w14:textId="77777777"/>
    <w:p w:rsidRPr="00CE1543" w:rsidR="0022595C" w:rsidP="0022595C" w:rsidRDefault="0022595C" w14:paraId="1DA5A106" w14:textId="77777777">
      <w:r w:rsidRPr="00CE1543">
        <w:t>Amend as follows:</w:t>
      </w:r>
    </w:p>
    <w:p w:rsidRPr="00CC3E5D" w:rsidR="0022595C" w:rsidP="0022595C" w:rsidRDefault="0022595C" w14:paraId="0EA2C245" w14:textId="77777777">
      <w:pPr>
        <w:jc w:val="center"/>
      </w:pPr>
    </w:p>
    <w:tbl>
      <w:tblPr>
        <w:tblStyle w:val="TableGrid1"/>
        <w:tblW w:w="5001" w:type="pct"/>
        <w:tblInd w:w="-120" w:type="dxa"/>
        <w:tblLayout w:type="fixed"/>
        <w:tblCellMar>
          <w:left w:w="115" w:type="dxa"/>
          <w:right w:w="115" w:type="dxa"/>
        </w:tblCellMar>
        <w:tblLook w:val="01E0" w:firstRow="1" w:lastRow="1" w:firstColumn="1" w:lastColumn="1" w:noHBand="0" w:noVBand="0"/>
      </w:tblPr>
      <w:tblGrid>
        <w:gridCol w:w="4511"/>
        <w:gridCol w:w="4554"/>
      </w:tblGrid>
      <w:tr w:rsidRPr="00CC3E5D" w:rsidR="0022595C" w:rsidTr="00FE0BDD" w14:paraId="1F95EE10" w14:textId="77777777">
        <w:tc>
          <w:tcPr>
            <w:tcW w:w="2488" w:type="pct"/>
            <w:tcBorders>
              <w:top w:val="single" w:color="auto" w:sz="4" w:space="0"/>
              <w:left w:val="single" w:color="auto" w:sz="4" w:space="0"/>
              <w:bottom w:val="single" w:color="auto" w:sz="4" w:space="0"/>
              <w:right w:val="single" w:color="auto" w:sz="4" w:space="0"/>
            </w:tcBorders>
          </w:tcPr>
          <w:p w:rsidRPr="00CC3E5D" w:rsidR="0022595C" w:rsidP="00FE0BDD" w:rsidRDefault="0022595C" w14:paraId="15037957" w14:textId="77777777">
            <w:pPr>
              <w:spacing w:before="80" w:after="40"/>
              <w:ind w:left="80" w:right="80"/>
              <w:jc w:val="center"/>
            </w:pPr>
            <w:r w:rsidRPr="00CC3E5D">
              <w:rPr>
                <w:b/>
                <w:bCs/>
                <w:i/>
              </w:rPr>
              <w:t>Section opinion</w:t>
            </w:r>
          </w:p>
        </w:tc>
        <w:tc>
          <w:tcPr>
            <w:tcW w:w="2512" w:type="pct"/>
            <w:tcBorders>
              <w:top w:val="single" w:color="auto" w:sz="4" w:space="0"/>
              <w:left w:val="single" w:color="auto" w:sz="4" w:space="0"/>
              <w:bottom w:val="single" w:color="auto" w:sz="4" w:space="0"/>
              <w:right w:val="single" w:color="auto" w:sz="4" w:space="0"/>
            </w:tcBorders>
          </w:tcPr>
          <w:p w:rsidRPr="00CC3E5D" w:rsidR="0022595C" w:rsidP="00FE0BDD" w:rsidRDefault="0022595C" w14:paraId="4152C680" w14:textId="77777777">
            <w:pPr>
              <w:spacing w:before="80" w:after="40"/>
              <w:ind w:left="80" w:right="80"/>
              <w:jc w:val="center"/>
            </w:pPr>
            <w:r w:rsidRPr="00CC3E5D">
              <w:rPr>
                <w:b/>
                <w:bCs/>
                <w:i/>
              </w:rPr>
              <w:t>Amendment</w:t>
            </w:r>
          </w:p>
        </w:tc>
      </w:tr>
      <w:tr w:rsidRPr="00CC3E5D" w:rsidR="0022595C" w:rsidTr="00FE0BDD" w14:paraId="65FCAD0F" w14:textId="77777777">
        <w:tc>
          <w:tcPr>
            <w:tcW w:w="2488" w:type="pct"/>
            <w:tcBorders>
              <w:top w:val="single" w:color="auto" w:sz="4" w:space="0"/>
              <w:left w:val="single" w:color="auto" w:sz="4" w:space="0"/>
              <w:bottom w:val="single" w:color="auto" w:sz="4" w:space="0"/>
              <w:right w:val="single" w:color="auto" w:sz="4" w:space="0"/>
            </w:tcBorders>
            <w:hideMark/>
          </w:tcPr>
          <w:p w:rsidRPr="00CC3E5D" w:rsidR="0022595C" w:rsidP="00FE0BDD" w:rsidRDefault="0022595C" w14:paraId="55DA979B" w14:textId="77777777">
            <w:pPr>
              <w:spacing w:before="80" w:after="40"/>
              <w:ind w:left="80" w:right="80"/>
            </w:pPr>
            <w:r w:rsidRPr="00CC3E5D">
              <w:t>The EESC therefore calls on the European Commission to:</w:t>
            </w:r>
          </w:p>
          <w:p w:rsidRPr="00CC3E5D" w:rsidR="0022595C" w:rsidP="0022595C" w:rsidRDefault="0022595C" w14:paraId="3DF6ED33" w14:textId="77777777">
            <w:pPr>
              <w:numPr>
                <w:ilvl w:val="0"/>
                <w:numId w:val="6"/>
              </w:numPr>
              <w:spacing w:before="220"/>
              <w:ind w:left="760" w:right="40"/>
            </w:pPr>
            <w:r w:rsidRPr="00CC3E5D">
              <w:t>formally recognise both the EESC and cities as equal partners in EU urban policymaking, and not merely as implementing actors, by establishing permanent and structured multi-level governance arrangements that enable cities to influence EU legislation and policy design from the earliest stages;</w:t>
            </w:r>
          </w:p>
          <w:p w:rsidRPr="00CC3E5D" w:rsidR="0022595C" w:rsidP="0022595C" w:rsidRDefault="0022595C" w14:paraId="44F699D7" w14:textId="77777777">
            <w:pPr>
              <w:numPr>
                <w:ilvl w:val="0"/>
                <w:numId w:val="6"/>
              </w:numPr>
              <w:ind w:left="760" w:right="40"/>
            </w:pPr>
            <w:r w:rsidRPr="00CC3E5D">
              <w:t>strengthen the partnership principle by guaranteeing the systematic and meaningful involvement of organised civil society and social partners throughout the entire policy cycle of the EU Agenda for Cities, including agenda-setting, implementation, monitoring and evaluation, and by moving beyond purely formal or late-stage consultations;</w:t>
            </w:r>
          </w:p>
          <w:p w:rsidRPr="00CC3E5D" w:rsidR="0022595C" w:rsidP="0022595C" w:rsidRDefault="0022595C" w14:paraId="43789E8D" w14:textId="77777777">
            <w:pPr>
              <w:numPr>
                <w:ilvl w:val="0"/>
                <w:numId w:val="6"/>
              </w:numPr>
              <w:ind w:left="760" w:right="40"/>
            </w:pPr>
            <w:r w:rsidRPr="00CC3E5D">
              <w:t>equip the EU Agenda for Cities with a concrete and operational action framework, including clearly defined responsibilities, timelines and measurable indicators, and by introducing systematic territorial impact assessments to evaluate the effects of EU legislation on cities and municipalities and a youth check mechanism;</w:t>
            </w:r>
          </w:p>
          <w:p w:rsidRPr="00CC3E5D" w:rsidR="0022595C" w:rsidP="0022595C" w:rsidRDefault="0022595C" w14:paraId="05677213" w14:textId="77777777">
            <w:pPr>
              <w:numPr>
                <w:ilvl w:val="0"/>
                <w:numId w:val="6"/>
              </w:numPr>
              <w:ind w:left="760" w:right="40"/>
            </w:pPr>
            <w:r w:rsidRPr="00CC3E5D">
              <w:t>ensure adequate, predictable and accessible financing for urban development, including direct access for cities to EU funding, more precise coordination of existing instruments and dedicated support for smaller towns and municipalities with limited administrative capacity;</w:t>
            </w:r>
          </w:p>
          <w:p w:rsidRPr="00CC3E5D" w:rsidR="0022595C" w:rsidP="0022595C" w:rsidRDefault="0022595C" w14:paraId="6C8FF720" w14:textId="77777777">
            <w:pPr>
              <w:numPr>
                <w:ilvl w:val="0"/>
                <w:numId w:val="6"/>
              </w:numPr>
              <w:ind w:left="760" w:right="40"/>
            </w:pPr>
            <w:r w:rsidRPr="00CC3E5D">
              <w:t>promote an integrated, project-oriented and place-based approach to territorial cohesion, explicitly strengthening complementarity between cities and rural areas and reinforcing EU-level support for urban resilience, climate adaptation, green infrastructure and digital transformation;</w:t>
            </w:r>
          </w:p>
          <w:p w:rsidRPr="00CC3E5D" w:rsidR="0022595C" w:rsidP="0022595C" w:rsidRDefault="0022595C" w14:paraId="6A08779D" w14:textId="77777777">
            <w:pPr>
              <w:numPr>
                <w:ilvl w:val="0"/>
                <w:numId w:val="6"/>
              </w:numPr>
              <w:ind w:left="760" w:right="40"/>
            </w:pPr>
            <w:r w:rsidRPr="00CC3E5D">
              <w:t>develop an EU-level urban dialogue within the EU Cities Platform intended to highlight the importance of the roles of social and civil dialogue for employment-related matters and conditions needed for creation of quality jobs. Approaching these matters in a synergistic manner is a strength of the agenda;</w:t>
            </w:r>
          </w:p>
          <w:p w:rsidRPr="00CC3E5D" w:rsidR="0022595C" w:rsidP="0022595C" w:rsidRDefault="0022595C" w14:paraId="61E1BEF0" w14:textId="77777777">
            <w:pPr>
              <w:numPr>
                <w:ilvl w:val="0"/>
                <w:numId w:val="6"/>
              </w:numPr>
              <w:ind w:left="760" w:right="40"/>
            </w:pPr>
            <w:r w:rsidRPr="00CC3E5D">
              <w:t>increase the technical assistance fund dedicated to cities and introduce a dedicated European initiative or fund focused directly on urban projects, allowing municipalities to apply directly without mediation by national authorities;</w:t>
            </w:r>
          </w:p>
          <w:p w:rsidRPr="00CC3E5D" w:rsidR="0022595C" w:rsidP="0022595C" w:rsidRDefault="0022595C" w14:paraId="2C66F586" w14:textId="77777777">
            <w:pPr>
              <w:numPr>
                <w:ilvl w:val="0"/>
                <w:numId w:val="6"/>
              </w:numPr>
              <w:ind w:left="760" w:right="40"/>
            </w:pPr>
            <w:r w:rsidRPr="00CC3E5D">
              <w:t>propose clear consultation standards to ensure meaningful, timely and representative involvement of social partners and civil society at all levels;</w:t>
            </w:r>
          </w:p>
          <w:p w:rsidRPr="00CC3E5D" w:rsidR="0022595C" w:rsidP="0022595C" w:rsidRDefault="0022595C" w14:paraId="04E5E495" w14:textId="77777777">
            <w:pPr>
              <w:numPr>
                <w:ilvl w:val="0"/>
                <w:numId w:val="6"/>
              </w:numPr>
              <w:ind w:left="760" w:right="40"/>
            </w:pPr>
            <w:r w:rsidRPr="00CC3E5D">
              <w:t>establish a unified EU-level framework for collecting and reporting on urban data to ensure indicators are comparable and monitoring is effective across Member States;</w:t>
            </w:r>
          </w:p>
          <w:p w:rsidRPr="00CC3E5D" w:rsidR="0022595C" w:rsidP="0022595C" w:rsidRDefault="0022595C" w14:paraId="027EE5E0" w14:textId="77777777">
            <w:pPr>
              <w:numPr>
                <w:ilvl w:val="0"/>
                <w:numId w:val="6"/>
              </w:numPr>
              <w:spacing w:after="260"/>
              <w:ind w:left="760" w:right="40"/>
            </w:pPr>
            <w:r w:rsidRPr="00CC3E5D">
              <w:t xml:space="preserve">recognise housing as a structural social and economic issue rather than a market outcome, and call for </w:t>
            </w:r>
            <w:r w:rsidRPr="00CC3E5D">
              <w:rPr>
                <w:b/>
                <w:bCs/>
                <w:i/>
              </w:rPr>
              <w:t>an EU framework</w:t>
            </w:r>
            <w:r w:rsidRPr="00CC3E5D">
              <w:t xml:space="preserve"> that ensure</w:t>
            </w:r>
            <w:r w:rsidRPr="00CC3E5D">
              <w:rPr>
                <w:b/>
                <w:bCs/>
                <w:i/>
                <w:iCs/>
              </w:rPr>
              <w:t>s</w:t>
            </w:r>
            <w:r w:rsidRPr="00CC3E5D">
              <w:t xml:space="preserve"> access to affordable, adequate and secure housing, including support for non-profit, cooperative and community-led housing models</w:t>
            </w:r>
            <w:r w:rsidRPr="00CC3E5D">
              <w:rPr>
                <w:b/>
                <w:bCs/>
                <w:i/>
                <w:iCs/>
              </w:rPr>
              <w:t>, as well</w:t>
            </w:r>
            <w:r w:rsidRPr="00CC3E5D">
              <w:t xml:space="preserve"> </w:t>
            </w:r>
            <w:r w:rsidRPr="00CC3E5D">
              <w:rPr>
                <w:b/>
                <w:bCs/>
                <w:i/>
                <w:iCs/>
              </w:rPr>
              <w:t>as stronger regulation of speculative investment and short-term rentals.</w:t>
            </w:r>
          </w:p>
        </w:tc>
        <w:tc>
          <w:tcPr>
            <w:tcW w:w="2512" w:type="pct"/>
            <w:tcBorders>
              <w:top w:val="single" w:color="auto" w:sz="4" w:space="0"/>
              <w:left w:val="single" w:color="auto" w:sz="4" w:space="0"/>
              <w:bottom w:val="single" w:color="auto" w:sz="4" w:space="0"/>
              <w:right w:val="single" w:color="auto" w:sz="4" w:space="0"/>
            </w:tcBorders>
            <w:hideMark/>
          </w:tcPr>
          <w:p w:rsidRPr="00CC3E5D" w:rsidR="0022595C" w:rsidP="00FE0BDD" w:rsidRDefault="0022595C" w14:paraId="59456943" w14:textId="77777777">
            <w:pPr>
              <w:spacing w:before="80" w:after="40"/>
              <w:ind w:left="80" w:right="80"/>
            </w:pPr>
            <w:r w:rsidRPr="00CC3E5D">
              <w:t>The EESC therefore calls on the European Commission to:</w:t>
            </w:r>
          </w:p>
          <w:p w:rsidRPr="00CC3E5D" w:rsidR="0022595C" w:rsidP="0022595C" w:rsidRDefault="0022595C" w14:paraId="56E41398" w14:textId="77777777">
            <w:pPr>
              <w:numPr>
                <w:ilvl w:val="0"/>
                <w:numId w:val="7"/>
              </w:numPr>
              <w:spacing w:before="220"/>
              <w:ind w:left="874" w:right="40" w:hanging="425"/>
            </w:pPr>
            <w:r w:rsidRPr="00CC3E5D">
              <w:t>formally recognise both the EESC and cities as equal partners in EU urban policymaking, and not merely as implementing actors, by establishing permanent and structured multi-level governance arrangements that enable cities to influence EU legislation and policy design from the earliest stages;</w:t>
            </w:r>
          </w:p>
          <w:p w:rsidRPr="00CC3E5D" w:rsidR="0022595C" w:rsidP="0022595C" w:rsidRDefault="0022595C" w14:paraId="06D0A06A" w14:textId="77777777">
            <w:pPr>
              <w:numPr>
                <w:ilvl w:val="0"/>
                <w:numId w:val="7"/>
              </w:numPr>
              <w:ind w:left="874" w:right="40" w:hanging="425"/>
            </w:pPr>
            <w:r w:rsidRPr="00CC3E5D">
              <w:t>strengthen the partnership principle by guaranteeing the systematic and meaningful involvement of organised civil society and social partners throughout the entire policy cycle of the EU Agenda for Cities, including agenda-setting, implementation, monitoring and evaluation, and by moving beyond purely formal or late-stage consultations;</w:t>
            </w:r>
          </w:p>
          <w:p w:rsidRPr="00CC3E5D" w:rsidR="0022595C" w:rsidP="0022595C" w:rsidRDefault="0022595C" w14:paraId="0CA6AF18" w14:textId="77777777">
            <w:pPr>
              <w:numPr>
                <w:ilvl w:val="0"/>
                <w:numId w:val="7"/>
              </w:numPr>
              <w:ind w:left="874" w:right="40" w:hanging="425"/>
            </w:pPr>
            <w:r w:rsidRPr="00CC3E5D">
              <w:t>equip the EU Agenda for Cities with a concrete and operational action framework, including clearly defined responsibilities, timelines and measurable indicators, and by introducing systematic territorial impact assessments to evaluate the effects of EU legislation on cities and municipalities and a youth check mechanism;</w:t>
            </w:r>
          </w:p>
          <w:p w:rsidRPr="00CC3E5D" w:rsidR="0022595C" w:rsidP="0022595C" w:rsidRDefault="0022595C" w14:paraId="7197E21D" w14:textId="77777777">
            <w:pPr>
              <w:numPr>
                <w:ilvl w:val="0"/>
                <w:numId w:val="7"/>
              </w:numPr>
              <w:ind w:left="874" w:right="40" w:hanging="631"/>
            </w:pPr>
            <w:r w:rsidRPr="00CC3E5D">
              <w:t>ensure adequate, predictable and accessible financing for urban development, including direct access for cities to EU funding, more precise coordination of existing instruments and dedicated support for smaller towns and municipalities with limited administrative capacity;</w:t>
            </w:r>
          </w:p>
          <w:p w:rsidRPr="00CC3E5D" w:rsidR="0022595C" w:rsidP="0022595C" w:rsidRDefault="0022595C" w14:paraId="6ACA6DCA" w14:textId="77777777">
            <w:pPr>
              <w:numPr>
                <w:ilvl w:val="0"/>
                <w:numId w:val="7"/>
              </w:numPr>
              <w:ind w:left="874" w:right="40" w:hanging="425"/>
            </w:pPr>
            <w:r w:rsidRPr="00CC3E5D">
              <w:t>promote an integrated, project-oriented and place-based approach to territorial cohesion, explicitly strengthening complementarity between cities and rural areas and reinforcing EU-level support for urban resilience, climate adaptation, green infrastructure and digital transformation;</w:t>
            </w:r>
          </w:p>
          <w:p w:rsidRPr="00CC3E5D" w:rsidR="0022595C" w:rsidP="0022595C" w:rsidRDefault="0022595C" w14:paraId="72E2D6F1" w14:textId="77777777">
            <w:pPr>
              <w:numPr>
                <w:ilvl w:val="0"/>
                <w:numId w:val="7"/>
              </w:numPr>
              <w:ind w:left="874" w:right="40" w:hanging="425"/>
            </w:pPr>
            <w:r w:rsidRPr="00CC3E5D">
              <w:t>develop an EU-level urban dialogue within the EU Cities Platform intended to highlight the importance of the roles of social and civil dialogue for employment-related matters and conditions needed for creation of quality jobs. Approaching these matters in a synergistic manner is a strength of the agenda;</w:t>
            </w:r>
          </w:p>
          <w:p w:rsidRPr="00CC3E5D" w:rsidR="0022595C" w:rsidP="0022595C" w:rsidRDefault="0022595C" w14:paraId="035CBF6F" w14:textId="77777777">
            <w:pPr>
              <w:numPr>
                <w:ilvl w:val="0"/>
                <w:numId w:val="7"/>
              </w:numPr>
              <w:ind w:left="874" w:right="40" w:hanging="425"/>
            </w:pPr>
            <w:r w:rsidRPr="00CC3E5D">
              <w:t>increase the technical assistance fund dedicated to cities and introduce a dedicated European initiative or fund focused directly on urban projects, allowing municipalities to apply directly without mediation by national authorities;</w:t>
            </w:r>
          </w:p>
          <w:p w:rsidRPr="00CC3E5D" w:rsidR="0022595C" w:rsidP="0022595C" w:rsidRDefault="0022595C" w14:paraId="1828BDBF" w14:textId="77777777">
            <w:pPr>
              <w:numPr>
                <w:ilvl w:val="0"/>
                <w:numId w:val="7"/>
              </w:numPr>
              <w:ind w:left="874" w:right="40" w:hanging="425"/>
            </w:pPr>
            <w:r w:rsidRPr="00CC3E5D">
              <w:t>propose clear consultation standards to ensure meaningful, timely and representative involvement of social partners and civil society at all levels;</w:t>
            </w:r>
          </w:p>
          <w:p w:rsidRPr="00CC3E5D" w:rsidR="0022595C" w:rsidP="0022595C" w:rsidRDefault="0022595C" w14:paraId="6E04199B" w14:textId="77777777">
            <w:pPr>
              <w:numPr>
                <w:ilvl w:val="0"/>
                <w:numId w:val="7"/>
              </w:numPr>
              <w:ind w:left="874" w:right="40" w:hanging="425"/>
            </w:pPr>
            <w:r w:rsidRPr="00CC3E5D">
              <w:t>establish a unified EU-level framework for collecting and reporting on urban data to ensure indicators are comparable and monitoring is effective across Member States;</w:t>
            </w:r>
          </w:p>
          <w:p w:rsidRPr="00CC3E5D" w:rsidR="0022595C" w:rsidP="0022595C" w:rsidRDefault="0022595C" w14:paraId="2E574B9E" w14:textId="77777777">
            <w:pPr>
              <w:numPr>
                <w:ilvl w:val="0"/>
                <w:numId w:val="7"/>
              </w:numPr>
              <w:spacing w:after="260"/>
              <w:ind w:left="874" w:right="40" w:hanging="631"/>
            </w:pPr>
            <w:r w:rsidRPr="00CC3E5D">
              <w:t xml:space="preserve">recognise housing as a structural social and economic issue rather than </w:t>
            </w:r>
            <w:r w:rsidRPr="00CC3E5D">
              <w:rPr>
                <w:b/>
                <w:bCs/>
                <w:i/>
              </w:rPr>
              <w:t>only</w:t>
            </w:r>
            <w:r w:rsidRPr="00CC3E5D">
              <w:t xml:space="preserve"> a market outcome, and call for </w:t>
            </w:r>
            <w:r w:rsidRPr="00CC3E5D">
              <w:rPr>
                <w:b/>
                <w:bCs/>
                <w:i/>
              </w:rPr>
              <w:t>solutions at appropriate level</w:t>
            </w:r>
            <w:r w:rsidRPr="00CC3E5D">
              <w:t xml:space="preserve"> that ensure access to affordable, adequate and secure housing, including support for non-profit, cooperative and community-led housing models.</w:t>
            </w:r>
          </w:p>
        </w:tc>
      </w:tr>
    </w:tbl>
    <w:p w:rsidR="0022595C" w:rsidP="0022595C" w:rsidRDefault="0022595C" w14:paraId="2898258E" w14:textId="77777777"/>
    <w:p w:rsidRPr="00CE1543" w:rsidR="0022595C" w:rsidP="0022595C" w:rsidRDefault="0022595C" w14:paraId="3D418B46" w14:textId="778446AC">
      <w:r w:rsidRPr="00CE1543">
        <w:t>The amendment was accepted by the rapporteurs and by the Assembly.</w:t>
      </w:r>
    </w:p>
    <w:p w:rsidR="0022595C" w:rsidP="0022595C" w:rsidRDefault="0022595C" w14:paraId="1688DD64" w14:textId="77777777">
      <w:pPr>
        <w:rPr>
          <w:b/>
          <w:bCs/>
        </w:rPr>
      </w:pPr>
    </w:p>
    <w:p w:rsidR="00D26B33" w:rsidP="0022595C" w:rsidRDefault="0022595C" w14:paraId="33152565" w14:textId="74821586">
      <w:r w:rsidRPr="00CE1543">
        <w:rPr>
          <w:b/>
          <w:bCs/>
        </w:rPr>
        <w:t xml:space="preserve">Point </w:t>
      </w:r>
      <w:r>
        <w:rPr>
          <w:b/>
          <w:bCs/>
        </w:rPr>
        <w:t>1.4</w:t>
      </w:r>
      <w:r w:rsidRPr="00CE1543">
        <w:rPr>
          <w:b/>
          <w:bCs/>
        </w:rPr>
        <w:t xml:space="preserve"> - Amendment </w:t>
      </w:r>
      <w:r>
        <w:rPr>
          <w:b/>
          <w:bCs/>
        </w:rPr>
        <w:t>10</w:t>
      </w:r>
      <w:r w:rsidRPr="00CE1543">
        <w:t xml:space="preserve"> - tabled by</w:t>
      </w:r>
      <w:r w:rsidRPr="0022595C">
        <w:t xml:space="preserve"> Dovilė JUODKAITĖ</w:t>
      </w:r>
    </w:p>
    <w:p w:rsidR="0022595C" w:rsidP="0022595C" w:rsidRDefault="0022595C" w14:paraId="1F0EE501" w14:textId="77777777"/>
    <w:p w:rsidRPr="00CE1543" w:rsidR="0022595C" w:rsidP="0022595C" w:rsidRDefault="0022595C" w14:paraId="547071C1" w14:textId="77777777">
      <w:r w:rsidRPr="00CE1543">
        <w:t>Amend as follows:</w:t>
      </w:r>
    </w:p>
    <w:p w:rsidRPr="00CC3E5D" w:rsidR="0022595C" w:rsidP="0022595C" w:rsidRDefault="0022595C" w14:paraId="2A918847"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CC3E5D" w:rsidR="0022595C" w:rsidTr="00FE0BDD" w14:paraId="1DB3DAAD" w14:textId="77777777">
        <w:tc>
          <w:tcPr>
            <w:tcW w:w="2500" w:type="pct"/>
            <w:tcBorders>
              <w:top w:val="single" w:color="auto" w:sz="4" w:space="0"/>
              <w:left w:val="single" w:color="auto" w:sz="4" w:space="0"/>
              <w:bottom w:val="single" w:color="auto" w:sz="4" w:space="0"/>
              <w:right w:val="single" w:color="auto" w:sz="4" w:space="0"/>
            </w:tcBorders>
            <w:hideMark/>
          </w:tcPr>
          <w:p w:rsidRPr="00CC3E5D" w:rsidR="0022595C" w:rsidP="00FE0BDD" w:rsidRDefault="0022595C" w14:paraId="2C25D992" w14:textId="77777777">
            <w:pPr>
              <w:jc w:val="center"/>
              <w:rPr>
                <w:b/>
                <w:bCs/>
                <w:i/>
              </w:rPr>
            </w:pPr>
            <w:r w:rsidRPr="00CC3E5D">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CC3E5D" w:rsidR="0022595C" w:rsidP="00FE0BDD" w:rsidRDefault="0022595C" w14:paraId="43187E58" w14:textId="77777777">
            <w:pPr>
              <w:jc w:val="center"/>
              <w:rPr>
                <w:b/>
                <w:bCs/>
                <w:i/>
              </w:rPr>
            </w:pPr>
            <w:r w:rsidRPr="00CC3E5D">
              <w:rPr>
                <w:b/>
                <w:bCs/>
                <w:i/>
              </w:rPr>
              <w:t>Amendment</w:t>
            </w:r>
          </w:p>
        </w:tc>
      </w:tr>
      <w:tr w:rsidRPr="00CC3E5D" w:rsidR="0022595C" w:rsidTr="00FE0BDD" w14:paraId="4F36F008" w14:textId="77777777">
        <w:tc>
          <w:tcPr>
            <w:tcW w:w="2500" w:type="pct"/>
            <w:tcBorders>
              <w:top w:val="single" w:color="auto" w:sz="4" w:space="0"/>
              <w:left w:val="single" w:color="auto" w:sz="4" w:space="0"/>
              <w:bottom w:val="single" w:color="auto" w:sz="4" w:space="0"/>
              <w:right w:val="single" w:color="auto" w:sz="4" w:space="0"/>
            </w:tcBorders>
            <w:hideMark/>
          </w:tcPr>
          <w:p w:rsidRPr="00CC3E5D" w:rsidR="0022595C" w:rsidP="00FE0BDD" w:rsidRDefault="0022595C" w14:paraId="17D8D71F" w14:textId="77777777">
            <w:pPr>
              <w:spacing w:before="80" w:after="40"/>
              <w:ind w:left="80" w:right="80"/>
            </w:pPr>
            <w:r w:rsidRPr="00CC3E5D">
              <w:t>The EESC therefore calls on the European Commission to:</w:t>
            </w:r>
          </w:p>
          <w:p w:rsidRPr="00CC3E5D" w:rsidR="0022595C" w:rsidP="0022595C" w:rsidRDefault="0022595C" w14:paraId="74C1838B" w14:textId="77777777">
            <w:pPr>
              <w:numPr>
                <w:ilvl w:val="0"/>
                <w:numId w:val="8"/>
              </w:numPr>
              <w:spacing w:before="220"/>
              <w:ind w:left="760" w:right="40"/>
            </w:pPr>
            <w:r w:rsidRPr="00CC3E5D">
              <w:t>formally recognise both the EESC and cities as equal partners in EU urban policymaking, and not merely as implementing actors, by establishing permanent and structured multi-level governance arrangements that enable cities to influence EU legislation and policy design from the earliest stages;</w:t>
            </w:r>
          </w:p>
          <w:p w:rsidRPr="00CC3E5D" w:rsidR="0022595C" w:rsidP="0022595C" w:rsidRDefault="0022595C" w14:paraId="3EE0700B" w14:textId="77777777">
            <w:pPr>
              <w:numPr>
                <w:ilvl w:val="0"/>
                <w:numId w:val="8"/>
              </w:numPr>
              <w:ind w:left="760" w:right="40"/>
            </w:pPr>
            <w:r w:rsidRPr="00CC3E5D">
              <w:t>strengthen the partnership principle by guaranteeing the systematic and meaningful involvement of organised civil society and social partners throughout the entire policy cycle of the EU Agenda for Cities, including agenda-setting, implementation, monitoring and evaluation, and by moving beyond purely formal or late-stage consultations;</w:t>
            </w:r>
          </w:p>
          <w:p w:rsidRPr="00CC3E5D" w:rsidR="0022595C" w:rsidP="0022595C" w:rsidRDefault="0022595C" w14:paraId="43373C46" w14:textId="77777777">
            <w:pPr>
              <w:numPr>
                <w:ilvl w:val="0"/>
                <w:numId w:val="8"/>
              </w:numPr>
              <w:ind w:left="760" w:right="40"/>
            </w:pPr>
            <w:r w:rsidRPr="00CC3E5D">
              <w:t>equip the EU Agenda for Cities with a concrete and operational action framework, including clearly defined responsibilities, timelines and measurable indicators, and by introducing systematic territorial impact assessments to evaluate the effects of EU legislation on cities and municipalities and a youth check mechanism;</w:t>
            </w:r>
          </w:p>
          <w:p w:rsidRPr="00CC3E5D" w:rsidR="0022595C" w:rsidP="0022595C" w:rsidRDefault="0022595C" w14:paraId="391020F2" w14:textId="77777777">
            <w:pPr>
              <w:numPr>
                <w:ilvl w:val="0"/>
                <w:numId w:val="8"/>
              </w:numPr>
              <w:ind w:left="760" w:right="40"/>
            </w:pPr>
            <w:r w:rsidRPr="00CC3E5D">
              <w:t>ensure adequate, predictable and accessible financing for urban development, including direct access for cities to EU funding, more precise coordination of existing instruments and dedicated support for smaller towns and municipalities with limited administrative capacity;</w:t>
            </w:r>
          </w:p>
          <w:p w:rsidRPr="00CC3E5D" w:rsidR="0022595C" w:rsidP="0022595C" w:rsidRDefault="0022595C" w14:paraId="3ACCC3BF" w14:textId="77777777">
            <w:pPr>
              <w:numPr>
                <w:ilvl w:val="0"/>
                <w:numId w:val="8"/>
              </w:numPr>
              <w:ind w:left="760" w:right="40"/>
            </w:pPr>
            <w:r w:rsidRPr="00CC3E5D">
              <w:t>promote an integrated, project-oriented and place-based approach to territorial cohesion, explicitly strengthening complementarity between cities and rural areas and reinforcing EU-level support for urban resilience, climate adaptation, green infrastructure and digital transformation;</w:t>
            </w:r>
          </w:p>
          <w:p w:rsidRPr="00CC3E5D" w:rsidR="0022595C" w:rsidP="0022595C" w:rsidRDefault="0022595C" w14:paraId="5C7E5C70" w14:textId="77777777">
            <w:pPr>
              <w:numPr>
                <w:ilvl w:val="0"/>
                <w:numId w:val="8"/>
              </w:numPr>
              <w:ind w:left="760" w:right="40"/>
            </w:pPr>
            <w:r w:rsidRPr="00CC3E5D">
              <w:t>develop an EU-level urban dialogue within the EU Cities Platform intended to highlight the importance of the roles of social and civil dialogue for employment-related matters and conditions needed for creation of quality jobs. Approaching these matters in a synergistic manner is a strength of the agenda;</w:t>
            </w:r>
          </w:p>
          <w:p w:rsidRPr="00CC3E5D" w:rsidR="0022595C" w:rsidP="0022595C" w:rsidRDefault="0022595C" w14:paraId="76AD1DA9" w14:textId="77777777">
            <w:pPr>
              <w:numPr>
                <w:ilvl w:val="0"/>
                <w:numId w:val="8"/>
              </w:numPr>
              <w:ind w:left="760" w:right="40"/>
            </w:pPr>
            <w:r w:rsidRPr="00CC3E5D">
              <w:t>increase the technical assistance fund dedicated to cities and introduce a dedicated European initiative or fund focused directly on urban projects, allowing municipalities to apply directly without mediation by national authorities; propose clear consultation standards to ensure meaningful, timely and representative involvement of social partners and civil society at all levels;</w:t>
            </w:r>
          </w:p>
          <w:p w:rsidRPr="00CC3E5D" w:rsidR="0022595C" w:rsidP="0022595C" w:rsidRDefault="0022595C" w14:paraId="6A57C897" w14:textId="77777777">
            <w:pPr>
              <w:numPr>
                <w:ilvl w:val="0"/>
                <w:numId w:val="8"/>
              </w:numPr>
              <w:ind w:left="760" w:right="40"/>
            </w:pPr>
            <w:r w:rsidRPr="00CC3E5D">
              <w:t>establish a unified EU-level framework for collecting and reporting on urban data to ensure indicators are comparable and monitoring is effective across Member States;</w:t>
            </w:r>
          </w:p>
          <w:p w:rsidRPr="00CC3E5D" w:rsidR="0022595C" w:rsidP="0022595C" w:rsidRDefault="0022595C" w14:paraId="44B72DC9" w14:textId="77777777">
            <w:pPr>
              <w:numPr>
                <w:ilvl w:val="0"/>
                <w:numId w:val="8"/>
              </w:numPr>
              <w:spacing w:after="260"/>
              <w:ind w:left="760" w:right="40"/>
            </w:pPr>
            <w:r w:rsidRPr="00CC3E5D">
              <w:t>recognise housing as a structural social and economic issue rather than a market outcome, and call for an EU framework that ensures access to affordable, adequate and secure housing, including support for non-profit, cooperative and community-led housing models, as well as stronger regulation of speculative investment and short-term rentals.</w:t>
            </w:r>
          </w:p>
        </w:tc>
        <w:tc>
          <w:tcPr>
            <w:tcW w:w="2500" w:type="pct"/>
            <w:tcBorders>
              <w:top w:val="single" w:color="auto" w:sz="4" w:space="0"/>
              <w:left w:val="single" w:color="auto" w:sz="4" w:space="0"/>
              <w:bottom w:val="single" w:color="auto" w:sz="4" w:space="0"/>
              <w:right w:val="single" w:color="auto" w:sz="4" w:space="0"/>
            </w:tcBorders>
            <w:hideMark/>
          </w:tcPr>
          <w:p w:rsidRPr="00CC3E5D" w:rsidR="0022595C" w:rsidP="00FE0BDD" w:rsidRDefault="0022595C" w14:paraId="42644532" w14:textId="77777777">
            <w:pPr>
              <w:spacing w:before="80" w:after="40"/>
              <w:ind w:left="80" w:right="80"/>
            </w:pPr>
            <w:r w:rsidRPr="00CC3E5D">
              <w:t>The EESC therefore calls on the European Commission to:</w:t>
            </w:r>
          </w:p>
          <w:p w:rsidRPr="00CC3E5D" w:rsidR="0022595C" w:rsidP="0022595C" w:rsidRDefault="0022595C" w14:paraId="1BBF6C74" w14:textId="77777777">
            <w:pPr>
              <w:numPr>
                <w:ilvl w:val="0"/>
                <w:numId w:val="9"/>
              </w:numPr>
              <w:spacing w:before="220"/>
              <w:ind w:left="760" w:right="40"/>
            </w:pPr>
            <w:r w:rsidRPr="00CC3E5D">
              <w:t>formally recognise both the EESC and cities as equal partners in EU urban policymaking, and not merely as implementing actors, by establishing permanent and structured multi-level governance arrangements that enable cities to influence EU legislation and policy design from the earliest stages;</w:t>
            </w:r>
          </w:p>
          <w:p w:rsidRPr="00CC3E5D" w:rsidR="0022595C" w:rsidP="0022595C" w:rsidRDefault="0022595C" w14:paraId="19B05717" w14:textId="77777777">
            <w:pPr>
              <w:numPr>
                <w:ilvl w:val="0"/>
                <w:numId w:val="9"/>
              </w:numPr>
              <w:ind w:left="760" w:right="40"/>
            </w:pPr>
            <w:r w:rsidRPr="00CC3E5D">
              <w:t>strengthen the partnership principle by guaranteeing the systematic and meaningful involvement of organised civil society and social partners throughout the entire policy cycle of the EU Agenda for Cities, including agenda-setting, implementation, monitoring and evaluation, and by moving beyond purely formal or late-stage consultations;</w:t>
            </w:r>
          </w:p>
          <w:p w:rsidRPr="00CC3E5D" w:rsidR="0022595C" w:rsidP="0022595C" w:rsidRDefault="0022595C" w14:paraId="1D09C2A2" w14:textId="77777777">
            <w:pPr>
              <w:numPr>
                <w:ilvl w:val="0"/>
                <w:numId w:val="9"/>
              </w:numPr>
              <w:ind w:left="760" w:right="40"/>
            </w:pPr>
            <w:r w:rsidRPr="00CC3E5D">
              <w:t>equip the EU Agenda for Cities with a concrete and operational action framework, including clearly defined responsibilities, timelines and measurable indicators, and by introducing systematic territorial impact assessments to evaluate the effects of EU legislation on cities and municipalities and a youth check mechanism;</w:t>
            </w:r>
          </w:p>
          <w:p w:rsidRPr="00CC3E5D" w:rsidR="0022595C" w:rsidP="0022595C" w:rsidRDefault="0022595C" w14:paraId="1A7C79F3" w14:textId="77777777">
            <w:pPr>
              <w:numPr>
                <w:ilvl w:val="0"/>
                <w:numId w:val="9"/>
              </w:numPr>
              <w:ind w:left="760" w:right="40"/>
            </w:pPr>
            <w:r w:rsidRPr="00CC3E5D">
              <w:t>ensure adequate, predictable and accessible financing for urban development, including direct access for cities to EU funding, more precise coordination of existing instruments and dedicated support for smaller towns and municipalities with limited administrative capacity;</w:t>
            </w:r>
          </w:p>
          <w:p w:rsidRPr="00CC3E5D" w:rsidR="0022595C" w:rsidP="0022595C" w:rsidRDefault="0022595C" w14:paraId="345F227D" w14:textId="77777777">
            <w:pPr>
              <w:numPr>
                <w:ilvl w:val="0"/>
                <w:numId w:val="9"/>
              </w:numPr>
              <w:ind w:left="760" w:right="40"/>
            </w:pPr>
            <w:r w:rsidRPr="00CC3E5D">
              <w:t>promote an integrated, project-oriented and place-based approach to territorial cohesion, explicitly strengthening complementarity between cities and rural areas and reinforcing EU-level support for urban resilience, climate adaptation, green infrastructure and digital transformation;</w:t>
            </w:r>
          </w:p>
          <w:p w:rsidRPr="00CC3E5D" w:rsidR="0022595C" w:rsidP="0022595C" w:rsidRDefault="0022595C" w14:paraId="40BAECA1" w14:textId="77777777">
            <w:pPr>
              <w:numPr>
                <w:ilvl w:val="0"/>
                <w:numId w:val="9"/>
              </w:numPr>
              <w:ind w:left="760" w:right="40"/>
            </w:pPr>
            <w:r w:rsidRPr="00CC3E5D">
              <w:t>develop an EU-level urban dialogue within the EU Cities Platform intended to highlight the importance of the roles of social and civil dialogue for employment-related matters and conditions needed for creation of quality jobs. Approaching these matters in a synergistic manner is a strength of the agenda;</w:t>
            </w:r>
          </w:p>
          <w:p w:rsidRPr="00CC3E5D" w:rsidR="0022595C" w:rsidP="0022595C" w:rsidRDefault="0022595C" w14:paraId="5E14A072" w14:textId="77777777">
            <w:pPr>
              <w:numPr>
                <w:ilvl w:val="0"/>
                <w:numId w:val="9"/>
              </w:numPr>
              <w:ind w:left="760" w:right="40"/>
            </w:pPr>
            <w:r w:rsidRPr="00CC3E5D">
              <w:t>increase the technical assistance fund dedicated to cities and introduce a dedicated European initiative or fund focused directly on urban projects, allowing municipalities to apply directly without mediation by national authorities; propose clear consultation standards to ensure meaningful, timely and representative involvement of social partners and civil society at all levels;</w:t>
            </w:r>
          </w:p>
          <w:p w:rsidRPr="00CC3E5D" w:rsidR="0022595C" w:rsidP="0022595C" w:rsidRDefault="0022595C" w14:paraId="585C2BF3" w14:textId="77777777">
            <w:pPr>
              <w:numPr>
                <w:ilvl w:val="0"/>
                <w:numId w:val="9"/>
              </w:numPr>
              <w:ind w:left="760" w:right="40"/>
            </w:pPr>
            <w:r w:rsidRPr="00CC3E5D">
              <w:t>establish a unified EU-level framework for collecting and reporting on urban data to ensure indicators are comparable and monitoring is effective across Member States;</w:t>
            </w:r>
          </w:p>
          <w:p w:rsidRPr="00CC3E5D" w:rsidR="0022595C" w:rsidP="0022595C" w:rsidRDefault="0022595C" w14:paraId="630EF0C0" w14:textId="77777777">
            <w:pPr>
              <w:numPr>
                <w:ilvl w:val="0"/>
                <w:numId w:val="9"/>
              </w:numPr>
              <w:spacing w:after="260"/>
              <w:ind w:left="760" w:right="40"/>
            </w:pPr>
            <w:r w:rsidRPr="00CC3E5D">
              <w:t>recognise housing as a structural social and economic issue rather than a market outcome, and call for an EU framework that ensures access to affordable, adequate</w:t>
            </w:r>
            <w:r w:rsidRPr="00CC3E5D">
              <w:rPr>
                <w:b/>
                <w:bCs/>
                <w:i/>
              </w:rPr>
              <w:t>, accessible</w:t>
            </w:r>
            <w:r w:rsidRPr="00CC3E5D">
              <w:t xml:space="preserve"> and secure housing, including support for non-profit, cooperative and community-led housing models, as well as stronger regulation of speculative investment and short-term rentals.</w:t>
            </w:r>
          </w:p>
        </w:tc>
      </w:tr>
    </w:tbl>
    <w:p w:rsidR="0022595C" w:rsidP="0022595C" w:rsidRDefault="0022595C" w14:paraId="689AA684" w14:textId="77777777"/>
    <w:p w:rsidRPr="00CE1543" w:rsidR="0022595C" w:rsidP="0022595C" w:rsidRDefault="0022595C" w14:paraId="2ADF0B4F" w14:textId="77777777">
      <w:r w:rsidRPr="00CE1543">
        <w:t>The amendment was accepted by the rapporteurs and by the Assembly.</w:t>
      </w:r>
    </w:p>
    <w:p w:rsidR="0022595C" w:rsidP="0022595C" w:rsidRDefault="0022595C" w14:paraId="464FEB52" w14:textId="77777777"/>
    <w:p w:rsidRPr="00A67235" w:rsidR="000E4B6B" w:rsidP="00EC0F0F" w:rsidRDefault="000E4B6B" w14:paraId="0133C75D" w14:textId="6B1DE328">
      <w:r w:rsidRPr="00A67235">
        <w:t xml:space="preserve">The opinion </w:t>
      </w:r>
      <w:r w:rsidRPr="009A21EF" w:rsidR="009A21EF">
        <w:t xml:space="preserve">thus amended was put to the vote and was adopted </w:t>
      </w:r>
      <w:r w:rsidRPr="00A67235">
        <w:t>by</w:t>
      </w:r>
      <w:r w:rsidR="00177DAC">
        <w:t xml:space="preserve"> </w:t>
      </w:r>
      <w:r w:rsidR="00D95D9E">
        <w:t>224</w:t>
      </w:r>
      <w:r w:rsidRPr="00D95D9E" w:rsidR="003B465E">
        <w:t xml:space="preserve"> votes in favour</w:t>
      </w:r>
      <w:r w:rsidRPr="00D95D9E" w:rsidR="00466E13">
        <w:t xml:space="preserve"> </w:t>
      </w:r>
      <w:r w:rsidRPr="00D95D9E" w:rsidR="000A6320">
        <w:t xml:space="preserve">and </w:t>
      </w:r>
      <w:r w:rsidRPr="00D95D9E" w:rsidR="00857CB5">
        <w:t xml:space="preserve">with </w:t>
      </w:r>
      <w:r w:rsidR="00D95D9E">
        <w:t>2</w:t>
      </w:r>
      <w:r w:rsidRPr="00D95D9E" w:rsidR="003B465E">
        <w:t xml:space="preserve"> abstentions.</w:t>
      </w:r>
    </w:p>
    <w:p w:rsidRPr="00A67235" w:rsidR="000E4B6B" w:rsidP="00EC0F0F" w:rsidRDefault="000E4B6B" w14:paraId="3A73E4F8" w14:textId="77777777">
      <w:pPr>
        <w:rPr>
          <w:b/>
          <w:bCs/>
        </w:rPr>
      </w:pPr>
    </w:p>
    <w:p w:rsidRPr="00A67235" w:rsidR="000E4B6B" w:rsidP="00EC0F0F" w:rsidRDefault="000E4B6B" w14:paraId="0B23E20E" w14:textId="77777777">
      <w:pPr>
        <w:jc w:val="center"/>
      </w:pPr>
      <w:r w:rsidRPr="00A67235">
        <w:t>_____________</w:t>
      </w:r>
    </w:p>
    <w:sectPr w:rsidRPr="00A67235" w:rsidR="000E4B6B" w:rsidSect="00EC0F0F">
      <w:footerReference w:type="default" r:id="rId12"/>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32C52" w14:textId="77777777" w:rsidR="002130BF" w:rsidRDefault="002130BF">
      <w:r>
        <w:separator/>
      </w:r>
    </w:p>
  </w:endnote>
  <w:endnote w:type="continuationSeparator" w:id="0">
    <w:p w14:paraId="159A8A0F" w14:textId="77777777" w:rsidR="002130BF" w:rsidRDefault="00213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45121" w14:textId="289CF2C0" w:rsidR="00964A13" w:rsidRPr="00964A13" w:rsidRDefault="00736E07" w:rsidP="00964A13">
    <w:pPr>
      <w:pStyle w:val="Footer"/>
    </w:pPr>
    <w:r>
      <w:t>ECO/6</w:t>
    </w:r>
    <w:r w:rsidR="00D22F0C">
      <w:t>96</w:t>
    </w:r>
    <w:r>
      <w:t xml:space="preserve"> – EESC-</w:t>
    </w:r>
    <w:r w:rsidR="007F1384">
      <w:t>202</w:t>
    </w:r>
    <w:r w:rsidR="008F11E9">
      <w:t>5</w:t>
    </w:r>
    <w:r w:rsidR="007F1384">
      <w:t>-</w:t>
    </w:r>
    <w:r>
      <w:t>0</w:t>
    </w:r>
    <w:r w:rsidR="00D22F0C">
      <w:t>4288</w:t>
    </w:r>
    <w:r>
      <w:t>-00-00-</w:t>
    </w:r>
    <w:r w:rsidR="00964A13">
      <w:t>CR-REF (</w:t>
    </w:r>
    <w:r w:rsidR="00A04B94">
      <w:t>EN</w:t>
    </w:r>
    <w:r w:rsidR="00964A13">
      <w:t xml:space="preserve">) </w:t>
    </w:r>
    <w:r w:rsidR="00964A13">
      <w:fldChar w:fldCharType="begin"/>
    </w:r>
    <w:r w:rsidR="00964A13">
      <w:instrText xml:space="preserve"> PAGE  \* Arabic  \* MERGEFORMAT </w:instrText>
    </w:r>
    <w:r w:rsidR="00964A13">
      <w:fldChar w:fldCharType="separate"/>
    </w:r>
    <w:r w:rsidR="0011377A">
      <w:rPr>
        <w:noProof/>
      </w:rPr>
      <w:t>1</w:t>
    </w:r>
    <w:r w:rsidR="00964A13">
      <w:fldChar w:fldCharType="end"/>
    </w:r>
    <w:r w:rsidR="00964A13">
      <w:t>/</w:t>
    </w:r>
    <w:r w:rsidR="00964A13">
      <w:fldChar w:fldCharType="begin"/>
    </w:r>
    <w:r w:rsidR="00964A13">
      <w:instrText xml:space="preserve"> = </w:instrText>
    </w:r>
    <w:r w:rsidR="00964A13">
      <w:fldChar w:fldCharType="begin"/>
    </w:r>
    <w:r w:rsidR="00964A13">
      <w:instrText xml:space="preserve"> NUMPAGES </w:instrText>
    </w:r>
    <w:r w:rsidR="00964A13">
      <w:fldChar w:fldCharType="separate"/>
    </w:r>
    <w:r w:rsidR="0011377A">
      <w:rPr>
        <w:noProof/>
      </w:rPr>
      <w:instrText>1</w:instrText>
    </w:r>
    <w:r w:rsidR="00964A13">
      <w:fldChar w:fldCharType="end"/>
    </w:r>
    <w:r w:rsidR="00964A13">
      <w:instrText xml:space="preserve"> -0 </w:instrText>
    </w:r>
    <w:r w:rsidR="00964A13">
      <w:fldChar w:fldCharType="separate"/>
    </w:r>
    <w:r w:rsidR="0011377A">
      <w:rPr>
        <w:noProof/>
      </w:rPr>
      <w:t>1</w:t>
    </w:r>
    <w:r w:rsidR="00964A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346E9" w14:textId="77777777" w:rsidR="002130BF" w:rsidRDefault="002130BF">
      <w:r>
        <w:separator/>
      </w:r>
    </w:p>
  </w:footnote>
  <w:footnote w:type="continuationSeparator" w:id="0">
    <w:p w14:paraId="19941992" w14:textId="77777777" w:rsidR="002130BF" w:rsidRDefault="002130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8023B87"/>
    <w:multiLevelType w:val="hybridMultilevel"/>
    <w:tmpl w:val="B4C0CDE6"/>
    <w:lvl w:ilvl="0" w:tplc="AFF4B248">
      <w:start w:val="1"/>
      <w:numFmt w:val="bullet"/>
      <w:lvlText w:val=""/>
      <w:lvlJc w:val="left"/>
      <w:pPr>
        <w:ind w:left="1080" w:hanging="360"/>
      </w:pPr>
      <w:rPr>
        <w:rFonts w:ascii="Symbol" w:eastAsia="Symbol" w:hAnsi="Symbol" w:cs="Symbol"/>
      </w:rPr>
    </w:lvl>
    <w:lvl w:ilvl="1" w:tplc="2556CE8E">
      <w:start w:val="1"/>
      <w:numFmt w:val="bullet"/>
      <w:lvlText w:val="o"/>
      <w:lvlJc w:val="left"/>
      <w:pPr>
        <w:ind w:left="1800" w:hanging="360"/>
      </w:pPr>
      <w:rPr>
        <w:rFonts w:ascii="Courier New" w:eastAsia="Courier New" w:hAnsi="Courier New" w:cs="Courier New"/>
      </w:rPr>
    </w:lvl>
    <w:lvl w:ilvl="2" w:tplc="A9D86D60">
      <w:start w:val="1"/>
      <w:numFmt w:val="bullet"/>
      <w:lvlText w:val=""/>
      <w:lvlJc w:val="left"/>
      <w:pPr>
        <w:ind w:left="2520" w:hanging="360"/>
      </w:pPr>
      <w:rPr>
        <w:rFonts w:ascii="Wingdings" w:eastAsia="Wingdings" w:hAnsi="Wingdings" w:cs="Wingdings"/>
      </w:rPr>
    </w:lvl>
    <w:lvl w:ilvl="3" w:tplc="73AC0CF4">
      <w:start w:val="1"/>
      <w:numFmt w:val="bullet"/>
      <w:lvlText w:val=""/>
      <w:lvlJc w:val="left"/>
      <w:pPr>
        <w:ind w:left="3240" w:hanging="360"/>
      </w:pPr>
      <w:rPr>
        <w:rFonts w:ascii="Symbol" w:eastAsia="Symbol" w:hAnsi="Symbol" w:cs="Symbol"/>
      </w:rPr>
    </w:lvl>
    <w:lvl w:ilvl="4" w:tplc="6B10D432">
      <w:start w:val="1"/>
      <w:numFmt w:val="bullet"/>
      <w:lvlText w:val="o"/>
      <w:lvlJc w:val="left"/>
      <w:pPr>
        <w:ind w:left="3960" w:hanging="360"/>
      </w:pPr>
      <w:rPr>
        <w:rFonts w:ascii="Courier New" w:eastAsia="Courier New" w:hAnsi="Courier New" w:cs="Courier New"/>
      </w:rPr>
    </w:lvl>
    <w:lvl w:ilvl="5" w:tplc="39F85050">
      <w:start w:val="1"/>
      <w:numFmt w:val="bullet"/>
      <w:lvlText w:val=""/>
      <w:lvlJc w:val="left"/>
      <w:pPr>
        <w:ind w:left="4680" w:hanging="360"/>
      </w:pPr>
      <w:rPr>
        <w:rFonts w:ascii="Wingdings" w:eastAsia="Wingdings" w:hAnsi="Wingdings" w:cs="Wingdings"/>
      </w:rPr>
    </w:lvl>
    <w:lvl w:ilvl="6" w:tplc="779C3788">
      <w:start w:val="1"/>
      <w:numFmt w:val="bullet"/>
      <w:lvlText w:val=""/>
      <w:lvlJc w:val="left"/>
      <w:pPr>
        <w:ind w:left="5400" w:hanging="360"/>
      </w:pPr>
      <w:rPr>
        <w:rFonts w:ascii="Symbol" w:eastAsia="Symbol" w:hAnsi="Symbol" w:cs="Symbol"/>
      </w:rPr>
    </w:lvl>
    <w:lvl w:ilvl="7" w:tplc="D31C7494">
      <w:start w:val="1"/>
      <w:numFmt w:val="bullet"/>
      <w:lvlText w:val="o"/>
      <w:lvlJc w:val="left"/>
      <w:pPr>
        <w:ind w:left="6120" w:hanging="360"/>
      </w:pPr>
      <w:rPr>
        <w:rFonts w:ascii="Courier New" w:eastAsia="Courier New" w:hAnsi="Courier New" w:cs="Courier New"/>
      </w:rPr>
    </w:lvl>
    <w:lvl w:ilvl="8" w:tplc="D10654E8">
      <w:start w:val="1"/>
      <w:numFmt w:val="bullet"/>
      <w:lvlText w:val=""/>
      <w:lvlJc w:val="left"/>
      <w:pPr>
        <w:ind w:left="6840" w:hanging="360"/>
      </w:pPr>
      <w:rPr>
        <w:rFonts w:ascii="Wingdings" w:eastAsia="Wingdings" w:hAnsi="Wingdings" w:cs="Wingdings"/>
      </w:rPr>
    </w:lvl>
  </w:abstractNum>
  <w:abstractNum w:abstractNumId="2" w15:restartNumberingAfterBreak="0">
    <w:nsid w:val="1BC168A0"/>
    <w:multiLevelType w:val="hybridMultilevel"/>
    <w:tmpl w:val="1E3EAE7E"/>
    <w:lvl w:ilvl="0" w:tplc="A7A05134">
      <w:start w:val="1"/>
      <w:numFmt w:val="bullet"/>
      <w:lvlText w:val=""/>
      <w:lvlJc w:val="left"/>
      <w:pPr>
        <w:ind w:left="1080" w:hanging="360"/>
      </w:pPr>
      <w:rPr>
        <w:rFonts w:ascii="Symbol" w:eastAsia="Symbol" w:hAnsi="Symbol" w:cs="Symbol"/>
      </w:rPr>
    </w:lvl>
    <w:lvl w:ilvl="1" w:tplc="CBF05554">
      <w:start w:val="1"/>
      <w:numFmt w:val="bullet"/>
      <w:lvlText w:val="o"/>
      <w:lvlJc w:val="left"/>
      <w:pPr>
        <w:ind w:left="1800" w:hanging="360"/>
      </w:pPr>
      <w:rPr>
        <w:rFonts w:ascii="Courier New" w:eastAsia="Courier New" w:hAnsi="Courier New" w:cs="Courier New"/>
      </w:rPr>
    </w:lvl>
    <w:lvl w:ilvl="2" w:tplc="CCC68692">
      <w:start w:val="1"/>
      <w:numFmt w:val="bullet"/>
      <w:lvlText w:val=""/>
      <w:lvlJc w:val="left"/>
      <w:pPr>
        <w:ind w:left="2520" w:hanging="360"/>
      </w:pPr>
      <w:rPr>
        <w:rFonts w:ascii="Wingdings" w:eastAsia="Wingdings" w:hAnsi="Wingdings" w:cs="Wingdings"/>
      </w:rPr>
    </w:lvl>
    <w:lvl w:ilvl="3" w:tplc="26B8D60C">
      <w:start w:val="1"/>
      <w:numFmt w:val="bullet"/>
      <w:lvlText w:val=""/>
      <w:lvlJc w:val="left"/>
      <w:pPr>
        <w:ind w:left="3240" w:hanging="360"/>
      </w:pPr>
      <w:rPr>
        <w:rFonts w:ascii="Symbol" w:eastAsia="Symbol" w:hAnsi="Symbol" w:cs="Symbol"/>
      </w:rPr>
    </w:lvl>
    <w:lvl w:ilvl="4" w:tplc="21425FAA">
      <w:start w:val="1"/>
      <w:numFmt w:val="bullet"/>
      <w:lvlText w:val="o"/>
      <w:lvlJc w:val="left"/>
      <w:pPr>
        <w:ind w:left="3960" w:hanging="360"/>
      </w:pPr>
      <w:rPr>
        <w:rFonts w:ascii="Courier New" w:eastAsia="Courier New" w:hAnsi="Courier New" w:cs="Courier New"/>
      </w:rPr>
    </w:lvl>
    <w:lvl w:ilvl="5" w:tplc="516ABB88">
      <w:start w:val="1"/>
      <w:numFmt w:val="bullet"/>
      <w:lvlText w:val=""/>
      <w:lvlJc w:val="left"/>
      <w:pPr>
        <w:ind w:left="4680" w:hanging="360"/>
      </w:pPr>
      <w:rPr>
        <w:rFonts w:ascii="Wingdings" w:eastAsia="Wingdings" w:hAnsi="Wingdings" w:cs="Wingdings"/>
      </w:rPr>
    </w:lvl>
    <w:lvl w:ilvl="6" w:tplc="05A28260">
      <w:start w:val="1"/>
      <w:numFmt w:val="bullet"/>
      <w:lvlText w:val=""/>
      <w:lvlJc w:val="left"/>
      <w:pPr>
        <w:ind w:left="5400" w:hanging="360"/>
      </w:pPr>
      <w:rPr>
        <w:rFonts w:ascii="Symbol" w:eastAsia="Symbol" w:hAnsi="Symbol" w:cs="Symbol"/>
      </w:rPr>
    </w:lvl>
    <w:lvl w:ilvl="7" w:tplc="3F5AF566">
      <w:start w:val="1"/>
      <w:numFmt w:val="bullet"/>
      <w:lvlText w:val="o"/>
      <w:lvlJc w:val="left"/>
      <w:pPr>
        <w:ind w:left="6120" w:hanging="360"/>
      </w:pPr>
      <w:rPr>
        <w:rFonts w:ascii="Courier New" w:eastAsia="Courier New" w:hAnsi="Courier New" w:cs="Courier New"/>
      </w:rPr>
    </w:lvl>
    <w:lvl w:ilvl="8" w:tplc="0046E1A4">
      <w:start w:val="1"/>
      <w:numFmt w:val="bullet"/>
      <w:lvlText w:val=""/>
      <w:lvlJc w:val="left"/>
      <w:pPr>
        <w:ind w:left="6840" w:hanging="360"/>
      </w:pPr>
      <w:rPr>
        <w:rFonts w:ascii="Wingdings" w:eastAsia="Wingdings" w:hAnsi="Wingdings" w:cs="Wingdings"/>
      </w:rPr>
    </w:lvl>
  </w:abstractNum>
  <w:abstractNum w:abstractNumId="3" w15:restartNumberingAfterBreak="0">
    <w:nsid w:val="2EC86654"/>
    <w:multiLevelType w:val="hybridMultilevel"/>
    <w:tmpl w:val="E8A0CE4C"/>
    <w:lvl w:ilvl="0" w:tplc="080C0001">
      <w:start w:val="1"/>
      <w:numFmt w:val="bullet"/>
      <w:lvlText w:val=""/>
      <w:lvlJc w:val="left"/>
      <w:pPr>
        <w:ind w:left="800" w:hanging="360"/>
      </w:pPr>
      <w:rPr>
        <w:rFonts w:ascii="Symbol" w:hAnsi="Symbol" w:hint="default"/>
      </w:rPr>
    </w:lvl>
    <w:lvl w:ilvl="1" w:tplc="080C0003" w:tentative="1">
      <w:start w:val="1"/>
      <w:numFmt w:val="bullet"/>
      <w:lvlText w:val="o"/>
      <w:lvlJc w:val="left"/>
      <w:pPr>
        <w:ind w:left="1520" w:hanging="360"/>
      </w:pPr>
      <w:rPr>
        <w:rFonts w:ascii="Courier New" w:hAnsi="Courier New" w:cs="Courier New" w:hint="default"/>
      </w:rPr>
    </w:lvl>
    <w:lvl w:ilvl="2" w:tplc="080C0005" w:tentative="1">
      <w:start w:val="1"/>
      <w:numFmt w:val="bullet"/>
      <w:lvlText w:val=""/>
      <w:lvlJc w:val="left"/>
      <w:pPr>
        <w:ind w:left="2240" w:hanging="360"/>
      </w:pPr>
      <w:rPr>
        <w:rFonts w:ascii="Wingdings" w:hAnsi="Wingdings" w:hint="default"/>
      </w:rPr>
    </w:lvl>
    <w:lvl w:ilvl="3" w:tplc="080C0001" w:tentative="1">
      <w:start w:val="1"/>
      <w:numFmt w:val="bullet"/>
      <w:lvlText w:val=""/>
      <w:lvlJc w:val="left"/>
      <w:pPr>
        <w:ind w:left="2960" w:hanging="360"/>
      </w:pPr>
      <w:rPr>
        <w:rFonts w:ascii="Symbol" w:hAnsi="Symbol" w:hint="default"/>
      </w:rPr>
    </w:lvl>
    <w:lvl w:ilvl="4" w:tplc="080C0003" w:tentative="1">
      <w:start w:val="1"/>
      <w:numFmt w:val="bullet"/>
      <w:lvlText w:val="o"/>
      <w:lvlJc w:val="left"/>
      <w:pPr>
        <w:ind w:left="3680" w:hanging="360"/>
      </w:pPr>
      <w:rPr>
        <w:rFonts w:ascii="Courier New" w:hAnsi="Courier New" w:cs="Courier New" w:hint="default"/>
      </w:rPr>
    </w:lvl>
    <w:lvl w:ilvl="5" w:tplc="080C0005" w:tentative="1">
      <w:start w:val="1"/>
      <w:numFmt w:val="bullet"/>
      <w:lvlText w:val=""/>
      <w:lvlJc w:val="left"/>
      <w:pPr>
        <w:ind w:left="4400" w:hanging="360"/>
      </w:pPr>
      <w:rPr>
        <w:rFonts w:ascii="Wingdings" w:hAnsi="Wingdings" w:hint="default"/>
      </w:rPr>
    </w:lvl>
    <w:lvl w:ilvl="6" w:tplc="080C0001" w:tentative="1">
      <w:start w:val="1"/>
      <w:numFmt w:val="bullet"/>
      <w:lvlText w:val=""/>
      <w:lvlJc w:val="left"/>
      <w:pPr>
        <w:ind w:left="5120" w:hanging="360"/>
      </w:pPr>
      <w:rPr>
        <w:rFonts w:ascii="Symbol" w:hAnsi="Symbol" w:hint="default"/>
      </w:rPr>
    </w:lvl>
    <w:lvl w:ilvl="7" w:tplc="080C0003" w:tentative="1">
      <w:start w:val="1"/>
      <w:numFmt w:val="bullet"/>
      <w:lvlText w:val="o"/>
      <w:lvlJc w:val="left"/>
      <w:pPr>
        <w:ind w:left="5840" w:hanging="360"/>
      </w:pPr>
      <w:rPr>
        <w:rFonts w:ascii="Courier New" w:hAnsi="Courier New" w:cs="Courier New" w:hint="default"/>
      </w:rPr>
    </w:lvl>
    <w:lvl w:ilvl="8" w:tplc="080C0005" w:tentative="1">
      <w:start w:val="1"/>
      <w:numFmt w:val="bullet"/>
      <w:lvlText w:val=""/>
      <w:lvlJc w:val="left"/>
      <w:pPr>
        <w:ind w:left="6560" w:hanging="360"/>
      </w:pPr>
      <w:rPr>
        <w:rFonts w:ascii="Wingdings" w:hAnsi="Wingdings" w:hint="default"/>
      </w:rPr>
    </w:lvl>
  </w:abstractNum>
  <w:abstractNum w:abstractNumId="4"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6B40C75"/>
    <w:multiLevelType w:val="hybridMultilevel"/>
    <w:tmpl w:val="2C46D512"/>
    <w:lvl w:ilvl="0" w:tplc="080C0001">
      <w:start w:val="1"/>
      <w:numFmt w:val="bullet"/>
      <w:lvlText w:val=""/>
      <w:lvlJc w:val="left"/>
      <w:pPr>
        <w:ind w:left="800" w:hanging="360"/>
      </w:pPr>
      <w:rPr>
        <w:rFonts w:ascii="Symbol" w:hAnsi="Symbol" w:hint="default"/>
      </w:rPr>
    </w:lvl>
    <w:lvl w:ilvl="1" w:tplc="080C0003" w:tentative="1">
      <w:start w:val="1"/>
      <w:numFmt w:val="bullet"/>
      <w:lvlText w:val="o"/>
      <w:lvlJc w:val="left"/>
      <w:pPr>
        <w:ind w:left="1520" w:hanging="360"/>
      </w:pPr>
      <w:rPr>
        <w:rFonts w:ascii="Courier New" w:hAnsi="Courier New" w:cs="Courier New" w:hint="default"/>
      </w:rPr>
    </w:lvl>
    <w:lvl w:ilvl="2" w:tplc="080C0005" w:tentative="1">
      <w:start w:val="1"/>
      <w:numFmt w:val="bullet"/>
      <w:lvlText w:val=""/>
      <w:lvlJc w:val="left"/>
      <w:pPr>
        <w:ind w:left="2240" w:hanging="360"/>
      </w:pPr>
      <w:rPr>
        <w:rFonts w:ascii="Wingdings" w:hAnsi="Wingdings" w:hint="default"/>
      </w:rPr>
    </w:lvl>
    <w:lvl w:ilvl="3" w:tplc="080C0001" w:tentative="1">
      <w:start w:val="1"/>
      <w:numFmt w:val="bullet"/>
      <w:lvlText w:val=""/>
      <w:lvlJc w:val="left"/>
      <w:pPr>
        <w:ind w:left="2960" w:hanging="360"/>
      </w:pPr>
      <w:rPr>
        <w:rFonts w:ascii="Symbol" w:hAnsi="Symbol" w:hint="default"/>
      </w:rPr>
    </w:lvl>
    <w:lvl w:ilvl="4" w:tplc="080C0003" w:tentative="1">
      <w:start w:val="1"/>
      <w:numFmt w:val="bullet"/>
      <w:lvlText w:val="o"/>
      <w:lvlJc w:val="left"/>
      <w:pPr>
        <w:ind w:left="3680" w:hanging="360"/>
      </w:pPr>
      <w:rPr>
        <w:rFonts w:ascii="Courier New" w:hAnsi="Courier New" w:cs="Courier New" w:hint="default"/>
      </w:rPr>
    </w:lvl>
    <w:lvl w:ilvl="5" w:tplc="080C0005" w:tentative="1">
      <w:start w:val="1"/>
      <w:numFmt w:val="bullet"/>
      <w:lvlText w:val=""/>
      <w:lvlJc w:val="left"/>
      <w:pPr>
        <w:ind w:left="4400" w:hanging="360"/>
      </w:pPr>
      <w:rPr>
        <w:rFonts w:ascii="Wingdings" w:hAnsi="Wingdings" w:hint="default"/>
      </w:rPr>
    </w:lvl>
    <w:lvl w:ilvl="6" w:tplc="080C0001" w:tentative="1">
      <w:start w:val="1"/>
      <w:numFmt w:val="bullet"/>
      <w:lvlText w:val=""/>
      <w:lvlJc w:val="left"/>
      <w:pPr>
        <w:ind w:left="5120" w:hanging="360"/>
      </w:pPr>
      <w:rPr>
        <w:rFonts w:ascii="Symbol" w:hAnsi="Symbol" w:hint="default"/>
      </w:rPr>
    </w:lvl>
    <w:lvl w:ilvl="7" w:tplc="080C0003" w:tentative="1">
      <w:start w:val="1"/>
      <w:numFmt w:val="bullet"/>
      <w:lvlText w:val="o"/>
      <w:lvlJc w:val="left"/>
      <w:pPr>
        <w:ind w:left="5840" w:hanging="360"/>
      </w:pPr>
      <w:rPr>
        <w:rFonts w:ascii="Courier New" w:hAnsi="Courier New" w:cs="Courier New" w:hint="default"/>
      </w:rPr>
    </w:lvl>
    <w:lvl w:ilvl="8" w:tplc="080C0005" w:tentative="1">
      <w:start w:val="1"/>
      <w:numFmt w:val="bullet"/>
      <w:lvlText w:val=""/>
      <w:lvlJc w:val="left"/>
      <w:pPr>
        <w:ind w:left="6560" w:hanging="360"/>
      </w:pPr>
      <w:rPr>
        <w:rFonts w:ascii="Wingdings" w:hAnsi="Wingdings" w:hint="default"/>
      </w:rPr>
    </w:lvl>
  </w:abstractNum>
  <w:abstractNum w:abstractNumId="6"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E44772E"/>
    <w:multiLevelType w:val="hybridMultilevel"/>
    <w:tmpl w:val="E1981026"/>
    <w:lvl w:ilvl="0" w:tplc="DD6E4696">
      <w:start w:val="1"/>
      <w:numFmt w:val="bullet"/>
      <w:lvlText w:val=""/>
      <w:lvlJc w:val="left"/>
      <w:pPr>
        <w:ind w:left="1080" w:hanging="360"/>
      </w:pPr>
      <w:rPr>
        <w:rFonts w:ascii="Symbol" w:eastAsia="Symbol" w:hAnsi="Symbol" w:cs="Symbol"/>
      </w:rPr>
    </w:lvl>
    <w:lvl w:ilvl="1" w:tplc="41C21F2A">
      <w:start w:val="1"/>
      <w:numFmt w:val="bullet"/>
      <w:lvlText w:val="o"/>
      <w:lvlJc w:val="left"/>
      <w:pPr>
        <w:ind w:left="1800" w:hanging="360"/>
      </w:pPr>
      <w:rPr>
        <w:rFonts w:ascii="Courier New" w:eastAsia="Courier New" w:hAnsi="Courier New" w:cs="Courier New"/>
      </w:rPr>
    </w:lvl>
    <w:lvl w:ilvl="2" w:tplc="F356EFC2">
      <w:start w:val="1"/>
      <w:numFmt w:val="bullet"/>
      <w:lvlText w:val=""/>
      <w:lvlJc w:val="left"/>
      <w:pPr>
        <w:ind w:left="2520" w:hanging="360"/>
      </w:pPr>
      <w:rPr>
        <w:rFonts w:ascii="Wingdings" w:eastAsia="Wingdings" w:hAnsi="Wingdings" w:cs="Wingdings"/>
      </w:rPr>
    </w:lvl>
    <w:lvl w:ilvl="3" w:tplc="A00C686A">
      <w:start w:val="1"/>
      <w:numFmt w:val="bullet"/>
      <w:lvlText w:val=""/>
      <w:lvlJc w:val="left"/>
      <w:pPr>
        <w:ind w:left="3240" w:hanging="360"/>
      </w:pPr>
      <w:rPr>
        <w:rFonts w:ascii="Symbol" w:eastAsia="Symbol" w:hAnsi="Symbol" w:cs="Symbol"/>
      </w:rPr>
    </w:lvl>
    <w:lvl w:ilvl="4" w:tplc="0BCCCD48">
      <w:start w:val="1"/>
      <w:numFmt w:val="bullet"/>
      <w:lvlText w:val="o"/>
      <w:lvlJc w:val="left"/>
      <w:pPr>
        <w:ind w:left="3960" w:hanging="360"/>
      </w:pPr>
      <w:rPr>
        <w:rFonts w:ascii="Courier New" w:eastAsia="Courier New" w:hAnsi="Courier New" w:cs="Courier New"/>
      </w:rPr>
    </w:lvl>
    <w:lvl w:ilvl="5" w:tplc="03482380">
      <w:start w:val="1"/>
      <w:numFmt w:val="bullet"/>
      <w:lvlText w:val=""/>
      <w:lvlJc w:val="left"/>
      <w:pPr>
        <w:ind w:left="4680" w:hanging="360"/>
      </w:pPr>
      <w:rPr>
        <w:rFonts w:ascii="Wingdings" w:eastAsia="Wingdings" w:hAnsi="Wingdings" w:cs="Wingdings"/>
      </w:rPr>
    </w:lvl>
    <w:lvl w:ilvl="6" w:tplc="460A4BE4">
      <w:start w:val="1"/>
      <w:numFmt w:val="bullet"/>
      <w:lvlText w:val=""/>
      <w:lvlJc w:val="left"/>
      <w:pPr>
        <w:ind w:left="5400" w:hanging="360"/>
      </w:pPr>
      <w:rPr>
        <w:rFonts w:ascii="Symbol" w:eastAsia="Symbol" w:hAnsi="Symbol" w:cs="Symbol"/>
      </w:rPr>
    </w:lvl>
    <w:lvl w:ilvl="7" w:tplc="0194DCB0">
      <w:start w:val="1"/>
      <w:numFmt w:val="bullet"/>
      <w:lvlText w:val="o"/>
      <w:lvlJc w:val="left"/>
      <w:pPr>
        <w:ind w:left="6120" w:hanging="360"/>
      </w:pPr>
      <w:rPr>
        <w:rFonts w:ascii="Courier New" w:eastAsia="Courier New" w:hAnsi="Courier New" w:cs="Courier New"/>
      </w:rPr>
    </w:lvl>
    <w:lvl w:ilvl="8" w:tplc="0526C8C2">
      <w:start w:val="1"/>
      <w:numFmt w:val="bullet"/>
      <w:lvlText w:val=""/>
      <w:lvlJc w:val="left"/>
      <w:pPr>
        <w:ind w:left="6840" w:hanging="360"/>
      </w:pPr>
      <w:rPr>
        <w:rFonts w:ascii="Wingdings" w:eastAsia="Wingdings" w:hAnsi="Wingdings" w:cs="Wingdings"/>
      </w:rPr>
    </w:lvl>
  </w:abstractNum>
  <w:abstractNum w:abstractNumId="8" w15:restartNumberingAfterBreak="0">
    <w:nsid w:val="7F9D05D9"/>
    <w:multiLevelType w:val="hybridMultilevel"/>
    <w:tmpl w:val="0DF83D12"/>
    <w:lvl w:ilvl="0" w:tplc="67E4F45C">
      <w:start w:val="1"/>
      <w:numFmt w:val="bullet"/>
      <w:lvlText w:val=""/>
      <w:lvlJc w:val="left"/>
      <w:pPr>
        <w:ind w:left="1080" w:hanging="360"/>
      </w:pPr>
      <w:rPr>
        <w:rFonts w:ascii="Symbol" w:eastAsia="Symbol" w:hAnsi="Symbol" w:cs="Symbol"/>
      </w:rPr>
    </w:lvl>
    <w:lvl w:ilvl="1" w:tplc="13EA4F62">
      <w:start w:val="1"/>
      <w:numFmt w:val="bullet"/>
      <w:lvlText w:val="o"/>
      <w:lvlJc w:val="left"/>
      <w:pPr>
        <w:ind w:left="1800" w:hanging="360"/>
      </w:pPr>
      <w:rPr>
        <w:rFonts w:ascii="Courier New" w:eastAsia="Courier New" w:hAnsi="Courier New" w:cs="Courier New"/>
      </w:rPr>
    </w:lvl>
    <w:lvl w:ilvl="2" w:tplc="F4726544">
      <w:start w:val="1"/>
      <w:numFmt w:val="bullet"/>
      <w:lvlText w:val=""/>
      <w:lvlJc w:val="left"/>
      <w:pPr>
        <w:ind w:left="2520" w:hanging="360"/>
      </w:pPr>
      <w:rPr>
        <w:rFonts w:ascii="Wingdings" w:eastAsia="Wingdings" w:hAnsi="Wingdings" w:cs="Wingdings"/>
      </w:rPr>
    </w:lvl>
    <w:lvl w:ilvl="3" w:tplc="75DAB28A">
      <w:start w:val="1"/>
      <w:numFmt w:val="bullet"/>
      <w:lvlText w:val=""/>
      <w:lvlJc w:val="left"/>
      <w:pPr>
        <w:ind w:left="3240" w:hanging="360"/>
      </w:pPr>
      <w:rPr>
        <w:rFonts w:ascii="Symbol" w:eastAsia="Symbol" w:hAnsi="Symbol" w:cs="Symbol"/>
      </w:rPr>
    </w:lvl>
    <w:lvl w:ilvl="4" w:tplc="03505626">
      <w:start w:val="1"/>
      <w:numFmt w:val="bullet"/>
      <w:lvlText w:val="o"/>
      <w:lvlJc w:val="left"/>
      <w:pPr>
        <w:ind w:left="3960" w:hanging="360"/>
      </w:pPr>
      <w:rPr>
        <w:rFonts w:ascii="Courier New" w:eastAsia="Courier New" w:hAnsi="Courier New" w:cs="Courier New"/>
      </w:rPr>
    </w:lvl>
    <w:lvl w:ilvl="5" w:tplc="5234F64C">
      <w:start w:val="1"/>
      <w:numFmt w:val="bullet"/>
      <w:lvlText w:val=""/>
      <w:lvlJc w:val="left"/>
      <w:pPr>
        <w:ind w:left="4680" w:hanging="360"/>
      </w:pPr>
      <w:rPr>
        <w:rFonts w:ascii="Wingdings" w:eastAsia="Wingdings" w:hAnsi="Wingdings" w:cs="Wingdings"/>
      </w:rPr>
    </w:lvl>
    <w:lvl w:ilvl="6" w:tplc="4782945A">
      <w:start w:val="1"/>
      <w:numFmt w:val="bullet"/>
      <w:lvlText w:val=""/>
      <w:lvlJc w:val="left"/>
      <w:pPr>
        <w:ind w:left="5400" w:hanging="360"/>
      </w:pPr>
      <w:rPr>
        <w:rFonts w:ascii="Symbol" w:eastAsia="Symbol" w:hAnsi="Symbol" w:cs="Symbol"/>
      </w:rPr>
    </w:lvl>
    <w:lvl w:ilvl="7" w:tplc="DBFE2DA8">
      <w:start w:val="1"/>
      <w:numFmt w:val="bullet"/>
      <w:lvlText w:val="o"/>
      <w:lvlJc w:val="left"/>
      <w:pPr>
        <w:ind w:left="6120" w:hanging="360"/>
      </w:pPr>
      <w:rPr>
        <w:rFonts w:ascii="Courier New" w:eastAsia="Courier New" w:hAnsi="Courier New" w:cs="Courier New"/>
      </w:rPr>
    </w:lvl>
    <w:lvl w:ilvl="8" w:tplc="F0A47AEE">
      <w:start w:val="1"/>
      <w:numFmt w:val="bullet"/>
      <w:lvlText w:val=""/>
      <w:lvlJc w:val="left"/>
      <w:pPr>
        <w:ind w:left="6840" w:hanging="360"/>
      </w:pPr>
      <w:rPr>
        <w:rFonts w:ascii="Wingdings" w:eastAsia="Wingdings" w:hAnsi="Wingdings" w:cs="Wingdings"/>
      </w:rPr>
    </w:lvl>
  </w:abstractNum>
  <w:num w:numId="1">
    <w:abstractNumId w:val="0"/>
  </w:num>
  <w:num w:numId="2">
    <w:abstractNumId w:val="4"/>
  </w:num>
  <w:num w:numId="3">
    <w:abstractNumId w:val="6"/>
  </w:num>
  <w:num w:numId="4">
    <w:abstractNumId w:val="3"/>
  </w:num>
  <w:num w:numId="5">
    <w:abstractNumId w:val="5"/>
  </w:num>
  <w:num w:numId="6">
    <w:abstractNumId w:val="1"/>
    <w:lvlOverride w:ilvl="0">
      <w:startOverride w:val="1"/>
    </w:lvlOverride>
  </w:num>
  <w:num w:numId="7">
    <w:abstractNumId w:val="2"/>
    <w:lvlOverride w:ilvl="0">
      <w:startOverride w:val="1"/>
    </w:lvlOverride>
  </w:num>
  <w:num w:numId="8">
    <w:abstractNumId w:val="8"/>
    <w:lvlOverride w:ilvl="0">
      <w:startOverride w:val="1"/>
    </w:lvlOverride>
  </w:num>
  <w:num w:numId="9">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04"/>
    <w:rsid w:val="00035D05"/>
    <w:rsid w:val="00036097"/>
    <w:rsid w:val="000743EA"/>
    <w:rsid w:val="0007564A"/>
    <w:rsid w:val="000A6320"/>
    <w:rsid w:val="000B3441"/>
    <w:rsid w:val="000D6AA3"/>
    <w:rsid w:val="000E4B6B"/>
    <w:rsid w:val="000F03D6"/>
    <w:rsid w:val="0011377A"/>
    <w:rsid w:val="00127E23"/>
    <w:rsid w:val="00143A71"/>
    <w:rsid w:val="0015330A"/>
    <w:rsid w:val="0015642E"/>
    <w:rsid w:val="00165632"/>
    <w:rsid w:val="001766AB"/>
    <w:rsid w:val="00177DAC"/>
    <w:rsid w:val="001A6606"/>
    <w:rsid w:val="001C7254"/>
    <w:rsid w:val="002130BF"/>
    <w:rsid w:val="0022595C"/>
    <w:rsid w:val="002346F9"/>
    <w:rsid w:val="00255A3F"/>
    <w:rsid w:val="002601CF"/>
    <w:rsid w:val="00273FDB"/>
    <w:rsid w:val="00284B50"/>
    <w:rsid w:val="002925F3"/>
    <w:rsid w:val="00297572"/>
    <w:rsid w:val="002B0DA2"/>
    <w:rsid w:val="002D2832"/>
    <w:rsid w:val="002F408A"/>
    <w:rsid w:val="003207CC"/>
    <w:rsid w:val="00320C0B"/>
    <w:rsid w:val="003439B0"/>
    <w:rsid w:val="00351527"/>
    <w:rsid w:val="003658B9"/>
    <w:rsid w:val="00365CF2"/>
    <w:rsid w:val="00381168"/>
    <w:rsid w:val="003876B5"/>
    <w:rsid w:val="00392924"/>
    <w:rsid w:val="003B465E"/>
    <w:rsid w:val="003C15D7"/>
    <w:rsid w:val="003C2604"/>
    <w:rsid w:val="003D7ED1"/>
    <w:rsid w:val="003E1619"/>
    <w:rsid w:val="003E7168"/>
    <w:rsid w:val="00410EA4"/>
    <w:rsid w:val="00423299"/>
    <w:rsid w:val="004459F8"/>
    <w:rsid w:val="00460CC5"/>
    <w:rsid w:val="00462091"/>
    <w:rsid w:val="004666B8"/>
    <w:rsid w:val="00466E13"/>
    <w:rsid w:val="004A0843"/>
    <w:rsid w:val="004A2A4D"/>
    <w:rsid w:val="004B48C5"/>
    <w:rsid w:val="004B4BF4"/>
    <w:rsid w:val="004D4467"/>
    <w:rsid w:val="004F33BD"/>
    <w:rsid w:val="00525783"/>
    <w:rsid w:val="005434A7"/>
    <w:rsid w:val="005632D3"/>
    <w:rsid w:val="00564B0D"/>
    <w:rsid w:val="00590C1E"/>
    <w:rsid w:val="00592891"/>
    <w:rsid w:val="005C0ED8"/>
    <w:rsid w:val="005E0AC9"/>
    <w:rsid w:val="005E0DA8"/>
    <w:rsid w:val="005E1A79"/>
    <w:rsid w:val="005E4FE1"/>
    <w:rsid w:val="005F5315"/>
    <w:rsid w:val="0060093D"/>
    <w:rsid w:val="006039C7"/>
    <w:rsid w:val="00630EF7"/>
    <w:rsid w:val="00631E06"/>
    <w:rsid w:val="00637E63"/>
    <w:rsid w:val="00646E27"/>
    <w:rsid w:val="00655B4A"/>
    <w:rsid w:val="00657235"/>
    <w:rsid w:val="00666DAA"/>
    <w:rsid w:val="0069664F"/>
    <w:rsid w:val="006E153D"/>
    <w:rsid w:val="00711DDB"/>
    <w:rsid w:val="00726994"/>
    <w:rsid w:val="0073571F"/>
    <w:rsid w:val="00736E07"/>
    <w:rsid w:val="00736E5A"/>
    <w:rsid w:val="007551A0"/>
    <w:rsid w:val="00781F89"/>
    <w:rsid w:val="007A0E6C"/>
    <w:rsid w:val="007B14F4"/>
    <w:rsid w:val="007C6A55"/>
    <w:rsid w:val="007D1435"/>
    <w:rsid w:val="007F1384"/>
    <w:rsid w:val="00810CB4"/>
    <w:rsid w:val="00815851"/>
    <w:rsid w:val="00826375"/>
    <w:rsid w:val="0083269D"/>
    <w:rsid w:val="00857CB5"/>
    <w:rsid w:val="008615B3"/>
    <w:rsid w:val="00862EFF"/>
    <w:rsid w:val="00877092"/>
    <w:rsid w:val="00892C39"/>
    <w:rsid w:val="008A371F"/>
    <w:rsid w:val="008E0097"/>
    <w:rsid w:val="008F11E9"/>
    <w:rsid w:val="008F1E9D"/>
    <w:rsid w:val="008F2211"/>
    <w:rsid w:val="00911202"/>
    <w:rsid w:val="009122E7"/>
    <w:rsid w:val="009326E3"/>
    <w:rsid w:val="00950FD3"/>
    <w:rsid w:val="00957E0F"/>
    <w:rsid w:val="00961F04"/>
    <w:rsid w:val="00964A13"/>
    <w:rsid w:val="00983FEF"/>
    <w:rsid w:val="009A06B2"/>
    <w:rsid w:val="009A21EF"/>
    <w:rsid w:val="009A455B"/>
    <w:rsid w:val="009C01D3"/>
    <w:rsid w:val="009D13D0"/>
    <w:rsid w:val="009E138D"/>
    <w:rsid w:val="00A04B94"/>
    <w:rsid w:val="00A11A21"/>
    <w:rsid w:val="00A14D3A"/>
    <w:rsid w:val="00A4021F"/>
    <w:rsid w:val="00A45E48"/>
    <w:rsid w:val="00A502CC"/>
    <w:rsid w:val="00A53158"/>
    <w:rsid w:val="00A64D59"/>
    <w:rsid w:val="00A67235"/>
    <w:rsid w:val="00A70F44"/>
    <w:rsid w:val="00A92A47"/>
    <w:rsid w:val="00AC0075"/>
    <w:rsid w:val="00AD7FA9"/>
    <w:rsid w:val="00B20B28"/>
    <w:rsid w:val="00B2153B"/>
    <w:rsid w:val="00B314DA"/>
    <w:rsid w:val="00B31CD1"/>
    <w:rsid w:val="00B322D1"/>
    <w:rsid w:val="00B80FF0"/>
    <w:rsid w:val="00B8529E"/>
    <w:rsid w:val="00BA00CF"/>
    <w:rsid w:val="00BA69AE"/>
    <w:rsid w:val="00BB538C"/>
    <w:rsid w:val="00BD38A4"/>
    <w:rsid w:val="00BE7410"/>
    <w:rsid w:val="00C05B64"/>
    <w:rsid w:val="00C240C5"/>
    <w:rsid w:val="00C36D1E"/>
    <w:rsid w:val="00C458FA"/>
    <w:rsid w:val="00C4683E"/>
    <w:rsid w:val="00C87758"/>
    <w:rsid w:val="00CC1E69"/>
    <w:rsid w:val="00CD00A4"/>
    <w:rsid w:val="00CE1543"/>
    <w:rsid w:val="00CE366C"/>
    <w:rsid w:val="00D051DD"/>
    <w:rsid w:val="00D22F0C"/>
    <w:rsid w:val="00D26B33"/>
    <w:rsid w:val="00D3099D"/>
    <w:rsid w:val="00D31144"/>
    <w:rsid w:val="00D41590"/>
    <w:rsid w:val="00D54F5F"/>
    <w:rsid w:val="00D636AD"/>
    <w:rsid w:val="00D806A2"/>
    <w:rsid w:val="00D849B1"/>
    <w:rsid w:val="00D95D9E"/>
    <w:rsid w:val="00DA2445"/>
    <w:rsid w:val="00DA7E82"/>
    <w:rsid w:val="00DB3BE0"/>
    <w:rsid w:val="00DB76EB"/>
    <w:rsid w:val="00DD05A8"/>
    <w:rsid w:val="00DD1B31"/>
    <w:rsid w:val="00E15C55"/>
    <w:rsid w:val="00E238AB"/>
    <w:rsid w:val="00E24886"/>
    <w:rsid w:val="00E53D90"/>
    <w:rsid w:val="00E55BBF"/>
    <w:rsid w:val="00E61AA9"/>
    <w:rsid w:val="00E70261"/>
    <w:rsid w:val="00E731A5"/>
    <w:rsid w:val="00E91F1D"/>
    <w:rsid w:val="00EA2E07"/>
    <w:rsid w:val="00EC0F0F"/>
    <w:rsid w:val="00ED671F"/>
    <w:rsid w:val="00ED6BB4"/>
    <w:rsid w:val="00EE54C7"/>
    <w:rsid w:val="00EF2E0F"/>
    <w:rsid w:val="00F01EB5"/>
    <w:rsid w:val="00F531CB"/>
    <w:rsid w:val="00F63B4A"/>
    <w:rsid w:val="00F936D5"/>
    <w:rsid w:val="00FC6AE1"/>
    <w:rsid w:val="00FE40EF"/>
    <w:rsid w:val="00FF5F2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58A1E8"/>
  <w15:docId w15:val="{EB7F1B43-D025-4A1C-B9BD-0170EEDD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543"/>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US" w:eastAsia="en-US"/>
    </w:rPr>
  </w:style>
  <w:style w:type="character" w:customStyle="1" w:styleId="Heading2Char">
    <w:name w:val="Heading 2 Char"/>
    <w:basedOn w:val="DefaultParagraphFont"/>
    <w:link w:val="Heading2"/>
    <w:rsid w:val="00B3047C"/>
    <w:rPr>
      <w:sz w:val="22"/>
      <w:szCs w:val="22"/>
      <w:lang w:val="en-US" w:eastAsia="en-US"/>
    </w:rPr>
  </w:style>
  <w:style w:type="character" w:customStyle="1" w:styleId="Heading3Char">
    <w:name w:val="Heading 3 Char"/>
    <w:basedOn w:val="DefaultParagraphFont"/>
    <w:link w:val="Heading3"/>
    <w:rsid w:val="00B3047C"/>
    <w:rPr>
      <w:sz w:val="22"/>
      <w:szCs w:val="22"/>
      <w:lang w:val="en-US" w:eastAsia="en-US"/>
    </w:rPr>
  </w:style>
  <w:style w:type="character" w:customStyle="1" w:styleId="Heading4Char">
    <w:name w:val="Heading 4 Char"/>
    <w:basedOn w:val="DefaultParagraphFont"/>
    <w:link w:val="Heading4"/>
    <w:rsid w:val="00B3047C"/>
    <w:rPr>
      <w:sz w:val="22"/>
      <w:szCs w:val="22"/>
      <w:lang w:val="en-US" w:eastAsia="en-US"/>
    </w:rPr>
  </w:style>
  <w:style w:type="character" w:customStyle="1" w:styleId="Heading5Char">
    <w:name w:val="Heading 5 Char"/>
    <w:basedOn w:val="DefaultParagraphFont"/>
    <w:link w:val="Heading5"/>
    <w:rsid w:val="00B3047C"/>
    <w:rPr>
      <w:sz w:val="22"/>
      <w:szCs w:val="22"/>
      <w:lang w:val="en-US" w:eastAsia="en-US"/>
    </w:rPr>
  </w:style>
  <w:style w:type="character" w:customStyle="1" w:styleId="Heading6Char">
    <w:name w:val="Heading 6 Char"/>
    <w:basedOn w:val="DefaultParagraphFont"/>
    <w:link w:val="Heading6"/>
    <w:rsid w:val="00B3047C"/>
    <w:rPr>
      <w:sz w:val="22"/>
      <w:szCs w:val="22"/>
      <w:lang w:val="en-US" w:eastAsia="en-US"/>
    </w:rPr>
  </w:style>
  <w:style w:type="character" w:customStyle="1" w:styleId="Heading7Char">
    <w:name w:val="Heading 7 Char"/>
    <w:basedOn w:val="DefaultParagraphFont"/>
    <w:link w:val="Heading7"/>
    <w:rsid w:val="00B3047C"/>
    <w:rPr>
      <w:sz w:val="22"/>
      <w:szCs w:val="22"/>
      <w:lang w:val="en-US" w:eastAsia="en-US"/>
    </w:rPr>
  </w:style>
  <w:style w:type="character" w:customStyle="1" w:styleId="Heading8Char">
    <w:name w:val="Heading 8 Char"/>
    <w:basedOn w:val="DefaultParagraphFont"/>
    <w:link w:val="Heading8"/>
    <w:rsid w:val="00B3047C"/>
    <w:rPr>
      <w:sz w:val="22"/>
      <w:szCs w:val="22"/>
      <w:lang w:val="en-US" w:eastAsia="en-US"/>
    </w:rPr>
  </w:style>
  <w:style w:type="character" w:customStyle="1" w:styleId="Heading9Char">
    <w:name w:val="Heading 9 Char"/>
    <w:basedOn w:val="DefaultParagraphFont"/>
    <w:link w:val="Heading9"/>
    <w:rsid w:val="00B3047C"/>
    <w:rPr>
      <w:sz w:val="22"/>
      <w:szCs w:val="22"/>
      <w:lang w:val="en-US"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US"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US"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table" w:customStyle="1" w:styleId="TableGrid1">
    <w:name w:val="Table Grid1"/>
    <w:basedOn w:val="TableNormal"/>
    <w:next w:val="TableGrid"/>
    <w:rsid w:val="008F1E9D"/>
    <w:pPr>
      <w:spacing w:line="288" w:lineRule="auto"/>
      <w:jc w:val="both"/>
    </w:pPr>
    <w:rPr>
      <w:lang w:val="en-GB"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8F1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EA2E07"/>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75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openxmlformats.org/officeDocument/2006/relationships/customXml" Target="../customXml/item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3.xml"/><Relationship Id="rId16"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customXml" Target="../customXml/item1.xml"/><Relationship Id="rId10" Type="http://schemas.openxmlformats.org/officeDocument/2006/relationships/endnotes" Target="endnotes.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7FAFB00F4882C04A82CD69E07FC3C83E" ma:contentTypeVersion="4" ma:contentTypeDescription="Defines the documents for Document Manager V2" ma:contentTypeScope="" ma:versionID="e1f91dccb3ac38b965a7df337298240c">
  <xsd:schema xmlns:xsd="http://www.w3.org/2001/XMLSchema" xmlns:xs="http://www.w3.org/2001/XMLSchema" xmlns:p="http://schemas.microsoft.com/office/2006/metadata/properties" xmlns:ns2="1a33af13-4045-4f88-9d7b-618e30f79918" xmlns:ns3="http://schemas.microsoft.com/sharepoint/v3/fields" xmlns:ns4="03db1768-8e83-4c4e-a8fb-1eb1d05ab6cf" targetNamespace="http://schemas.microsoft.com/office/2006/metadata/properties" ma:root="true" ma:fieldsID="729eb5977a1faeb1512aca3b9df79d2e" ns2:_="" ns3:_="" ns4:_="">
    <xsd:import namespace="1a33af13-4045-4f88-9d7b-618e30f79918"/>
    <xsd:import namespace="http://schemas.microsoft.com/sharepoint/v3/fields"/>
    <xsd:import namespace="03db1768-8e83-4c4e-a8fb-1eb1d05ab6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db1768-8e83-4c4e-a8fb-1eb1d05ab6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A6WAAD5KZT2Q-1415362569-8095</_dlc_DocId>
    <_dlc_DocIdUrl xmlns="1a33af13-4045-4f88-9d7b-618e30f79918">
      <Url>http://dm/eesc/2025/_layouts/15/DocIdRedir.aspx?ID=A6WAAD5KZT2Q-1415362569-8095</Url>
      <Description>A6WAAD5KZT2Q-1415362569-8095</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CR</TermName>
          <TermId xmlns="http://schemas.microsoft.com/office/infopath/2007/PartnerControls">3d8a0a7b-557a-49c4-997f-22056dbd9ff4</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2026-05-04T12:00:00+00:00</ProductionDate>
    <FicheYear xmlns="1a33af13-4045-4f88-9d7b-618e30f79918">2025</FicheYear>
    <DocumentNumber xmlns="03db1768-8e83-4c4e-a8fb-1eb1d05ab6cf">4288</DocumentNumber>
    <DossierNumber xmlns="1a33af13-4045-4f88-9d7b-618e30f79918">696</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 xsi:nil="true"/>
    <TaxCatchAll xmlns="1a33af13-4045-4f88-9d7b-618e30f79918">
      <Value>15</Value>
      <Value>78</Value>
      <Value>103</Value>
      <Value>8</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1a33af13-4045-4f88-9d7b-618e30f79918">HAKEN &amp; MARIN</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4559</FicheNumber>
    <OriginalSender xmlns="1a33af13-4045-4f88-9d7b-618e30f79918">
      <UserInfo>
        <DisplayName>TDriveSVCUserProd</DisplayName>
        <AccountId>1358</AccountId>
        <AccountType/>
      </UserInfo>
    </OriginalSender>
    <DocumentPart xmlns="1a33af13-4045-4f88-9d7b-618e30f79918">0</DocumentPart>
    <AdoptionDate xmlns="1a33af13-4045-4f88-9d7b-618e30f79918">2026-04-29T12:00:00+00:00</AdoptionDate>
    <RequestingService xmlns="1a33af13-4045-4f88-9d7b-618e30f79918">Union économique et monétaire et cohésion économique et sociale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REF</TermName>
          <TermId xmlns="http://schemas.microsoft.com/office/infopath/2007/PartnerControls">722611fd-7eaf-44e3-8780-a3226646f5f0</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3db1768-8e83-4c4e-a8fb-1eb1d05ab6cf"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Version xmlns="1a33af13-4045-4f88-9d7b-618e30f79918">0</DocumentVersion>
  </documentManagement>
</p:properties>
</file>

<file path=customXml/itemProps1.xml><?xml version="1.0" encoding="utf-8"?>
<ds:datastoreItem xmlns:ds="http://schemas.openxmlformats.org/officeDocument/2006/customXml" ds:itemID="{AF05ACA1-A624-4A4B-95AF-2612F3610378}"/>
</file>

<file path=customXml/itemProps2.xml><?xml version="1.0" encoding="utf-8"?>
<ds:datastoreItem xmlns:ds="http://schemas.openxmlformats.org/officeDocument/2006/customXml" ds:itemID="{2703E207-386A-4EA0-8807-BB402A8D101D}"/>
</file>

<file path=customXml/itemProps3.xml><?xml version="1.0" encoding="utf-8"?>
<ds:datastoreItem xmlns:ds="http://schemas.openxmlformats.org/officeDocument/2006/customXml" ds:itemID="{D404DD2D-2BB6-4F72-B661-B051E2350866}"/>
</file>

<file path=customXml/itemProps4.xml><?xml version="1.0" encoding="utf-8"?>
<ds:datastoreItem xmlns:ds="http://schemas.openxmlformats.org/officeDocument/2006/customXml" ds:itemID="{0C7AFAC3-476E-4D34-8658-C009BE051960}"/>
</file>

<file path=docProps/app.xml><?xml version="1.0" encoding="utf-8"?>
<Properties xmlns="http://schemas.openxmlformats.org/officeDocument/2006/extended-properties" xmlns:vt="http://schemas.openxmlformats.org/officeDocument/2006/docPropsVTypes">
  <Template>Normal</Template>
  <TotalTime>1</TotalTime>
  <Pages>2</Pages>
  <Words>4637</Words>
  <Characters>26435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EU Fund for cohesion, agriculture and rural, fisheries and maritime, prosperity and security</vt:lpstr>
    </vt:vector>
  </TitlesOfParts>
  <Company>CESE-CdR</Company>
  <LinksUpToDate>false</LinksUpToDate>
  <CharactersWithSpaces>31010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 Policy agenda for liveable cities</dc:title>
  <dc:subject>Record of proceedings</dc:subject>
  <dc:creator>Hilary Morris</dc:creator>
  <cp:keywords>EESC-2025-04288-00-00-CR-TRA-EN</cp:keywords>
  <dc:description>Rapporteur: - HAKEN &amp; MARIN Original language: - EN Date of document: - 04/05/2026 Date of meeting: -  External documents: - COM(2025)739- final Administrator responsible: -  MELEAS Georgios</dc:description>
  <cp:lastModifiedBy>TDriveSVCUserProd</cp:lastModifiedBy>
  <cp:revision>4</cp:revision>
  <cp:lastPrinted>2004-02-16T15:16:00Z</cp:lastPrinted>
  <dcterms:created xsi:type="dcterms:W3CDTF">2026-05-04T06:40:00Z</dcterms:created>
  <dcterms:modified xsi:type="dcterms:W3CDTF">2026-05-04T07:18:00Z</dcterms:modified>
  <cp:category>ECO/696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17/05/2022</vt:lpwstr>
  </property>
  <property fmtid="{D5CDD505-2E9C-101B-9397-08002B2CF9AE}" pid="4" name="Pref_Time">
    <vt:lpwstr>11:03:32</vt:lpwstr>
  </property>
  <property fmtid="{D5CDD505-2E9C-101B-9397-08002B2CF9AE}" pid="5" name="Pref_User">
    <vt:lpwstr>enied</vt:lpwstr>
  </property>
  <property fmtid="{D5CDD505-2E9C-101B-9397-08002B2CF9AE}" pid="6" name="Pref_FileName">
    <vt:lpwstr>COR-EESC-2022-02584-00-00-ADMIN-ORI.docx</vt:lpwstr>
  </property>
  <property fmtid="{D5CDD505-2E9C-101B-9397-08002B2CF9AE}" pid="7" name="ContentTypeId">
    <vt:lpwstr>0x010100EA97B91038054C99906057A708A1480A007FAFB00F4882C04A82CD69E07FC3C83E</vt:lpwstr>
  </property>
  <property fmtid="{D5CDD505-2E9C-101B-9397-08002B2CF9AE}" pid="8" name="_dlc_DocIdItemGuid">
    <vt:lpwstr>669c6f9d-edf7-4429-bc2f-a9e6da9e9fc4</vt:lpwstr>
  </property>
  <property fmtid="{D5CDD505-2E9C-101B-9397-08002B2CF9AE}" pid="9" name="AvailableTranslations">
    <vt:lpwstr>5;#EN|f2175f21-25d7-44a3-96da-d6a61b075e1b</vt:lpwstr>
  </property>
  <property fmtid="{D5CDD505-2E9C-101B-9397-08002B2CF9AE}" pid="10" name="DocumentType_0">
    <vt:lpwstr>CR|3d8a0a7b-557a-49c4-997f-22056dbd9ff4</vt:lpwstr>
  </property>
  <property fmtid="{D5CDD505-2E9C-101B-9397-08002B2CF9AE}" pid="11" name="DossierName_0">
    <vt:lpwstr>ECO|8df351f5-c957-404c-8cf3-8ffb22c9cba2</vt:lpwstr>
  </property>
  <property fmtid="{D5CDD505-2E9C-101B-9397-08002B2CF9AE}" pid="12" name="DocumentSource_0">
    <vt:lpwstr>EESC|422833ec-8d7e-4e65-8e4e-8bed07ffb729</vt:lpwstr>
  </property>
  <property fmtid="{D5CDD505-2E9C-101B-9397-08002B2CF9AE}" pid="13" name="DocumentNumber">
    <vt:i4>4288</vt:i4>
  </property>
  <property fmtid="{D5CDD505-2E9C-101B-9397-08002B2CF9AE}" pid="14" name="FicheYear">
    <vt:i4>2025</vt:i4>
  </property>
  <property fmtid="{D5CDD505-2E9C-101B-9397-08002B2CF9AE}" pid="15" name="DocumentVersion">
    <vt:i4>0</vt:i4>
  </property>
  <property fmtid="{D5CDD505-2E9C-101B-9397-08002B2CF9AE}" pid="16" name="DossierNumber">
    <vt:i4>696</vt:i4>
  </property>
  <property fmtid="{D5CDD505-2E9C-101B-9397-08002B2CF9AE}" pid="17" name="DocumentStatus">
    <vt:lpwstr>3;#REF|722611fd-7eaf-44e3-8780-a3226646f5f0</vt:lpwstr>
  </property>
  <property fmtid="{D5CDD505-2E9C-101B-9397-08002B2CF9AE}" pid="18" name="DossierName">
    <vt:lpwstr>103;#ECO|8df351f5-c957-404c-8cf3-8ffb22c9cba2</vt:lpwstr>
  </property>
  <property fmtid="{D5CDD505-2E9C-101B-9397-08002B2CF9AE}" pid="19" name="RequestingService">
    <vt:lpwstr>Union économique et monétaire et cohésion économique et sociale</vt:lpwstr>
  </property>
  <property fmtid="{D5CDD505-2E9C-101B-9397-08002B2CF9AE}" pid="20" name="Confidentiality">
    <vt:lpwstr>15;#Unrestricted|826e22d7-d029-4ec0-a450-0c28ff673572</vt:lpwstr>
  </property>
  <property fmtid="{D5CDD505-2E9C-101B-9397-08002B2CF9AE}" pid="21" name="MeetingName_0">
    <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
  </property>
  <property fmtid="{D5CDD505-2E9C-101B-9397-08002B2CF9AE}" pid="26" name="AvailableTranslations_0">
    <vt:lpwstr/>
  </property>
  <property fmtid="{D5CDD505-2E9C-101B-9397-08002B2CF9AE}" pid="27" name="DocumentStatus_0">
    <vt:lpwstr>REF|722611fd-7eaf-44e3-8780-a3226646f5f0</vt:lpwstr>
  </property>
  <property fmtid="{D5CDD505-2E9C-101B-9397-08002B2CF9AE}" pid="28" name="OriginalLanguage_0">
    <vt:lpwstr>EN|f2175f21-25d7-44a3-96da-d6a61b075e1b</vt:lpwstr>
  </property>
  <property fmtid="{D5CDD505-2E9C-101B-9397-08002B2CF9AE}" pid="29" name="TaxCatchAll">
    <vt:lpwstr>15;#Unrestricted|826e22d7-d029-4ec0-a450-0c28ff673572;#78;#CR|3d8a0a7b-557a-49c4-997f-22056dbd9ff4;#103;#ECO|8df351f5-c957-404c-8cf3-8ffb22c9cba2;#8;#Final|ea5e6674-7b27-4bac-b091-73adbb394efe;#5;#EN|f2175f21-25d7-44a3-96da-d6a61b075e1b;#3;#REF|722611fd-7eaf-44e3-8780-a3226646f5f0;#1;#EESC|422833ec-8d7e-4e65-8e4e-8bed07ffb729</vt:lpwstr>
  </property>
  <property fmtid="{D5CDD505-2E9C-101B-9397-08002B2CF9AE}" pid="30" name="Rapporteur">
    <vt:lpwstr>HAKEN &amp; MARIN</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4559</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7" name="AdoptionDate">
    <vt:filetime>2026-04-29T12:00:00Z</vt:filetime>
  </property>
  <property fmtid="{D5CDD505-2E9C-101B-9397-08002B2CF9AE}" pid="38" name="DocumentType">
    <vt:lpwstr>78;#CR|3d8a0a7b-557a-49c4-997f-22056dbd9ff4</vt:lpwstr>
  </property>
  <property fmtid="{D5CDD505-2E9C-101B-9397-08002B2CF9AE}" pid="39" name="DocumentLanguage">
    <vt:lpwstr>5;#EN|f2175f21-25d7-44a3-96da-d6a61b075e1b</vt:lpwstr>
  </property>
  <property fmtid="{D5CDD505-2E9C-101B-9397-08002B2CF9AE}" pid="40" name="_docset_NoMedatataSyncRequired">
    <vt:lpwstr>False</vt:lpwstr>
  </property>
</Properties>
</file>