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4107C7" w:rsidR="004107C7" w:rsidP="004107C7" w:rsidRDefault="004107C7" w14:paraId="0EBE694C" w14:textId="44C2BDAD">
      <w:pPr>
        <w:jc w:val="right"/>
        <w:rPr>
          <w:b/>
        </w:rPr>
      </w:pPr>
      <w:r w:rsidRPr="004107C7">
        <w:rPr>
          <w:b/>
        </w:rPr>
        <w:t>ECO/6</w:t>
      </w:r>
      <w:r w:rsidR="006A1C73">
        <w:rPr>
          <w:b/>
        </w:rPr>
        <w:t>9</w:t>
      </w:r>
      <w:r w:rsidR="00D12227">
        <w:rPr>
          <w:b/>
        </w:rPr>
        <w:t>5</w:t>
      </w:r>
    </w:p>
    <w:p w:rsidRPr="00A67235" w:rsidR="000E4B6B" w:rsidP="004107C7" w:rsidRDefault="006A1C73" w14:paraId="1EFE7F2B" w14:textId="5A74FBA6">
      <w:pPr>
        <w:jc w:val="right"/>
      </w:pPr>
      <w:r w:rsidRPr="006A1C73">
        <w:rPr>
          <w:b/>
        </w:rPr>
        <w:t>Supplementary pensions package: PEPP and IORP</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642CE095">
      <w:pPr>
        <w:jc w:val="right"/>
      </w:pPr>
      <w:r w:rsidRPr="00A67235">
        <w:t>Brussels,</w:t>
      </w:r>
      <w:r w:rsidR="004107C7">
        <w:t xml:space="preserve"> </w:t>
      </w:r>
      <w:r w:rsidR="006A1C73">
        <w:t>30</w:t>
      </w:r>
      <w:r w:rsidR="008F171C">
        <w:t xml:space="preserve"> </w:t>
      </w:r>
      <w:r w:rsidR="006A1C73">
        <w:t>April</w:t>
      </w:r>
      <w:r w:rsidR="004107C7">
        <w:t xml:space="preserve"> 2026</w:t>
      </w:r>
    </w:p>
    <w:p w:rsidRPr="00A67235" w:rsidR="000E4B6B" w:rsidP="00EC0F0F" w:rsidRDefault="000E4B6B" w14:paraId="414F5CCC" w14:textId="77777777"/>
    <w:p w:rsidR="00D12227" w:rsidP="00D12227" w:rsidRDefault="00964A13" w14:paraId="20AD3AFF" w14:textId="21EC4331">
      <w:pPr>
        <w:jc w:val="center"/>
      </w:pPr>
      <w:r w:rsidRPr="00A67235">
        <w:rPr>
          <w:b/>
          <w:sz w:val="32"/>
        </w:rPr>
        <w:t>RECORD OF THE PROCEEDINGS</w:t>
      </w:r>
      <w:r w:rsidR="009E138D">
        <w:rPr>
          <w:b/>
          <w:sz w:val="32"/>
        </w:rPr>
        <w:br/>
      </w:r>
      <w:r w:rsidR="003876B5">
        <w:br/>
      </w:r>
      <w:r w:rsidRPr="00A67235">
        <w:t>European Economic and Social Committee</w:t>
      </w:r>
      <w:r w:rsidR="009E138D">
        <w:br/>
      </w:r>
    </w:p>
    <w:p w:rsidRPr="002F7DE3" w:rsidR="006A5ADE" w:rsidP="006A5ADE" w:rsidRDefault="006A5ADE" w14:paraId="2F5DD781" w14:textId="77777777">
      <w:pPr>
        <w:jc w:val="center"/>
        <w:rPr>
          <w:b/>
          <w:bCs/>
        </w:rPr>
      </w:pPr>
      <w:r w:rsidRPr="002F7DE3">
        <w:rPr>
          <w:b/>
        </w:rPr>
        <w:t>Communication from the Commission to the European Parliament, the European Council, the Council, the European Central Bank, the European Economic and Social Committee and the Committee of the Regions</w:t>
      </w:r>
    </w:p>
    <w:p w:rsidRPr="002F7DE3" w:rsidR="006A5ADE" w:rsidP="006A5ADE" w:rsidRDefault="006A5ADE" w14:paraId="3E212BA8" w14:textId="77777777">
      <w:pPr>
        <w:jc w:val="center"/>
        <w:rPr>
          <w:b/>
          <w:bCs/>
        </w:rPr>
      </w:pPr>
      <w:r w:rsidRPr="002F7DE3">
        <w:rPr>
          <w:b/>
        </w:rPr>
        <w:t>Enhancing the capacity of the EU supplementary pension sector to improve retirement income and supply long-term capital to the EU economy</w:t>
      </w:r>
    </w:p>
    <w:p w:rsidRPr="002F7DE3" w:rsidR="006A5ADE" w:rsidP="006A5ADE" w:rsidRDefault="006A5ADE" w14:paraId="1994A3ED" w14:textId="27957825">
      <w:pPr>
        <w:jc w:val="center"/>
      </w:pPr>
      <w:r>
        <w:t>[</w:t>
      </w:r>
      <w:r w:rsidRPr="002F7DE3">
        <w:t>COM(2025) 839 final</w:t>
      </w:r>
      <w:r>
        <w:t>]</w:t>
      </w:r>
    </w:p>
    <w:p w:rsidRPr="002F7DE3" w:rsidR="006A5ADE" w:rsidP="006A5ADE" w:rsidRDefault="006A5ADE" w14:paraId="7661710B" w14:textId="77777777">
      <w:pPr>
        <w:jc w:val="center"/>
        <w:rPr>
          <w:highlight w:val="yellow"/>
        </w:rPr>
      </w:pPr>
    </w:p>
    <w:p w:rsidRPr="002F7DE3" w:rsidR="006A5ADE" w:rsidP="006A5ADE" w:rsidRDefault="006A5ADE" w14:paraId="133AAACF" w14:textId="77777777">
      <w:pPr>
        <w:jc w:val="center"/>
        <w:rPr>
          <w:b/>
          <w:bCs/>
        </w:rPr>
      </w:pPr>
      <w:r w:rsidRPr="002F7DE3">
        <w:rPr>
          <w:b/>
        </w:rPr>
        <w:t>Proposal for a regulation of the European Parliament and of the Council amending Regulation (EU) 2019/1238 on a pan-European Personal Pension Product (PEPP)</w:t>
      </w:r>
    </w:p>
    <w:p w:rsidRPr="002F7DE3" w:rsidR="006A5ADE" w:rsidP="006A5ADE" w:rsidRDefault="006A5ADE" w14:paraId="4CB78BC2" w14:textId="0AB6A552">
      <w:pPr>
        <w:jc w:val="center"/>
      </w:pPr>
      <w:r>
        <w:t>[</w:t>
      </w:r>
      <w:r w:rsidRPr="002F7DE3">
        <w:t>COM(2025) 840 final – 2025/0363 (COD)</w:t>
      </w:r>
      <w:r>
        <w:t>]</w:t>
      </w:r>
    </w:p>
    <w:p w:rsidRPr="002F7DE3" w:rsidR="006A5ADE" w:rsidP="006A5ADE" w:rsidRDefault="006A5ADE" w14:paraId="38797309" w14:textId="77777777">
      <w:pPr>
        <w:jc w:val="center"/>
        <w:rPr>
          <w:b/>
          <w:bCs/>
          <w:highlight w:val="yellow"/>
        </w:rPr>
      </w:pPr>
    </w:p>
    <w:p w:rsidRPr="002F7DE3" w:rsidR="006A5ADE" w:rsidP="006A5ADE" w:rsidRDefault="006A5ADE" w14:paraId="263EE6C7" w14:textId="77777777">
      <w:pPr>
        <w:jc w:val="center"/>
      </w:pPr>
      <w:r w:rsidRPr="002F7DE3">
        <w:rPr>
          <w:b/>
        </w:rPr>
        <w:t>Proposal for a directive of the European Parliament and of the Council amending Directives (EU) 2016/2341 and 2016/97 as regards the strengthening of the framework for occupational retirement provision</w:t>
      </w:r>
    </w:p>
    <w:p w:rsidRPr="006A5ADE" w:rsidR="00964A13" w:rsidP="006A5ADE" w:rsidRDefault="006A5ADE" w14:paraId="1CA7DBC6" w14:textId="58C723C4">
      <w:pPr>
        <w:jc w:val="center"/>
      </w:pPr>
      <w:r>
        <w:t>[</w:t>
      </w:r>
      <w:r w:rsidRPr="002F7DE3">
        <w:t>COM(</w:t>
      </w:r>
      <w:r w:rsidRPr="006A5ADE">
        <w:t>2025) 842 final – 2025/0362 (COD)]</w:t>
      </w:r>
    </w:p>
    <w:p w:rsidRPr="00A67235" w:rsidR="00964A13" w:rsidP="00EC0F0F" w:rsidRDefault="00964A13" w14:paraId="6EA6F05A" w14:textId="77777777">
      <w:pPr>
        <w:jc w:val="center"/>
      </w:pPr>
      <w:r w:rsidRPr="006A5ADE">
        <w:t>_____________</w:t>
      </w:r>
    </w:p>
    <w:p w:rsidRPr="00A67235" w:rsidR="00964A13" w:rsidP="00EC0F0F" w:rsidRDefault="00964A13" w14:paraId="155F9A18" w14:textId="77777777">
      <w:pPr>
        <w:jc w:val="center"/>
      </w:pPr>
    </w:p>
    <w:p w:rsidRPr="00A67235" w:rsidR="00964A13" w:rsidP="00EC0F0F" w:rsidRDefault="00632626" w14:paraId="0FA745B1" w14:textId="18F7EE17">
      <w:pPr>
        <w:jc w:val="center"/>
        <w:rPr>
          <w:bCs/>
        </w:rPr>
      </w:pPr>
      <w:r>
        <w:t>60</w:t>
      </w:r>
      <w:r w:rsidR="006A1C73">
        <w:t>5</w:t>
      </w:r>
      <w:r w:rsidRPr="006A1C73" w:rsidR="006A1C73">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sidR="006A1C73">
        <w:rPr>
          <w:bCs/>
        </w:rPr>
        <w:t>29</w:t>
      </w:r>
      <w:r w:rsidR="0015330A">
        <w:rPr>
          <w:bCs/>
        </w:rPr>
        <w:t>-</w:t>
      </w:r>
      <w:r w:rsidR="006A1C73">
        <w:rPr>
          <w:bCs/>
        </w:rPr>
        <w:t>30</w:t>
      </w:r>
      <w:r>
        <w:rPr>
          <w:bCs/>
        </w:rPr>
        <w:t xml:space="preserve"> </w:t>
      </w:r>
      <w:r w:rsidR="006A1C73">
        <w:rPr>
          <w:bCs/>
        </w:rPr>
        <w:t>April</w:t>
      </w:r>
      <w:r>
        <w:rPr>
          <w:bCs/>
        </w:rPr>
        <w:t xml:space="preserve">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3069F6C4">
      <w:pPr>
        <w:jc w:val="center"/>
      </w:pPr>
      <w:r w:rsidRPr="00A67235">
        <w:t xml:space="preserve">Meeting of </w:t>
      </w:r>
      <w:r w:rsidR="006A1C73">
        <w:rPr>
          <w:bCs/>
        </w:rPr>
        <w:t xml:space="preserve">30 April </w:t>
      </w:r>
      <w:r w:rsidRPr="00632626" w:rsidR="00632626">
        <w:t>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AFB7792">
      <w:pPr>
        <w:pStyle w:val="Footer"/>
        <w:jc w:val="center"/>
      </w:pPr>
      <w:r w:rsidRPr="00A67235">
        <w:t>Agenda item</w:t>
      </w:r>
      <w:r w:rsidR="005022F5">
        <w:t xml:space="preserve"> </w:t>
      </w:r>
      <w:r w:rsidR="006A1C73">
        <w:t>2</w:t>
      </w:r>
      <w:r w:rsidR="0032042F">
        <w:t>4</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0E4B6B" w14:paraId="1461B587" w14:textId="6BB7E883">
      <w:r w:rsidRPr="008F171C">
        <w:rPr>
          <w:b/>
          <w:bCs/>
        </w:rPr>
        <w:t>The president</w:t>
      </w:r>
      <w:r w:rsidR="00D63CA3">
        <w:rPr>
          <w:b/>
          <w:bCs/>
        </w:rPr>
        <w:t xml:space="preserve"> </w:t>
      </w:r>
      <w:r w:rsidRPr="00A67235">
        <w:t>moved that the Committee turn to agenda item</w:t>
      </w:r>
      <w:r w:rsidR="005022F5">
        <w:t xml:space="preserve"> </w:t>
      </w:r>
      <w:r w:rsidR="006A1C73">
        <w:t>2</w:t>
      </w:r>
      <w:r w:rsidR="0032042F">
        <w:t>4</w:t>
      </w:r>
      <w:r w:rsidRPr="00A67235">
        <w:t xml:space="preserve"> - adoption of an opinion on the</w:t>
      </w:r>
    </w:p>
    <w:p w:rsidRPr="00A67235" w:rsidR="000E4B6B" w:rsidP="00EC0F0F" w:rsidRDefault="000E4B6B" w14:paraId="037DAC87" w14:textId="77777777"/>
    <w:p w:rsidRPr="006A5ADE" w:rsidR="006A5ADE" w:rsidP="006A5ADE" w:rsidRDefault="006A5ADE" w14:paraId="3B11304E" w14:textId="77777777">
      <w:pPr>
        <w:ind w:left="1418"/>
        <w:rPr>
          <w:bCs/>
          <w:i/>
          <w:iCs/>
        </w:rPr>
      </w:pPr>
      <w:r w:rsidRPr="006A5ADE">
        <w:rPr>
          <w:bCs/>
          <w:i/>
          <w:iCs/>
        </w:rPr>
        <w:t>Communication from the Commission to the European Parliament, the European Council, the Council, the European Central Bank, the European Economic and Social Committee and the Committee of the Regions</w:t>
      </w:r>
    </w:p>
    <w:p w:rsidRPr="006A5ADE" w:rsidR="006A5ADE" w:rsidP="006A5ADE" w:rsidRDefault="006A5ADE" w14:paraId="1D76FDC6" w14:textId="77777777">
      <w:pPr>
        <w:ind w:left="1418"/>
        <w:rPr>
          <w:bCs/>
        </w:rPr>
      </w:pPr>
      <w:r w:rsidRPr="006A5ADE">
        <w:rPr>
          <w:bCs/>
          <w:i/>
          <w:iCs/>
        </w:rPr>
        <w:t>Enhancing the capacity of the EU supplementary pension sector to improve retirement income and supply long-term capital to the EU economy</w:t>
      </w:r>
    </w:p>
    <w:p w:rsidRPr="006A5ADE" w:rsidR="006A5ADE" w:rsidP="006A5ADE" w:rsidRDefault="006A5ADE" w14:paraId="04B90DF6" w14:textId="21C5205C">
      <w:pPr>
        <w:ind w:left="1418"/>
        <w:rPr>
          <w:bCs/>
        </w:rPr>
      </w:pPr>
      <w:r w:rsidRPr="006A5ADE">
        <w:rPr>
          <w:bCs/>
        </w:rPr>
        <w:t>COM(2025) 839 final</w:t>
      </w:r>
      <w:r>
        <w:rPr>
          <w:bCs/>
        </w:rPr>
        <w:t>;</w:t>
      </w:r>
    </w:p>
    <w:p w:rsidRPr="006A5ADE" w:rsidR="006A5ADE" w:rsidP="006A5ADE" w:rsidRDefault="006A5ADE" w14:paraId="4A595049" w14:textId="77777777">
      <w:pPr>
        <w:ind w:left="1418"/>
        <w:rPr>
          <w:bCs/>
          <w:i/>
          <w:iCs/>
        </w:rPr>
      </w:pPr>
      <w:r w:rsidRPr="006A5ADE">
        <w:rPr>
          <w:bCs/>
          <w:i/>
          <w:iCs/>
        </w:rPr>
        <w:t>Proposal for a regulation of the European Parliament and of the Council amending Regulation (EU) 2019/1238 on a pan-European Personal Pension Product (PEPP)</w:t>
      </w:r>
    </w:p>
    <w:p w:rsidRPr="006A5ADE" w:rsidR="006A5ADE" w:rsidP="006A5ADE" w:rsidRDefault="006A5ADE" w14:paraId="5F69EA04" w14:textId="50937E98">
      <w:pPr>
        <w:ind w:left="1418"/>
        <w:rPr>
          <w:bCs/>
        </w:rPr>
      </w:pPr>
      <w:r w:rsidRPr="006A5ADE">
        <w:rPr>
          <w:bCs/>
        </w:rPr>
        <w:t>COM(2025) 840 final – 2025/0363 (COD)</w:t>
      </w:r>
    </w:p>
    <w:p w:rsidRPr="006A5ADE" w:rsidR="006A5ADE" w:rsidP="006A5ADE" w:rsidRDefault="006A5ADE" w14:paraId="7D439210" w14:textId="2465F994">
      <w:pPr>
        <w:ind w:left="1418"/>
        <w:rPr>
          <w:bCs/>
          <w:highlight w:val="yellow"/>
        </w:rPr>
      </w:pPr>
      <w:r w:rsidRPr="006A5ADE">
        <w:rPr>
          <w:bCs/>
        </w:rPr>
        <w:t>and</w:t>
      </w:r>
    </w:p>
    <w:p w:rsidRPr="006A5ADE" w:rsidR="006A5ADE" w:rsidP="006A5ADE" w:rsidRDefault="006A5ADE" w14:paraId="24475E42" w14:textId="77777777">
      <w:pPr>
        <w:ind w:left="1418"/>
        <w:rPr>
          <w:bCs/>
          <w:i/>
          <w:iCs/>
        </w:rPr>
      </w:pPr>
      <w:r w:rsidRPr="006A5ADE">
        <w:rPr>
          <w:bCs/>
          <w:i/>
          <w:iCs/>
        </w:rPr>
        <w:t>Proposal for a directive of the European Parliament and of the Council amending Directives (EU) 2016/2341 and 2016/97 as regards the strengthening of the framework for occupational retirement provision</w:t>
      </w:r>
    </w:p>
    <w:p w:rsidRPr="002F7DE3" w:rsidR="006A5ADE" w:rsidP="006A5ADE" w:rsidRDefault="006A5ADE" w14:paraId="60F7D9EC" w14:textId="6BD14F93">
      <w:pPr>
        <w:ind w:left="1418"/>
      </w:pPr>
      <w:r w:rsidRPr="006A5ADE">
        <w:rPr>
          <w:bCs/>
        </w:rPr>
        <w:t>COM(2025) 842 final – 2025/0362 (COD)</w:t>
      </w:r>
    </w:p>
    <w:p w:rsidRPr="00A67235" w:rsidR="000E4B6B" w:rsidP="00EC0F0F" w:rsidRDefault="000E4B6B" w14:paraId="7B740915" w14:textId="77777777"/>
    <w:p w:rsidRPr="00477CAE" w:rsidR="000E4B6B" w:rsidP="00632626" w:rsidRDefault="00632626" w14:paraId="2D8D7685" w14:textId="3C3E0506">
      <w:r w:rsidRPr="00934157">
        <w:t xml:space="preserve">The preliminary work had been carried out by the Section for Economic and Monetary Union and Economic and Social Cohesion (president: </w:t>
      </w:r>
      <w:r w:rsidRPr="00934157">
        <w:rPr>
          <w:b/>
        </w:rPr>
        <w:t>M</w:t>
      </w:r>
      <w:r>
        <w:rPr>
          <w:b/>
        </w:rPr>
        <w:t>s Elena Calistru</w:t>
      </w:r>
      <w:r w:rsidRPr="00934157">
        <w:t xml:space="preserve">). </w:t>
      </w:r>
      <w:r w:rsidRPr="00632626">
        <w:t>The rapporteur w</w:t>
      </w:r>
      <w:r w:rsidR="00D12227">
        <w:t>as</w:t>
      </w:r>
      <w:r w:rsidRPr="00632626">
        <w:t xml:space="preserve"> </w:t>
      </w:r>
      <w:r w:rsidRPr="00632626">
        <w:rPr>
          <w:b/>
          <w:bCs/>
        </w:rPr>
        <w:t>M</w:t>
      </w:r>
      <w:r w:rsidR="006A1C73">
        <w:rPr>
          <w:b/>
          <w:bCs/>
        </w:rPr>
        <w:t xml:space="preserve">s </w:t>
      </w:r>
      <w:r w:rsidRPr="002E1F9E" w:rsidR="006A1C73">
        <w:rPr>
          <w:b/>
          <w:bCs/>
        </w:rPr>
        <w:t xml:space="preserve">Maria del Carmen </w:t>
      </w:r>
      <w:r w:rsidR="006A1C73">
        <w:rPr>
          <w:b/>
          <w:bCs/>
        </w:rPr>
        <w:t>B</w:t>
      </w:r>
      <w:r w:rsidRPr="002E1F9E" w:rsidR="006A1C73">
        <w:rPr>
          <w:b/>
          <w:bCs/>
        </w:rPr>
        <w:t xml:space="preserve">arrera </w:t>
      </w:r>
      <w:r w:rsidR="006A1C73">
        <w:rPr>
          <w:b/>
          <w:bCs/>
        </w:rPr>
        <w:t>C</w:t>
      </w:r>
      <w:r w:rsidRPr="002E1F9E" w:rsidR="006A1C73">
        <w:rPr>
          <w:b/>
          <w:bCs/>
        </w:rPr>
        <w:t>hamorro</w:t>
      </w:r>
      <w:r w:rsidRPr="00D12227" w:rsidR="00D12227">
        <w:t>.</w:t>
      </w:r>
      <w:r w:rsidR="008F171C">
        <w:t xml:space="preserve"> </w:t>
      </w:r>
      <w:r w:rsidR="00477CAE">
        <w:t xml:space="preserve">The debate on the opinion started with the interventions of the high-level invitees </w:t>
      </w:r>
      <w:r w:rsidRPr="00477CAE" w:rsidR="00477CAE">
        <w:rPr>
          <w:b/>
          <w:bCs/>
        </w:rPr>
        <w:t>Ms Maria Luís Albuquerque</w:t>
      </w:r>
      <w:r w:rsidRPr="00477CAE" w:rsidR="00477CAE">
        <w:t>, European Commissioner for Financial Services and the Savings and Investments Union</w:t>
      </w:r>
      <w:r w:rsidR="00477CAE">
        <w:t xml:space="preserve">, </w:t>
      </w:r>
      <w:r w:rsidRPr="00477CAE" w:rsidR="00477CAE">
        <w:rPr>
          <w:b/>
          <w:bCs/>
        </w:rPr>
        <w:t>Ms</w:t>
      </w:r>
      <w:r w:rsidR="00477CAE">
        <w:t xml:space="preserve"> </w:t>
      </w:r>
      <w:r w:rsidRPr="00477CAE" w:rsidR="00477CAE">
        <w:rPr>
          <w:b/>
          <w:bCs/>
        </w:rPr>
        <w:t>Elma Saiz Delgado</w:t>
      </w:r>
      <w:r w:rsidRPr="0028556E" w:rsidR="00477CAE">
        <w:t>, Minister for Inclusion, Social Security and Migration of Spain,</w:t>
      </w:r>
      <w:r w:rsidR="00477CAE">
        <w:t xml:space="preserve"> and </w:t>
      </w:r>
      <w:r w:rsidRPr="00477CAE" w:rsidR="00477CAE">
        <w:rPr>
          <w:b/>
          <w:bCs/>
        </w:rPr>
        <w:t>Mr</w:t>
      </w:r>
      <w:r w:rsidR="00477CAE">
        <w:t xml:space="preserve"> </w:t>
      </w:r>
      <w:r w:rsidRPr="00A20F7D" w:rsidR="00477CAE">
        <w:rPr>
          <w:b/>
          <w:bCs/>
        </w:rPr>
        <w:t>Damian Boeselager</w:t>
      </w:r>
      <w:r w:rsidRPr="00477CAE" w:rsidR="00477CAE">
        <w:t>, Member of the European Parliament</w:t>
      </w:r>
      <w:r w:rsidR="00477CAE">
        <w:t>.</w:t>
      </w:r>
    </w:p>
    <w:p w:rsidR="002608CE" w:rsidP="00632626" w:rsidRDefault="002608CE" w14:paraId="3841BFEC" w14:textId="77777777"/>
    <w:p w:rsidR="002608CE" w:rsidP="00632626" w:rsidRDefault="002608CE" w14:paraId="5739D031" w14:textId="2225E49B">
      <w:r>
        <w:rPr>
          <w:b/>
          <w:bCs/>
        </w:rPr>
        <w:t>Mr</w:t>
      </w:r>
      <w:r w:rsidRPr="00A20F7D">
        <w:rPr>
          <w:b/>
          <w:bCs/>
        </w:rPr>
        <w:t xml:space="preserve"> Boland</w:t>
      </w:r>
      <w:r w:rsidRPr="002608CE">
        <w:t>, EESC President,</w:t>
      </w:r>
      <w:r w:rsidRPr="00A20F7D">
        <w:t xml:space="preserve"> welcomed th</w:t>
      </w:r>
      <w:r>
        <w:t>e speakers, explained that the Commission proposal included amendments to the IORP Directive, the PEPP Regulation, and Recommendations on auto</w:t>
      </w:r>
      <w:r w:rsidR="0028556E">
        <w:t>-</w:t>
      </w:r>
      <w:r>
        <w:t xml:space="preserve">enrolment, pension tracking systems and pension dashboards. He outlined </w:t>
      </w:r>
      <w:r w:rsidR="0028556E">
        <w:t xml:space="preserve">that </w:t>
      </w:r>
      <w:r>
        <w:t xml:space="preserve">the overall objective of the Commission proposal was </w:t>
      </w:r>
      <w:r w:rsidR="0028556E">
        <w:t xml:space="preserve">to improve </w:t>
      </w:r>
      <w:r>
        <w:t xml:space="preserve">supplementary pensions while mobilising savings towards investment. </w:t>
      </w:r>
      <w:r w:rsidR="0028556E">
        <w:t>He e</w:t>
      </w:r>
      <w:r>
        <w:t>xpressed appreciation for the cooperation with the European Commission, notably DG FISMA, as well as with other stakeholders.</w:t>
      </w:r>
    </w:p>
    <w:p w:rsidR="00E478AA" w:rsidP="00632626" w:rsidRDefault="00E478AA" w14:paraId="1AE8FB8A" w14:textId="77777777"/>
    <w:p w:rsidR="002608CE" w:rsidP="002608CE" w:rsidRDefault="002608CE" w14:paraId="7B9C7C1D" w14:textId="5318C9CC">
      <w:r w:rsidRPr="002608CE">
        <w:rPr>
          <w:b/>
          <w:bCs/>
        </w:rPr>
        <w:t>Ms Albuquerque</w:t>
      </w:r>
      <w:r>
        <w:t xml:space="preserve">, </w:t>
      </w:r>
      <w:r w:rsidRPr="002608CE">
        <w:t>European Commissioner for Financial Services and the Savings and Investments Union</w:t>
      </w:r>
      <w:r>
        <w:t xml:space="preserve">, stated </w:t>
      </w:r>
      <w:r w:rsidR="00E35E45">
        <w:t>that</w:t>
      </w:r>
      <w:r w:rsidR="0028556E">
        <w:t xml:space="preserve"> supplementary pensions and </w:t>
      </w:r>
      <w:r>
        <w:t xml:space="preserve">financial security </w:t>
      </w:r>
      <w:r w:rsidR="00E35E45">
        <w:t>are interlinked</w:t>
      </w:r>
      <w:r w:rsidR="0028556E">
        <w:t xml:space="preserve">. </w:t>
      </w:r>
      <w:r>
        <w:t xml:space="preserve">She said that the spirit of the Commission proposal </w:t>
      </w:r>
      <w:r w:rsidR="0028556E">
        <w:t xml:space="preserve">was </w:t>
      </w:r>
      <w:r>
        <w:t xml:space="preserve">to </w:t>
      </w:r>
      <w:r w:rsidR="0028556E">
        <w:t xml:space="preserve">offer </w:t>
      </w:r>
      <w:r>
        <w:t>a constructive solution</w:t>
      </w:r>
      <w:r w:rsidR="0028556E">
        <w:t xml:space="preserve"> in a context of profound demographic shift</w:t>
      </w:r>
      <w:r>
        <w:t xml:space="preserve">, </w:t>
      </w:r>
      <w:r w:rsidR="0028556E">
        <w:t xml:space="preserve">while </w:t>
      </w:r>
      <w:r>
        <w:t>respecting the role of social partners and the different pension models within the EU. She outlined some proposals</w:t>
      </w:r>
      <w:r w:rsidR="0028556E">
        <w:t>, including pension</w:t>
      </w:r>
      <w:r>
        <w:t xml:space="preserve"> tracking systems to increase transparency and empower EU citizens; pension dashboards to serve policymakers to take informed decisions; auto-enrolment in full respect of social partners and national systems</w:t>
      </w:r>
      <w:r w:rsidR="00477CAE">
        <w:t>; strengthen</w:t>
      </w:r>
      <w:r w:rsidR="00E35E45">
        <w:t>ed</w:t>
      </w:r>
      <w:r w:rsidR="00477CAE">
        <w:t xml:space="preserve"> occupational and personal pensions </w:t>
      </w:r>
      <w:r w:rsidR="00E35E45">
        <w:t>through</w:t>
      </w:r>
      <w:r w:rsidR="00477CAE">
        <w:t xml:space="preserve"> </w:t>
      </w:r>
      <w:r w:rsidR="00E35E45">
        <w:t>more accessible</w:t>
      </w:r>
      <w:r w:rsidR="00477CAE">
        <w:t xml:space="preserve"> participation, </w:t>
      </w:r>
      <w:r w:rsidR="00E35E45">
        <w:t xml:space="preserve">greater </w:t>
      </w:r>
      <w:r w:rsidR="00477CAE">
        <w:t>transparency, and real benefits. She concluded that a balanced was necessary to provide further guarantees to EU citizens to maintain living standards at old age.</w:t>
      </w:r>
    </w:p>
    <w:p w:rsidR="002608CE" w:rsidP="00632626" w:rsidRDefault="002608CE" w14:paraId="3C27F6AB" w14:textId="77777777"/>
    <w:p w:rsidR="00477CAE" w:rsidP="00A41F7B" w:rsidRDefault="00477CAE" w14:paraId="6E7B908F" w14:textId="2ECBFB4C">
      <w:r w:rsidRPr="00A41F7B">
        <w:rPr>
          <w:b/>
          <w:bCs/>
        </w:rPr>
        <w:t>Ms Saiz Delgado</w:t>
      </w:r>
      <w:r w:rsidRPr="00A41F7B">
        <w:t xml:space="preserve">, </w:t>
      </w:r>
      <w:r w:rsidRPr="0028556E" w:rsidR="005E286E">
        <w:t>Minister for Inclusion, Social Security and Migration of Spain</w:t>
      </w:r>
      <w:r w:rsidR="005E286E">
        <w:t xml:space="preserve">, </w:t>
      </w:r>
      <w:r w:rsidR="00A41F7B">
        <w:t xml:space="preserve">stated </w:t>
      </w:r>
      <w:r w:rsidR="00E35E45">
        <w:t xml:space="preserve">that </w:t>
      </w:r>
      <w:r w:rsidR="00A41F7B">
        <w:t>public pension systems and the social model of the EU</w:t>
      </w:r>
      <w:r w:rsidR="00E35E45">
        <w:t xml:space="preserve"> are interlinked</w:t>
      </w:r>
      <w:r w:rsidR="00A41F7B">
        <w:t xml:space="preserve">, </w:t>
      </w:r>
      <w:r w:rsidR="00E35E45">
        <w:t xml:space="preserve">and enshrined </w:t>
      </w:r>
      <w:r w:rsidR="00A41F7B">
        <w:t>with</w:t>
      </w:r>
      <w:r w:rsidR="00E35E45">
        <w:t xml:space="preserve">in </w:t>
      </w:r>
      <w:r w:rsidR="00A41F7B">
        <w:t xml:space="preserve">principle 15 of the European Pillar of Social Rights. She welcomed the Commission proposal, and stressed that supplementary pensions should be built on the logic of complementarity, </w:t>
      </w:r>
      <w:r w:rsidR="00E35E45">
        <w:t>reinforcing</w:t>
      </w:r>
      <w:r w:rsidR="00A41F7B">
        <w:t xml:space="preserve"> public systems, not </w:t>
      </w:r>
      <w:r w:rsidR="00E35E45">
        <w:t>replacing</w:t>
      </w:r>
      <w:r w:rsidR="00A41F7B">
        <w:t xml:space="preserve"> them. She highlighted that career breaks, income inequality</w:t>
      </w:r>
      <w:r w:rsidR="0028556E">
        <w:t xml:space="preserve"> or the impact of f</w:t>
      </w:r>
      <w:r w:rsidR="00A41F7B">
        <w:t>inancial cris</w:t>
      </w:r>
      <w:r w:rsidR="00E35E45">
        <w:t>es</w:t>
      </w:r>
      <w:r w:rsidR="0028556E">
        <w:t xml:space="preserve"> </w:t>
      </w:r>
      <w:r w:rsidR="00E35E45">
        <w:t>were</w:t>
      </w:r>
      <w:r w:rsidR="0028556E">
        <w:t xml:space="preserve"> better coped with public pension systems</w:t>
      </w:r>
      <w:r w:rsidR="00A41F7B">
        <w:t xml:space="preserve">. She claimed to upward social convergence within the EU. She outlined that Spain had promoted occupational pensions through social dialogue and collective bargaining, which had </w:t>
      </w:r>
      <w:r w:rsidR="00E35E45">
        <w:t>resulted on</w:t>
      </w:r>
      <w:r w:rsidR="00A41F7B">
        <w:t xml:space="preserve"> transparen</w:t>
      </w:r>
      <w:r w:rsidR="00E35E45">
        <w:t>t</w:t>
      </w:r>
      <w:r w:rsidR="00A41F7B">
        <w:t xml:space="preserve"> governance and lower costs</w:t>
      </w:r>
      <w:r w:rsidR="00E35E45">
        <w:t xml:space="preserve"> when compared to individual pensions. She called to look beyond fiscal balance when addressing sustainability of pensions. </w:t>
      </w:r>
      <w:r w:rsidR="0091682D">
        <w:t xml:space="preserve">She concluded that pension systems were an investment in economic stability and trust on democracy, </w:t>
      </w:r>
      <w:r w:rsidR="00E35E45">
        <w:t>and that</w:t>
      </w:r>
      <w:r w:rsidR="0091682D">
        <w:t xml:space="preserve"> transformations </w:t>
      </w:r>
      <w:r w:rsidR="00E35E45">
        <w:t>had to be</w:t>
      </w:r>
      <w:r w:rsidR="0091682D">
        <w:t xml:space="preserve"> fair and sustainable.</w:t>
      </w:r>
    </w:p>
    <w:p w:rsidR="0091682D" w:rsidP="00A41F7B" w:rsidRDefault="0091682D" w14:paraId="2E1B61CC" w14:textId="77777777"/>
    <w:p w:rsidRPr="00477CAE" w:rsidR="0091682D" w:rsidP="00A41F7B" w:rsidRDefault="0091682D" w14:paraId="3182E2A8" w14:textId="5E788554">
      <w:r>
        <w:rPr>
          <w:b/>
          <w:bCs/>
        </w:rPr>
        <w:t xml:space="preserve">Mr </w:t>
      </w:r>
      <w:r w:rsidRPr="00A20F7D">
        <w:rPr>
          <w:b/>
          <w:bCs/>
        </w:rPr>
        <w:t>Boeselager</w:t>
      </w:r>
      <w:r w:rsidRPr="00E321DF" w:rsidR="005E286E">
        <w:t>, Member of the European Parliament,</w:t>
      </w:r>
      <w:r>
        <w:t xml:space="preserve"> qualified the situation as 'pension emergency' and asserted that some Member States had not been capable of shaping necessary reforms. He stressed his interest </w:t>
      </w:r>
      <w:r w:rsidR="00E35E45">
        <w:t xml:space="preserve">in </w:t>
      </w:r>
      <w:r>
        <w:t xml:space="preserve">supplementary pensions </w:t>
      </w:r>
      <w:r w:rsidR="00E35E45">
        <w:t xml:space="preserve">being </w:t>
      </w:r>
      <w:r>
        <w:t xml:space="preserve">more attractive. He informed that his priorities and amendments </w:t>
      </w:r>
      <w:r w:rsidR="00E35E45">
        <w:t xml:space="preserve">to the IORP Directive </w:t>
      </w:r>
      <w:r>
        <w:t>would focus on strengthening occupational pension schemes and increasing their attractiveness</w:t>
      </w:r>
      <w:r w:rsidR="00E35E45">
        <w:t xml:space="preserve">; </w:t>
      </w:r>
      <w:r>
        <w:t>strengthen information and transparency</w:t>
      </w:r>
      <w:r w:rsidR="00E35E45">
        <w:t xml:space="preserve">; </w:t>
      </w:r>
      <w:r>
        <w:t xml:space="preserve">and more diversified portfolios </w:t>
      </w:r>
      <w:r w:rsidR="00E35E45">
        <w:t>with more</w:t>
      </w:r>
      <w:r>
        <w:t xml:space="preserve"> productive investment.</w:t>
      </w:r>
    </w:p>
    <w:p w:rsidR="000E4B6B" w:rsidP="00EC0F0F" w:rsidRDefault="000E4B6B" w14:paraId="2708AAF4" w14:textId="77777777"/>
    <w:p w:rsidR="00E35E45" w:rsidP="006D50EB" w:rsidRDefault="006D50EB" w14:paraId="473BE6B7" w14:textId="49C17C06">
      <w:r w:rsidRPr="007704DC">
        <w:rPr>
          <w:b/>
          <w:bCs/>
        </w:rPr>
        <w:t xml:space="preserve">Ms </w:t>
      </w:r>
      <w:r w:rsidR="006A1C73">
        <w:rPr>
          <w:b/>
          <w:bCs/>
        </w:rPr>
        <w:t>B</w:t>
      </w:r>
      <w:r w:rsidRPr="002E1F9E" w:rsidR="006A1C73">
        <w:rPr>
          <w:b/>
          <w:bCs/>
        </w:rPr>
        <w:t xml:space="preserve">arrera </w:t>
      </w:r>
      <w:r w:rsidR="006A1C73">
        <w:rPr>
          <w:b/>
          <w:bCs/>
        </w:rPr>
        <w:t>C</w:t>
      </w:r>
      <w:r w:rsidRPr="002E1F9E" w:rsidR="006A1C73">
        <w:rPr>
          <w:b/>
          <w:bCs/>
        </w:rPr>
        <w:t>hamorro</w:t>
      </w:r>
      <w:r w:rsidRPr="00E321DF" w:rsidR="005E286E">
        <w:t>,</w:t>
      </w:r>
      <w:r w:rsidR="005E286E">
        <w:t xml:space="preserve"> EESC</w:t>
      </w:r>
      <w:r w:rsidRPr="00E321DF" w:rsidR="005E286E">
        <w:t xml:space="preserve"> rapporteur,</w:t>
      </w:r>
      <w:r w:rsidRPr="007704DC">
        <w:rPr>
          <w:b/>
          <w:bCs/>
        </w:rPr>
        <w:t xml:space="preserve"> </w:t>
      </w:r>
      <w:r w:rsidR="006A148F">
        <w:t>called to g</w:t>
      </w:r>
      <w:r w:rsidRPr="006A148F" w:rsidR="006A148F">
        <w:t xml:space="preserve">uarantee that all citizens </w:t>
      </w:r>
      <w:r w:rsidR="00E35E45">
        <w:t>could</w:t>
      </w:r>
      <w:r w:rsidRPr="006A148F" w:rsidR="006A148F">
        <w:t xml:space="preserve"> retir</w:t>
      </w:r>
      <w:r w:rsidR="006A148F">
        <w:t>e</w:t>
      </w:r>
      <w:r w:rsidRPr="006A148F" w:rsidR="006A148F">
        <w:t xml:space="preserve"> with dignity, security and adequate income</w:t>
      </w:r>
      <w:r w:rsidR="006A148F">
        <w:t>,</w:t>
      </w:r>
      <w:r w:rsidRPr="006A148F" w:rsidR="006A148F">
        <w:t xml:space="preserve"> as a fundamental pilar for social cohesion, economic stability and trust in the EU project. </w:t>
      </w:r>
      <w:r w:rsidR="006A148F">
        <w:t>She h</w:t>
      </w:r>
      <w:r w:rsidRPr="006A148F" w:rsidR="006A148F">
        <w:t>ighlighted that supplementary pensions could not justify, directly or indirectly, weakening public pensions. Defended a holistic approach combining improvements in labour markets to strengthen public pensions with measures to increase transparency, accessibility and the functioning of supplementary pension schemes. She stressed the importance of participatory governance, collective bargaining and social dialogue for the efficacy and sustainability of any reform on pensions.</w:t>
      </w:r>
      <w:r w:rsidR="006A148F">
        <w:t xml:space="preserve"> </w:t>
      </w:r>
    </w:p>
    <w:p w:rsidRPr="007704DC" w:rsidR="006A148F" w:rsidP="006D50EB" w:rsidRDefault="006A148F" w14:paraId="711017EC" w14:textId="059B8F11">
      <w:r w:rsidRPr="006A148F">
        <w:t xml:space="preserve">On the amendments to IORP Directive and PEPP regulation, she outlined the EESC recommendations to combine flexibility with reducing fragmentation, increasing comparability and reinforcing transparency and trust of funds members. Other measures included </w:t>
      </w:r>
      <w:r w:rsidR="00E35E45">
        <w:t xml:space="preserve">to </w:t>
      </w:r>
      <w:r w:rsidRPr="006A148F">
        <w:t xml:space="preserve">assess deaccumulation practices, </w:t>
      </w:r>
      <w:r w:rsidR="00E35E45">
        <w:t xml:space="preserve">limits to the period of </w:t>
      </w:r>
      <w:r>
        <w:t>underfunding</w:t>
      </w:r>
      <w:r w:rsidRPr="006A148F">
        <w:t xml:space="preserve"> </w:t>
      </w:r>
      <w:r w:rsidR="00E35E45">
        <w:t>for</w:t>
      </w:r>
      <w:r w:rsidRPr="006A148F">
        <w:t xml:space="preserve"> </w:t>
      </w:r>
      <w:r w:rsidR="00E35E45">
        <w:t xml:space="preserve">pension </w:t>
      </w:r>
      <w:r w:rsidRPr="006A148F">
        <w:t xml:space="preserve">funds, </w:t>
      </w:r>
      <w:r w:rsidR="00E35E45">
        <w:t xml:space="preserve">to </w:t>
      </w:r>
      <w:r w:rsidRPr="006A148F">
        <w:t>keep PEPPs individual and protecting IORPs at the workplace, and the need for advice when purchasing PEPPs</w:t>
      </w:r>
      <w:r>
        <w:t xml:space="preserve">, and taking measures to close gender gaps in supplementary pensions. On auto-enrolment, she stated that its implementation and design should be the result of reinforced social dialogue and collective bargaining, and consensual. She finished stating that future measures should be backed by a </w:t>
      </w:r>
      <w:r w:rsidR="003C2459">
        <w:t>proper</w:t>
      </w:r>
      <w:r>
        <w:t xml:space="preserve"> impact assessment, for what the evaluation committee proposed by the EESC should become a reality.</w:t>
      </w:r>
    </w:p>
    <w:p w:rsidR="006D50EB" w:rsidP="006D50EB" w:rsidRDefault="006D50EB" w14:paraId="1F91E414" w14:textId="77777777"/>
    <w:p w:rsidR="006D50EB" w:rsidP="006D50EB" w:rsidRDefault="006D50EB" w14:paraId="61AFC719" w14:textId="10A43160">
      <w:pPr>
        <w:rPr>
          <w:b/>
          <w:bCs/>
        </w:rPr>
      </w:pPr>
      <w:r>
        <w:t xml:space="preserve">In the ensuing debate, the following members took the floor: </w:t>
      </w:r>
      <w:r w:rsidRPr="003C2459" w:rsidR="003C2459">
        <w:rPr>
          <w:b/>
          <w:bCs/>
        </w:rPr>
        <w:t>Mr Robyns</w:t>
      </w:r>
      <w:r w:rsidR="003C2459">
        <w:t xml:space="preserve">, </w:t>
      </w:r>
      <w:r w:rsidRPr="003C2459" w:rsidR="003C2459">
        <w:rPr>
          <w:b/>
          <w:bCs/>
        </w:rPr>
        <w:t>Ms Biegon</w:t>
      </w:r>
      <w:r w:rsidR="003C2459">
        <w:t xml:space="preserve">, </w:t>
      </w:r>
      <w:r w:rsidRPr="003C2459" w:rsidR="003C2459">
        <w:rPr>
          <w:b/>
          <w:bCs/>
        </w:rPr>
        <w:t>Mr Pater</w:t>
      </w:r>
      <w:r w:rsidR="003C2459">
        <w:t xml:space="preserve">, </w:t>
      </w:r>
      <w:r w:rsidRPr="003C2459" w:rsidR="003C2459">
        <w:rPr>
          <w:b/>
          <w:bCs/>
        </w:rPr>
        <w:t xml:space="preserve">Mr </w:t>
      </w:r>
      <w:r w:rsidR="005E286E">
        <w:rPr>
          <w:b/>
          <w:bCs/>
        </w:rPr>
        <w:t>Re</w:t>
      </w:r>
      <w:r w:rsidRPr="003C2459" w:rsidR="00E35E45">
        <w:rPr>
          <w:b/>
          <w:bCs/>
        </w:rPr>
        <w:t>hse</w:t>
      </w:r>
      <w:r w:rsidR="003C2459">
        <w:t xml:space="preserve">, </w:t>
      </w:r>
      <w:r w:rsidRPr="00E321DF" w:rsidR="003C2459">
        <w:rPr>
          <w:b/>
          <w:bCs/>
        </w:rPr>
        <w:t>Mr</w:t>
      </w:r>
      <w:r w:rsidR="003C2459">
        <w:t xml:space="preserve"> </w:t>
      </w:r>
      <w:r w:rsidRPr="003C2459" w:rsidR="003C2459">
        <w:rPr>
          <w:b/>
          <w:bCs/>
        </w:rPr>
        <w:t>Doz Orrit</w:t>
      </w:r>
      <w:r w:rsidR="003C2459">
        <w:t xml:space="preserve">, </w:t>
      </w:r>
      <w:r w:rsidRPr="00E321DF" w:rsidR="003C2459">
        <w:rPr>
          <w:b/>
          <w:bCs/>
        </w:rPr>
        <w:t xml:space="preserve">Ms </w:t>
      </w:r>
      <w:r w:rsidRPr="003C2459" w:rsidR="003C2459">
        <w:rPr>
          <w:b/>
          <w:bCs/>
        </w:rPr>
        <w:t>Kindberg</w:t>
      </w:r>
      <w:r w:rsidR="003C2459">
        <w:t xml:space="preserve">, </w:t>
      </w:r>
      <w:r w:rsidRPr="00E321DF" w:rsidR="003C2459">
        <w:rPr>
          <w:b/>
          <w:bCs/>
        </w:rPr>
        <w:t xml:space="preserve">Mr </w:t>
      </w:r>
      <w:r w:rsidRPr="003C2459" w:rsidR="003C2459">
        <w:rPr>
          <w:b/>
          <w:bCs/>
        </w:rPr>
        <w:t>Roget Alemany</w:t>
      </w:r>
      <w:r w:rsidR="003C2459">
        <w:t xml:space="preserve">, </w:t>
      </w:r>
      <w:r w:rsidRPr="00E321DF" w:rsidR="003C2459">
        <w:rPr>
          <w:b/>
          <w:bCs/>
        </w:rPr>
        <w:t xml:space="preserve">Ms </w:t>
      </w:r>
      <w:r w:rsidRPr="003C2459" w:rsidR="003C2459">
        <w:rPr>
          <w:b/>
          <w:bCs/>
        </w:rPr>
        <w:t>Rousinova</w:t>
      </w:r>
      <w:r w:rsidR="003C2459">
        <w:t xml:space="preserve">, </w:t>
      </w:r>
      <w:r w:rsidRPr="00E321DF" w:rsidR="003C2459">
        <w:rPr>
          <w:b/>
          <w:bCs/>
        </w:rPr>
        <w:t xml:space="preserve">Mr </w:t>
      </w:r>
      <w:r w:rsidRPr="003C2459" w:rsidR="003C2459">
        <w:rPr>
          <w:b/>
          <w:bCs/>
        </w:rPr>
        <w:t>Ulgiati</w:t>
      </w:r>
      <w:r w:rsidRPr="00E321DF" w:rsidR="003C2459">
        <w:t>.</w:t>
      </w:r>
    </w:p>
    <w:p w:rsidR="003C2459" w:rsidP="006D50EB" w:rsidRDefault="003C2459" w14:paraId="2C53613E" w14:textId="77777777"/>
    <w:p w:rsidR="006D50EB" w:rsidP="006D50EB" w:rsidRDefault="006D50EB" w14:paraId="2F75EBA4" w14:textId="64D174AC">
      <w:r w:rsidRPr="006D50EB">
        <w:t>Points raised included</w:t>
      </w:r>
      <w:r w:rsidR="003C2459">
        <w:t xml:space="preserve">: that the opinion went beyond the Commission proposal; </w:t>
      </w:r>
      <w:r w:rsidR="00EB641C">
        <w:t>the</w:t>
      </w:r>
      <w:r w:rsidR="003C2459">
        <w:t xml:space="preserve"> limitations </w:t>
      </w:r>
      <w:r w:rsidR="00EB641C">
        <w:t xml:space="preserve">of the Commission proposal </w:t>
      </w:r>
      <w:r w:rsidR="003C2459">
        <w:t>to respond to demographic changes</w:t>
      </w:r>
      <w:r w:rsidR="00EB641C">
        <w:t xml:space="preserve">, </w:t>
      </w:r>
      <w:r w:rsidR="003C2459">
        <w:t>while criticising its sole focus on allocating savings towards investment and the interference on a particularly sensitive national policy; the important role of social dialogue and stakeholders</w:t>
      </w:r>
      <w:r w:rsidR="00EB641C">
        <w:t>' involvement,</w:t>
      </w:r>
      <w:r w:rsidR="003C2459">
        <w:t xml:space="preserve"> </w:t>
      </w:r>
      <w:r w:rsidR="00EB641C">
        <w:t xml:space="preserve">as well as </w:t>
      </w:r>
      <w:r w:rsidR="003C2459">
        <w:t xml:space="preserve">avoiding a one-size-fits-all approach; the relevance of considering pension gaps, particularly gender gaps; acknowledged the role of supplementary pensions as a complement to public pensions; </w:t>
      </w:r>
      <w:r w:rsidR="002A3249">
        <w:t xml:space="preserve">a reference in positive tone to </w:t>
      </w:r>
      <w:r w:rsidR="003C2459">
        <w:t xml:space="preserve">migration policy of Spain was </w:t>
      </w:r>
      <w:r w:rsidR="002A3249">
        <w:t xml:space="preserve">shared, while criticising the recent pact on migration of the European Commission; a reference to growing absinthism in the workplace in Spain was mentioned; the reform was also acknowledged as balanced while highlighting the proposals in the opinion as a positive contribution; </w:t>
      </w:r>
    </w:p>
    <w:p w:rsidR="006D50EB" w:rsidP="006D50EB" w:rsidRDefault="006D50EB" w14:paraId="59DDB916" w14:textId="77777777"/>
    <w:p w:rsidRPr="002A3249" w:rsidR="008F171C" w:rsidP="00EC0F0F" w:rsidRDefault="006D50EB" w14:paraId="212B3303" w14:textId="1FD855CA">
      <w:r>
        <w:t xml:space="preserve">In her reply, </w:t>
      </w:r>
      <w:r w:rsidRPr="006A1C73" w:rsidR="006A1C73">
        <w:rPr>
          <w:b/>
          <w:bCs/>
        </w:rPr>
        <w:t xml:space="preserve">Barrera Chamorro </w:t>
      </w:r>
      <w:r w:rsidR="002A3249">
        <w:t xml:space="preserve">thanked all for their respective interventions and for the work of the study group. She stressed that there were 15 recommendations, and 21 proposals for amendments to the legislative package of the Commission. She reiterated the need to create an evaluation committee, avoid weakening public pensions, and to include an impact assessment in future proposals. </w:t>
      </w:r>
      <w:r w:rsidRPr="002A3249" w:rsidR="002A3249">
        <w:rPr>
          <w:b/>
          <w:bCs/>
        </w:rPr>
        <w:t>Saiz Delgado</w:t>
      </w:r>
      <w:r w:rsidR="002A3249">
        <w:t xml:space="preserve"> appreciated the quality of the discussion, that highlighted the value of the EESC as a space for the debate of civil society stakeholders. She stated that </w:t>
      </w:r>
      <w:r w:rsidR="000F2924">
        <w:t>her takeaway of many</w:t>
      </w:r>
      <w:r w:rsidR="002A3249">
        <w:t xml:space="preserve"> </w:t>
      </w:r>
      <w:r w:rsidR="000F2924">
        <w:t>interventions</w:t>
      </w:r>
      <w:r w:rsidR="002A3249">
        <w:t xml:space="preserve"> was the view of supplementary pensions as complementary, remaining public pensions as the central piece to ensure sufficiency, egality and solidarity. </w:t>
      </w:r>
      <w:r w:rsidRPr="002A3249" w:rsidR="002A3249">
        <w:rPr>
          <w:b/>
          <w:bCs/>
        </w:rPr>
        <w:t>Albuquerque</w:t>
      </w:r>
      <w:r w:rsidR="002A3249">
        <w:t xml:space="preserve"> answered on the need to make easier to save for retirement, increase </w:t>
      </w:r>
      <w:r w:rsidR="000F2924">
        <w:t>clarity</w:t>
      </w:r>
      <w:r w:rsidR="002A3249">
        <w:t xml:space="preserve"> of information, and ensure that no one was left behind, and said that the Commission proposal aimed at building trust on products and providers, while putting clear duties for security and positive returns. </w:t>
      </w:r>
      <w:r w:rsidRPr="002A3249" w:rsidR="002A3249">
        <w:rPr>
          <w:b/>
          <w:bCs/>
        </w:rPr>
        <w:t>Boeselager</w:t>
      </w:r>
      <w:r w:rsidR="002A3249">
        <w:rPr>
          <w:b/>
          <w:bCs/>
        </w:rPr>
        <w:t xml:space="preserve"> </w:t>
      </w:r>
      <w:r w:rsidR="002A3249">
        <w:t>said that larger impact assessments were needed to understand the impact of the changes. He stressed the alignment seen on pensions, but that some aspects had to be further discussed</w:t>
      </w:r>
      <w:r w:rsidR="000F2924">
        <w:t xml:space="preserve">, </w:t>
      </w:r>
      <w:r w:rsidR="002A3249">
        <w:t>and set as example Japan, who uses a mathematic formula to ensure sustainability of public pensions.</w:t>
      </w:r>
    </w:p>
    <w:p w:rsidR="008F171C" w:rsidP="00EC0F0F" w:rsidRDefault="008F171C" w14:paraId="50241886" w14:textId="77777777"/>
    <w:p w:rsidR="008F171C" w:rsidP="00EC0F0F" w:rsidRDefault="00153112" w14:paraId="64150A9A" w14:textId="505CA0A3">
      <w:r w:rsidRPr="006D5D29">
        <w:t>The Assembly then examined the following amendments to the opinion:</w:t>
      </w:r>
    </w:p>
    <w:p w:rsidR="00153112" w:rsidP="00EC0F0F" w:rsidRDefault="00153112" w14:paraId="3D5DB05C"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263838" w:rsidR="006A1C73" w:rsidTr="000058C7" w14:paraId="23DD1554" w14:textId="77777777">
        <w:tc>
          <w:tcPr>
            <w:tcW w:w="2826" w:type="pct"/>
          </w:tcPr>
          <w:p w:rsidRPr="002E1F9E" w:rsidR="006A1C73" w:rsidP="000058C7" w:rsidRDefault="006A1C73" w14:paraId="15D611A9" w14:textId="77777777">
            <w:pPr>
              <w:rPr>
                <w:b/>
                <w:bCs/>
                <w:sz w:val="32"/>
                <w:szCs w:val="32"/>
              </w:rPr>
            </w:pPr>
            <w:r w:rsidRPr="002E1F9E">
              <w:rPr>
                <w:b/>
                <w:bCs/>
                <w:sz w:val="32"/>
                <w:szCs w:val="32"/>
              </w:rPr>
              <w:t>AMENDMENT 1</w:t>
            </w:r>
          </w:p>
          <w:p w:rsidRPr="002E1F9E" w:rsidR="006A1C73" w:rsidP="000058C7" w:rsidRDefault="006A1C73" w14:paraId="50704DDF" w14:textId="77777777">
            <w:pPr>
              <w:rPr>
                <w:b/>
                <w:bCs/>
              </w:rPr>
            </w:pPr>
          </w:p>
          <w:p w:rsidRPr="002E1F9E" w:rsidR="006A1C73" w:rsidP="000058C7" w:rsidRDefault="006A1C73" w14:paraId="7F6836CE" w14:textId="77777777">
            <w:pPr>
              <w:rPr>
                <w:b/>
                <w:bCs/>
              </w:rPr>
            </w:pPr>
            <w:r w:rsidRPr="002E1F9E">
              <w:rPr>
                <w:b/>
                <w:bCs/>
              </w:rPr>
              <w:t>ECO/695</w:t>
            </w:r>
          </w:p>
          <w:p w:rsidRPr="002E1F9E" w:rsidR="006A1C73" w:rsidP="000058C7" w:rsidRDefault="006A1C73" w14:paraId="5C0B7206" w14:textId="77777777">
            <w:pPr>
              <w:rPr>
                <w:b/>
                <w:bCs/>
              </w:rPr>
            </w:pPr>
            <w:r w:rsidRPr="002E1F9E">
              <w:rPr>
                <w:b/>
                <w:bCs/>
              </w:rPr>
              <w:t>Supplementary pensions package: PEPP and IORP</w:t>
            </w:r>
          </w:p>
          <w:p w:rsidRPr="002E1F9E" w:rsidR="006A1C73" w:rsidP="000058C7" w:rsidRDefault="006A1C73" w14:paraId="3E222D51" w14:textId="77777777">
            <w:pPr>
              <w:rPr>
                <w:b/>
                <w:bCs/>
              </w:rPr>
            </w:pPr>
          </w:p>
          <w:p w:rsidRPr="002E1F9E" w:rsidR="006A1C73" w:rsidP="000058C7" w:rsidRDefault="006A1C73" w14:paraId="40314DCC" w14:textId="77777777">
            <w:pPr>
              <w:rPr>
                <w:b/>
                <w:bCs/>
              </w:rPr>
            </w:pPr>
            <w:r w:rsidRPr="002E1F9E">
              <w:rPr>
                <w:b/>
                <w:bCs/>
              </w:rPr>
              <w:t>Point 1.1</w:t>
            </w:r>
          </w:p>
          <w:p w:rsidRPr="002E1F9E" w:rsidR="006A1C73" w:rsidP="000058C7" w:rsidRDefault="006A1C73" w14:paraId="3E826EFD" w14:textId="77777777">
            <w:pPr>
              <w:rPr>
                <w:b/>
                <w:bCs/>
              </w:rPr>
            </w:pPr>
          </w:p>
          <w:p w:rsidRPr="002E1F9E" w:rsidR="006A1C73" w:rsidP="000058C7" w:rsidRDefault="006A1C73" w14:paraId="2CE8BE9F" w14:textId="77777777">
            <w:pPr>
              <w:rPr>
                <w:b/>
                <w:bCs/>
              </w:rPr>
            </w:pPr>
            <w:r w:rsidRPr="002E1F9E">
              <w:rPr>
                <w:b/>
                <w:bCs/>
              </w:rPr>
              <w:t>Amend as follows:</w:t>
            </w:r>
          </w:p>
        </w:tc>
        <w:tc>
          <w:tcPr>
            <w:tcW w:w="2174" w:type="pct"/>
            <w:hideMark/>
          </w:tcPr>
          <w:p w:rsidR="00263838" w:rsidP="00263838" w:rsidRDefault="006A1C73" w14:paraId="439ED5F5" w14:textId="77777777">
            <w:pPr>
              <w:jc w:val="left"/>
              <w:rPr>
                <w:b/>
                <w:bCs/>
              </w:rPr>
            </w:pPr>
            <w:r w:rsidRPr="00263838">
              <w:rPr>
                <w:b/>
                <w:bCs/>
              </w:rPr>
              <w:t xml:space="preserve">Tabled by: </w:t>
            </w:r>
          </w:p>
          <w:p w:rsidRPr="002E1F9E" w:rsidR="00263838" w:rsidP="00263838" w:rsidRDefault="00263838" w14:paraId="3E87392B" w14:textId="12AE4BCE">
            <w:pPr>
              <w:jc w:val="left"/>
            </w:pPr>
            <w:r w:rsidRPr="002E1F9E">
              <w:t>BARRERA CHAMORRO Maria del Carmen</w:t>
            </w:r>
          </w:p>
          <w:p w:rsidRPr="002E1F9E" w:rsidR="00263838" w:rsidP="00263838" w:rsidRDefault="00263838" w14:paraId="64A8F9A4" w14:textId="77777777">
            <w:pPr>
              <w:jc w:val="left"/>
            </w:pPr>
            <w:r w:rsidRPr="002E1F9E">
              <w:t>MINCHEVA Mariya</w:t>
            </w:r>
          </w:p>
          <w:p w:rsidRPr="00263838" w:rsidR="006A1C73" w:rsidP="00263838" w:rsidRDefault="00263838" w14:paraId="183CBC9B" w14:textId="417DEC4F">
            <w:pPr>
              <w:jc w:val="left"/>
              <w:rPr>
                <w:b/>
                <w:bCs/>
              </w:rPr>
            </w:pPr>
            <w:r w:rsidRPr="002E1F9E">
              <w:t>ROBYNS Wautier</w:t>
            </w:r>
          </w:p>
          <w:p w:rsidRPr="00263838" w:rsidR="006A1C73" w:rsidP="000058C7" w:rsidRDefault="006A1C73" w14:paraId="6D1C562E" w14:textId="147FE776"/>
          <w:p w:rsidRPr="00263838" w:rsidR="006A1C73" w:rsidP="000058C7" w:rsidRDefault="006A1C73" w14:paraId="732314AD" w14:textId="77777777"/>
        </w:tc>
      </w:tr>
    </w:tbl>
    <w:p w:rsidRPr="00263838" w:rsidR="006A1C73" w:rsidP="006A1C73" w:rsidRDefault="006A1C73" w14:paraId="7388015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359A9EFD"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43A77D68"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0B82D7BA" w14:textId="77777777">
            <w:pPr>
              <w:jc w:val="center"/>
              <w:rPr>
                <w:b/>
                <w:bCs/>
                <w:i/>
              </w:rPr>
            </w:pPr>
            <w:r w:rsidRPr="002E1F9E">
              <w:rPr>
                <w:b/>
                <w:bCs/>
                <w:i/>
              </w:rPr>
              <w:t>Amendment</w:t>
            </w:r>
          </w:p>
        </w:tc>
      </w:tr>
      <w:tr w:rsidRPr="002E1F9E" w:rsidR="006A1C73" w:rsidTr="000058C7" w14:paraId="27250915"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07D20E08" w14:textId="77777777">
            <w:pPr>
              <w:spacing w:before="80" w:after="80"/>
              <w:ind w:left="80" w:right="80"/>
            </w:pPr>
            <w:r w:rsidRPr="002E1F9E">
              <w:rPr>
                <w:b/>
                <w:bCs/>
              </w:rPr>
              <w:t>recommends</w:t>
            </w:r>
            <w:r w:rsidRPr="002E1F9E">
              <w:t xml:space="preserve"> that the legislative package </w:t>
            </w:r>
            <w:r w:rsidRPr="002E1F9E">
              <w:rPr>
                <w:b/>
                <w:bCs/>
                <w:i/>
              </w:rPr>
              <w:t>maintain</w:t>
            </w:r>
            <w:r w:rsidRPr="002E1F9E">
              <w:t xml:space="preserve"> the goal to ensure that </w:t>
            </w:r>
            <w:r w:rsidRPr="002E1F9E">
              <w:rPr>
                <w:b/>
                <w:bCs/>
              </w:rPr>
              <w:t xml:space="preserve">all citizens across the EU can retire with dignity, security and adequate income, recognising that this is a fundamental element of the </w:t>
            </w:r>
            <w:r w:rsidRPr="002E1F9E">
              <w:rPr>
                <w:b/>
                <w:bCs/>
                <w:i/>
              </w:rPr>
              <w:t>Union’s</w:t>
            </w:r>
            <w:r w:rsidRPr="002E1F9E">
              <w:t xml:space="preserve"> </w:t>
            </w:r>
            <w:r w:rsidRPr="002E1F9E">
              <w:rPr>
                <w:b/>
                <w:bCs/>
              </w:rPr>
              <w:t>social and economic agenda</w:t>
            </w:r>
            <w:r w:rsidRPr="002E1F9E">
              <w:t xml:space="preserve">. Although the EESC recognises the beneficial effects of the joint functioning of the multi-pillar system on the replacement rate of pensions, it believes that the existence of supplementary pensions should not, either directly or indirectly, be used to justify weakening public pensions, particularly in terms of their ability to provide an adequate income. </w:t>
            </w:r>
            <w:r w:rsidRPr="002E1F9E">
              <w:rPr>
                <w:b/>
                <w:bCs/>
                <w:i/>
                <w:iCs/>
              </w:rPr>
              <w:t>At the same time, the EESC underlines that the legislative package should focus on improving the functioning, transparency and accessibility of supplementary pension arrangements, while fully respecting Member States’ competences, the diversity of national pension systems and the complementary role of supplementary pensions alongside statutory schemes;</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2070EC46" w14:textId="77777777">
            <w:pPr>
              <w:spacing w:before="80" w:after="80"/>
              <w:ind w:left="80" w:right="80"/>
            </w:pPr>
            <w:r w:rsidRPr="002E1F9E">
              <w:rPr>
                <w:b/>
                <w:bCs/>
              </w:rPr>
              <w:t>recommends</w:t>
            </w:r>
            <w:r w:rsidRPr="002E1F9E">
              <w:t xml:space="preserve"> that the legislative package </w:t>
            </w:r>
            <w:r w:rsidRPr="002E1F9E">
              <w:rPr>
                <w:b/>
                <w:bCs/>
                <w:i/>
              </w:rPr>
              <w:t>maintains</w:t>
            </w:r>
            <w:r w:rsidRPr="002E1F9E">
              <w:t xml:space="preserve"> the goal to ensure that </w:t>
            </w:r>
            <w:r w:rsidRPr="002E1F9E">
              <w:rPr>
                <w:b/>
                <w:bCs/>
              </w:rPr>
              <w:t xml:space="preserve">all citizens across the EU can retire with dignity, security and adequate income, recognising that this is a fundamental element of the </w:t>
            </w:r>
            <w:r w:rsidRPr="002E1F9E">
              <w:rPr>
                <w:b/>
                <w:bCs/>
                <w:i/>
              </w:rPr>
              <w:t>EU's</w:t>
            </w:r>
            <w:r w:rsidRPr="002E1F9E">
              <w:rPr>
                <w:b/>
                <w:bCs/>
              </w:rPr>
              <w:t xml:space="preserve"> social and economic agenda</w:t>
            </w:r>
            <w:r w:rsidRPr="002E1F9E">
              <w:t xml:space="preserve">. </w:t>
            </w:r>
            <w:r w:rsidRPr="002E1F9E">
              <w:rPr>
                <w:b/>
                <w:bCs/>
                <w:i/>
                <w:iCs/>
              </w:rPr>
              <w:t>At the same time, it recommends a comprehensive approach at the appropriate level - national or EU - to improve labour markets, and an active policy that strengthens the public pensions systems, while recognising current fiscal and demographic pressures and weak competitiveness, and improving the supplementary pensions systems.</w:t>
            </w:r>
            <w:r w:rsidRPr="002E1F9E">
              <w:t xml:space="preserve"> Although the EESC recognises the beneficial effects of the joint functioning of the multi-pillar system on the replacement rate of pensions, it believes that the existence of supplementary pensions should not, either directly or indirectly, be used to justify weakening public pensions, particularly in terms of their ability to provide an adequate income;</w:t>
            </w:r>
          </w:p>
        </w:tc>
      </w:tr>
    </w:tbl>
    <w:p w:rsidR="006A1C73" w:rsidP="006A1C73" w:rsidRDefault="006A1C73" w14:paraId="0A2CB26A" w14:textId="77777777"/>
    <w:p w:rsidR="006A1C73" w:rsidP="006A1C73" w:rsidRDefault="00CC3BFF" w14:paraId="7B65AD09" w14:textId="6185C567">
      <w:r w:rsidRPr="00CC3BFF">
        <w:t xml:space="preserve">The </w:t>
      </w:r>
      <w:r w:rsidRPr="00960432">
        <w:t>amendment was accepted by the rapporteur</w:t>
      </w:r>
      <w:r>
        <w:t xml:space="preserve"> and by the Assembly</w:t>
      </w:r>
      <w:r w:rsidRPr="00960432">
        <w:t>.</w:t>
      </w:r>
    </w:p>
    <w:p w:rsidR="006A1C73" w:rsidP="006A1C73" w:rsidRDefault="006A1C73" w14:paraId="18BCCAD3"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263838" w:rsidR="006A1C73" w:rsidTr="000058C7" w14:paraId="4D56B689" w14:textId="77777777">
        <w:tc>
          <w:tcPr>
            <w:tcW w:w="2826" w:type="pct"/>
          </w:tcPr>
          <w:p w:rsidRPr="002E1F9E" w:rsidR="006A1C73" w:rsidP="000058C7" w:rsidRDefault="006A1C73" w14:paraId="3E62795C" w14:textId="77777777">
            <w:pPr>
              <w:rPr>
                <w:b/>
                <w:bCs/>
                <w:sz w:val="32"/>
                <w:szCs w:val="32"/>
              </w:rPr>
            </w:pPr>
            <w:r w:rsidRPr="002E1F9E">
              <w:rPr>
                <w:b/>
                <w:bCs/>
                <w:sz w:val="32"/>
                <w:szCs w:val="32"/>
              </w:rPr>
              <w:t>AMENDMENT 2</w:t>
            </w:r>
          </w:p>
          <w:p w:rsidRPr="002E1F9E" w:rsidR="006A1C73" w:rsidP="000058C7" w:rsidRDefault="006A1C73" w14:paraId="62D6A047" w14:textId="77777777">
            <w:pPr>
              <w:rPr>
                <w:b/>
                <w:bCs/>
              </w:rPr>
            </w:pPr>
          </w:p>
          <w:p w:rsidRPr="002E1F9E" w:rsidR="006A1C73" w:rsidP="000058C7" w:rsidRDefault="006A1C73" w14:paraId="5ECFA62C" w14:textId="77777777">
            <w:pPr>
              <w:rPr>
                <w:b/>
                <w:bCs/>
              </w:rPr>
            </w:pPr>
            <w:r w:rsidRPr="002E1F9E">
              <w:rPr>
                <w:b/>
                <w:bCs/>
              </w:rPr>
              <w:t>ECO/695</w:t>
            </w:r>
          </w:p>
          <w:p w:rsidRPr="002E1F9E" w:rsidR="006A1C73" w:rsidP="000058C7" w:rsidRDefault="006A1C73" w14:paraId="5F26D2C7" w14:textId="77777777">
            <w:pPr>
              <w:rPr>
                <w:b/>
                <w:bCs/>
              </w:rPr>
            </w:pPr>
            <w:r w:rsidRPr="002E1F9E">
              <w:rPr>
                <w:b/>
                <w:bCs/>
              </w:rPr>
              <w:t>Supplementary pensions package: PEPP and IORP</w:t>
            </w:r>
          </w:p>
          <w:p w:rsidRPr="002E1F9E" w:rsidR="006A1C73" w:rsidP="000058C7" w:rsidRDefault="006A1C73" w14:paraId="6F71129A" w14:textId="77777777">
            <w:pPr>
              <w:rPr>
                <w:b/>
                <w:bCs/>
              </w:rPr>
            </w:pPr>
          </w:p>
          <w:p w:rsidRPr="002E1F9E" w:rsidR="006A1C73" w:rsidP="000058C7" w:rsidRDefault="006A1C73" w14:paraId="5FE396E1" w14:textId="77777777">
            <w:pPr>
              <w:rPr>
                <w:b/>
                <w:bCs/>
              </w:rPr>
            </w:pPr>
            <w:r w:rsidRPr="002E1F9E">
              <w:rPr>
                <w:b/>
                <w:bCs/>
              </w:rPr>
              <w:t>Point 3</w:t>
            </w:r>
          </w:p>
          <w:p w:rsidRPr="002E1F9E" w:rsidR="006A1C73" w:rsidP="000058C7" w:rsidRDefault="006A1C73" w14:paraId="3920162C" w14:textId="77777777">
            <w:pPr>
              <w:spacing w:before="80" w:after="40"/>
              <w:ind w:right="80"/>
              <w:rPr>
                <w:b/>
                <w:bCs/>
                <w:iCs/>
              </w:rPr>
            </w:pPr>
            <w:r w:rsidRPr="002E1F9E">
              <w:rPr>
                <w:b/>
                <w:bCs/>
                <w:iCs/>
              </w:rPr>
              <w:t>Amendment 1</w:t>
            </w:r>
          </w:p>
          <w:p w:rsidRPr="002E1F9E" w:rsidR="006A1C73" w:rsidP="000058C7" w:rsidRDefault="006A1C73" w14:paraId="1EFF670F" w14:textId="77777777">
            <w:pPr>
              <w:spacing w:before="40" w:after="40"/>
              <w:ind w:right="80"/>
              <w:rPr>
                <w:iCs/>
              </w:rPr>
            </w:pPr>
            <w:r w:rsidRPr="002E1F9E">
              <w:rPr>
                <w:iCs/>
              </w:rPr>
              <w:t>linked to recommendation 1.1</w:t>
            </w:r>
          </w:p>
          <w:p w:rsidRPr="002E1F9E" w:rsidR="006A1C73" w:rsidP="000058C7" w:rsidRDefault="006A1C73" w14:paraId="47217275" w14:textId="77777777">
            <w:pPr>
              <w:spacing w:before="40" w:after="40"/>
              <w:ind w:right="80"/>
              <w:rPr>
                <w:iCs/>
              </w:rPr>
            </w:pPr>
            <w:r w:rsidRPr="002E1F9E">
              <w:rPr>
                <w:iCs/>
              </w:rPr>
              <w:t>COM(2025) 842 final</w:t>
            </w:r>
          </w:p>
          <w:p w:rsidRPr="002E1F9E" w:rsidR="006A1C73" w:rsidP="000058C7" w:rsidRDefault="006A1C73" w14:paraId="6930BB55" w14:textId="77777777">
            <w:pPr>
              <w:spacing w:before="40" w:after="40"/>
              <w:ind w:right="80"/>
              <w:rPr>
                <w:iCs/>
              </w:rPr>
            </w:pPr>
            <w:r w:rsidRPr="002E1F9E">
              <w:rPr>
                <w:iCs/>
              </w:rPr>
              <w:t>Preamble, recital 2a</w:t>
            </w:r>
          </w:p>
          <w:p w:rsidRPr="002E1F9E" w:rsidR="006A1C73" w:rsidP="000058C7" w:rsidRDefault="006A1C73" w14:paraId="0D8F9B00" w14:textId="77777777">
            <w:pPr>
              <w:rPr>
                <w:b/>
                <w:bCs/>
              </w:rPr>
            </w:pPr>
          </w:p>
          <w:p w:rsidRPr="002E1F9E" w:rsidR="006A1C73" w:rsidP="000058C7" w:rsidRDefault="006A1C73" w14:paraId="593A10C9" w14:textId="77777777">
            <w:pPr>
              <w:rPr>
                <w:b/>
                <w:bCs/>
              </w:rPr>
            </w:pPr>
            <w:r w:rsidRPr="002E1F9E">
              <w:rPr>
                <w:b/>
                <w:bCs/>
              </w:rPr>
              <w:t>Amend as follows:</w:t>
            </w:r>
          </w:p>
        </w:tc>
        <w:tc>
          <w:tcPr>
            <w:tcW w:w="2174" w:type="pct"/>
            <w:hideMark/>
          </w:tcPr>
          <w:p w:rsidR="006A1C73" w:rsidP="000058C7" w:rsidRDefault="006A1C73" w14:paraId="23A2DB4B" w14:textId="1D80C070">
            <w:pPr>
              <w:jc w:val="left"/>
            </w:pPr>
            <w:r w:rsidRPr="002E1F9E">
              <w:rPr>
                <w:b/>
                <w:bCs/>
              </w:rPr>
              <w:t>Tabled by:</w:t>
            </w:r>
            <w:r w:rsidRPr="006A1C73" w:rsidR="006A5ADE">
              <w:t xml:space="preserve"> </w:t>
            </w:r>
          </w:p>
          <w:p w:rsidRPr="00AE5154" w:rsidR="00263838" w:rsidP="00263838" w:rsidRDefault="00263838" w14:paraId="6827AA5F" w14:textId="77777777">
            <w:pPr>
              <w:jc w:val="left"/>
            </w:pPr>
            <w:r w:rsidRPr="00AE5154">
              <w:t>BARRERA CHAMORRO Maria del Carmen</w:t>
            </w:r>
          </w:p>
          <w:p w:rsidRPr="00AE5154" w:rsidR="00263838" w:rsidP="00263838" w:rsidRDefault="00263838" w14:paraId="54BFF426" w14:textId="77777777">
            <w:pPr>
              <w:jc w:val="left"/>
            </w:pPr>
            <w:r w:rsidRPr="00AE5154">
              <w:t>MINCHEVA Mariya</w:t>
            </w:r>
          </w:p>
          <w:p w:rsidRPr="00AE5154" w:rsidR="00263838" w:rsidP="00263838" w:rsidRDefault="00263838" w14:paraId="2DD9FB7A" w14:textId="63063663">
            <w:pPr>
              <w:jc w:val="left"/>
              <w:rPr>
                <w:b/>
                <w:bCs/>
              </w:rPr>
            </w:pPr>
            <w:r w:rsidRPr="00AE5154">
              <w:t>ROBYNS Wautier</w:t>
            </w:r>
          </w:p>
          <w:p w:rsidRPr="00AE5154" w:rsidR="006A1C73" w:rsidP="000058C7" w:rsidRDefault="006A1C73" w14:paraId="3DF019C7" w14:textId="5B903800">
            <w:pPr>
              <w:jc w:val="left"/>
            </w:pPr>
          </w:p>
          <w:p w:rsidRPr="00AE5154" w:rsidR="006A1C73" w:rsidP="000058C7" w:rsidRDefault="006A1C73" w14:paraId="3F19C315" w14:textId="77777777">
            <w:pPr>
              <w:jc w:val="left"/>
            </w:pPr>
          </w:p>
          <w:p w:rsidRPr="00AE5154" w:rsidR="006A1C73" w:rsidP="006A1C73" w:rsidRDefault="006A1C73" w14:paraId="5A280BBA" w14:textId="4725D3A4">
            <w:pPr>
              <w:jc w:val="left"/>
            </w:pPr>
          </w:p>
        </w:tc>
      </w:tr>
    </w:tbl>
    <w:p w:rsidRPr="00AE5154" w:rsidR="006A1C73" w:rsidP="006A1C73" w:rsidRDefault="006A1C73" w14:paraId="12A5890D"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2E1F9E" w:rsidR="006A1C73" w:rsidTr="000058C7" w14:paraId="31080895" w14:textId="77777777">
        <w:tc>
          <w:tcPr>
            <w:tcW w:w="923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7387850C" w14:textId="77777777">
            <w:pPr>
              <w:jc w:val="center"/>
            </w:pPr>
            <w:r w:rsidRPr="002E1F9E">
              <w:rPr>
                <w:b/>
                <w:bCs/>
                <w:i/>
                <w:iCs/>
              </w:rPr>
              <w:t>Text proposed by the European Commission</w:t>
            </w:r>
          </w:p>
        </w:tc>
      </w:tr>
      <w:tr w:rsidRPr="002E1F9E" w:rsidR="006A1C73" w:rsidTr="000058C7" w14:paraId="1476216D" w14:textId="77777777">
        <w:tc>
          <w:tcPr>
            <w:tcW w:w="8856"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1C3E1346" w14:textId="77777777">
            <w:pPr>
              <w:jc w:val="left"/>
            </w:pPr>
          </w:p>
        </w:tc>
      </w:tr>
    </w:tbl>
    <w:p w:rsidRPr="002E1F9E" w:rsidR="006A1C73" w:rsidP="006A1C73" w:rsidRDefault="006A1C73" w14:paraId="12ED008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532702F7"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293A2225"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363CBCE2" w14:textId="77777777">
            <w:pPr>
              <w:jc w:val="center"/>
              <w:rPr>
                <w:b/>
                <w:bCs/>
                <w:i/>
              </w:rPr>
            </w:pPr>
            <w:r w:rsidRPr="002E1F9E">
              <w:rPr>
                <w:b/>
                <w:bCs/>
                <w:i/>
              </w:rPr>
              <w:t>Amendment</w:t>
            </w:r>
          </w:p>
        </w:tc>
      </w:tr>
      <w:tr w:rsidRPr="002E1F9E" w:rsidR="006A1C73" w:rsidTr="000058C7" w14:paraId="51C784AC"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1AA9A7E8" w14:textId="77777777">
            <w:pPr>
              <w:spacing w:before="80" w:after="80"/>
              <w:ind w:left="80" w:right="80"/>
            </w:pPr>
            <w:r w:rsidRPr="002E1F9E">
              <w:rPr>
                <w:b/>
                <w:i/>
              </w:rPr>
              <w:t xml:space="preserve">Ensuring that people across the EU can retire with dignity, security and adequate income lies at the heart of the EU’s social and economic agendas. At the same time, a holistic approach is necessary at national </w:t>
            </w:r>
            <w:r w:rsidRPr="002E1F9E">
              <w:rPr>
                <w:b/>
                <w:i/>
                <w:u w:val="single"/>
              </w:rPr>
              <w:t>and</w:t>
            </w:r>
            <w:r w:rsidRPr="002E1F9E">
              <w:rPr>
                <w:b/>
                <w:i/>
              </w:rPr>
              <w:t xml:space="preserve"> European </w:t>
            </w:r>
            <w:r w:rsidRPr="002E1F9E">
              <w:rPr>
                <w:b/>
                <w:i/>
                <w:u w:val="single"/>
              </w:rPr>
              <w:t>level</w:t>
            </w:r>
            <w:r w:rsidRPr="002E1F9E">
              <w:rPr>
                <w:b/>
                <w:i/>
              </w:rPr>
              <w:t xml:space="preserve">. This approach should </w:t>
            </w:r>
            <w:r w:rsidRPr="002E1F9E">
              <w:rPr>
                <w:b/>
                <w:i/>
                <w:u w:val="single"/>
              </w:rPr>
              <w:t>include improving the labour market and a migration policy</w:t>
            </w:r>
            <w:r w:rsidRPr="002E1F9E">
              <w:rPr>
                <w:b/>
                <w:i/>
              </w:rPr>
              <w:t xml:space="preserve"> that </w:t>
            </w:r>
            <w:r w:rsidRPr="002E1F9E">
              <w:rPr>
                <w:b/>
                <w:i/>
                <w:u w:val="single"/>
              </w:rPr>
              <w:t>strengthens</w:t>
            </w:r>
            <w:r w:rsidRPr="002E1F9E">
              <w:rPr>
                <w:b/>
                <w:i/>
              </w:rPr>
              <w:t xml:space="preserve"> the public pension </w:t>
            </w:r>
            <w:r w:rsidRPr="002E1F9E">
              <w:rPr>
                <w:b/>
                <w:i/>
                <w:u w:val="single"/>
              </w:rPr>
              <w:t>system, while improving</w:t>
            </w:r>
            <w:r w:rsidRPr="002E1F9E">
              <w:rPr>
                <w:b/>
                <w:i/>
              </w:rPr>
              <w:t xml:space="preserve"> the supplementary pension system.</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799B3184" w14:textId="77777777">
            <w:pPr>
              <w:spacing w:before="80" w:after="80"/>
              <w:ind w:left="80" w:right="80"/>
            </w:pPr>
            <w:r w:rsidRPr="002E1F9E">
              <w:rPr>
                <w:b/>
                <w:i/>
              </w:rPr>
              <w:t xml:space="preserve">Ensuring that people across the EU can retire with dignity, security and adequate income lies at the heart of the EU’s social and economic agendas. At the same time, a holistic approach is necessary at </w:t>
            </w:r>
            <w:r w:rsidRPr="002E1F9E">
              <w:rPr>
                <w:b/>
                <w:bCs/>
                <w:i/>
                <w:u w:val="single"/>
              </w:rPr>
              <w:t>the appropriate level -</w:t>
            </w:r>
            <w:r w:rsidRPr="002E1F9E">
              <w:t xml:space="preserve"> </w:t>
            </w:r>
            <w:r w:rsidRPr="002E1F9E">
              <w:rPr>
                <w:b/>
                <w:i/>
              </w:rPr>
              <w:t xml:space="preserve">national </w:t>
            </w:r>
            <w:r w:rsidRPr="002E1F9E">
              <w:rPr>
                <w:b/>
                <w:i/>
                <w:u w:val="single"/>
              </w:rPr>
              <w:t>or</w:t>
            </w:r>
            <w:r w:rsidRPr="002E1F9E">
              <w:rPr>
                <w:b/>
                <w:i/>
              </w:rPr>
              <w:t xml:space="preserve"> European. This approach should </w:t>
            </w:r>
            <w:r w:rsidRPr="002E1F9E">
              <w:rPr>
                <w:b/>
                <w:bCs/>
                <w:i/>
                <w:u w:val="single"/>
              </w:rPr>
              <w:t>combine measures</w:t>
            </w:r>
            <w:r w:rsidRPr="002E1F9E">
              <w:rPr>
                <w:b/>
                <w:i/>
              </w:rPr>
              <w:t xml:space="preserve"> that </w:t>
            </w:r>
            <w:r w:rsidRPr="002E1F9E">
              <w:rPr>
                <w:b/>
                <w:bCs/>
                <w:i/>
                <w:u w:val="single"/>
              </w:rPr>
              <w:t>improve labour markets,</w:t>
            </w:r>
            <w:r w:rsidRPr="002E1F9E">
              <w:t xml:space="preserve"> </w:t>
            </w:r>
            <w:r w:rsidRPr="002E1F9E">
              <w:rPr>
                <w:b/>
                <w:i/>
                <w:u w:val="single"/>
              </w:rPr>
              <w:t>strengthen</w:t>
            </w:r>
            <w:r w:rsidRPr="002E1F9E">
              <w:rPr>
                <w:b/>
                <w:i/>
              </w:rPr>
              <w:t xml:space="preserve"> the public pension </w:t>
            </w:r>
            <w:r w:rsidRPr="002E1F9E">
              <w:rPr>
                <w:b/>
                <w:i/>
                <w:u w:val="single"/>
              </w:rPr>
              <w:t>system,</w:t>
            </w:r>
            <w:r w:rsidRPr="002E1F9E">
              <w:rPr>
                <w:b/>
                <w:i/>
              </w:rPr>
              <w:t xml:space="preserve"> </w:t>
            </w:r>
            <w:r w:rsidRPr="002E1F9E">
              <w:rPr>
                <w:b/>
                <w:bCs/>
                <w:i/>
                <w:u w:val="single"/>
              </w:rPr>
              <w:t>and improve</w:t>
            </w:r>
            <w:r w:rsidRPr="002E1F9E">
              <w:t xml:space="preserve"> </w:t>
            </w:r>
            <w:r w:rsidRPr="002E1F9E">
              <w:rPr>
                <w:b/>
                <w:i/>
              </w:rPr>
              <w:t>the supplementary pension system.</w:t>
            </w:r>
          </w:p>
        </w:tc>
      </w:tr>
    </w:tbl>
    <w:p w:rsidRPr="002E1F9E" w:rsidR="006A1C73" w:rsidP="006A1C73" w:rsidRDefault="006A1C73" w14:paraId="6E398DBA"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0"/>
        <w:gridCol w:w="4533"/>
      </w:tblGrid>
      <w:tr w:rsidRPr="002E1F9E" w:rsidR="006A1C73" w:rsidTr="000058C7" w14:paraId="7B61271E"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30FF1135" w14:textId="77777777">
            <w:pPr>
              <w:jc w:val="center"/>
              <w:rPr>
                <w:b/>
              </w:rPr>
            </w:pPr>
            <w:r w:rsidRPr="002E1F9E">
              <w:rPr>
                <w:b/>
              </w:rPr>
              <w:t>Reason given in the opinion</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4443E2D0" w14:textId="77777777">
            <w:pPr>
              <w:jc w:val="center"/>
              <w:rPr>
                <w:b/>
              </w:rPr>
            </w:pPr>
            <w:r w:rsidRPr="002E1F9E">
              <w:rPr>
                <w:b/>
              </w:rPr>
              <w:t>Amendment to the reason given in the opinion</w:t>
            </w:r>
          </w:p>
        </w:tc>
      </w:tr>
      <w:tr w:rsidRPr="002E1F9E" w:rsidR="006A1C73" w:rsidTr="000058C7" w14:paraId="2937755F"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592696C5" w14:textId="77777777">
            <w:pPr>
              <w:rPr>
                <w:rFonts w:eastAsia="SimSun"/>
                <w:lang w:eastAsia="zh-CN"/>
              </w:rPr>
            </w:pPr>
            <w:r w:rsidRPr="002E1F9E">
              <w:rPr>
                <w:rFonts w:eastAsia="SimSun"/>
                <w:lang w:eastAsia="zh-CN"/>
              </w:rPr>
              <w:t xml:space="preserve">The aim is to prevent the strengthening of supplementary pensions from weakening the sufficiency of public pensions. The sustainability of public pensions </w:t>
            </w:r>
            <w:r w:rsidRPr="002E1F9E">
              <w:rPr>
                <w:rFonts w:eastAsia="SimSun"/>
                <w:b/>
                <w:bCs/>
                <w:i/>
                <w:iCs/>
                <w:lang w:eastAsia="zh-CN"/>
              </w:rPr>
              <w:t>must</w:t>
            </w:r>
            <w:r w:rsidRPr="002E1F9E">
              <w:rPr>
                <w:rFonts w:eastAsia="SimSun"/>
                <w:lang w:eastAsia="zh-CN"/>
              </w:rPr>
              <w:t xml:space="preserve"> be supported by </w:t>
            </w:r>
            <w:r w:rsidRPr="002E1F9E">
              <w:rPr>
                <w:rFonts w:eastAsia="SimSun"/>
                <w:b/>
                <w:bCs/>
                <w:i/>
                <w:iCs/>
                <w:lang w:eastAsia="zh-CN"/>
              </w:rPr>
              <w:t>quality employment and migration policies that ensure sufficient contributions</w:t>
            </w:r>
            <w:r w:rsidRPr="002E1F9E">
              <w:rPr>
                <w:rFonts w:eastAsia="SimSun"/>
                <w:lang w:eastAsia="zh-CN"/>
              </w:rPr>
              <w:t>.</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3872DA8F" w14:textId="77777777">
            <w:pPr>
              <w:spacing w:after="240"/>
            </w:pPr>
            <w:r w:rsidRPr="002E1F9E">
              <w:t xml:space="preserve">The aim is to prevent the strengthening of supplementary pensions from weakening the sufficiency of public pensions </w:t>
            </w:r>
            <w:r w:rsidRPr="002E1F9E">
              <w:rPr>
                <w:b/>
                <w:bCs/>
                <w:i/>
                <w:iCs/>
              </w:rPr>
              <w:t>and to guarantee the success of supplementary pensions, for which a holistic approach is necessary</w:t>
            </w:r>
            <w:r w:rsidRPr="002E1F9E">
              <w:t xml:space="preserve">. The sustainability of public pensions </w:t>
            </w:r>
            <w:r w:rsidRPr="002E1F9E">
              <w:rPr>
                <w:b/>
                <w:bCs/>
                <w:i/>
                <w:iCs/>
              </w:rPr>
              <w:t>can</w:t>
            </w:r>
            <w:r w:rsidRPr="002E1F9E">
              <w:t xml:space="preserve"> be supported by </w:t>
            </w:r>
            <w:r w:rsidRPr="002E1F9E">
              <w:rPr>
                <w:b/>
                <w:bCs/>
                <w:i/>
                <w:iCs/>
              </w:rPr>
              <w:t>an economic and labour market policy that allows for enough revenues for public pensions to be sustainable, while the success of supplementary pensions will be subject to the capacity of workers to save for pension retirement, along with setting up systems that are attractive.</w:t>
            </w:r>
          </w:p>
        </w:tc>
      </w:tr>
    </w:tbl>
    <w:p w:rsidR="006A1C73" w:rsidP="006A1C73" w:rsidRDefault="006A1C73" w14:paraId="18C9D9A4" w14:textId="77777777">
      <w:pPr>
        <w:rPr>
          <w:b/>
          <w:bCs/>
        </w:rPr>
      </w:pPr>
    </w:p>
    <w:p w:rsidR="00CC3BFF" w:rsidP="006A1C73" w:rsidRDefault="00CC3BFF" w14:paraId="233D3B47" w14:textId="5EE0E447">
      <w:pPr>
        <w:rPr>
          <w:b/>
          <w:bCs/>
        </w:rPr>
      </w:pPr>
      <w:r w:rsidRPr="00CC3BFF">
        <w:t xml:space="preserve">The </w:t>
      </w:r>
      <w:r w:rsidRPr="00960432">
        <w:t>amendment was accepted by the rapporteur</w:t>
      </w:r>
      <w:r>
        <w:t xml:space="preserve"> and by the Assembly</w:t>
      </w:r>
      <w:r w:rsidRPr="00960432">
        <w:t>.</w:t>
      </w:r>
    </w:p>
    <w:p w:rsidR="006A1C73" w:rsidP="006A1C73" w:rsidRDefault="006A1C73" w14:paraId="1FE3144D"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263838" w:rsidR="006A1C73" w:rsidTr="000058C7" w14:paraId="6FEF8CFE" w14:textId="77777777">
        <w:tc>
          <w:tcPr>
            <w:tcW w:w="2826" w:type="pct"/>
          </w:tcPr>
          <w:p w:rsidRPr="002E1F9E" w:rsidR="006A1C73" w:rsidP="000058C7" w:rsidRDefault="006A1C73" w14:paraId="4C75A683" w14:textId="77777777">
            <w:pPr>
              <w:rPr>
                <w:b/>
                <w:bCs/>
                <w:sz w:val="32"/>
                <w:szCs w:val="32"/>
              </w:rPr>
            </w:pPr>
            <w:r w:rsidRPr="002E1F9E">
              <w:rPr>
                <w:b/>
                <w:bCs/>
                <w:sz w:val="32"/>
                <w:szCs w:val="32"/>
              </w:rPr>
              <w:t>AMENDMENT 3</w:t>
            </w:r>
          </w:p>
          <w:p w:rsidRPr="002E1F9E" w:rsidR="006A1C73" w:rsidP="000058C7" w:rsidRDefault="006A1C73" w14:paraId="5881D664" w14:textId="77777777">
            <w:pPr>
              <w:rPr>
                <w:b/>
                <w:bCs/>
              </w:rPr>
            </w:pPr>
          </w:p>
          <w:p w:rsidRPr="002E1F9E" w:rsidR="006A1C73" w:rsidP="000058C7" w:rsidRDefault="006A1C73" w14:paraId="080A9C43" w14:textId="77777777">
            <w:pPr>
              <w:rPr>
                <w:b/>
                <w:bCs/>
              </w:rPr>
            </w:pPr>
            <w:r w:rsidRPr="002E1F9E">
              <w:rPr>
                <w:b/>
                <w:bCs/>
              </w:rPr>
              <w:t>ECO/695</w:t>
            </w:r>
          </w:p>
          <w:p w:rsidRPr="002E1F9E" w:rsidR="006A1C73" w:rsidP="000058C7" w:rsidRDefault="006A1C73" w14:paraId="1A197954" w14:textId="77777777">
            <w:pPr>
              <w:rPr>
                <w:b/>
                <w:bCs/>
              </w:rPr>
            </w:pPr>
            <w:r w:rsidRPr="002E1F9E">
              <w:rPr>
                <w:b/>
                <w:bCs/>
              </w:rPr>
              <w:t>Supplementary pensions package: PEPP and IORP</w:t>
            </w:r>
          </w:p>
          <w:p w:rsidRPr="002E1F9E" w:rsidR="006A1C73" w:rsidP="000058C7" w:rsidRDefault="006A1C73" w14:paraId="5E504DD3" w14:textId="77777777">
            <w:pPr>
              <w:rPr>
                <w:b/>
                <w:bCs/>
              </w:rPr>
            </w:pPr>
          </w:p>
          <w:p w:rsidRPr="002E1F9E" w:rsidR="006A1C73" w:rsidP="000058C7" w:rsidRDefault="006A1C73" w14:paraId="49C68E57" w14:textId="77777777">
            <w:pPr>
              <w:rPr>
                <w:b/>
                <w:bCs/>
              </w:rPr>
            </w:pPr>
            <w:r w:rsidRPr="002E1F9E">
              <w:rPr>
                <w:b/>
                <w:bCs/>
              </w:rPr>
              <w:t>Point 3</w:t>
            </w:r>
          </w:p>
          <w:p w:rsidRPr="002E1F9E" w:rsidR="006A1C73" w:rsidP="000058C7" w:rsidRDefault="006A1C73" w14:paraId="614F6EA7" w14:textId="77777777">
            <w:pPr>
              <w:spacing w:before="80" w:after="80"/>
              <w:ind w:left="35" w:right="80"/>
              <w:rPr>
                <w:b/>
                <w:bCs/>
              </w:rPr>
            </w:pPr>
            <w:r w:rsidRPr="002E1F9E">
              <w:rPr>
                <w:b/>
                <w:bCs/>
              </w:rPr>
              <w:t>Amendment 5</w:t>
            </w:r>
          </w:p>
          <w:p w:rsidRPr="002E1F9E" w:rsidR="006A1C73" w:rsidP="000058C7" w:rsidRDefault="006A1C73" w14:paraId="3F54EEB6" w14:textId="77777777">
            <w:pPr>
              <w:spacing w:before="80" w:after="80"/>
              <w:ind w:left="35" w:right="80"/>
            </w:pPr>
            <w:r w:rsidRPr="002E1F9E">
              <w:t>linked to recommendation 1.1</w:t>
            </w:r>
          </w:p>
          <w:p w:rsidRPr="002E1F9E" w:rsidR="006A1C73" w:rsidP="000058C7" w:rsidRDefault="006A1C73" w14:paraId="38568120" w14:textId="77777777">
            <w:pPr>
              <w:spacing w:before="80" w:after="80"/>
              <w:ind w:left="35" w:right="80"/>
            </w:pPr>
            <w:r w:rsidRPr="002E1F9E">
              <w:t>COM(2025) 840 final</w:t>
            </w:r>
          </w:p>
          <w:p w:rsidRPr="002E1F9E" w:rsidR="006A1C73" w:rsidP="000058C7" w:rsidRDefault="006A1C73" w14:paraId="69A48DA0" w14:textId="77777777">
            <w:pPr>
              <w:rPr>
                <w:b/>
                <w:bCs/>
              </w:rPr>
            </w:pPr>
            <w:r w:rsidRPr="002E1F9E">
              <w:t>Preamble, recital 2</w:t>
            </w:r>
          </w:p>
          <w:p w:rsidRPr="002E1F9E" w:rsidR="006A1C73" w:rsidP="000058C7" w:rsidRDefault="006A1C73" w14:paraId="68DA2DA1" w14:textId="77777777">
            <w:pPr>
              <w:rPr>
                <w:b/>
                <w:bCs/>
              </w:rPr>
            </w:pPr>
          </w:p>
          <w:p w:rsidRPr="002E1F9E" w:rsidR="006A1C73" w:rsidP="000058C7" w:rsidRDefault="006A1C73" w14:paraId="15157905" w14:textId="77777777">
            <w:pPr>
              <w:rPr>
                <w:b/>
                <w:bCs/>
              </w:rPr>
            </w:pPr>
            <w:r w:rsidRPr="002E1F9E">
              <w:rPr>
                <w:b/>
                <w:bCs/>
              </w:rPr>
              <w:t>Amend as follows:</w:t>
            </w:r>
          </w:p>
        </w:tc>
        <w:tc>
          <w:tcPr>
            <w:tcW w:w="2174" w:type="pct"/>
            <w:hideMark/>
          </w:tcPr>
          <w:p w:rsidR="006A1C73" w:rsidP="000058C7" w:rsidRDefault="006A1C73" w14:paraId="73D06E22" w14:textId="12EF2EC8">
            <w:pPr>
              <w:jc w:val="left"/>
            </w:pPr>
            <w:r w:rsidRPr="002E1F9E">
              <w:rPr>
                <w:b/>
                <w:bCs/>
              </w:rPr>
              <w:t>Tabled by:</w:t>
            </w:r>
            <w:r w:rsidRPr="006A1C73" w:rsidR="006A5ADE">
              <w:t xml:space="preserve"> </w:t>
            </w:r>
          </w:p>
          <w:p w:rsidRPr="00AE5154" w:rsidR="00263838" w:rsidP="00263838" w:rsidRDefault="00263838" w14:paraId="4624C6E2" w14:textId="77777777">
            <w:pPr>
              <w:jc w:val="left"/>
            </w:pPr>
            <w:r w:rsidRPr="00AE5154">
              <w:t>BARRERA CHAMORRO Maria del Carmen</w:t>
            </w:r>
          </w:p>
          <w:p w:rsidRPr="00AE5154" w:rsidR="00263838" w:rsidP="00263838" w:rsidRDefault="00263838" w14:paraId="0BEE98D5" w14:textId="77777777">
            <w:pPr>
              <w:jc w:val="left"/>
            </w:pPr>
            <w:r w:rsidRPr="00AE5154">
              <w:t>MINCHEVA Mariya</w:t>
            </w:r>
          </w:p>
          <w:p w:rsidRPr="00AE5154" w:rsidR="00263838" w:rsidP="00263838" w:rsidRDefault="00263838" w14:paraId="46176A72" w14:textId="5B69D6DA">
            <w:pPr>
              <w:jc w:val="left"/>
              <w:rPr>
                <w:b/>
                <w:bCs/>
              </w:rPr>
            </w:pPr>
            <w:r w:rsidRPr="00AE5154">
              <w:t>ROBYNS Wautier</w:t>
            </w:r>
          </w:p>
          <w:p w:rsidRPr="00AE5154" w:rsidR="006A1C73" w:rsidP="000058C7" w:rsidRDefault="006A1C73" w14:paraId="65CB4CE1" w14:textId="1819EC02">
            <w:pPr>
              <w:jc w:val="left"/>
            </w:pPr>
          </w:p>
          <w:p w:rsidRPr="00AE5154" w:rsidR="006A1C73" w:rsidP="000058C7" w:rsidRDefault="006A1C73" w14:paraId="43513FB6" w14:textId="77777777">
            <w:pPr>
              <w:jc w:val="left"/>
            </w:pPr>
          </w:p>
          <w:p w:rsidRPr="00AE5154" w:rsidR="006A1C73" w:rsidP="000058C7" w:rsidRDefault="006A1C73" w14:paraId="1F061025" w14:textId="2CD97C00">
            <w:pPr>
              <w:jc w:val="left"/>
            </w:pPr>
          </w:p>
          <w:p w:rsidRPr="00AE5154" w:rsidR="006A1C73" w:rsidP="000058C7" w:rsidRDefault="006A1C73" w14:paraId="46A62BEA" w14:textId="77777777"/>
        </w:tc>
      </w:tr>
    </w:tbl>
    <w:p w:rsidRPr="00AE5154" w:rsidR="006A1C73" w:rsidP="006A1C73" w:rsidRDefault="006A1C73" w14:paraId="5400D612"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2E1F9E" w:rsidR="006A1C73" w:rsidTr="000058C7" w14:paraId="7DEC9D5A" w14:textId="77777777">
        <w:tc>
          <w:tcPr>
            <w:tcW w:w="923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3F215CA9" w14:textId="77777777">
            <w:pPr>
              <w:jc w:val="center"/>
            </w:pPr>
            <w:r w:rsidRPr="002E1F9E">
              <w:rPr>
                <w:b/>
                <w:bCs/>
                <w:i/>
                <w:iCs/>
              </w:rPr>
              <w:t>Text proposed by the European Commission</w:t>
            </w:r>
          </w:p>
        </w:tc>
      </w:tr>
      <w:tr w:rsidRPr="002E1F9E" w:rsidR="006A1C73" w:rsidTr="000058C7" w14:paraId="129EE90C" w14:textId="77777777">
        <w:tc>
          <w:tcPr>
            <w:tcW w:w="8856"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795D7D5A" w14:textId="77777777">
            <w:r w:rsidRPr="002E1F9E">
              <w:t>While the organisation of pension systems remains a national competence, the adequacy and financial sustainability of pensions are of common concern for the stability and cohesion of the Union. Ensuring that citizens have access to well-designed personal pension products contributes both to individual financial security and to the resilience of the Union’s economy.</w:t>
            </w:r>
          </w:p>
        </w:tc>
      </w:tr>
    </w:tbl>
    <w:p w:rsidRPr="002E1F9E" w:rsidR="006A1C73" w:rsidP="006A1C73" w:rsidRDefault="006A1C73" w14:paraId="755F34D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1BFD2F2D"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607C1BBD"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1440FB81" w14:textId="77777777">
            <w:pPr>
              <w:jc w:val="center"/>
              <w:rPr>
                <w:b/>
                <w:bCs/>
                <w:i/>
              </w:rPr>
            </w:pPr>
            <w:r w:rsidRPr="002E1F9E">
              <w:rPr>
                <w:b/>
                <w:bCs/>
                <w:i/>
              </w:rPr>
              <w:t>Amendment</w:t>
            </w:r>
          </w:p>
        </w:tc>
      </w:tr>
      <w:tr w:rsidRPr="002E1F9E" w:rsidR="006A1C73" w:rsidTr="000058C7" w14:paraId="7E922232"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5B07845F" w14:textId="77777777">
            <w:pPr>
              <w:spacing w:before="80" w:after="80"/>
              <w:ind w:left="80" w:right="80"/>
            </w:pPr>
            <w:r w:rsidRPr="002E1F9E">
              <w:t xml:space="preserve">While the organisation of pension systems remains a national competence, the adequacy and financial sustainability of pensions are of common concern for the stability and cohesion of the Union. </w:t>
            </w:r>
            <w:r w:rsidRPr="002E1F9E">
              <w:rPr>
                <w:b/>
                <w:bCs/>
                <w:i/>
                <w:iCs/>
              </w:rPr>
              <w:t xml:space="preserve">It is therefore necessary that the reinforcement of supplementary pensions be combined with effective measures, which ensure </w:t>
            </w:r>
            <w:r w:rsidRPr="002E1F9E">
              <w:rPr>
                <w:b/>
                <w:bCs/>
                <w:i/>
                <w:u w:val="single"/>
              </w:rPr>
              <w:t>the sustainability of</w:t>
            </w:r>
            <w:r w:rsidRPr="002E1F9E">
              <w:t xml:space="preserve"> </w:t>
            </w:r>
            <w:r w:rsidRPr="002E1F9E">
              <w:rPr>
                <w:b/>
                <w:bCs/>
                <w:i/>
                <w:iCs/>
              </w:rPr>
              <w:t xml:space="preserve">public pension systems. </w:t>
            </w:r>
            <w:r w:rsidRPr="002E1F9E">
              <w:t xml:space="preserve">Ensuring that citizens have access to well-designed personal pension products </w:t>
            </w:r>
            <w:r w:rsidRPr="002E1F9E">
              <w:rPr>
                <w:b/>
                <w:bCs/>
                <w:i/>
                <w:iCs/>
              </w:rPr>
              <w:t>also</w:t>
            </w:r>
            <w:r w:rsidRPr="002E1F9E">
              <w:t xml:space="preserve"> contributes both to individual financial security and to the resilience of the Union’s economy.</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4A6E251A" w14:textId="77777777">
            <w:pPr>
              <w:spacing w:before="80" w:after="80"/>
              <w:ind w:left="80" w:right="80"/>
            </w:pPr>
            <w:r w:rsidRPr="002E1F9E">
              <w:t xml:space="preserve">While the organisation of pension systems remains a national competence, the adequacy and financial sustainability of pensions are of common concern for the stability and cohesion of the Union. </w:t>
            </w:r>
            <w:r w:rsidRPr="002E1F9E">
              <w:rPr>
                <w:b/>
                <w:bCs/>
                <w:i/>
                <w:iCs/>
              </w:rPr>
              <w:t>It is therefore necessary that the reinforcement of supplementary pensions be combined with effective measures</w:t>
            </w:r>
            <w:r w:rsidRPr="002E1F9E">
              <w:t xml:space="preserve"> </w:t>
            </w:r>
            <w:r w:rsidRPr="002E1F9E">
              <w:rPr>
                <w:b/>
                <w:bCs/>
                <w:i/>
                <w:u w:val="single"/>
              </w:rPr>
              <w:t>at the national level</w:t>
            </w:r>
            <w:r w:rsidRPr="002E1F9E">
              <w:rPr>
                <w:u w:val="single"/>
              </w:rPr>
              <w:t>,</w:t>
            </w:r>
            <w:r w:rsidRPr="002E1F9E">
              <w:t xml:space="preserve"> </w:t>
            </w:r>
            <w:r w:rsidRPr="002E1F9E">
              <w:rPr>
                <w:b/>
                <w:bCs/>
                <w:i/>
                <w:iCs/>
              </w:rPr>
              <w:t>which ensure</w:t>
            </w:r>
            <w:r w:rsidRPr="002E1F9E">
              <w:t xml:space="preserve"> </w:t>
            </w:r>
            <w:r w:rsidRPr="002E1F9E">
              <w:rPr>
                <w:b/>
                <w:bCs/>
                <w:i/>
                <w:u w:val="single"/>
              </w:rPr>
              <w:t>solid</w:t>
            </w:r>
            <w:r w:rsidRPr="002E1F9E">
              <w:t xml:space="preserve"> </w:t>
            </w:r>
            <w:r w:rsidRPr="002E1F9E">
              <w:rPr>
                <w:b/>
                <w:bCs/>
                <w:i/>
                <w:iCs/>
              </w:rPr>
              <w:t xml:space="preserve">public pension systems. </w:t>
            </w:r>
            <w:r w:rsidRPr="002E1F9E">
              <w:t xml:space="preserve">Ensuring that citizens have access to well-designed personal pension products </w:t>
            </w:r>
            <w:r w:rsidRPr="002E1F9E">
              <w:rPr>
                <w:b/>
                <w:bCs/>
                <w:i/>
                <w:iCs/>
              </w:rPr>
              <w:t>also</w:t>
            </w:r>
            <w:r w:rsidRPr="002E1F9E">
              <w:t xml:space="preserve"> contributes both to individual financial security and to the resilience of the Union’s economy.</w:t>
            </w:r>
          </w:p>
        </w:tc>
      </w:tr>
    </w:tbl>
    <w:p w:rsidRPr="002E1F9E" w:rsidR="006A1C73" w:rsidP="006A1C73" w:rsidRDefault="006A1C73" w14:paraId="4736CA81"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gridCol w:w="4532"/>
      </w:tblGrid>
      <w:tr w:rsidRPr="002E1F9E" w:rsidR="006A1C73" w:rsidTr="000058C7" w14:paraId="4B29C3B5"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1C0397E6" w14:textId="77777777">
            <w:pPr>
              <w:jc w:val="center"/>
              <w:rPr>
                <w:b/>
              </w:rPr>
            </w:pPr>
            <w:r w:rsidRPr="002E1F9E">
              <w:rPr>
                <w:b/>
              </w:rPr>
              <w:t>Reason given in the opinion</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50E70EA5" w14:textId="77777777">
            <w:pPr>
              <w:jc w:val="center"/>
              <w:rPr>
                <w:b/>
              </w:rPr>
            </w:pPr>
            <w:r w:rsidRPr="002E1F9E">
              <w:rPr>
                <w:b/>
              </w:rPr>
              <w:t>Amendment to the reason given in the opinion</w:t>
            </w:r>
          </w:p>
        </w:tc>
      </w:tr>
      <w:tr w:rsidRPr="002E1F9E" w:rsidR="006A1C73" w:rsidTr="000058C7" w14:paraId="1F9E32AA"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1C45C295" w14:textId="77777777">
            <w:pPr>
              <w:rPr>
                <w:rFonts w:eastAsia="SimSun"/>
                <w:lang w:eastAsia="zh-CN"/>
              </w:rPr>
            </w:pPr>
            <w:r w:rsidRPr="002E1F9E">
              <w:t>The growth of supplementary pension schemes has been accompanied by a reduction of public pensions in a number of countries. It is necessary to balance public and supplementary pensions to preserve adequacy and social cohesion.</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3B46A113" w14:textId="77777777">
            <w:pPr>
              <w:spacing w:after="240"/>
            </w:pPr>
            <w:r w:rsidRPr="002E1F9E">
              <w:t>The growth of supplementary pension schemes has been accompanied by a reduction of public pensions in a number of countries. It is necessary to balance public and supplementary pensions to preserve adequacy and social cohesion.</w:t>
            </w:r>
          </w:p>
        </w:tc>
      </w:tr>
    </w:tbl>
    <w:p w:rsidR="006A1C73" w:rsidP="006A1C73" w:rsidRDefault="006A1C73" w14:paraId="2D3B1DD5" w14:textId="77777777">
      <w:pPr>
        <w:rPr>
          <w:b/>
          <w:bCs/>
        </w:rPr>
      </w:pPr>
    </w:p>
    <w:p w:rsidR="006A1C73" w:rsidP="006A1C73" w:rsidRDefault="00CC3BFF" w14:paraId="6A276EFD" w14:textId="5F3732C7">
      <w:pPr>
        <w:rPr>
          <w:b/>
          <w:bCs/>
        </w:rPr>
      </w:pPr>
      <w:r w:rsidRPr="00CC3BFF">
        <w:t xml:space="preserve">The </w:t>
      </w:r>
      <w:r w:rsidRPr="00960432">
        <w:t>amendment was accepted by the rapporteur</w:t>
      </w:r>
      <w:r>
        <w:t xml:space="preserve"> and by the Assembly</w:t>
      </w:r>
      <w:r w:rsidRPr="00960432">
        <w:t>.</w:t>
      </w:r>
    </w:p>
    <w:p w:rsidR="006A1C73" w:rsidP="006A1C73" w:rsidRDefault="006A1C73" w14:paraId="0F5B4E09"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263838" w:rsidR="006A1C73" w:rsidTr="000058C7" w14:paraId="16CBF392" w14:textId="77777777">
        <w:tc>
          <w:tcPr>
            <w:tcW w:w="2826" w:type="pct"/>
          </w:tcPr>
          <w:p w:rsidRPr="002E1F9E" w:rsidR="006A1C73" w:rsidP="000058C7" w:rsidRDefault="006A1C73" w14:paraId="7F0911FD" w14:textId="77777777">
            <w:pPr>
              <w:rPr>
                <w:b/>
                <w:bCs/>
                <w:sz w:val="32"/>
                <w:szCs w:val="32"/>
              </w:rPr>
            </w:pPr>
            <w:r w:rsidRPr="002E1F9E">
              <w:rPr>
                <w:b/>
                <w:bCs/>
                <w:sz w:val="32"/>
                <w:szCs w:val="32"/>
              </w:rPr>
              <w:t>AMENDMENT 4</w:t>
            </w:r>
          </w:p>
          <w:p w:rsidRPr="002E1F9E" w:rsidR="006A1C73" w:rsidP="000058C7" w:rsidRDefault="006A1C73" w14:paraId="1A041D09" w14:textId="77777777">
            <w:pPr>
              <w:rPr>
                <w:b/>
                <w:bCs/>
              </w:rPr>
            </w:pPr>
          </w:p>
          <w:p w:rsidRPr="002E1F9E" w:rsidR="006A1C73" w:rsidP="000058C7" w:rsidRDefault="006A1C73" w14:paraId="2ADA9B24" w14:textId="77777777">
            <w:pPr>
              <w:rPr>
                <w:b/>
                <w:bCs/>
              </w:rPr>
            </w:pPr>
            <w:r w:rsidRPr="002E1F9E">
              <w:rPr>
                <w:b/>
                <w:bCs/>
              </w:rPr>
              <w:t>ECO/695</w:t>
            </w:r>
          </w:p>
          <w:p w:rsidRPr="002E1F9E" w:rsidR="006A1C73" w:rsidP="000058C7" w:rsidRDefault="006A1C73" w14:paraId="1F7E88C0" w14:textId="77777777">
            <w:pPr>
              <w:rPr>
                <w:b/>
                <w:bCs/>
              </w:rPr>
            </w:pPr>
            <w:r w:rsidRPr="002E1F9E">
              <w:rPr>
                <w:b/>
                <w:bCs/>
              </w:rPr>
              <w:t>Supplementary pensions package: PEPP and IORP</w:t>
            </w:r>
          </w:p>
          <w:p w:rsidRPr="002E1F9E" w:rsidR="006A1C73" w:rsidP="000058C7" w:rsidRDefault="006A1C73" w14:paraId="5450EAF7" w14:textId="77777777">
            <w:pPr>
              <w:rPr>
                <w:b/>
                <w:bCs/>
              </w:rPr>
            </w:pPr>
          </w:p>
          <w:p w:rsidRPr="002E1F9E" w:rsidR="006A1C73" w:rsidP="000058C7" w:rsidRDefault="006A1C73" w14:paraId="3F52EEEE" w14:textId="77777777">
            <w:pPr>
              <w:rPr>
                <w:b/>
                <w:bCs/>
              </w:rPr>
            </w:pPr>
            <w:r w:rsidRPr="002E1F9E">
              <w:rPr>
                <w:b/>
                <w:bCs/>
              </w:rPr>
              <w:t>Point 1.2</w:t>
            </w:r>
          </w:p>
          <w:p w:rsidRPr="002E1F9E" w:rsidR="006A1C73" w:rsidP="000058C7" w:rsidRDefault="006A1C73" w14:paraId="6BA4FB32" w14:textId="77777777">
            <w:pPr>
              <w:rPr>
                <w:b/>
                <w:bCs/>
              </w:rPr>
            </w:pPr>
          </w:p>
          <w:p w:rsidRPr="002E1F9E" w:rsidR="006A1C73" w:rsidP="000058C7" w:rsidRDefault="006A1C73" w14:paraId="3345AC18" w14:textId="77777777">
            <w:pPr>
              <w:rPr>
                <w:b/>
                <w:bCs/>
              </w:rPr>
            </w:pPr>
            <w:r w:rsidRPr="002E1F9E">
              <w:rPr>
                <w:b/>
                <w:bCs/>
              </w:rPr>
              <w:t>Amend as follows:</w:t>
            </w:r>
          </w:p>
        </w:tc>
        <w:tc>
          <w:tcPr>
            <w:tcW w:w="2174" w:type="pct"/>
            <w:hideMark/>
          </w:tcPr>
          <w:p w:rsidR="006A1C73" w:rsidP="000058C7" w:rsidRDefault="006A1C73" w14:paraId="12E7E32C" w14:textId="47ABE47C">
            <w:pPr>
              <w:jc w:val="left"/>
            </w:pPr>
            <w:r w:rsidRPr="002E1F9E">
              <w:rPr>
                <w:b/>
                <w:bCs/>
              </w:rPr>
              <w:t>Tabled by:</w:t>
            </w:r>
            <w:r w:rsidRPr="006A1C73" w:rsidR="006A5ADE">
              <w:t xml:space="preserve"> </w:t>
            </w:r>
          </w:p>
          <w:p w:rsidRPr="00AE5154" w:rsidR="00263838" w:rsidP="00263838" w:rsidRDefault="00263838" w14:paraId="081D3661" w14:textId="77777777">
            <w:pPr>
              <w:jc w:val="left"/>
            </w:pPr>
            <w:r w:rsidRPr="00AE5154">
              <w:t>BARRERA CHAMORRO Maria del Carmen</w:t>
            </w:r>
          </w:p>
          <w:p w:rsidRPr="00AE5154" w:rsidR="00263838" w:rsidP="00263838" w:rsidRDefault="00263838" w14:paraId="63BBCF06" w14:textId="77777777">
            <w:pPr>
              <w:jc w:val="left"/>
            </w:pPr>
            <w:r w:rsidRPr="00AE5154">
              <w:t>MINCHEVA Mariya</w:t>
            </w:r>
          </w:p>
          <w:p w:rsidRPr="00AE5154" w:rsidR="00263838" w:rsidP="00263838" w:rsidRDefault="00263838" w14:paraId="4B3584DB" w14:textId="37020454">
            <w:pPr>
              <w:jc w:val="left"/>
              <w:rPr>
                <w:b/>
                <w:bCs/>
              </w:rPr>
            </w:pPr>
            <w:r w:rsidRPr="00AE5154">
              <w:t>ROBYNS Wautier</w:t>
            </w:r>
          </w:p>
          <w:p w:rsidRPr="00AE5154" w:rsidR="006A1C73" w:rsidP="000058C7" w:rsidRDefault="006A1C73" w14:paraId="45A1FD93" w14:textId="5A85D3ED">
            <w:pPr>
              <w:jc w:val="left"/>
            </w:pPr>
          </w:p>
          <w:p w:rsidRPr="00AE5154" w:rsidR="006A1C73" w:rsidP="000058C7" w:rsidRDefault="006A1C73" w14:paraId="7289BA5B" w14:textId="77777777">
            <w:pPr>
              <w:jc w:val="left"/>
            </w:pPr>
          </w:p>
          <w:p w:rsidRPr="00AE5154" w:rsidR="006A1C73" w:rsidP="000058C7" w:rsidRDefault="006A1C73" w14:paraId="28BF199D" w14:textId="79B86DFF">
            <w:pPr>
              <w:jc w:val="left"/>
            </w:pPr>
          </w:p>
          <w:p w:rsidRPr="00AE5154" w:rsidR="006A1C73" w:rsidP="000058C7" w:rsidRDefault="006A1C73" w14:paraId="46466CE2" w14:textId="77777777"/>
        </w:tc>
      </w:tr>
    </w:tbl>
    <w:p w:rsidRPr="00AE5154" w:rsidR="006A1C73" w:rsidP="006A1C73" w:rsidRDefault="006A1C73" w14:paraId="294BD6D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3978389C"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5D7EF0A4"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69E2B64B" w14:textId="77777777">
            <w:pPr>
              <w:jc w:val="center"/>
              <w:rPr>
                <w:b/>
                <w:bCs/>
                <w:i/>
              </w:rPr>
            </w:pPr>
            <w:r w:rsidRPr="002E1F9E">
              <w:rPr>
                <w:b/>
                <w:bCs/>
                <w:i/>
              </w:rPr>
              <w:t>Amendment</w:t>
            </w:r>
          </w:p>
        </w:tc>
      </w:tr>
      <w:tr w:rsidRPr="002E1F9E" w:rsidR="006A1C73" w:rsidTr="000058C7" w14:paraId="43242E8F"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54207896" w14:textId="77777777">
            <w:pPr>
              <w:spacing w:before="80" w:after="80"/>
              <w:ind w:left="80" w:right="80"/>
            </w:pPr>
            <w:r w:rsidRPr="002E1F9E">
              <w:rPr>
                <w:b/>
                <w:bCs/>
              </w:rPr>
              <w:t>recommends</w:t>
            </w:r>
            <w:r w:rsidRPr="002E1F9E">
              <w:t xml:space="preserve"> that efforts to improve supplementary pensions be combined with effective measures that ensure public pension systems are maintained and strengthened. Appropriate measures are therefore needed to strengthen participatory governance and promote the involvement of social partners through collective bargaining and social dialogue, </w:t>
            </w:r>
            <w:r w:rsidRPr="002E1F9E">
              <w:rPr>
                <w:b/>
                <w:bCs/>
                <w:i/>
                <w:iCs/>
              </w:rPr>
              <w:t>where relevant under national law and practice. Such involvement should remain consistent with the diversity of national industrial relations systems and should not limit other legitimate forms of employer-employee arrangements</w:t>
            </w:r>
            <w:r w:rsidRPr="002E1F9E">
              <w:t>;</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7CBEEA01" w14:textId="77777777">
            <w:pPr>
              <w:spacing w:before="80" w:after="80"/>
              <w:ind w:left="80" w:right="80"/>
            </w:pPr>
            <w:r w:rsidRPr="002E1F9E">
              <w:rPr>
                <w:b/>
                <w:bCs/>
              </w:rPr>
              <w:t>recommends</w:t>
            </w:r>
            <w:r w:rsidRPr="002E1F9E">
              <w:t xml:space="preserve"> that efforts to improve supplementary pensions be combined with effective measures that ensure public pension systems are maintained and strengthened. Appropriate measures are therefore needed to strengthen participatory governance and promote the involvement of social partners through collective bargaining and social dialogue</w:t>
            </w:r>
            <w:r w:rsidRPr="002E1F9E">
              <w:rPr>
                <w:iCs/>
              </w:rPr>
              <w:t>,</w:t>
            </w:r>
            <w:r w:rsidRPr="002E1F9E">
              <w:rPr>
                <w:b/>
                <w:bCs/>
                <w:i/>
              </w:rPr>
              <w:t xml:space="preserve"> always preserving the freedom of social partners to negotiate and design pension plans, in respect of the diversity of systems within the EU</w:t>
            </w:r>
            <w:r w:rsidRPr="002E1F9E">
              <w:t>;</w:t>
            </w:r>
          </w:p>
        </w:tc>
      </w:tr>
    </w:tbl>
    <w:p w:rsidR="006A1C73" w:rsidP="006A1C73" w:rsidRDefault="006A1C73" w14:paraId="0D6C5730" w14:textId="77777777">
      <w:pPr>
        <w:rPr>
          <w:b/>
          <w:bCs/>
        </w:rPr>
      </w:pPr>
    </w:p>
    <w:p w:rsidR="006A1C73" w:rsidP="006A1C73" w:rsidRDefault="00CC3BFF" w14:paraId="54D7C251" w14:textId="1863FC9B">
      <w:pPr>
        <w:rPr>
          <w:b/>
          <w:bCs/>
        </w:rPr>
      </w:pPr>
      <w:r w:rsidRPr="00CC3BFF">
        <w:t xml:space="preserve">The </w:t>
      </w:r>
      <w:r w:rsidRPr="00960432">
        <w:t>amendment was accepted by the rapporteur</w:t>
      </w:r>
      <w:r>
        <w:t xml:space="preserve"> and by the Assembly</w:t>
      </w:r>
      <w:r w:rsidRPr="00960432">
        <w:t>.</w:t>
      </w:r>
    </w:p>
    <w:p w:rsidR="006A1C73" w:rsidP="006A1C73" w:rsidRDefault="006A1C73" w14:paraId="4F79B071"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263838" w:rsidR="006A1C73" w:rsidTr="000058C7" w14:paraId="39BD9490" w14:textId="77777777">
        <w:tc>
          <w:tcPr>
            <w:tcW w:w="2826" w:type="pct"/>
          </w:tcPr>
          <w:p w:rsidRPr="002E1F9E" w:rsidR="006A1C73" w:rsidP="000058C7" w:rsidRDefault="006A1C73" w14:paraId="75E70A4D" w14:textId="77777777">
            <w:pPr>
              <w:rPr>
                <w:b/>
                <w:bCs/>
                <w:sz w:val="32"/>
                <w:szCs w:val="32"/>
              </w:rPr>
            </w:pPr>
            <w:r w:rsidRPr="002E1F9E">
              <w:rPr>
                <w:b/>
                <w:bCs/>
                <w:sz w:val="32"/>
                <w:szCs w:val="32"/>
              </w:rPr>
              <w:t>AMENDMENT 6</w:t>
            </w:r>
          </w:p>
          <w:p w:rsidRPr="002E1F9E" w:rsidR="006A1C73" w:rsidP="000058C7" w:rsidRDefault="006A1C73" w14:paraId="3B831C71" w14:textId="77777777">
            <w:pPr>
              <w:rPr>
                <w:b/>
                <w:bCs/>
              </w:rPr>
            </w:pPr>
          </w:p>
          <w:p w:rsidRPr="002E1F9E" w:rsidR="006A1C73" w:rsidP="000058C7" w:rsidRDefault="006A1C73" w14:paraId="2FE6E741" w14:textId="77777777">
            <w:pPr>
              <w:rPr>
                <w:b/>
                <w:bCs/>
              </w:rPr>
            </w:pPr>
            <w:r w:rsidRPr="002E1F9E">
              <w:rPr>
                <w:b/>
                <w:bCs/>
              </w:rPr>
              <w:t>ECO/695</w:t>
            </w:r>
          </w:p>
          <w:p w:rsidRPr="002E1F9E" w:rsidR="006A1C73" w:rsidP="000058C7" w:rsidRDefault="006A1C73" w14:paraId="48427809" w14:textId="77777777">
            <w:pPr>
              <w:rPr>
                <w:b/>
                <w:bCs/>
              </w:rPr>
            </w:pPr>
            <w:r w:rsidRPr="002E1F9E">
              <w:rPr>
                <w:b/>
                <w:bCs/>
              </w:rPr>
              <w:t>Supplementary pensions package: PEPP and IORP</w:t>
            </w:r>
          </w:p>
          <w:p w:rsidRPr="002E1F9E" w:rsidR="006A1C73" w:rsidP="000058C7" w:rsidRDefault="006A1C73" w14:paraId="3903DFCA" w14:textId="77777777">
            <w:pPr>
              <w:rPr>
                <w:b/>
                <w:bCs/>
              </w:rPr>
            </w:pPr>
          </w:p>
          <w:p w:rsidRPr="002E1F9E" w:rsidR="006A1C73" w:rsidP="000058C7" w:rsidRDefault="006A1C73" w14:paraId="64AD1F26" w14:textId="77777777">
            <w:pPr>
              <w:rPr>
                <w:b/>
                <w:bCs/>
              </w:rPr>
            </w:pPr>
            <w:r w:rsidRPr="002E1F9E">
              <w:rPr>
                <w:b/>
                <w:bCs/>
              </w:rPr>
              <w:t>Point 1.4</w:t>
            </w:r>
          </w:p>
          <w:p w:rsidRPr="002E1F9E" w:rsidR="006A1C73" w:rsidP="000058C7" w:rsidRDefault="006A1C73" w14:paraId="6090DBAE" w14:textId="77777777">
            <w:pPr>
              <w:rPr>
                <w:b/>
                <w:bCs/>
              </w:rPr>
            </w:pPr>
          </w:p>
          <w:p w:rsidRPr="002E1F9E" w:rsidR="006A1C73" w:rsidP="000058C7" w:rsidRDefault="006A1C73" w14:paraId="30488B1D" w14:textId="77777777">
            <w:pPr>
              <w:rPr>
                <w:b/>
                <w:bCs/>
              </w:rPr>
            </w:pPr>
            <w:r w:rsidRPr="002E1F9E">
              <w:rPr>
                <w:b/>
                <w:bCs/>
              </w:rPr>
              <w:t>Amend as follows:</w:t>
            </w:r>
          </w:p>
        </w:tc>
        <w:tc>
          <w:tcPr>
            <w:tcW w:w="2174" w:type="pct"/>
            <w:hideMark/>
          </w:tcPr>
          <w:p w:rsidR="006A1C73" w:rsidP="000058C7" w:rsidRDefault="006A1C73" w14:paraId="6A0D9666" w14:textId="4BFD0E3E">
            <w:pPr>
              <w:jc w:val="left"/>
            </w:pPr>
            <w:r w:rsidRPr="002E1F9E">
              <w:rPr>
                <w:b/>
                <w:bCs/>
              </w:rPr>
              <w:t>Tabled by:</w:t>
            </w:r>
          </w:p>
          <w:p w:rsidRPr="00263838" w:rsidR="00263838" w:rsidP="00263838" w:rsidRDefault="00263838" w14:paraId="5567AF49" w14:textId="77777777">
            <w:pPr>
              <w:jc w:val="left"/>
              <w:rPr>
                <w:lang w:val="it-IT"/>
              </w:rPr>
            </w:pPr>
            <w:r w:rsidRPr="00263838">
              <w:rPr>
                <w:lang w:val="it-IT"/>
              </w:rPr>
              <w:t>BARRERA CHAMORRO Maria del Carmen</w:t>
            </w:r>
          </w:p>
          <w:p w:rsidRPr="00263838" w:rsidR="00263838" w:rsidP="00263838" w:rsidRDefault="00263838" w14:paraId="2AE2AF31" w14:textId="4A0E7E52">
            <w:pPr>
              <w:jc w:val="left"/>
              <w:rPr>
                <w:b/>
                <w:bCs/>
                <w:lang w:val="it-IT"/>
              </w:rPr>
            </w:pPr>
          </w:p>
          <w:p w:rsidRPr="00263838" w:rsidR="006A1C73" w:rsidP="000058C7" w:rsidRDefault="006A1C73" w14:paraId="264FB01B" w14:textId="77F2C7A7">
            <w:pPr>
              <w:jc w:val="left"/>
              <w:rPr>
                <w:lang w:val="it-IT"/>
              </w:rPr>
            </w:pPr>
          </w:p>
          <w:p w:rsidRPr="00263838" w:rsidR="006A1C73" w:rsidP="000058C7" w:rsidRDefault="006A1C73" w14:paraId="5A23C89C" w14:textId="77777777">
            <w:pPr>
              <w:jc w:val="left"/>
              <w:rPr>
                <w:lang w:val="it-IT"/>
              </w:rPr>
            </w:pPr>
          </w:p>
          <w:p w:rsidRPr="00263838" w:rsidR="006A1C73" w:rsidP="000058C7" w:rsidRDefault="006A1C73" w14:paraId="29D3E97B" w14:textId="668AA619">
            <w:pPr>
              <w:jc w:val="left"/>
              <w:rPr>
                <w:lang w:val="it-IT"/>
              </w:rPr>
            </w:pPr>
          </w:p>
          <w:p w:rsidRPr="00263838" w:rsidR="006A1C73" w:rsidP="000058C7" w:rsidRDefault="006A1C73" w14:paraId="41B0E13C" w14:textId="77777777">
            <w:pPr>
              <w:rPr>
                <w:lang w:val="it-IT"/>
              </w:rPr>
            </w:pPr>
          </w:p>
        </w:tc>
      </w:tr>
    </w:tbl>
    <w:p w:rsidRPr="00263838" w:rsidR="006A1C73" w:rsidP="006A1C73" w:rsidRDefault="006A1C73" w14:paraId="38F92304" w14:textId="77777777">
      <w:pPr>
        <w:jc w:val="center"/>
        <w:rPr>
          <w:lang w:val="it-IT"/>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32276567"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48C12DF7"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360D2A95" w14:textId="77777777">
            <w:pPr>
              <w:jc w:val="center"/>
              <w:rPr>
                <w:b/>
                <w:bCs/>
                <w:i/>
              </w:rPr>
            </w:pPr>
            <w:r w:rsidRPr="002E1F9E">
              <w:rPr>
                <w:b/>
                <w:bCs/>
                <w:i/>
              </w:rPr>
              <w:t>Amendment</w:t>
            </w:r>
          </w:p>
        </w:tc>
      </w:tr>
      <w:tr w:rsidRPr="002E1F9E" w:rsidR="006A1C73" w:rsidTr="000058C7" w14:paraId="38CBFEDB"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2C6A0101" w14:textId="77777777">
            <w:pPr>
              <w:spacing w:before="80" w:after="80"/>
              <w:ind w:left="80" w:right="80"/>
            </w:pPr>
            <w:r w:rsidRPr="002E1F9E">
              <w:rPr>
                <w:b/>
                <w:bCs/>
              </w:rPr>
              <w:t>recommends</w:t>
            </w:r>
            <w:r w:rsidRPr="002E1F9E">
              <w:t xml:space="preserve"> greater consistency and legal clarity in the proposal for a directive amending Directive (EU) 2016/2341. The aim is to reduce fragmentation, increase comparability and transparency, and ensure the trust of scheme members. The proposed measures might include </w:t>
            </w:r>
            <w:r w:rsidRPr="002E1F9E">
              <w:rPr>
                <w:b/>
                <w:bCs/>
                <w:i/>
              </w:rPr>
              <w:t>harmonising the</w:t>
            </w:r>
            <w:r w:rsidRPr="002E1F9E">
              <w:t xml:space="preserve"> indicators </w:t>
            </w:r>
            <w:r w:rsidRPr="002E1F9E">
              <w:rPr>
                <w:b/>
                <w:bCs/>
                <w:i/>
              </w:rPr>
              <w:t>used</w:t>
            </w:r>
            <w:r w:rsidRPr="002E1F9E">
              <w:t xml:space="preserve"> to assess value for money</w:t>
            </w:r>
            <w:r w:rsidRPr="002E1F9E">
              <w:rPr>
                <w:b/>
                <w:bCs/>
                <w:i/>
              </w:rPr>
              <w:t>,</w:t>
            </w:r>
            <w:r w:rsidRPr="002E1F9E">
              <w:t xml:space="preserve"> setting a minimum level for solvency margins </w:t>
            </w:r>
            <w:r w:rsidRPr="002E1F9E">
              <w:rPr>
                <w:b/>
                <w:bCs/>
                <w:i/>
              </w:rPr>
              <w:t>and giving the European Insurance and Occupational Pensions Authority (EIOPA) the capacity to develop harmonised criteria for integrating environmental, social and governance factors (ESG), while ensuring consistency with existing rules</w:t>
            </w:r>
            <w:r w:rsidRPr="002E1F9E">
              <w:t>. In any case, the recommended measures should not result in an excessive administrative burden for pension providers, nor should they negatively affect investment returns and, consequently, the level of workers’ pensions. It also recommends calling on Member States to assess decumulation practices and their impact on citizens. Likewise, it recommends assessing periods during which a pension fund is underfunded, distinguishing between cyclical and structural factors in order to prevent any future negative impact on the pensions of current members.</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79B53C02" w14:textId="77777777">
            <w:pPr>
              <w:spacing w:before="80" w:after="80"/>
              <w:ind w:left="80" w:right="80"/>
            </w:pPr>
            <w:r w:rsidRPr="002E1F9E">
              <w:rPr>
                <w:b/>
                <w:bCs/>
              </w:rPr>
              <w:t>recommends</w:t>
            </w:r>
            <w:r w:rsidRPr="002E1F9E">
              <w:t xml:space="preserve"> greater consistency and legal clarity in the proposal for a directive amending Directive (EU) 2016/2341. The aim is to reduce fragmentation, increase comparability and transparency, and ensure the trust of scheme members. The proposed measures might include</w:t>
            </w:r>
            <w:r w:rsidRPr="002E1F9E">
              <w:rPr>
                <w:b/>
                <w:bCs/>
                <w:i/>
              </w:rPr>
              <w:t>, among others, common</w:t>
            </w:r>
            <w:r w:rsidRPr="002E1F9E">
              <w:t xml:space="preserve"> indicators to assess value for money </w:t>
            </w:r>
            <w:r w:rsidRPr="002E1F9E">
              <w:rPr>
                <w:b/>
                <w:bCs/>
                <w:i/>
              </w:rPr>
              <w:t>and</w:t>
            </w:r>
            <w:r w:rsidRPr="002E1F9E">
              <w:t xml:space="preserve"> setting a minimum level for solvency margins. In any case, the recommended measures should not result in an excessive administrative burden for pension providers, nor should they negatively affect investment returns and, consequently, the level of workers’ pensions. It also recommends calling on Member States to assess decumulation practices and their impact on citizens. Likewise, it recommends assessing periods during which a pension fund is underfunded, distinguishing between cyclical and structural factors in order to prevent any future negative impact on the pensions of current members.</w:t>
            </w:r>
          </w:p>
        </w:tc>
      </w:tr>
    </w:tbl>
    <w:p w:rsidR="006A1C73" w:rsidP="006A1C73" w:rsidRDefault="006A1C73" w14:paraId="58B23CF3" w14:textId="77777777">
      <w:pPr>
        <w:rPr>
          <w:highlight w:val="yellow"/>
        </w:rPr>
      </w:pPr>
    </w:p>
    <w:p w:rsidR="00CC3BFF" w:rsidP="006A1C73" w:rsidRDefault="00CC3BFF" w14:paraId="57AD5758" w14:textId="3E1048BB">
      <w:pPr>
        <w:rPr>
          <w:highlight w:val="yellow"/>
        </w:rPr>
      </w:pPr>
      <w:r w:rsidRPr="00CC3BFF">
        <w:t xml:space="preserve">The </w:t>
      </w:r>
      <w:r w:rsidRPr="00960432">
        <w:t>amendment was accepted by the rapporteur</w:t>
      </w:r>
      <w:r>
        <w:t xml:space="preserve"> and by the Assembly</w:t>
      </w:r>
      <w:r w:rsidRPr="00960432">
        <w:t>.</w:t>
      </w:r>
    </w:p>
    <w:tbl>
      <w:tblPr>
        <w:tblW w:w="5001" w:type="pct"/>
        <w:tblBorders>
          <w:top w:val="nil"/>
          <w:left w:val="nil"/>
          <w:bottom w:val="nil"/>
          <w:right w:val="nil"/>
          <w:insideH w:val="nil"/>
          <w:insideV w:val="nil"/>
        </w:tblBorders>
        <w:tblLook w:val="01E0" w:firstRow="1" w:lastRow="1" w:firstColumn="1" w:lastColumn="1" w:noHBand="0" w:noVBand="0"/>
      </w:tblPr>
      <w:tblGrid>
        <w:gridCol w:w="5245"/>
        <w:gridCol w:w="3830"/>
      </w:tblGrid>
      <w:tr w:rsidRPr="00263838" w:rsidR="006A1C73" w:rsidTr="00CC3BFF" w14:paraId="7C2B7ADA" w14:textId="77777777">
        <w:tc>
          <w:tcPr>
            <w:tcW w:w="2890" w:type="pct"/>
          </w:tcPr>
          <w:p w:rsidR="00CC3BFF" w:rsidP="000058C7" w:rsidRDefault="00CC3BFF" w14:paraId="5FB94065" w14:textId="77777777">
            <w:pPr>
              <w:rPr>
                <w:b/>
                <w:bCs/>
                <w:sz w:val="32"/>
                <w:szCs w:val="32"/>
              </w:rPr>
            </w:pPr>
          </w:p>
          <w:p w:rsidRPr="002E1F9E" w:rsidR="006A1C73" w:rsidP="000058C7" w:rsidRDefault="006A1C73" w14:paraId="0871C10E" w14:textId="2875EC97">
            <w:pPr>
              <w:rPr>
                <w:b/>
                <w:bCs/>
                <w:sz w:val="32"/>
                <w:szCs w:val="32"/>
              </w:rPr>
            </w:pPr>
            <w:r w:rsidRPr="002E1F9E">
              <w:rPr>
                <w:b/>
                <w:bCs/>
                <w:sz w:val="32"/>
                <w:szCs w:val="32"/>
              </w:rPr>
              <w:t>AMENDMENT 5</w:t>
            </w:r>
          </w:p>
          <w:p w:rsidRPr="002E1F9E" w:rsidR="006A1C73" w:rsidP="000058C7" w:rsidRDefault="006A1C73" w14:paraId="0F07DD0D" w14:textId="77777777">
            <w:pPr>
              <w:rPr>
                <w:b/>
                <w:bCs/>
              </w:rPr>
            </w:pPr>
          </w:p>
          <w:p w:rsidRPr="002E1F9E" w:rsidR="006A1C73" w:rsidP="000058C7" w:rsidRDefault="006A1C73" w14:paraId="3BB80095" w14:textId="77777777">
            <w:pPr>
              <w:rPr>
                <w:b/>
                <w:bCs/>
              </w:rPr>
            </w:pPr>
            <w:r w:rsidRPr="002E1F9E">
              <w:rPr>
                <w:b/>
                <w:bCs/>
              </w:rPr>
              <w:t>ECO/695</w:t>
            </w:r>
          </w:p>
          <w:p w:rsidRPr="002E1F9E" w:rsidR="006A1C73" w:rsidP="000058C7" w:rsidRDefault="006A1C73" w14:paraId="1CFB2B33" w14:textId="77777777">
            <w:pPr>
              <w:rPr>
                <w:b/>
                <w:bCs/>
              </w:rPr>
            </w:pPr>
            <w:r w:rsidRPr="002E1F9E">
              <w:rPr>
                <w:b/>
                <w:bCs/>
              </w:rPr>
              <w:t>Supplementary pensions package: PEPP and IORP</w:t>
            </w:r>
          </w:p>
          <w:p w:rsidRPr="002E1F9E" w:rsidR="006A1C73" w:rsidP="000058C7" w:rsidRDefault="006A1C73" w14:paraId="6AB4F98C" w14:textId="77777777">
            <w:pPr>
              <w:rPr>
                <w:b/>
                <w:bCs/>
              </w:rPr>
            </w:pPr>
          </w:p>
          <w:p w:rsidRPr="002E1F9E" w:rsidR="006A1C73" w:rsidP="000058C7" w:rsidRDefault="006A1C73" w14:paraId="3BD66EA3" w14:textId="77777777">
            <w:pPr>
              <w:rPr>
                <w:b/>
                <w:bCs/>
              </w:rPr>
            </w:pPr>
            <w:r w:rsidRPr="002E1F9E">
              <w:rPr>
                <w:b/>
                <w:bCs/>
              </w:rPr>
              <w:t>Point 3</w:t>
            </w:r>
          </w:p>
          <w:p w:rsidRPr="002E1F9E" w:rsidR="006A1C73" w:rsidP="000058C7" w:rsidRDefault="006A1C73" w14:paraId="2C5F49F1" w14:textId="77777777">
            <w:pPr>
              <w:spacing w:before="80" w:after="80"/>
              <w:ind w:left="35" w:right="80"/>
              <w:rPr>
                <w:iCs/>
              </w:rPr>
            </w:pPr>
            <w:r w:rsidRPr="002E1F9E">
              <w:rPr>
                <w:iCs/>
              </w:rPr>
              <w:t>Amendment 7</w:t>
            </w:r>
          </w:p>
          <w:p w:rsidRPr="002E1F9E" w:rsidR="006A1C73" w:rsidP="000058C7" w:rsidRDefault="006A1C73" w14:paraId="5EA47D83" w14:textId="77777777">
            <w:pPr>
              <w:spacing w:before="80" w:after="80"/>
              <w:ind w:left="35" w:right="80"/>
              <w:rPr>
                <w:iCs/>
              </w:rPr>
            </w:pPr>
            <w:r w:rsidRPr="002E1F9E">
              <w:rPr>
                <w:iCs/>
              </w:rPr>
              <w:t>linked to recommendation 1.5</w:t>
            </w:r>
          </w:p>
          <w:p w:rsidRPr="002E1F9E" w:rsidR="006A1C73" w:rsidP="000058C7" w:rsidRDefault="006A1C73" w14:paraId="676FF80F" w14:textId="77777777">
            <w:pPr>
              <w:spacing w:before="80" w:after="80"/>
              <w:ind w:left="35" w:right="80"/>
              <w:rPr>
                <w:iCs/>
              </w:rPr>
            </w:pPr>
            <w:r w:rsidRPr="002E1F9E">
              <w:rPr>
                <w:iCs/>
              </w:rPr>
              <w:t>COM(2025) 840 final</w:t>
            </w:r>
          </w:p>
          <w:p w:rsidRPr="002E1F9E" w:rsidR="006A1C73" w:rsidP="000058C7" w:rsidRDefault="006A1C73" w14:paraId="4D8C3FC0" w14:textId="77777777">
            <w:pPr>
              <w:rPr>
                <w:iCs/>
              </w:rPr>
            </w:pPr>
            <w:r w:rsidRPr="002E1F9E">
              <w:rPr>
                <w:iCs/>
              </w:rPr>
              <w:t>Article 63(1)(b)</w:t>
            </w:r>
          </w:p>
          <w:p w:rsidRPr="002E1F9E" w:rsidR="006A1C73" w:rsidP="000058C7" w:rsidRDefault="006A1C73" w14:paraId="18767C99" w14:textId="77777777">
            <w:pPr>
              <w:rPr>
                <w:b/>
                <w:bCs/>
              </w:rPr>
            </w:pPr>
          </w:p>
          <w:p w:rsidRPr="002E1F9E" w:rsidR="006A1C73" w:rsidP="000058C7" w:rsidRDefault="006A1C73" w14:paraId="1496B6E0" w14:textId="77777777">
            <w:pPr>
              <w:rPr>
                <w:b/>
                <w:bCs/>
              </w:rPr>
            </w:pPr>
            <w:r w:rsidRPr="002E1F9E">
              <w:rPr>
                <w:b/>
                <w:bCs/>
              </w:rPr>
              <w:t>Amend as follows:</w:t>
            </w:r>
          </w:p>
        </w:tc>
        <w:tc>
          <w:tcPr>
            <w:tcW w:w="2110" w:type="pct"/>
            <w:hideMark/>
          </w:tcPr>
          <w:p w:rsidR="00CC3BFF" w:rsidP="000058C7" w:rsidRDefault="00CC3BFF" w14:paraId="47BFF040" w14:textId="77777777">
            <w:pPr>
              <w:jc w:val="left"/>
              <w:rPr>
                <w:b/>
                <w:bCs/>
              </w:rPr>
            </w:pPr>
          </w:p>
          <w:p w:rsidR="00CC3BFF" w:rsidP="000058C7" w:rsidRDefault="00CC3BFF" w14:paraId="626A8F4F" w14:textId="77777777">
            <w:pPr>
              <w:jc w:val="left"/>
              <w:rPr>
                <w:b/>
                <w:bCs/>
              </w:rPr>
            </w:pPr>
          </w:p>
          <w:p w:rsidR="00CC3BFF" w:rsidP="000058C7" w:rsidRDefault="00CC3BFF" w14:paraId="6B8D5800" w14:textId="77777777">
            <w:pPr>
              <w:jc w:val="left"/>
              <w:rPr>
                <w:b/>
                <w:bCs/>
              </w:rPr>
            </w:pPr>
          </w:p>
          <w:p w:rsidR="00CC3BFF" w:rsidP="000058C7" w:rsidRDefault="00CC3BFF" w14:paraId="1A106C28" w14:textId="77777777">
            <w:pPr>
              <w:jc w:val="left"/>
              <w:rPr>
                <w:b/>
                <w:bCs/>
              </w:rPr>
            </w:pPr>
          </w:p>
          <w:p w:rsidR="006A1C73" w:rsidP="000058C7" w:rsidRDefault="006A1C73" w14:paraId="74F2792D" w14:textId="3A02B8B8">
            <w:pPr>
              <w:jc w:val="left"/>
              <w:rPr>
                <w:b/>
                <w:bCs/>
              </w:rPr>
            </w:pPr>
            <w:r w:rsidRPr="002E1F9E">
              <w:rPr>
                <w:b/>
                <w:bCs/>
              </w:rPr>
              <w:t>Tabled by:</w:t>
            </w:r>
          </w:p>
          <w:p w:rsidRPr="00AE5154" w:rsidR="00263838" w:rsidP="00263838" w:rsidRDefault="00263838" w14:paraId="3EDAB56B" w14:textId="77777777">
            <w:pPr>
              <w:jc w:val="left"/>
            </w:pPr>
            <w:r w:rsidRPr="00AE5154">
              <w:t>BARRERA CHAMORRO Maria del Carmen</w:t>
            </w:r>
          </w:p>
          <w:p w:rsidRPr="00AE5154" w:rsidR="00263838" w:rsidP="00263838" w:rsidRDefault="00263838" w14:paraId="676E9E77" w14:textId="77777777">
            <w:pPr>
              <w:jc w:val="left"/>
            </w:pPr>
            <w:r w:rsidRPr="00AE5154">
              <w:t>MINCHEVA Mariya</w:t>
            </w:r>
          </w:p>
          <w:p w:rsidRPr="00AE5154" w:rsidR="00263838" w:rsidP="00263838" w:rsidRDefault="00263838" w14:paraId="4F099D0C" w14:textId="19C217D8">
            <w:pPr>
              <w:jc w:val="left"/>
              <w:rPr>
                <w:b/>
                <w:bCs/>
              </w:rPr>
            </w:pPr>
            <w:r w:rsidRPr="00AE5154">
              <w:t>ROBYNS Wautier</w:t>
            </w:r>
          </w:p>
          <w:p w:rsidRPr="00AE5154" w:rsidR="006A1C73" w:rsidP="000058C7" w:rsidRDefault="006A1C73" w14:paraId="739532AF" w14:textId="3D4A884E">
            <w:pPr>
              <w:jc w:val="left"/>
            </w:pPr>
          </w:p>
          <w:p w:rsidRPr="00AE5154" w:rsidR="006A1C73" w:rsidP="000058C7" w:rsidRDefault="006A1C73" w14:paraId="3DC65158" w14:textId="77777777"/>
        </w:tc>
      </w:tr>
    </w:tbl>
    <w:p w:rsidRPr="00AE5154" w:rsidR="006A1C73" w:rsidP="006A1C73" w:rsidRDefault="006A1C73" w14:paraId="2B14EDE4"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2E1F9E" w:rsidR="006A1C73" w:rsidTr="000058C7" w14:paraId="0A8E3099" w14:textId="77777777">
        <w:tc>
          <w:tcPr>
            <w:tcW w:w="923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5CF6FE7F" w14:textId="77777777">
            <w:pPr>
              <w:jc w:val="center"/>
            </w:pPr>
            <w:r w:rsidRPr="002E1F9E">
              <w:rPr>
                <w:b/>
                <w:bCs/>
                <w:i/>
                <w:iCs/>
              </w:rPr>
              <w:t>Text proposed by the European Commission</w:t>
            </w:r>
          </w:p>
        </w:tc>
      </w:tr>
      <w:tr w:rsidRPr="002E1F9E" w:rsidR="006A1C73" w:rsidTr="000058C7" w14:paraId="521D1397" w14:textId="77777777">
        <w:tc>
          <w:tcPr>
            <w:tcW w:w="8856"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0BEB04A0" w14:textId="77777777">
            <w:pPr>
              <w:jc w:val="left"/>
            </w:pPr>
          </w:p>
        </w:tc>
      </w:tr>
    </w:tbl>
    <w:p w:rsidRPr="002E1F9E" w:rsidR="006A1C73" w:rsidP="006A1C73" w:rsidRDefault="006A1C73" w14:paraId="40855ACD"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2E1F9E" w:rsidR="006A1C73" w:rsidTr="000058C7" w14:paraId="7B64616B"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56F9473C" w14:textId="77777777">
            <w:pPr>
              <w:jc w:val="center"/>
              <w:rPr>
                <w:b/>
                <w:bCs/>
                <w:i/>
              </w:rPr>
            </w:pPr>
            <w:r w:rsidRPr="002E1F9E">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342E9DB1" w14:textId="77777777">
            <w:pPr>
              <w:jc w:val="center"/>
              <w:rPr>
                <w:b/>
                <w:bCs/>
                <w:i/>
              </w:rPr>
            </w:pPr>
            <w:r w:rsidRPr="002E1F9E">
              <w:rPr>
                <w:b/>
                <w:bCs/>
                <w:i/>
              </w:rPr>
              <w:t>Amendment</w:t>
            </w:r>
          </w:p>
        </w:tc>
      </w:tr>
      <w:tr w:rsidRPr="002E1F9E" w:rsidR="006A1C73" w:rsidTr="000058C7" w14:paraId="3642044A" w14:textId="77777777">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54FA4912" w14:textId="77777777">
            <w:pPr>
              <w:spacing w:before="80" w:after="80"/>
              <w:ind w:left="80" w:right="80"/>
            </w:pPr>
            <w:r w:rsidRPr="002E1F9E">
              <w:rPr>
                <w:b/>
                <w:bCs/>
                <w:i/>
                <w:u w:val="single"/>
              </w:rPr>
              <w:t>Significant concerns shall be demonstrated by non-compliance with</w:t>
            </w:r>
            <w:r w:rsidRPr="002E1F9E">
              <w:rPr>
                <w:u w:val="single"/>
              </w:rPr>
              <w:t xml:space="preserve"> </w:t>
            </w:r>
            <w:r w:rsidRPr="002E1F9E">
              <w:rPr>
                <w:b/>
                <w:bCs/>
                <w:i/>
                <w:iCs/>
                <w:u w:val="single"/>
              </w:rPr>
              <w:t>the common indicators</w:t>
            </w:r>
            <w:r w:rsidRPr="002E1F9E">
              <w:rPr>
                <w:u w:val="single"/>
              </w:rPr>
              <w:t xml:space="preserve"> </w:t>
            </w:r>
            <w:r w:rsidRPr="002E1F9E">
              <w:rPr>
                <w:b/>
                <w:bCs/>
                <w:i/>
                <w:u w:val="single"/>
              </w:rPr>
              <w:t>of quality-price and saver protection</w:t>
            </w:r>
            <w:r w:rsidRPr="002E1F9E">
              <w:rPr>
                <w:b/>
                <w:bCs/>
                <w:i/>
                <w:iCs/>
                <w:u w:val="single"/>
              </w:rPr>
              <w:t>.</w:t>
            </w:r>
            <w:r w:rsidRPr="002E1F9E">
              <w:rPr>
                <w:b/>
                <w:bCs/>
                <w:i/>
                <w:iCs/>
              </w:rPr>
              <w:t xml:space="preserve"> The measures shall be published in a European repository, ensuring proportionality and transparency.</w:t>
            </w:r>
          </w:p>
        </w:tc>
        <w:tc>
          <w:tcPr>
            <w:tcW w:w="2500" w:type="pct"/>
            <w:tcBorders>
              <w:top w:val="single" w:color="auto" w:sz="4" w:space="0"/>
              <w:left w:val="single" w:color="auto" w:sz="4" w:space="0"/>
              <w:bottom w:val="single" w:color="auto" w:sz="4" w:space="0"/>
              <w:right w:val="single" w:color="auto" w:sz="4" w:space="0"/>
            </w:tcBorders>
            <w:hideMark/>
          </w:tcPr>
          <w:p w:rsidRPr="002E1F9E" w:rsidR="006A1C73" w:rsidP="000058C7" w:rsidRDefault="006A1C73" w14:paraId="20D2137A" w14:textId="77777777">
            <w:pPr>
              <w:spacing w:before="80" w:after="80"/>
              <w:ind w:left="80" w:right="80"/>
            </w:pPr>
            <w:r w:rsidRPr="002E1F9E">
              <w:rPr>
                <w:b/>
                <w:bCs/>
                <w:i/>
                <w:u w:val="single"/>
              </w:rPr>
              <w:t>Where the competent national authorities ascertain that the indicators deemed applicable to a pension scheme have not been complied with, they shall intervene in a proportionate manner.</w:t>
            </w:r>
            <w:r w:rsidRPr="002E1F9E">
              <w:t xml:space="preserve"> </w:t>
            </w:r>
            <w:r w:rsidRPr="002E1F9E">
              <w:rPr>
                <w:b/>
                <w:bCs/>
                <w:i/>
                <w:iCs/>
              </w:rPr>
              <w:t>The measures shall be published in a European repository, ensuring proportionality and transparency.</w:t>
            </w:r>
          </w:p>
        </w:tc>
      </w:tr>
    </w:tbl>
    <w:p w:rsidRPr="002E1F9E" w:rsidR="006A1C73" w:rsidP="006A1C73" w:rsidRDefault="006A1C73" w14:paraId="1DAB63FA"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gridCol w:w="4532"/>
      </w:tblGrid>
      <w:tr w:rsidRPr="002E1F9E" w:rsidR="006A1C73" w:rsidTr="000058C7" w14:paraId="60B6992F"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5327202C" w14:textId="77777777">
            <w:pPr>
              <w:jc w:val="center"/>
              <w:rPr>
                <w:b/>
              </w:rPr>
            </w:pPr>
            <w:r w:rsidRPr="002E1F9E">
              <w:rPr>
                <w:b/>
              </w:rPr>
              <w:t>Reason given in the opinion</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1F0A1439" w14:textId="77777777">
            <w:pPr>
              <w:jc w:val="center"/>
              <w:rPr>
                <w:b/>
              </w:rPr>
            </w:pPr>
            <w:r w:rsidRPr="002E1F9E">
              <w:rPr>
                <w:b/>
              </w:rPr>
              <w:t>Amendment to the reason given in the opinion</w:t>
            </w:r>
          </w:p>
        </w:tc>
      </w:tr>
      <w:tr w:rsidRPr="002E1F9E" w:rsidR="006A1C73" w:rsidTr="000058C7" w14:paraId="44B3ACC4" w14:textId="77777777">
        <w:tc>
          <w:tcPr>
            <w:tcW w:w="4621"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581F8F0B" w14:textId="77777777">
            <w:pPr>
              <w:rPr>
                <w:rFonts w:eastAsia="SimSun"/>
                <w:lang w:eastAsia="zh-CN"/>
              </w:rPr>
            </w:pPr>
            <w:r w:rsidRPr="002E1F9E">
              <w:rPr>
                <w:rFonts w:eastAsia="SimSun"/>
                <w:lang w:eastAsia="zh-CN"/>
              </w:rPr>
              <w:t>Avoid administrative overlaps and duplications. Clarity of competences and transparency enhance trust in the system and ensure legal certainty for providers, members and beneficiaries.</w:t>
            </w:r>
          </w:p>
        </w:tc>
        <w:tc>
          <w:tcPr>
            <w:tcW w:w="4622" w:type="dxa"/>
            <w:tcBorders>
              <w:top w:val="single" w:color="auto" w:sz="4" w:space="0"/>
              <w:left w:val="single" w:color="auto" w:sz="4" w:space="0"/>
              <w:bottom w:val="single" w:color="auto" w:sz="4" w:space="0"/>
              <w:right w:val="single" w:color="auto" w:sz="4" w:space="0"/>
            </w:tcBorders>
          </w:tcPr>
          <w:p w:rsidRPr="002E1F9E" w:rsidR="006A1C73" w:rsidP="000058C7" w:rsidRDefault="006A1C73" w14:paraId="4DBF7336" w14:textId="77777777">
            <w:pPr>
              <w:spacing w:after="240"/>
            </w:pPr>
            <w:r w:rsidRPr="002E1F9E">
              <w:t>Avoid administrative overlaps and duplications. Clarity of competences and transparency enhance trust in the system and ensure legal certainty for providers, members and beneficiaries.</w:t>
            </w:r>
          </w:p>
        </w:tc>
      </w:tr>
    </w:tbl>
    <w:p w:rsidR="006A1C73" w:rsidP="00EC0F0F" w:rsidRDefault="006A1C73" w14:paraId="66A0BEB1" w14:textId="77777777"/>
    <w:p w:rsidR="006A1C73" w:rsidP="00EC0F0F" w:rsidRDefault="00AE5154" w14:paraId="0D9EB2E2" w14:textId="1BBBB79F">
      <w:r w:rsidRPr="00960432">
        <w:t>The amendment was accepted by the rapporteur</w:t>
      </w:r>
      <w:r w:rsidR="00CC3BFF">
        <w:t xml:space="preserve"> and by the Assembly</w:t>
      </w:r>
      <w:r w:rsidRPr="00960432" w:rsidR="00960432">
        <w:t>.</w:t>
      </w:r>
    </w:p>
    <w:p w:rsidR="00C06725" w:rsidP="00EC0F0F" w:rsidRDefault="00C06725" w14:paraId="02364DCA" w14:textId="77777777"/>
    <w:p w:rsidRPr="00A67235" w:rsidR="000E4B6B" w:rsidP="00EC0F0F" w:rsidRDefault="00380DAC" w14:paraId="0133C75D" w14:textId="5840B807">
      <w:r>
        <w:t xml:space="preserve">The opinion </w:t>
      </w:r>
      <w:r w:rsidRPr="00153112" w:rsidR="00153112">
        <w:t xml:space="preserve">thus amended was put to the vote </w:t>
      </w:r>
      <w:r w:rsidR="00153112">
        <w:t xml:space="preserve">and </w:t>
      </w:r>
      <w:r w:rsidRPr="00A67235" w:rsidR="00153112">
        <w:t xml:space="preserve">was </w:t>
      </w:r>
      <w:r w:rsidRPr="00960432" w:rsidR="00153112">
        <w:t xml:space="preserve">adopted </w:t>
      </w:r>
      <w:r w:rsidRPr="00960432" w:rsidR="0024764A">
        <w:t xml:space="preserve">by </w:t>
      </w:r>
      <w:r w:rsidRPr="00960432" w:rsidR="00AE5154">
        <w:t>211</w:t>
      </w:r>
      <w:r w:rsidRPr="00960432" w:rsidR="00632626">
        <w:t xml:space="preserve"> votes </w:t>
      </w:r>
      <w:r w:rsidRPr="00960432" w:rsidR="00FE56A1">
        <w:t>to</w:t>
      </w:r>
      <w:r w:rsidRPr="00960432" w:rsidR="00755191">
        <w:t xml:space="preserve"> </w:t>
      </w:r>
      <w:r w:rsidRPr="00960432" w:rsidR="00AE5154">
        <w:t>2</w:t>
      </w:r>
      <w:r w:rsidRPr="00960432" w:rsidR="006A1C73">
        <w:t xml:space="preserve"> </w:t>
      </w:r>
      <w:r w:rsidRPr="00960432" w:rsidR="00632626">
        <w:t xml:space="preserve">with </w:t>
      </w:r>
      <w:r w:rsidRPr="00960432" w:rsidR="00AE5154">
        <w:t>5</w:t>
      </w:r>
      <w:r w:rsidRPr="00960432" w:rsidR="006A1C73">
        <w:t xml:space="preserve"> </w:t>
      </w:r>
      <w:r w:rsidRPr="00960432" w:rsidR="00632626">
        <w:t>abstention</w:t>
      </w:r>
      <w:r w:rsidRPr="00960432" w:rsidR="00FE56A1">
        <w:t>s</w:t>
      </w:r>
      <w:r w:rsidRPr="00960432" w:rsidR="00632626">
        <w:t>.</w:t>
      </w:r>
    </w:p>
    <w:p w:rsidRPr="00A67235" w:rsidR="000E4B6B" w:rsidP="00EC0F0F" w:rsidRDefault="000E4B6B" w14:paraId="3A73E4F8" w14:textId="77777777">
      <w:pPr>
        <w:rPr>
          <w:b/>
          <w:bCs/>
        </w:rPr>
      </w:pPr>
    </w:p>
    <w:p w:rsidRPr="00A67235" w:rsidR="000E4B6B" w:rsidP="00EC0F0F" w:rsidRDefault="000E4B6B" w14:paraId="0B23E20E" w14:textId="62A4D86B">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AE65E" w14:textId="77777777" w:rsidR="00B35324" w:rsidRDefault="00B35324">
      <w:r>
        <w:separator/>
      </w:r>
    </w:p>
  </w:endnote>
  <w:endnote w:type="continuationSeparator" w:id="0">
    <w:p w14:paraId="3455C30C" w14:textId="77777777" w:rsidR="00B35324" w:rsidRDefault="00B3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FA91840" w:rsidR="00964A13" w:rsidRPr="006A5ADE" w:rsidRDefault="006A5ADE" w:rsidP="006A5ADE">
    <w:pPr>
      <w:pStyle w:val="Footer"/>
    </w:pPr>
    <w:r>
      <w:t>ECO/695 – EESC-2025-04204-00-0</w:t>
    </w:r>
    <w:r w:rsidR="0053125A">
      <w:t>1</w:t>
    </w:r>
    <w:r>
      <w:t xml:space="preserve">-CR-REF (EN) </w:t>
    </w:r>
    <w:r>
      <w:fldChar w:fldCharType="begin"/>
    </w:r>
    <w:r>
      <w:instrText xml:space="preserve"> PAGE  \* Arabic  \* MERGEFORMAT </w:instrText>
    </w:r>
    <w:r>
      <w:fldChar w:fldCharType="separate"/>
    </w:r>
    <w:r w:rsidR="001B5684">
      <w:rPr>
        <w:noProof/>
      </w:rPr>
      <w:t>1</w:t>
    </w:r>
    <w:r>
      <w:fldChar w:fldCharType="end"/>
    </w:r>
    <w:r>
      <w:t>/</w:t>
    </w:r>
    <w:r>
      <w:fldChar w:fldCharType="begin"/>
    </w:r>
    <w:r>
      <w:instrText xml:space="preserve"> NUMPAGES </w:instrText>
    </w:r>
    <w:r>
      <w:fldChar w:fldCharType="separate"/>
    </w:r>
    <w:r w:rsidR="001B568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A3479" w14:textId="77777777" w:rsidR="00B35324" w:rsidRDefault="00B35324">
      <w:r>
        <w:separator/>
      </w:r>
    </w:p>
  </w:footnote>
  <w:footnote w:type="continuationSeparator" w:id="0">
    <w:p w14:paraId="5C5F3510" w14:textId="77777777" w:rsidR="00B35324" w:rsidRDefault="00B35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8AC64D3"/>
    <w:multiLevelType w:val="hybridMultilevel"/>
    <w:tmpl w:val="6A047718"/>
    <w:lvl w:ilvl="0" w:tplc="20000001">
      <w:start w:val="1"/>
      <w:numFmt w:val="bullet"/>
      <w:lvlText w:val=""/>
      <w:lvlJc w:val="left"/>
      <w:pPr>
        <w:ind w:left="750" w:hanging="360"/>
      </w:pPr>
      <w:rPr>
        <w:rFonts w:ascii="Symbol" w:hAnsi="Symbol" w:hint="default"/>
      </w:rPr>
    </w:lvl>
    <w:lvl w:ilvl="1" w:tplc="20000003">
      <w:start w:val="1"/>
      <w:numFmt w:val="bullet"/>
      <w:lvlText w:val="o"/>
      <w:lvlJc w:val="left"/>
      <w:pPr>
        <w:ind w:left="1470" w:hanging="360"/>
      </w:pPr>
      <w:rPr>
        <w:rFonts w:ascii="Courier New" w:hAnsi="Courier New" w:cs="Courier New" w:hint="default"/>
      </w:rPr>
    </w:lvl>
    <w:lvl w:ilvl="2" w:tplc="20000005">
      <w:start w:val="1"/>
      <w:numFmt w:val="bullet"/>
      <w:lvlText w:val=""/>
      <w:lvlJc w:val="left"/>
      <w:pPr>
        <w:ind w:left="2190" w:hanging="360"/>
      </w:pPr>
      <w:rPr>
        <w:rFonts w:ascii="Wingdings" w:hAnsi="Wingdings" w:hint="default"/>
      </w:rPr>
    </w:lvl>
    <w:lvl w:ilvl="3" w:tplc="20000001">
      <w:start w:val="1"/>
      <w:numFmt w:val="bullet"/>
      <w:lvlText w:val=""/>
      <w:lvlJc w:val="left"/>
      <w:pPr>
        <w:ind w:left="2910" w:hanging="360"/>
      </w:pPr>
      <w:rPr>
        <w:rFonts w:ascii="Symbol" w:hAnsi="Symbol" w:hint="default"/>
      </w:rPr>
    </w:lvl>
    <w:lvl w:ilvl="4" w:tplc="20000003">
      <w:start w:val="1"/>
      <w:numFmt w:val="bullet"/>
      <w:lvlText w:val="o"/>
      <w:lvlJc w:val="left"/>
      <w:pPr>
        <w:ind w:left="3630" w:hanging="360"/>
      </w:pPr>
      <w:rPr>
        <w:rFonts w:ascii="Courier New" w:hAnsi="Courier New" w:cs="Courier New" w:hint="default"/>
      </w:rPr>
    </w:lvl>
    <w:lvl w:ilvl="5" w:tplc="20000005">
      <w:start w:val="1"/>
      <w:numFmt w:val="bullet"/>
      <w:lvlText w:val=""/>
      <w:lvlJc w:val="left"/>
      <w:pPr>
        <w:ind w:left="4350" w:hanging="360"/>
      </w:pPr>
      <w:rPr>
        <w:rFonts w:ascii="Wingdings" w:hAnsi="Wingdings" w:hint="default"/>
      </w:rPr>
    </w:lvl>
    <w:lvl w:ilvl="6" w:tplc="20000001">
      <w:start w:val="1"/>
      <w:numFmt w:val="bullet"/>
      <w:lvlText w:val=""/>
      <w:lvlJc w:val="left"/>
      <w:pPr>
        <w:ind w:left="5070" w:hanging="360"/>
      </w:pPr>
      <w:rPr>
        <w:rFonts w:ascii="Symbol" w:hAnsi="Symbol" w:hint="default"/>
      </w:rPr>
    </w:lvl>
    <w:lvl w:ilvl="7" w:tplc="20000003">
      <w:start w:val="1"/>
      <w:numFmt w:val="bullet"/>
      <w:lvlText w:val="o"/>
      <w:lvlJc w:val="left"/>
      <w:pPr>
        <w:ind w:left="5790" w:hanging="360"/>
      </w:pPr>
      <w:rPr>
        <w:rFonts w:ascii="Courier New" w:hAnsi="Courier New" w:cs="Courier New" w:hint="default"/>
      </w:rPr>
    </w:lvl>
    <w:lvl w:ilvl="8" w:tplc="20000005">
      <w:start w:val="1"/>
      <w:numFmt w:val="bullet"/>
      <w:lvlText w:val=""/>
      <w:lvlJc w:val="left"/>
      <w:pPr>
        <w:ind w:left="651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243"/>
    <w:rsid w:val="00036097"/>
    <w:rsid w:val="00036116"/>
    <w:rsid w:val="000540A2"/>
    <w:rsid w:val="00055159"/>
    <w:rsid w:val="000642BF"/>
    <w:rsid w:val="00074ECB"/>
    <w:rsid w:val="00086C3A"/>
    <w:rsid w:val="000B3441"/>
    <w:rsid w:val="000B6970"/>
    <w:rsid w:val="000C1F8C"/>
    <w:rsid w:val="000C3D25"/>
    <w:rsid w:val="000D29DF"/>
    <w:rsid w:val="000D6AA3"/>
    <w:rsid w:val="000E4B6B"/>
    <w:rsid w:val="000F03D6"/>
    <w:rsid w:val="000F2924"/>
    <w:rsid w:val="000F5850"/>
    <w:rsid w:val="000F7361"/>
    <w:rsid w:val="000F7A4D"/>
    <w:rsid w:val="000F7BA1"/>
    <w:rsid w:val="001123D3"/>
    <w:rsid w:val="00117678"/>
    <w:rsid w:val="00131DD0"/>
    <w:rsid w:val="00143A71"/>
    <w:rsid w:val="0014683B"/>
    <w:rsid w:val="00153112"/>
    <w:rsid w:val="0015330A"/>
    <w:rsid w:val="00164965"/>
    <w:rsid w:val="00165632"/>
    <w:rsid w:val="00172619"/>
    <w:rsid w:val="001766AB"/>
    <w:rsid w:val="00176968"/>
    <w:rsid w:val="00177DAC"/>
    <w:rsid w:val="0019251E"/>
    <w:rsid w:val="001B5684"/>
    <w:rsid w:val="001B7157"/>
    <w:rsid w:val="001C6CC5"/>
    <w:rsid w:val="001C7254"/>
    <w:rsid w:val="001E0222"/>
    <w:rsid w:val="001F37E2"/>
    <w:rsid w:val="001F41A5"/>
    <w:rsid w:val="00204B25"/>
    <w:rsid w:val="002346F9"/>
    <w:rsid w:val="00235B4F"/>
    <w:rsid w:val="00243CDF"/>
    <w:rsid w:val="0024764A"/>
    <w:rsid w:val="00247C74"/>
    <w:rsid w:val="00247FE1"/>
    <w:rsid w:val="00254169"/>
    <w:rsid w:val="0025633D"/>
    <w:rsid w:val="002601CF"/>
    <w:rsid w:val="002608CE"/>
    <w:rsid w:val="00263838"/>
    <w:rsid w:val="0026680C"/>
    <w:rsid w:val="0027335E"/>
    <w:rsid w:val="00273461"/>
    <w:rsid w:val="00273FDB"/>
    <w:rsid w:val="0028556E"/>
    <w:rsid w:val="00286C9E"/>
    <w:rsid w:val="00291814"/>
    <w:rsid w:val="00292360"/>
    <w:rsid w:val="002925F3"/>
    <w:rsid w:val="0029276F"/>
    <w:rsid w:val="00293F8F"/>
    <w:rsid w:val="00297572"/>
    <w:rsid w:val="002A3249"/>
    <w:rsid w:val="002C5013"/>
    <w:rsid w:val="002E01E5"/>
    <w:rsid w:val="00300319"/>
    <w:rsid w:val="00300EA0"/>
    <w:rsid w:val="00304197"/>
    <w:rsid w:val="00305C17"/>
    <w:rsid w:val="00315635"/>
    <w:rsid w:val="0032042F"/>
    <w:rsid w:val="00320C0B"/>
    <w:rsid w:val="00324282"/>
    <w:rsid w:val="00333763"/>
    <w:rsid w:val="003439B0"/>
    <w:rsid w:val="00343AC1"/>
    <w:rsid w:val="003463C9"/>
    <w:rsid w:val="00376F0A"/>
    <w:rsid w:val="00380DAC"/>
    <w:rsid w:val="00383D2C"/>
    <w:rsid w:val="003876B5"/>
    <w:rsid w:val="00390629"/>
    <w:rsid w:val="00391B99"/>
    <w:rsid w:val="00392924"/>
    <w:rsid w:val="003B2966"/>
    <w:rsid w:val="003C15D7"/>
    <w:rsid w:val="003C2459"/>
    <w:rsid w:val="003C2604"/>
    <w:rsid w:val="003E1619"/>
    <w:rsid w:val="003E59A1"/>
    <w:rsid w:val="0040093A"/>
    <w:rsid w:val="004107C7"/>
    <w:rsid w:val="004163C0"/>
    <w:rsid w:val="00423299"/>
    <w:rsid w:val="00424A4A"/>
    <w:rsid w:val="00430CEA"/>
    <w:rsid w:val="00431C05"/>
    <w:rsid w:val="0043383F"/>
    <w:rsid w:val="00434912"/>
    <w:rsid w:val="00444C23"/>
    <w:rsid w:val="00447EA5"/>
    <w:rsid w:val="00460CC5"/>
    <w:rsid w:val="00477CAE"/>
    <w:rsid w:val="00484539"/>
    <w:rsid w:val="00486832"/>
    <w:rsid w:val="0049065A"/>
    <w:rsid w:val="004A0843"/>
    <w:rsid w:val="004A0F79"/>
    <w:rsid w:val="004B76CD"/>
    <w:rsid w:val="004B78B7"/>
    <w:rsid w:val="004D1A10"/>
    <w:rsid w:val="004D4A46"/>
    <w:rsid w:val="004E30F2"/>
    <w:rsid w:val="005022F5"/>
    <w:rsid w:val="005037CF"/>
    <w:rsid w:val="0053125A"/>
    <w:rsid w:val="005458B5"/>
    <w:rsid w:val="00563ECE"/>
    <w:rsid w:val="00564B0D"/>
    <w:rsid w:val="00590C1E"/>
    <w:rsid w:val="00593A8F"/>
    <w:rsid w:val="00596AAB"/>
    <w:rsid w:val="005E1A79"/>
    <w:rsid w:val="005E1AFD"/>
    <w:rsid w:val="005E286E"/>
    <w:rsid w:val="005F183D"/>
    <w:rsid w:val="005F55D3"/>
    <w:rsid w:val="00600ADB"/>
    <w:rsid w:val="00604B3F"/>
    <w:rsid w:val="006179B6"/>
    <w:rsid w:val="0062052F"/>
    <w:rsid w:val="00620AC9"/>
    <w:rsid w:val="00632626"/>
    <w:rsid w:val="00646E27"/>
    <w:rsid w:val="006618CD"/>
    <w:rsid w:val="00666FA2"/>
    <w:rsid w:val="00667233"/>
    <w:rsid w:val="0067767D"/>
    <w:rsid w:val="0068044D"/>
    <w:rsid w:val="006859F0"/>
    <w:rsid w:val="006A137C"/>
    <w:rsid w:val="006A148F"/>
    <w:rsid w:val="006A1C73"/>
    <w:rsid w:val="006A5ADE"/>
    <w:rsid w:val="006C37D3"/>
    <w:rsid w:val="006D50EB"/>
    <w:rsid w:val="006F074F"/>
    <w:rsid w:val="006F0832"/>
    <w:rsid w:val="006F7C24"/>
    <w:rsid w:val="0073571F"/>
    <w:rsid w:val="007378F4"/>
    <w:rsid w:val="00755191"/>
    <w:rsid w:val="00756B1C"/>
    <w:rsid w:val="0077016F"/>
    <w:rsid w:val="00770ED1"/>
    <w:rsid w:val="00774494"/>
    <w:rsid w:val="00775D57"/>
    <w:rsid w:val="0078071A"/>
    <w:rsid w:val="00781EC7"/>
    <w:rsid w:val="007C6A55"/>
    <w:rsid w:val="007D66F4"/>
    <w:rsid w:val="007E2F94"/>
    <w:rsid w:val="007E5A54"/>
    <w:rsid w:val="007F1F70"/>
    <w:rsid w:val="007F5CF1"/>
    <w:rsid w:val="00810897"/>
    <w:rsid w:val="00815851"/>
    <w:rsid w:val="008176A3"/>
    <w:rsid w:val="00826375"/>
    <w:rsid w:val="00835744"/>
    <w:rsid w:val="008410AA"/>
    <w:rsid w:val="00853ED3"/>
    <w:rsid w:val="00855117"/>
    <w:rsid w:val="00862EFF"/>
    <w:rsid w:val="008657FF"/>
    <w:rsid w:val="00877622"/>
    <w:rsid w:val="00882FCE"/>
    <w:rsid w:val="008A371F"/>
    <w:rsid w:val="008A4B98"/>
    <w:rsid w:val="008C0EF8"/>
    <w:rsid w:val="008C30DA"/>
    <w:rsid w:val="008D0995"/>
    <w:rsid w:val="008E0097"/>
    <w:rsid w:val="008E3E6A"/>
    <w:rsid w:val="008E5E14"/>
    <w:rsid w:val="008F13D9"/>
    <w:rsid w:val="008F171C"/>
    <w:rsid w:val="008F2211"/>
    <w:rsid w:val="00905F17"/>
    <w:rsid w:val="00911202"/>
    <w:rsid w:val="00911D5E"/>
    <w:rsid w:val="0091682D"/>
    <w:rsid w:val="00922B86"/>
    <w:rsid w:val="009326E3"/>
    <w:rsid w:val="00960432"/>
    <w:rsid w:val="00961F04"/>
    <w:rsid w:val="00964A13"/>
    <w:rsid w:val="00976248"/>
    <w:rsid w:val="009A48AB"/>
    <w:rsid w:val="009B37E5"/>
    <w:rsid w:val="009C2E09"/>
    <w:rsid w:val="009D640E"/>
    <w:rsid w:val="009E138D"/>
    <w:rsid w:val="009E4E6D"/>
    <w:rsid w:val="009E52A8"/>
    <w:rsid w:val="009F1113"/>
    <w:rsid w:val="009F5654"/>
    <w:rsid w:val="00A05A93"/>
    <w:rsid w:val="00A14D3A"/>
    <w:rsid w:val="00A30F31"/>
    <w:rsid w:val="00A320D7"/>
    <w:rsid w:val="00A41F7B"/>
    <w:rsid w:val="00A42B2A"/>
    <w:rsid w:val="00A514EA"/>
    <w:rsid w:val="00A53158"/>
    <w:rsid w:val="00A64D59"/>
    <w:rsid w:val="00A67235"/>
    <w:rsid w:val="00AB7189"/>
    <w:rsid w:val="00AB7BC0"/>
    <w:rsid w:val="00AE5154"/>
    <w:rsid w:val="00B0286B"/>
    <w:rsid w:val="00B136BA"/>
    <w:rsid w:val="00B17F58"/>
    <w:rsid w:val="00B205A9"/>
    <w:rsid w:val="00B25649"/>
    <w:rsid w:val="00B324B5"/>
    <w:rsid w:val="00B35324"/>
    <w:rsid w:val="00B4428C"/>
    <w:rsid w:val="00B55A1B"/>
    <w:rsid w:val="00B61526"/>
    <w:rsid w:val="00B85027"/>
    <w:rsid w:val="00B85902"/>
    <w:rsid w:val="00B921A0"/>
    <w:rsid w:val="00B97854"/>
    <w:rsid w:val="00BC2B0F"/>
    <w:rsid w:val="00BD35A5"/>
    <w:rsid w:val="00BD50E0"/>
    <w:rsid w:val="00BE0125"/>
    <w:rsid w:val="00BE014D"/>
    <w:rsid w:val="00BE2972"/>
    <w:rsid w:val="00BE34D2"/>
    <w:rsid w:val="00BE6756"/>
    <w:rsid w:val="00BE7410"/>
    <w:rsid w:val="00C031DB"/>
    <w:rsid w:val="00C05B64"/>
    <w:rsid w:val="00C06725"/>
    <w:rsid w:val="00C12FA9"/>
    <w:rsid w:val="00C4683E"/>
    <w:rsid w:val="00C47C7A"/>
    <w:rsid w:val="00C62688"/>
    <w:rsid w:val="00C64662"/>
    <w:rsid w:val="00C77092"/>
    <w:rsid w:val="00C87758"/>
    <w:rsid w:val="00CA1877"/>
    <w:rsid w:val="00CA73FE"/>
    <w:rsid w:val="00CB2032"/>
    <w:rsid w:val="00CC3BFF"/>
    <w:rsid w:val="00CC7181"/>
    <w:rsid w:val="00CD0418"/>
    <w:rsid w:val="00CE00DA"/>
    <w:rsid w:val="00CE43B6"/>
    <w:rsid w:val="00CE7CC0"/>
    <w:rsid w:val="00D12227"/>
    <w:rsid w:val="00D31681"/>
    <w:rsid w:val="00D43B13"/>
    <w:rsid w:val="00D54F5F"/>
    <w:rsid w:val="00D63CA3"/>
    <w:rsid w:val="00D806A2"/>
    <w:rsid w:val="00D834B1"/>
    <w:rsid w:val="00D933D2"/>
    <w:rsid w:val="00D94260"/>
    <w:rsid w:val="00DB1C78"/>
    <w:rsid w:val="00DD05A8"/>
    <w:rsid w:val="00DD7260"/>
    <w:rsid w:val="00E060F1"/>
    <w:rsid w:val="00E24886"/>
    <w:rsid w:val="00E321DF"/>
    <w:rsid w:val="00E333FE"/>
    <w:rsid w:val="00E35E45"/>
    <w:rsid w:val="00E478AA"/>
    <w:rsid w:val="00E55BBF"/>
    <w:rsid w:val="00E61496"/>
    <w:rsid w:val="00E615F5"/>
    <w:rsid w:val="00E62591"/>
    <w:rsid w:val="00E653BC"/>
    <w:rsid w:val="00E673D9"/>
    <w:rsid w:val="00E67F72"/>
    <w:rsid w:val="00E70261"/>
    <w:rsid w:val="00E76FEF"/>
    <w:rsid w:val="00E8452E"/>
    <w:rsid w:val="00E861BF"/>
    <w:rsid w:val="00E87849"/>
    <w:rsid w:val="00EA7DE8"/>
    <w:rsid w:val="00EB058A"/>
    <w:rsid w:val="00EB641C"/>
    <w:rsid w:val="00EC0F0F"/>
    <w:rsid w:val="00ED6BB4"/>
    <w:rsid w:val="00ED73E3"/>
    <w:rsid w:val="00EE4417"/>
    <w:rsid w:val="00EF4A30"/>
    <w:rsid w:val="00F01EB5"/>
    <w:rsid w:val="00F048DF"/>
    <w:rsid w:val="00F16E32"/>
    <w:rsid w:val="00F20AAB"/>
    <w:rsid w:val="00F21079"/>
    <w:rsid w:val="00F30416"/>
    <w:rsid w:val="00F45962"/>
    <w:rsid w:val="00F54470"/>
    <w:rsid w:val="00F762C1"/>
    <w:rsid w:val="00F87CBD"/>
    <w:rsid w:val="00F93328"/>
    <w:rsid w:val="00FA5350"/>
    <w:rsid w:val="00FB4410"/>
    <w:rsid w:val="00FC47AF"/>
    <w:rsid w:val="00FC6586"/>
    <w:rsid w:val="00FE3087"/>
    <w:rsid w:val="00FE56A1"/>
    <w:rsid w:val="00FE5E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7CF"/>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775D57"/>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5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E44"/>
    <w:rPr>
      <w:sz w:val="22"/>
      <w:szCs w:val="22"/>
      <w:lang w:val="en-GB" w:eastAsia="en-US"/>
    </w:rPr>
  </w:style>
  <w:style w:type="table" w:customStyle="1" w:styleId="TableGrid2">
    <w:name w:val="Table Grid2"/>
    <w:basedOn w:val="TableNormal"/>
    <w:next w:val="TableGrid"/>
    <w:rsid w:val="00F45962"/>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35A5"/>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35A5"/>
    <w:pPr>
      <w:jc w:val="both"/>
    </w:pPr>
    <w:rPr>
      <w:sz w:val="22"/>
      <w:szCs w:val="22"/>
      <w:lang w:val="en-US" w:eastAsia="en-US"/>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A6WAAD5KZT2Q-1415362569-8174</_dlc_DocId>
    <_dlc_DocIdUrl xmlns="1a33af13-4045-4f88-9d7b-618e30f79918">
      <Url>http://dm/eesc/2025/_layouts/15/DocIdRedir.aspx?ID=A6WAAD5KZT2Q-1415362569-8174</Url>
      <Description>A6WAAD5KZT2Q-1415362569-8174</Description>
    </_dlc_DocIdUrl>
    <Procedure xmlns="1a33af13-4045-4f88-9d7b-618e30f79918">2025/0362(COD)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2026-05-05T12:00:00+00:00</ProductionDate>
    <FicheYear xmlns="1a33af13-4045-4f88-9d7b-618e30f79918">2025</FicheYear>
    <DocumentNumber xmlns="03db1768-8e83-4c4e-a8fb-1eb1d05ab6cf">4204</DocumentNumber>
    <DossierNumber xmlns="1a33af13-4045-4f88-9d7b-618e30f79918">695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BARRERA CHAMORRO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4769</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2026-04-30T12:00:00+00:00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1</DocumentVersion>
  </documentManagement>
</p:properties>
</file>

<file path=customXml/itemProps1.xml><?xml version="1.0" encoding="utf-8"?>
<ds:datastoreItem xmlns:ds="http://schemas.openxmlformats.org/officeDocument/2006/customXml" ds:itemID="{8A6D136A-ACA2-4D17-9F84-D56AED1E8E70}"/>
</file>

<file path=customXml/itemProps2.xml><?xml version="1.0" encoding="utf-8"?>
<ds:datastoreItem xmlns:ds="http://schemas.openxmlformats.org/officeDocument/2006/customXml" ds:itemID="{BFEB7EDE-BE15-4396-B209-8766BFD9F5F2}"/>
</file>

<file path=customXml/itemProps3.xml><?xml version="1.0" encoding="utf-8"?>
<ds:datastoreItem xmlns:ds="http://schemas.openxmlformats.org/officeDocument/2006/customXml" ds:itemID="{FE556D5E-8C48-4887-A035-EF84B36AAD53}"/>
</file>

<file path=customXml/itemProps4.xml><?xml version="1.0" encoding="utf-8"?>
<ds:datastoreItem xmlns:ds="http://schemas.openxmlformats.org/officeDocument/2006/customXml" ds:itemID="{F3EFB1BB-6772-4D4A-AE49-72A83D588B15}"/>
</file>

<file path=docProps/app.xml><?xml version="1.0" encoding="utf-8"?>
<Properties xmlns="http://schemas.openxmlformats.org/officeDocument/2006/extended-properties" xmlns:vt="http://schemas.openxmlformats.org/officeDocument/2006/docPropsVTypes">
  <Template>Normal</Template>
  <TotalTime>0</TotalTime>
  <Pages>2</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pensions package: PEPP and IORP</dc:title>
  <dc:subject>Record of proceedings</dc:subject>
  <dc:creator>Hilary Morris</dc:creator>
  <cp:keywords>EESC-2025-04204-00-01-CR-TRA-EN</cp:keywords>
  <dc:description>Rapporteur: - BARRERA CHAMORRO Original language: - EN Date of document: - 05/05/2026 Date of meeting: -  External documents: - COM(2025)842- final Administrator responsible: -  LORENCIO MATALLANA SERGIO</dc:description>
  <cp:lastModifiedBy>TDriveSVCUserProd</cp:lastModifiedBy>
  <cp:revision>6</cp:revision>
  <cp:lastPrinted>2004-02-16T15:16:00Z</cp:lastPrinted>
  <dcterms:created xsi:type="dcterms:W3CDTF">2026-05-05T07:11:00Z</dcterms:created>
  <dcterms:modified xsi:type="dcterms:W3CDTF">2026-05-05T07:46:00Z</dcterms:modified>
  <cp:category>ECO/695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317b43c9-c7f5-4650-ad5e-1e09e3b40b2d</vt:lpwstr>
  </property>
  <property fmtid="{D5CDD505-2E9C-101B-9397-08002B2CF9AE}" pid="9" name="Procedure">
    <vt:lpwstr>2025/0362(COD)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4204</vt:i4>
  </property>
  <property fmtid="{D5CDD505-2E9C-101B-9397-08002B2CF9AE}" pid="15" name="FicheYear">
    <vt:i4>2025</vt:i4>
  </property>
  <property fmtid="{D5CDD505-2E9C-101B-9397-08002B2CF9AE}" pid="16" name="DocumentVersion">
    <vt:i4>1</vt:i4>
  </property>
  <property fmtid="{D5CDD505-2E9C-101B-9397-08002B2CF9AE}" pid="17" name="DossierNumber">
    <vt:i4>695</vt:i4>
  </property>
  <property fmtid="{D5CDD505-2E9C-101B-9397-08002B2CF9AE}" pid="18" name="DocumentStatus">
    <vt:lpwstr>3;#REF|722611fd-7eaf-44e3-8780-a3226646f5f0</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1" name="Rapporteur">
    <vt:lpwstr>BARRERA CHAMORRO</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4769</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2026-04-30T12:00:00Z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