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AF5734" w14:paraId="02555730" w14:textId="6873EC44">
      <w:pPr>
        <w:jc w:val="right"/>
      </w:pPr>
      <w:r>
        <w:rPr>
          <w:b/>
        </w:rPr>
        <w:t>INT</w:t>
      </w:r>
      <w:r w:rsidRPr="0082636E" w:rsidR="0015330A">
        <w:rPr>
          <w:b/>
        </w:rPr>
        <w:t>/</w:t>
      </w:r>
      <w:r>
        <w:rPr>
          <w:b/>
        </w:rPr>
        <w:t>11</w:t>
      </w:r>
      <w:r w:rsidR="00BC0F98">
        <w:rPr>
          <w:b/>
        </w:rPr>
        <w:t>12</w:t>
      </w:r>
    </w:p>
    <w:p w:rsidRPr="00BC0F98" w:rsidR="00BC0F98" w:rsidP="00BC0F98" w:rsidRDefault="00BC0F98" w14:paraId="7703B83E" w14:textId="77777777">
      <w:pPr>
        <w:jc w:val="right"/>
        <w:rPr>
          <w:b/>
          <w:bCs/>
        </w:rPr>
      </w:pPr>
      <w:r w:rsidRPr="00BC0F98">
        <w:rPr>
          <w:b/>
          <w:bCs/>
        </w:rPr>
        <w:t xml:space="preserve">EU Start-ups and scale up strategy – </w:t>
      </w:r>
    </w:p>
    <w:p w:rsidRPr="00A67235" w:rsidR="000E4B6B" w:rsidP="00BC0F98" w:rsidRDefault="00BC0F98" w14:paraId="1EFE7F2B" w14:textId="64C01144">
      <w:pPr>
        <w:jc w:val="right"/>
      </w:pPr>
      <w:r w:rsidRPr="00BC0F98">
        <w:rPr>
          <w:b/>
          <w:bCs/>
        </w:rPr>
        <w:t>with a focus on European Innovation Act</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3224D64">
      <w:pPr>
        <w:jc w:val="right"/>
      </w:pPr>
      <w:r w:rsidRPr="00A67235">
        <w:t xml:space="preserve">Brussels, </w:t>
      </w:r>
      <w:r w:rsidR="00261595">
        <w:t>30</w:t>
      </w:r>
      <w:r w:rsidR="00121D76">
        <w:t xml:space="preserve"> April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DD6B86" w:rsidP="00121D76" w:rsidRDefault="00964A13" w14:paraId="1F618761" w14:textId="5361A622">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p>
    <w:p w:rsidRPr="00787837" w:rsidR="00BC0F98" w:rsidP="00BC0F98" w:rsidRDefault="00BC0F98" w14:paraId="20900CBD" w14:textId="4959A89D">
      <w:pPr>
        <w:jc w:val="center"/>
        <w:rPr>
          <w:sz w:val="24"/>
          <w:szCs w:val="24"/>
        </w:rPr>
      </w:pPr>
      <w:r w:rsidRPr="007A05F5">
        <w:rPr>
          <w:sz w:val="24"/>
          <w:szCs w:val="24"/>
        </w:rPr>
        <w:t>EU Start-ups and scale up strategy – with a focus on European Innovation Act</w:t>
      </w:r>
      <w:r>
        <w:rPr>
          <w:sz w:val="24"/>
          <w:szCs w:val="24"/>
        </w:rPr>
        <w:br/>
      </w:r>
      <w:r w:rsidRPr="007A05F5">
        <w:rPr>
          <w:b/>
          <w:bCs/>
          <w:lang w:val="en-US"/>
        </w:rPr>
        <w:t>(</w:t>
      </w:r>
      <w:r>
        <w:rPr>
          <w:b/>
          <w:bCs/>
          <w:lang w:val="en-US"/>
        </w:rPr>
        <w:t>E</w:t>
      </w:r>
      <w:r w:rsidRPr="007A05F5">
        <w:rPr>
          <w:b/>
          <w:bCs/>
          <w:lang w:val="en-US"/>
        </w:rPr>
        <w:t>xploratory opinion)</w:t>
      </w:r>
    </w:p>
    <w:p w:rsidRPr="006D06D3" w:rsidR="00121D76" w:rsidP="00121D76" w:rsidRDefault="00121D76" w14:paraId="05CAA958" w14:textId="3910450E">
      <w:pPr>
        <w:jc w:val="center"/>
        <w:rPr>
          <w:lang w:val="en-US"/>
        </w:rPr>
      </w:pPr>
    </w:p>
    <w:p w:rsidRPr="00A67235" w:rsidR="00964A13" w:rsidP="00EC0F0F" w:rsidRDefault="00964A13" w14:paraId="6EA6F05A" w14:textId="77777777">
      <w:pPr>
        <w:jc w:val="center"/>
      </w:pPr>
      <w:r w:rsidRPr="00A67235">
        <w:t>_____________</w:t>
      </w:r>
    </w:p>
    <w:p w:rsidRPr="00A67235" w:rsidR="00964A13" w:rsidP="00EC0F0F" w:rsidRDefault="00964A13" w14:paraId="023E833B" w14:textId="77777777">
      <w:pPr>
        <w:jc w:val="center"/>
      </w:pPr>
    </w:p>
    <w:p w:rsidRPr="00A67235" w:rsidR="00964A13" w:rsidP="00EC0F0F" w:rsidRDefault="00121D76" w14:paraId="0FA745B1" w14:textId="1E62493C">
      <w:pPr>
        <w:jc w:val="center"/>
        <w:rPr>
          <w:bCs/>
        </w:rPr>
      </w:pPr>
      <w:r>
        <w:t>605</w:t>
      </w:r>
      <w:r w:rsidRPr="00121D76">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Pr>
          <w:bCs/>
        </w:rPr>
        <w:t>29</w:t>
      </w:r>
      <w:r w:rsidR="0015330A">
        <w:rPr>
          <w:bCs/>
        </w:rPr>
        <w:t>-</w:t>
      </w:r>
      <w:r>
        <w:rPr>
          <w:bCs/>
        </w:rPr>
        <w:t>30 April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4D122EC1">
      <w:pPr>
        <w:jc w:val="center"/>
      </w:pPr>
      <w:r w:rsidRPr="00A67235">
        <w:t xml:space="preserve">Meeting of </w:t>
      </w:r>
      <w:r w:rsidR="00261595">
        <w:t>30</w:t>
      </w:r>
      <w:r w:rsidR="00121D76">
        <w:t xml:space="preserve"> April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35FF2334">
      <w:pPr>
        <w:pStyle w:val="Footer"/>
        <w:jc w:val="center"/>
      </w:pPr>
      <w:r w:rsidRPr="00A67235">
        <w:t>Agenda item</w:t>
      </w:r>
      <w:r w:rsidR="00177DAC">
        <w:t xml:space="preserve"> </w:t>
      </w:r>
      <w:r w:rsidR="00261595">
        <w:t>26</w:t>
      </w:r>
    </w:p>
    <w:p w:rsidRPr="00A67235" w:rsidR="00964A13" w:rsidP="00EC0F0F" w:rsidRDefault="00964A13" w14:paraId="51C5CA93" w14:textId="77777777">
      <w:pPr>
        <w:pStyle w:val="Footer"/>
        <w:jc w:val="center"/>
      </w:pPr>
      <w:r w:rsidRPr="00A67235">
        <w:t>_____________</w:t>
      </w:r>
    </w:p>
    <w:p w:rsidR="006F603A" w:rsidRDefault="006F603A" w14:paraId="2BF941E5" w14:textId="33940FCF">
      <w:pPr>
        <w:spacing w:line="240" w:lineRule="auto"/>
        <w:jc w:val="left"/>
      </w:pPr>
      <w:r>
        <w:br w:type="page"/>
      </w:r>
    </w:p>
    <w:p w:rsidRPr="00A67235" w:rsidR="000E4B6B" w:rsidP="00EC0F0F" w:rsidRDefault="000E4B6B" w14:paraId="1461B587" w14:textId="5831559D">
      <w:r w:rsidRPr="00A67235">
        <w:rPr>
          <w:b/>
          <w:bCs/>
        </w:rPr>
        <w:lastRenderedPageBreak/>
        <w:t xml:space="preserve">The president </w:t>
      </w:r>
      <w:r w:rsidRPr="00A67235">
        <w:t xml:space="preserve">moved that the Committee turn to agenda item </w:t>
      </w:r>
      <w:r w:rsidR="00BF3D48">
        <w:t>26</w:t>
      </w:r>
      <w:r w:rsidRPr="00A67235">
        <w:t xml:space="preserve"> - adoption of an opinion on the</w:t>
      </w:r>
    </w:p>
    <w:p w:rsidRPr="00A67235" w:rsidR="000E4B6B" w:rsidP="00EC0F0F" w:rsidRDefault="000E4B6B" w14:paraId="037DAC87" w14:textId="77777777"/>
    <w:p w:rsidRPr="006D06D3" w:rsidR="006D06D3" w:rsidP="006D06D3" w:rsidRDefault="00BC0F98" w14:paraId="3071F117" w14:textId="23E45DFD">
      <w:pPr>
        <w:ind w:left="1430"/>
        <w:rPr>
          <w:i/>
          <w:iCs/>
        </w:rPr>
      </w:pPr>
      <w:r w:rsidRPr="00BC0F98">
        <w:rPr>
          <w:i/>
          <w:iCs/>
        </w:rPr>
        <w:t>EU Start-ups and scale up strategy – with a focus on European Innovation Act</w:t>
      </w:r>
    </w:p>
    <w:p w:rsidRPr="006D06D3" w:rsidR="006D06D3" w:rsidP="006D06D3" w:rsidRDefault="00BC0F98" w14:paraId="1E3AC411" w14:textId="79758281">
      <w:pPr>
        <w:ind w:left="1430"/>
      </w:pPr>
      <w:r w:rsidRPr="00BC0F98">
        <w:t>Exploratory opinion</w:t>
      </w:r>
      <w:r>
        <w:t>.</w:t>
      </w:r>
    </w:p>
    <w:p w:rsidRPr="006D06D3" w:rsidR="006D06D3" w:rsidP="006D06D3" w:rsidRDefault="006D06D3" w14:paraId="4F80894E" w14:textId="77777777">
      <w:pPr>
        <w:ind w:left="1430"/>
        <w:rPr>
          <w:i/>
          <w:iCs/>
        </w:rPr>
      </w:pPr>
    </w:p>
    <w:p w:rsidRPr="00A67235" w:rsidR="000E4B6B" w:rsidP="00EC0F0F" w:rsidRDefault="000E4B6B" w14:paraId="2D8D7685" w14:textId="28108426">
      <w:r w:rsidRPr="00A67235">
        <w:t xml:space="preserve">The preliminary work had been carried out by the Section for </w:t>
      </w:r>
      <w:r w:rsidR="008850C4">
        <w:t>the Single Market, Production and Production</w:t>
      </w:r>
      <w:r w:rsidRPr="00A67235">
        <w:t xml:space="preserve"> (president:</w:t>
      </w:r>
      <w:r w:rsidR="00177DAC">
        <w:t xml:space="preserve"> </w:t>
      </w:r>
      <w:r w:rsidRPr="00BF3D48" w:rsidR="008850C4">
        <w:rPr>
          <w:b/>
          <w:bCs/>
        </w:rPr>
        <w:t>Émilie PROUZET</w:t>
      </w:r>
      <w:r w:rsidRPr="00A67235">
        <w:t>). The rapporteur was</w:t>
      </w:r>
      <w:r w:rsidR="00BC0F98">
        <w:rPr>
          <w:b/>
          <w:bCs/>
        </w:rPr>
        <w:t xml:space="preserve"> </w:t>
      </w:r>
      <w:r w:rsidRPr="00BC0F98" w:rsidR="00BC0F98">
        <w:rPr>
          <w:b/>
          <w:bCs/>
        </w:rPr>
        <w:t>Paul RÜBIG</w:t>
      </w:r>
      <w:r w:rsidRPr="00A67235">
        <w:t>.</w:t>
      </w:r>
    </w:p>
    <w:p w:rsidR="000E4B6B" w:rsidP="00EC0F0F" w:rsidRDefault="000E4B6B" w14:paraId="2708AAF4" w14:textId="77777777"/>
    <w:p w:rsidRPr="009D67E1" w:rsidR="009267C6" w:rsidP="00AF2CF4" w:rsidRDefault="009267C6" w14:paraId="57F26C7B" w14:textId="5EC6192C">
      <w:r w:rsidRPr="009D67E1">
        <w:t xml:space="preserve">The rapporteur presented the opinion. </w:t>
      </w:r>
      <w:r w:rsidRPr="009D67E1">
        <w:rPr>
          <w:b/>
          <w:bCs/>
        </w:rPr>
        <w:t>Mr</w:t>
      </w:r>
      <w:r w:rsidRPr="009D67E1">
        <w:t xml:space="preserve"> </w:t>
      </w:r>
      <w:r>
        <w:rPr>
          <w:b/>
          <w:bCs/>
        </w:rPr>
        <w:t>Rübig</w:t>
      </w:r>
      <w:r w:rsidRPr="009D67E1">
        <w:t xml:space="preserve"> explained that </w:t>
      </w:r>
      <w:r w:rsidR="00AF2CF4">
        <w:t xml:space="preserve">traditionally it is believed that only family, fools and friends support start-ups as they are ready to take risk, with other players being risk preventers. </w:t>
      </w:r>
      <w:r w:rsidR="00BD56BA">
        <w:t xml:space="preserve">Startup world is the world of </w:t>
      </w:r>
      <w:r w:rsidRPr="00BD56BA" w:rsidR="00BD56BA">
        <w:t>engineers versus lawyers</w:t>
      </w:r>
      <w:r w:rsidR="00BD56BA">
        <w:t>.</w:t>
      </w:r>
      <w:r w:rsidRPr="00BD56BA" w:rsidR="00BD56BA">
        <w:t xml:space="preserve"> </w:t>
      </w:r>
      <w:r w:rsidR="00AF2CF4">
        <w:t>How do we lure these other players like bank</w:t>
      </w:r>
      <w:r w:rsidR="00BD56BA">
        <w:t>s</w:t>
      </w:r>
      <w:r w:rsidR="00AF2CF4">
        <w:t xml:space="preserve"> to become the risk takers? How can we create incentives? Spin-offs will create jobs and pay </w:t>
      </w:r>
      <w:r w:rsidR="00BD56BA">
        <w:t>taxes;</w:t>
      </w:r>
      <w:r w:rsidR="00AF2CF4">
        <w:t xml:space="preserve"> there will be a return multiplied by six. </w:t>
      </w:r>
      <w:r w:rsidR="00BD56BA">
        <w:t>In this respect, t</w:t>
      </w:r>
      <w:r w:rsidR="00AF2CF4">
        <w:t>he infrastructure of EIT is important to help startups to scaleup.</w:t>
      </w:r>
      <w:r w:rsidR="00BD56BA">
        <w:t xml:space="preserve"> </w:t>
      </w:r>
      <w:r w:rsidR="00AF2CF4">
        <w:t>EIT is a real EU agency,</w:t>
      </w:r>
      <w:r w:rsidR="00BD56BA">
        <w:t xml:space="preserve"> with</w:t>
      </w:r>
      <w:r w:rsidR="00AF2CF4">
        <w:t xml:space="preserve"> rare people who understand the financial regulation</w:t>
      </w:r>
      <w:r w:rsidR="00BD56BA">
        <w:t>, which is why we</w:t>
      </w:r>
      <w:r w:rsidR="00AF2CF4">
        <w:t xml:space="preserve"> could have sandboxes for 28th regime operating in EIT</w:t>
      </w:r>
      <w:r w:rsidR="00BD56BA">
        <w:t>, with</w:t>
      </w:r>
      <w:r w:rsidR="00AF2CF4">
        <w:t xml:space="preserve"> regional funding </w:t>
      </w:r>
      <w:r w:rsidR="00BD56BA">
        <w:t xml:space="preserve">that </w:t>
      </w:r>
      <w:r w:rsidR="00AF2CF4">
        <w:t>could contribute. Th</w:t>
      </w:r>
      <w:r w:rsidR="00BD56BA">
        <w:t>is would be the</w:t>
      </w:r>
      <w:r w:rsidR="00AF2CF4">
        <w:t xml:space="preserve"> incentive for licen</w:t>
      </w:r>
      <w:r w:rsidR="00CE0A98">
        <w:t>s</w:t>
      </w:r>
      <w:r w:rsidR="00AF2CF4">
        <w:t>ing for a global level.</w:t>
      </w:r>
    </w:p>
    <w:p w:rsidR="00BD56BA" w:rsidP="00BD56BA" w:rsidRDefault="00BD56BA" w14:paraId="5D67BF6C" w14:textId="77777777"/>
    <w:p w:rsidRPr="009D67E1" w:rsidR="009267C6" w:rsidP="00BD56BA" w:rsidRDefault="00225D45" w14:paraId="4640F2DD" w14:textId="75D47B2D">
      <w:r>
        <w:t>T</w:t>
      </w:r>
      <w:r w:rsidR="00AF2CF4">
        <w:t xml:space="preserve">he debate </w:t>
      </w:r>
      <w:r>
        <w:t xml:space="preserve">- linked to the opinion - </w:t>
      </w:r>
      <w:r w:rsidR="00AF2CF4">
        <w:t xml:space="preserve">on </w:t>
      </w:r>
      <w:r w:rsidRPr="00477DA1" w:rsidR="00AF2CF4">
        <w:rPr>
          <w:i/>
          <w:iCs/>
        </w:rPr>
        <w:t xml:space="preserve">How to improve the ' innovation to market ' </w:t>
      </w:r>
      <w:r w:rsidRPr="00477DA1" w:rsidR="00BD56BA">
        <w:rPr>
          <w:i/>
          <w:iCs/>
        </w:rPr>
        <w:t>journey</w:t>
      </w:r>
      <w:r w:rsidR="00477DA1">
        <w:t xml:space="preserve"> </w:t>
      </w:r>
      <w:r w:rsidRPr="00477DA1" w:rsidR="00477DA1">
        <w:rPr>
          <w:i/>
          <w:iCs/>
        </w:rPr>
        <w:t>and address barriers for startups in the European Union</w:t>
      </w:r>
      <w:r w:rsidRPr="00477DA1" w:rsidR="00BD56BA">
        <w:t xml:space="preserve"> </w:t>
      </w:r>
      <w:r w:rsidR="00BD56BA">
        <w:t>with invited speakers took</w:t>
      </w:r>
      <w:r w:rsidR="00AF2CF4">
        <w:t xml:space="preserve"> place</w:t>
      </w:r>
      <w:r w:rsidR="00BD56BA">
        <w:t xml:space="preserve"> just</w:t>
      </w:r>
      <w:r w:rsidR="00AF2CF4">
        <w:t xml:space="preserve"> before the </w:t>
      </w:r>
      <w:r w:rsidR="00BD56BA">
        <w:t xml:space="preserve">actual vote </w:t>
      </w:r>
      <w:r w:rsidR="00477DA1">
        <w:t>on</w:t>
      </w:r>
      <w:r w:rsidR="00BD56BA">
        <w:t xml:space="preserve"> the opinion (item 2</w:t>
      </w:r>
      <w:r w:rsidR="00974A8E">
        <w:t>5</w:t>
      </w:r>
      <w:r w:rsidR="00BD56BA">
        <w:t>)</w:t>
      </w:r>
      <w:r>
        <w:t>.</w:t>
      </w:r>
    </w:p>
    <w:p w:rsidRPr="009D67E1" w:rsidR="009267C6" w:rsidP="009267C6" w:rsidRDefault="009267C6" w14:paraId="44B1DC94" w14:textId="77777777"/>
    <w:p w:rsidR="009267C6" w:rsidP="009267C6" w:rsidRDefault="009267C6" w14:paraId="71DA2017" w14:textId="14CB74A0">
      <w:r w:rsidRPr="009D67E1">
        <w:t>The Assembly then examined the opinion on the basis of the amendment</w:t>
      </w:r>
      <w:r>
        <w:t>s</w:t>
      </w:r>
      <w:r w:rsidRPr="009D67E1">
        <w:t xml:space="preserve"> tabled by </w:t>
      </w:r>
      <w:r w:rsidRPr="00A42E13">
        <w:rPr>
          <w:b/>
          <w:bCs/>
        </w:rPr>
        <w:t xml:space="preserve">Mr </w:t>
      </w:r>
      <w:r>
        <w:rPr>
          <w:b/>
          <w:bCs/>
        </w:rPr>
        <w:t xml:space="preserve">Rübig </w:t>
      </w:r>
      <w:r w:rsidRPr="009267C6">
        <w:t>(EESC-2025-04308-01-00-AMP-TRA)</w:t>
      </w:r>
    </w:p>
    <w:p w:rsidR="009267C6" w:rsidP="00EC0F0F" w:rsidRDefault="009267C6" w14:paraId="02A24D3D" w14:textId="77777777"/>
    <w:p w:rsidRPr="009267C6" w:rsidR="009267C6" w:rsidP="009267C6" w:rsidRDefault="009267C6" w14:paraId="39D6EF1E" w14:textId="65DB7E6D">
      <w:pPr>
        <w:rPr>
          <w:b/>
          <w:bCs/>
          <w:lang w:val="en-US"/>
        </w:rPr>
      </w:pPr>
      <w:r w:rsidRPr="009267C6">
        <w:rPr>
          <w:b/>
          <w:bCs/>
          <w:lang w:val="en-US"/>
        </w:rPr>
        <w:t>Point 1.4</w:t>
      </w:r>
      <w:r>
        <w:rPr>
          <w:b/>
          <w:bCs/>
          <w:lang w:val="en-US"/>
        </w:rPr>
        <w:t xml:space="preserve"> – (Amendment 1)</w:t>
      </w:r>
    </w:p>
    <w:p w:rsidRPr="009267C6" w:rsidR="009267C6" w:rsidP="009267C6" w:rsidRDefault="009267C6" w14:paraId="05A02D17" w14:textId="77777777">
      <w:pPr>
        <w:rPr>
          <w:b/>
          <w:bCs/>
          <w:lang w:val="en-US"/>
        </w:rPr>
      </w:pPr>
    </w:p>
    <w:p w:rsidR="009267C6" w:rsidP="009267C6" w:rsidRDefault="009267C6" w14:paraId="233385E5" w14:textId="6CEE8100">
      <w:pPr>
        <w:jc w:val="left"/>
        <w:rPr>
          <w:lang w:val="en-US"/>
        </w:rPr>
      </w:pPr>
      <w:r w:rsidRPr="009267C6">
        <w:rPr>
          <w:b/>
          <w:bCs/>
          <w:lang w:val="en-US"/>
        </w:rPr>
        <w:t>Amend as follows</w:t>
      </w:r>
    </w:p>
    <w:p w:rsidRPr="009267C6" w:rsidR="009267C6" w:rsidP="009267C6" w:rsidRDefault="009267C6" w14:paraId="72D03D92" w14:textId="77777777">
      <w:pPr>
        <w:jc w:val="left"/>
        <w:rPr>
          <w:lang w:val="en-US"/>
        </w:rPr>
      </w:pPr>
    </w:p>
    <w:tbl>
      <w:tblPr>
        <w:tblStyle w:val="TableGrid11"/>
        <w:tblW w:w="5000" w:type="pct"/>
        <w:tblLayout w:type="fixed"/>
        <w:tblCellMar>
          <w:left w:w="115" w:type="dxa"/>
          <w:right w:w="115" w:type="dxa"/>
        </w:tblCellMar>
        <w:tblLook w:val="01E0" w:firstRow="1" w:lastRow="1" w:firstColumn="1" w:lastColumn="1" w:noHBand="0" w:noVBand="0"/>
      </w:tblPr>
      <w:tblGrid>
        <w:gridCol w:w="4531"/>
        <w:gridCol w:w="4532"/>
      </w:tblGrid>
      <w:tr w:rsidRPr="009267C6" w:rsidR="009267C6" w:rsidTr="00D264E0" w14:paraId="3B1594DB"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0AA47404" w14:textId="77777777">
            <w:pPr>
              <w:jc w:val="center"/>
              <w:rPr>
                <w:b/>
                <w:bCs/>
                <w:i/>
                <w:lang w:eastAsia="en-GB"/>
              </w:rPr>
            </w:pPr>
            <w:r w:rsidRPr="009267C6">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62037E6A" w14:textId="77777777">
            <w:pPr>
              <w:jc w:val="center"/>
              <w:rPr>
                <w:b/>
                <w:bCs/>
                <w:i/>
                <w:lang w:eastAsia="en-GB"/>
              </w:rPr>
            </w:pPr>
            <w:r w:rsidRPr="009267C6">
              <w:rPr>
                <w:b/>
                <w:bCs/>
                <w:i/>
                <w:lang w:eastAsia="en-GB"/>
              </w:rPr>
              <w:t>Amendment</w:t>
            </w:r>
          </w:p>
        </w:tc>
      </w:tr>
      <w:tr w:rsidRPr="009267C6" w:rsidR="009267C6" w:rsidTr="00D264E0" w14:paraId="156AB16D"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45FC620F" w14:textId="77777777">
            <w:pPr>
              <w:spacing w:before="80" w:after="80"/>
              <w:ind w:left="80" w:right="80"/>
              <w:rPr>
                <w:lang w:eastAsia="en-GB"/>
              </w:rPr>
            </w:pPr>
            <w:r w:rsidRPr="009267C6">
              <w:rPr>
                <w:lang w:eastAsia="en-GB"/>
              </w:rPr>
              <w:t xml:space="preserve">The European Innovation Act (EIA) can offer relief for cross-border start-ups </w:t>
            </w:r>
            <w:r w:rsidRPr="009267C6">
              <w:rPr>
                <w:b/>
                <w:bCs/>
                <w:i/>
                <w:lang w:eastAsia="en-GB"/>
              </w:rPr>
              <w:t>and</w:t>
            </w:r>
            <w:r w:rsidRPr="009267C6">
              <w:rPr>
                <w:lang w:eastAsia="en-GB"/>
              </w:rPr>
              <w:t xml:space="preserve"> scale-ups if it contains cross-cutting simplifications for start-ups and can be enforced as binding in all Member States, also taking into account workers’ rights and employee participation. The Committee stresses that the European Innovation Act should be aligned with the principles of a just transition, ensuring that innovation contributes to economic growth, competitiveness and job creation, while taking into account the need to accompany workers and regions affected by technological and industrial transformation.</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7E4AC4BE" w14:textId="77777777">
            <w:pPr>
              <w:spacing w:before="80" w:after="80"/>
              <w:ind w:left="80" w:right="80"/>
              <w:rPr>
                <w:lang w:eastAsia="en-GB"/>
              </w:rPr>
            </w:pPr>
            <w:r w:rsidRPr="009267C6">
              <w:rPr>
                <w:lang w:eastAsia="en-GB"/>
              </w:rPr>
              <w:t>The European Innovation Act (EIA) can offer relief for cross-border start-ups</w:t>
            </w:r>
            <w:r w:rsidRPr="009267C6">
              <w:rPr>
                <w:b/>
                <w:bCs/>
                <w:i/>
                <w:lang w:eastAsia="en-GB"/>
              </w:rPr>
              <w:t>,</w:t>
            </w:r>
            <w:r w:rsidRPr="009267C6">
              <w:rPr>
                <w:lang w:eastAsia="en-GB"/>
              </w:rPr>
              <w:t xml:space="preserve"> scale-ups </w:t>
            </w:r>
            <w:r w:rsidRPr="009267C6">
              <w:rPr>
                <w:b/>
                <w:bCs/>
                <w:i/>
                <w:lang w:eastAsia="en-GB"/>
              </w:rPr>
              <w:t>and spin-offs</w:t>
            </w:r>
            <w:r w:rsidRPr="009267C6">
              <w:rPr>
                <w:lang w:eastAsia="en-GB"/>
              </w:rPr>
              <w:t xml:space="preserve"> if it contains cross-cutting simplifications for start-ups and can be enforced as binding in all Member States, also taking into account workers’ rights and employee participation. The Committee stresses that the European Innovation Act should be aligned with the principles of a just transition, ensuring that innovation contributes to economic growth, competitiveness and job creation, while taking into account the need to accompany workers and regions affected by technological and industrial transformation.</w:t>
            </w:r>
          </w:p>
        </w:tc>
      </w:tr>
    </w:tbl>
    <w:p w:rsidR="009F30DF" w:rsidP="009F30DF" w:rsidRDefault="009F30DF" w14:paraId="4652E6D1" w14:textId="77777777">
      <w:pPr>
        <w:jc w:val="left"/>
      </w:pPr>
    </w:p>
    <w:p w:rsidR="009267C6" w:rsidP="009F30DF" w:rsidRDefault="009F30DF" w14:paraId="39255493" w14:textId="023C7AAC">
      <w:pPr>
        <w:jc w:val="left"/>
      </w:pPr>
      <w:r w:rsidRPr="009F30DF">
        <w:t>The amendment was accepted by the rapporteur and the Assembly</w:t>
      </w:r>
      <w:r>
        <w:t>.</w:t>
      </w:r>
    </w:p>
    <w:p w:rsidRPr="009267C6" w:rsidR="009267C6" w:rsidP="009267C6" w:rsidRDefault="009267C6" w14:paraId="7C938AF7" w14:textId="77777777">
      <w:pPr>
        <w:jc w:val="center"/>
      </w:pPr>
    </w:p>
    <w:p w:rsidRPr="009267C6" w:rsidR="009267C6" w:rsidP="009267C6" w:rsidRDefault="009267C6" w14:paraId="60BBE6FC" w14:textId="544FB420">
      <w:pPr>
        <w:rPr>
          <w:b/>
          <w:bCs/>
          <w:lang w:val="en-US"/>
        </w:rPr>
      </w:pPr>
      <w:r w:rsidRPr="009267C6">
        <w:rPr>
          <w:b/>
          <w:bCs/>
          <w:lang w:val="en-US"/>
        </w:rPr>
        <w:t>Point 1.5</w:t>
      </w:r>
      <w:r>
        <w:rPr>
          <w:b/>
          <w:bCs/>
          <w:lang w:val="en-US"/>
        </w:rPr>
        <w:t xml:space="preserve"> – (Amendment 2)</w:t>
      </w:r>
    </w:p>
    <w:p w:rsidRPr="009267C6" w:rsidR="009267C6" w:rsidP="009267C6" w:rsidRDefault="009267C6" w14:paraId="239931AF" w14:textId="77777777">
      <w:pPr>
        <w:rPr>
          <w:b/>
          <w:bCs/>
          <w:lang w:val="en-US"/>
        </w:rPr>
      </w:pPr>
    </w:p>
    <w:p w:rsidR="009267C6" w:rsidP="009267C6" w:rsidRDefault="009267C6" w14:paraId="3CF8ECCD" w14:textId="4713BBC6">
      <w:pPr>
        <w:jc w:val="left"/>
        <w:rPr>
          <w:lang w:val="en-US"/>
        </w:rPr>
      </w:pPr>
      <w:r w:rsidRPr="009267C6">
        <w:rPr>
          <w:b/>
          <w:bCs/>
          <w:lang w:val="en-US"/>
        </w:rPr>
        <w:t>Amend as follows</w:t>
      </w:r>
    </w:p>
    <w:p w:rsidRPr="009267C6" w:rsidR="009267C6" w:rsidP="009267C6" w:rsidRDefault="009267C6" w14:paraId="5E042993" w14:textId="77777777">
      <w:pPr>
        <w:jc w:val="left"/>
        <w:rPr>
          <w:lang w:val="en-US"/>
        </w:rPr>
      </w:pPr>
    </w:p>
    <w:tbl>
      <w:tblPr>
        <w:tblStyle w:val="TableGrid11"/>
        <w:tblW w:w="5000" w:type="pct"/>
        <w:tblLayout w:type="fixed"/>
        <w:tblCellMar>
          <w:left w:w="115" w:type="dxa"/>
          <w:right w:w="115" w:type="dxa"/>
        </w:tblCellMar>
        <w:tblLook w:val="01E0" w:firstRow="1" w:lastRow="1" w:firstColumn="1" w:lastColumn="1" w:noHBand="0" w:noVBand="0"/>
      </w:tblPr>
      <w:tblGrid>
        <w:gridCol w:w="4531"/>
        <w:gridCol w:w="4532"/>
      </w:tblGrid>
      <w:tr w:rsidRPr="009267C6" w:rsidR="009267C6" w:rsidTr="00D264E0" w14:paraId="68C584CD"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34A13BBB" w14:textId="77777777">
            <w:pPr>
              <w:jc w:val="center"/>
              <w:rPr>
                <w:b/>
                <w:bCs/>
                <w:i/>
                <w:lang w:eastAsia="en-GB"/>
              </w:rPr>
            </w:pPr>
            <w:r w:rsidRPr="009267C6">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287D44CF" w14:textId="77777777">
            <w:pPr>
              <w:jc w:val="center"/>
              <w:rPr>
                <w:b/>
                <w:bCs/>
                <w:i/>
                <w:lang w:eastAsia="en-GB"/>
              </w:rPr>
            </w:pPr>
            <w:r w:rsidRPr="009267C6">
              <w:rPr>
                <w:b/>
                <w:bCs/>
                <w:i/>
                <w:lang w:eastAsia="en-GB"/>
              </w:rPr>
              <w:t>Amendment</w:t>
            </w:r>
          </w:p>
        </w:tc>
      </w:tr>
      <w:tr w:rsidRPr="009267C6" w:rsidR="009267C6" w:rsidTr="00D264E0" w14:paraId="73836458"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7C8490E0" w14:textId="77777777">
            <w:pPr>
              <w:spacing w:before="80" w:after="80"/>
              <w:ind w:left="80" w:right="80"/>
              <w:rPr>
                <w:lang w:eastAsia="en-GB"/>
              </w:rPr>
            </w:pPr>
            <w:r w:rsidRPr="009267C6">
              <w:rPr>
                <w:lang w:eastAsia="en-GB"/>
              </w:rPr>
              <w:t xml:space="preserve">A catalogue of criteria for evaluating innovation content and growth prospects would be more efficient and accurate than a binding definition of start-ups </w:t>
            </w:r>
            <w:r w:rsidRPr="009267C6">
              <w:rPr>
                <w:b/>
                <w:bCs/>
                <w:i/>
                <w:lang w:eastAsia="en-GB"/>
              </w:rPr>
              <w:t>and</w:t>
            </w:r>
            <w:r w:rsidRPr="009267C6">
              <w:rPr>
                <w:lang w:eastAsia="en-GB"/>
              </w:rPr>
              <w:t xml:space="preserve"> scale-ups. A ranking of founder-friendly universities could also support the EIA. Furthermore, the EIA should strengthen the role of research and technology organisations and the European Institute of Innovation and Technology (EIT) particularly in deep-tech and capital-intensive sectors.</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04B6CA81" w14:textId="77777777">
            <w:pPr>
              <w:spacing w:before="80" w:after="80"/>
              <w:ind w:left="80" w:right="80"/>
              <w:rPr>
                <w:lang w:eastAsia="en-GB"/>
              </w:rPr>
            </w:pPr>
            <w:r w:rsidRPr="009267C6">
              <w:rPr>
                <w:lang w:eastAsia="en-GB"/>
              </w:rPr>
              <w:t>A catalogue of criteria for evaluating innovation content and growth prospects would be more efficient and accurate than a binding definition of start-ups</w:t>
            </w:r>
            <w:r w:rsidRPr="009267C6">
              <w:rPr>
                <w:b/>
                <w:bCs/>
                <w:i/>
                <w:lang w:eastAsia="en-GB"/>
              </w:rPr>
              <w:t>,</w:t>
            </w:r>
            <w:r w:rsidRPr="009267C6">
              <w:rPr>
                <w:lang w:eastAsia="en-GB"/>
              </w:rPr>
              <w:t xml:space="preserve"> scale-ups </w:t>
            </w:r>
            <w:r w:rsidRPr="009267C6">
              <w:rPr>
                <w:b/>
                <w:bCs/>
                <w:i/>
                <w:lang w:eastAsia="en-GB"/>
              </w:rPr>
              <w:t>and spin-offs</w:t>
            </w:r>
            <w:r w:rsidRPr="009267C6">
              <w:rPr>
                <w:lang w:eastAsia="en-GB"/>
              </w:rPr>
              <w:t>. A ranking of founder-friendly universities could also support the EIA. Furthermore, the EIA should strengthen the role of research and technology organisations and the European Institute of Innovation and Technology (EIT) particularly in deep-tech and capital-intensive sectors.</w:t>
            </w:r>
          </w:p>
        </w:tc>
      </w:tr>
    </w:tbl>
    <w:p w:rsidR="009267C6" w:rsidP="009267C6" w:rsidRDefault="009267C6" w14:paraId="12AD67A0" w14:textId="77777777">
      <w:pPr>
        <w:jc w:val="center"/>
      </w:pPr>
    </w:p>
    <w:p w:rsidR="009F30DF" w:rsidP="009F30DF" w:rsidRDefault="009F30DF" w14:paraId="2FDAE357" w14:textId="50B35AE4">
      <w:pPr>
        <w:jc w:val="left"/>
      </w:pPr>
      <w:r w:rsidRPr="009F30DF">
        <w:t>The amendment was accepted by the rapporteur and the Assembly</w:t>
      </w:r>
      <w:r>
        <w:t>.</w:t>
      </w:r>
    </w:p>
    <w:p w:rsidR="009267C6" w:rsidP="009267C6" w:rsidRDefault="009267C6" w14:paraId="10562B09" w14:textId="77777777">
      <w:pPr>
        <w:jc w:val="center"/>
      </w:pPr>
    </w:p>
    <w:p w:rsidRPr="009267C6" w:rsidR="009267C6" w:rsidP="009267C6" w:rsidRDefault="009267C6" w14:paraId="40E0F7B8" w14:textId="5395499B">
      <w:pPr>
        <w:rPr>
          <w:b/>
          <w:bCs/>
          <w:lang w:val="en-US"/>
        </w:rPr>
      </w:pPr>
      <w:r w:rsidRPr="009267C6">
        <w:rPr>
          <w:b/>
          <w:bCs/>
          <w:lang w:val="en-US"/>
        </w:rPr>
        <w:t>Point 2.2</w:t>
      </w:r>
      <w:r>
        <w:rPr>
          <w:b/>
          <w:bCs/>
          <w:lang w:val="en-US"/>
        </w:rPr>
        <w:t xml:space="preserve"> – (Amendment 3)</w:t>
      </w:r>
    </w:p>
    <w:p w:rsidRPr="009267C6" w:rsidR="009267C6" w:rsidP="009267C6" w:rsidRDefault="009267C6" w14:paraId="118C3027" w14:textId="77777777">
      <w:pPr>
        <w:rPr>
          <w:b/>
          <w:bCs/>
          <w:lang w:val="en-US"/>
        </w:rPr>
      </w:pPr>
    </w:p>
    <w:p w:rsidRPr="009267C6" w:rsidR="009267C6" w:rsidP="009267C6" w:rsidRDefault="009267C6" w14:paraId="0AFF953C" w14:textId="4A2007A2">
      <w:pPr>
        <w:jc w:val="left"/>
      </w:pPr>
      <w:r w:rsidRPr="009267C6">
        <w:rPr>
          <w:b/>
          <w:bCs/>
          <w:lang w:val="en-US"/>
        </w:rPr>
        <w:t>Amend as follows</w:t>
      </w:r>
    </w:p>
    <w:p w:rsidRPr="009267C6" w:rsidR="009267C6" w:rsidP="009267C6" w:rsidRDefault="009267C6" w14:paraId="782B67BF" w14:textId="77777777">
      <w:pPr>
        <w:jc w:val="left"/>
        <w:rPr>
          <w:lang w:val="en-US"/>
        </w:rPr>
      </w:pPr>
    </w:p>
    <w:tbl>
      <w:tblPr>
        <w:tblStyle w:val="TableGrid11"/>
        <w:tblW w:w="5000" w:type="pct"/>
        <w:tblLayout w:type="fixed"/>
        <w:tblCellMar>
          <w:left w:w="115" w:type="dxa"/>
          <w:right w:w="115" w:type="dxa"/>
        </w:tblCellMar>
        <w:tblLook w:val="01E0" w:firstRow="1" w:lastRow="1" w:firstColumn="1" w:lastColumn="1" w:noHBand="0" w:noVBand="0"/>
      </w:tblPr>
      <w:tblGrid>
        <w:gridCol w:w="4531"/>
        <w:gridCol w:w="4532"/>
      </w:tblGrid>
      <w:tr w:rsidRPr="009267C6" w:rsidR="009267C6" w:rsidTr="00D264E0" w14:paraId="2904B5FE"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343806B2" w14:textId="77777777">
            <w:pPr>
              <w:jc w:val="center"/>
              <w:rPr>
                <w:b/>
                <w:bCs/>
                <w:i/>
                <w:lang w:eastAsia="en-GB"/>
              </w:rPr>
            </w:pPr>
            <w:r w:rsidRPr="009267C6">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64659B53" w14:textId="77777777">
            <w:pPr>
              <w:jc w:val="center"/>
              <w:rPr>
                <w:b/>
                <w:bCs/>
                <w:i/>
                <w:lang w:eastAsia="en-GB"/>
              </w:rPr>
            </w:pPr>
            <w:r w:rsidRPr="009267C6">
              <w:rPr>
                <w:b/>
                <w:bCs/>
                <w:i/>
                <w:lang w:eastAsia="en-GB"/>
              </w:rPr>
              <w:t>Amendment</w:t>
            </w:r>
          </w:p>
        </w:tc>
      </w:tr>
      <w:tr w:rsidRPr="009267C6" w:rsidR="009267C6" w:rsidTr="00D264E0" w14:paraId="3881E708"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34C687E6" w14:textId="77777777">
            <w:pPr>
              <w:spacing w:before="80" w:after="80"/>
              <w:ind w:left="80" w:right="80"/>
              <w:rPr>
                <w:lang w:eastAsia="en-GB"/>
              </w:rPr>
            </w:pPr>
            <w:r w:rsidRPr="009267C6">
              <w:rPr>
                <w:lang w:eastAsia="en-GB"/>
              </w:rPr>
              <w:t xml:space="preserve">European Innovation Act – important step for suitable start-ups </w:t>
            </w:r>
            <w:r w:rsidRPr="009267C6">
              <w:rPr>
                <w:b/>
                <w:bCs/>
                <w:i/>
                <w:lang w:eastAsia="en-GB"/>
              </w:rPr>
              <w:t>and</w:t>
            </w:r>
            <w:r w:rsidRPr="009267C6">
              <w:rPr>
                <w:lang w:eastAsia="en-GB"/>
              </w:rPr>
              <w:t xml:space="preserve"> scale-ups</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3F5845FE" w14:textId="77777777">
            <w:pPr>
              <w:spacing w:before="80" w:after="80"/>
              <w:ind w:left="80" w:right="80"/>
              <w:rPr>
                <w:lang w:eastAsia="en-GB"/>
              </w:rPr>
            </w:pPr>
            <w:r w:rsidRPr="009267C6">
              <w:rPr>
                <w:lang w:eastAsia="en-GB"/>
              </w:rPr>
              <w:t>European Innovation Act – important step for suitable start-ups</w:t>
            </w:r>
            <w:r w:rsidRPr="009267C6">
              <w:rPr>
                <w:b/>
                <w:bCs/>
                <w:i/>
                <w:lang w:eastAsia="en-GB"/>
              </w:rPr>
              <w:t>,</w:t>
            </w:r>
            <w:r w:rsidRPr="009267C6">
              <w:rPr>
                <w:lang w:eastAsia="en-GB"/>
              </w:rPr>
              <w:t xml:space="preserve"> scale-ups </w:t>
            </w:r>
            <w:r w:rsidRPr="009267C6">
              <w:rPr>
                <w:b/>
                <w:bCs/>
                <w:i/>
                <w:lang w:eastAsia="en-GB"/>
              </w:rPr>
              <w:t>and spin-offs</w:t>
            </w:r>
          </w:p>
        </w:tc>
      </w:tr>
    </w:tbl>
    <w:p w:rsidRPr="009267C6" w:rsidR="009267C6" w:rsidP="009267C6" w:rsidRDefault="009267C6" w14:paraId="6A88FBDD" w14:textId="77777777">
      <w:pPr>
        <w:jc w:val="center"/>
      </w:pPr>
    </w:p>
    <w:p w:rsidR="009267C6" w:rsidP="009F30DF" w:rsidRDefault="009F30DF" w14:paraId="3A5073AA" w14:textId="004D757D">
      <w:pPr>
        <w:jc w:val="left"/>
        <w:rPr>
          <w:lang w:val="en-US"/>
        </w:rPr>
      </w:pPr>
      <w:r w:rsidRPr="009F30DF">
        <w:rPr>
          <w:lang w:val="en-US"/>
        </w:rPr>
        <w:t>The amendment was accepted by the rapporteur and the Assembly</w:t>
      </w:r>
      <w:r>
        <w:rPr>
          <w:lang w:val="en-US"/>
        </w:rPr>
        <w:t>.</w:t>
      </w:r>
    </w:p>
    <w:p w:rsidR="009F30DF" w:rsidP="009267C6" w:rsidRDefault="009F30DF" w14:paraId="4A6C2979" w14:textId="77777777">
      <w:pPr>
        <w:jc w:val="center"/>
        <w:rPr>
          <w:lang w:val="en-US"/>
        </w:rPr>
      </w:pPr>
    </w:p>
    <w:p w:rsidRPr="009267C6" w:rsidR="009267C6" w:rsidP="009267C6" w:rsidRDefault="009267C6" w14:paraId="0497D870" w14:textId="77777777">
      <w:pPr>
        <w:rPr>
          <w:b/>
          <w:bCs/>
          <w:lang w:val="en-US"/>
        </w:rPr>
      </w:pPr>
      <w:r w:rsidRPr="009267C6">
        <w:rPr>
          <w:b/>
          <w:bCs/>
          <w:lang w:val="en-US"/>
        </w:rPr>
        <w:t>Point 2.2.1.6</w:t>
      </w:r>
      <w:r>
        <w:rPr>
          <w:b/>
          <w:bCs/>
          <w:lang w:val="en-US"/>
        </w:rPr>
        <w:t xml:space="preserve"> – (Amendment 4)</w:t>
      </w:r>
    </w:p>
    <w:p w:rsidRPr="009267C6" w:rsidR="009267C6" w:rsidP="009267C6" w:rsidRDefault="009267C6" w14:paraId="5056F6C9" w14:textId="77777777">
      <w:pPr>
        <w:rPr>
          <w:b/>
          <w:bCs/>
          <w:lang w:val="en-US"/>
        </w:rPr>
      </w:pPr>
    </w:p>
    <w:p w:rsidR="009267C6" w:rsidP="009267C6" w:rsidRDefault="009267C6" w14:paraId="4392C252" w14:textId="33465C68">
      <w:pPr>
        <w:jc w:val="left"/>
        <w:rPr>
          <w:lang w:val="en-US"/>
        </w:rPr>
      </w:pPr>
      <w:r w:rsidRPr="009267C6">
        <w:rPr>
          <w:b/>
          <w:bCs/>
          <w:lang w:val="en-US"/>
        </w:rPr>
        <w:t>Amend as follows</w:t>
      </w:r>
    </w:p>
    <w:p w:rsidRPr="009267C6" w:rsidR="009267C6" w:rsidP="009267C6" w:rsidRDefault="009267C6" w14:paraId="52FE65E5" w14:textId="77777777">
      <w:pPr>
        <w:jc w:val="left"/>
        <w:rPr>
          <w:lang w:val="en-US"/>
        </w:rPr>
      </w:pPr>
    </w:p>
    <w:tbl>
      <w:tblPr>
        <w:tblStyle w:val="TableGrid11"/>
        <w:tblW w:w="5000" w:type="pct"/>
        <w:tblLayout w:type="fixed"/>
        <w:tblCellMar>
          <w:left w:w="115" w:type="dxa"/>
          <w:right w:w="115" w:type="dxa"/>
        </w:tblCellMar>
        <w:tblLook w:val="01E0" w:firstRow="1" w:lastRow="1" w:firstColumn="1" w:lastColumn="1" w:noHBand="0" w:noVBand="0"/>
      </w:tblPr>
      <w:tblGrid>
        <w:gridCol w:w="4531"/>
        <w:gridCol w:w="4532"/>
      </w:tblGrid>
      <w:tr w:rsidRPr="009267C6" w:rsidR="009267C6" w:rsidTr="00D264E0" w14:paraId="77960114"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3B721DF8" w14:textId="77777777">
            <w:pPr>
              <w:jc w:val="center"/>
              <w:rPr>
                <w:b/>
                <w:bCs/>
                <w:i/>
                <w:lang w:eastAsia="en-GB"/>
              </w:rPr>
            </w:pPr>
            <w:r w:rsidRPr="009267C6">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23F48B70" w14:textId="77777777">
            <w:pPr>
              <w:jc w:val="center"/>
              <w:rPr>
                <w:b/>
                <w:bCs/>
                <w:i/>
                <w:lang w:eastAsia="en-GB"/>
              </w:rPr>
            </w:pPr>
            <w:r w:rsidRPr="009267C6">
              <w:rPr>
                <w:b/>
                <w:bCs/>
                <w:i/>
                <w:lang w:eastAsia="en-GB"/>
              </w:rPr>
              <w:t>Amendment</w:t>
            </w:r>
          </w:p>
        </w:tc>
      </w:tr>
      <w:tr w:rsidRPr="009267C6" w:rsidR="009267C6" w:rsidTr="00D264E0" w14:paraId="5881934F"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50B461B6" w14:textId="77777777">
            <w:pPr>
              <w:spacing w:before="80" w:after="80"/>
              <w:ind w:left="80" w:right="80"/>
              <w:rPr>
                <w:lang w:eastAsia="en-GB"/>
              </w:rPr>
            </w:pPr>
            <w:r w:rsidRPr="009267C6">
              <w:rPr>
                <w:lang w:eastAsia="en-GB"/>
              </w:rPr>
              <w:t xml:space="preserve">The planned facilitations for ‘ready for growth’ companies must be specified in detail and legally secured. The companies must then receive professional and market-oriented guidance. Existing Europe-wide support infrastructure and funding (Research and funding programmes, Competitiveness Fund, EIB, risk-financing etc.) must be professionally prepared and made accessible to start-ups. Start-up and service centres supported by the European Commission, such as EIT Budapest, must perform this pilot function more professionally. Start-ups </w:t>
            </w:r>
            <w:r w:rsidRPr="009267C6">
              <w:rPr>
                <w:b/>
                <w:bCs/>
                <w:i/>
                <w:lang w:eastAsia="en-GB"/>
              </w:rPr>
              <w:t>and</w:t>
            </w:r>
            <w:r w:rsidRPr="009267C6">
              <w:rPr>
                <w:lang w:eastAsia="en-GB"/>
              </w:rPr>
              <w:t xml:space="preserve"> scale-ups must be provided with (independent) equity and venture capital brokerage services, as well as access to EU AI factories and EU digital innovation centres. This market-oriented support approach should be expanded on a large scale, using holding structures.</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3315704A" w14:textId="77777777">
            <w:pPr>
              <w:spacing w:before="80" w:after="80"/>
              <w:ind w:left="80" w:right="80"/>
              <w:rPr>
                <w:lang w:eastAsia="en-GB"/>
              </w:rPr>
            </w:pPr>
            <w:r w:rsidRPr="009267C6">
              <w:rPr>
                <w:lang w:eastAsia="en-GB"/>
              </w:rPr>
              <w:t>The planned facilitations for ‘ready for growth’ companies must be specified in detail and legally secured. The companies must then receive professional and market-oriented guidance. Existing Europe-wide support infrastructure and funding (Research and funding programmes, Competitiveness Fund, EIB, risk-financing etc.) must be professionally prepared and made accessible to start-ups. Start-up and service centres supported by the European Commission, such as EIT Budapest, must perform this pilot function more professionally. Start-ups</w:t>
            </w:r>
            <w:r w:rsidRPr="009267C6">
              <w:rPr>
                <w:b/>
                <w:bCs/>
                <w:i/>
                <w:lang w:eastAsia="en-GB"/>
              </w:rPr>
              <w:t>,</w:t>
            </w:r>
            <w:r w:rsidRPr="009267C6">
              <w:rPr>
                <w:lang w:eastAsia="en-GB"/>
              </w:rPr>
              <w:t xml:space="preserve"> scale-ups </w:t>
            </w:r>
            <w:r w:rsidRPr="009267C6">
              <w:rPr>
                <w:b/>
                <w:bCs/>
                <w:i/>
                <w:lang w:eastAsia="en-GB"/>
              </w:rPr>
              <w:t>and spin-offs</w:t>
            </w:r>
            <w:r w:rsidRPr="009267C6">
              <w:rPr>
                <w:lang w:eastAsia="en-GB"/>
              </w:rPr>
              <w:t xml:space="preserve"> must be provided with (independent) equity and venture capital brokerage services, as well as access to EU AI factories and EU digital innovation centres. This market-oriented support approach should be expanded on a large scale, using holding structures.</w:t>
            </w:r>
          </w:p>
        </w:tc>
      </w:tr>
    </w:tbl>
    <w:p w:rsidRPr="009267C6" w:rsidR="009267C6" w:rsidP="009267C6" w:rsidRDefault="009267C6" w14:paraId="7DFD2206" w14:textId="77777777">
      <w:pPr>
        <w:jc w:val="center"/>
      </w:pPr>
    </w:p>
    <w:p w:rsidR="009267C6" w:rsidP="009267C6" w:rsidRDefault="009F30DF" w14:paraId="3E7C1096" w14:textId="0308E62B">
      <w:pPr>
        <w:jc w:val="left"/>
        <w:rPr>
          <w:lang w:val="en-US"/>
        </w:rPr>
      </w:pPr>
      <w:r w:rsidRPr="009F30DF">
        <w:rPr>
          <w:lang w:val="en-US"/>
        </w:rPr>
        <w:t>The amendment was accepted by the rapporteur and the Assembly</w:t>
      </w:r>
      <w:r>
        <w:rPr>
          <w:lang w:val="en-US"/>
        </w:rPr>
        <w:t>.</w:t>
      </w:r>
    </w:p>
    <w:p w:rsidR="009F30DF" w:rsidP="009267C6" w:rsidRDefault="009F30DF" w14:paraId="2C1006CD" w14:textId="77777777">
      <w:pPr>
        <w:jc w:val="left"/>
        <w:rPr>
          <w:lang w:val="en-US"/>
        </w:rPr>
      </w:pPr>
    </w:p>
    <w:p w:rsidRPr="009267C6" w:rsidR="009267C6" w:rsidP="009267C6" w:rsidRDefault="009267C6" w14:paraId="431979EF" w14:textId="77777777">
      <w:pPr>
        <w:rPr>
          <w:b/>
          <w:bCs/>
          <w:lang w:val="en-US"/>
        </w:rPr>
      </w:pPr>
      <w:r w:rsidRPr="009267C6">
        <w:rPr>
          <w:b/>
          <w:bCs/>
          <w:lang w:val="en-US"/>
        </w:rPr>
        <w:t>Point 2.2.1.7</w:t>
      </w:r>
      <w:r>
        <w:rPr>
          <w:b/>
          <w:bCs/>
          <w:lang w:val="en-US"/>
        </w:rPr>
        <w:t xml:space="preserve"> – (Amendment 5)</w:t>
      </w:r>
    </w:p>
    <w:p w:rsidRPr="009267C6" w:rsidR="009267C6" w:rsidP="009267C6" w:rsidRDefault="009267C6" w14:paraId="4367A210" w14:textId="77777777">
      <w:pPr>
        <w:rPr>
          <w:b/>
          <w:bCs/>
          <w:lang w:val="en-US"/>
        </w:rPr>
      </w:pPr>
    </w:p>
    <w:p w:rsidR="009267C6" w:rsidP="009267C6" w:rsidRDefault="009267C6" w14:paraId="6BB09EB9" w14:textId="79C10A4A">
      <w:pPr>
        <w:jc w:val="left"/>
        <w:rPr>
          <w:lang w:val="en-US"/>
        </w:rPr>
      </w:pPr>
      <w:r w:rsidRPr="009267C6">
        <w:rPr>
          <w:b/>
          <w:bCs/>
          <w:lang w:val="en-US"/>
        </w:rPr>
        <w:t>Amend as follows</w:t>
      </w:r>
    </w:p>
    <w:p w:rsidRPr="009267C6" w:rsidR="009267C6" w:rsidP="009267C6" w:rsidRDefault="009267C6" w14:paraId="5FC5FAA1" w14:textId="77777777">
      <w:pPr>
        <w:jc w:val="left"/>
        <w:rPr>
          <w:lang w:val="en-US"/>
        </w:rPr>
      </w:pPr>
    </w:p>
    <w:tbl>
      <w:tblPr>
        <w:tblStyle w:val="TableGrid11"/>
        <w:tblW w:w="5000" w:type="pct"/>
        <w:tblLayout w:type="fixed"/>
        <w:tblCellMar>
          <w:left w:w="115" w:type="dxa"/>
          <w:right w:w="115" w:type="dxa"/>
        </w:tblCellMar>
        <w:tblLook w:val="01E0" w:firstRow="1" w:lastRow="1" w:firstColumn="1" w:lastColumn="1" w:noHBand="0" w:noVBand="0"/>
      </w:tblPr>
      <w:tblGrid>
        <w:gridCol w:w="4531"/>
        <w:gridCol w:w="4532"/>
      </w:tblGrid>
      <w:tr w:rsidRPr="009267C6" w:rsidR="009267C6" w:rsidTr="00D264E0" w14:paraId="5A9CD253"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38951832" w14:textId="77777777">
            <w:pPr>
              <w:jc w:val="center"/>
              <w:rPr>
                <w:b/>
                <w:bCs/>
                <w:i/>
                <w:lang w:eastAsia="en-GB"/>
              </w:rPr>
            </w:pPr>
            <w:r w:rsidRPr="009267C6">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4ACDF780" w14:textId="77777777">
            <w:pPr>
              <w:jc w:val="center"/>
              <w:rPr>
                <w:b/>
                <w:bCs/>
                <w:i/>
                <w:lang w:eastAsia="en-GB"/>
              </w:rPr>
            </w:pPr>
            <w:r w:rsidRPr="009267C6">
              <w:rPr>
                <w:b/>
                <w:bCs/>
                <w:i/>
                <w:lang w:eastAsia="en-GB"/>
              </w:rPr>
              <w:t>Amendment</w:t>
            </w:r>
          </w:p>
        </w:tc>
      </w:tr>
      <w:tr w:rsidRPr="009267C6" w:rsidR="009267C6" w:rsidTr="00D264E0" w14:paraId="3C2CACDA" w14:textId="77777777">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4D3D9869" w14:textId="77777777">
            <w:pPr>
              <w:spacing w:before="80" w:after="80"/>
              <w:ind w:left="80" w:right="80"/>
              <w:rPr>
                <w:lang w:eastAsia="en-GB"/>
              </w:rPr>
            </w:pPr>
            <w:r w:rsidRPr="009267C6">
              <w:rPr>
                <w:lang w:eastAsia="en-GB"/>
              </w:rPr>
              <w:t xml:space="preserve">The EU also needs these ‘ready for growth’ companies in order to boost its economic security and technological sovereignty, which should be a criterion included in the modular system (as a public-private partnership (PPP) model within the EIT). The EIA should enable massive approval facilitation and support for EU start-ups </w:t>
            </w:r>
            <w:r w:rsidRPr="009267C6">
              <w:rPr>
                <w:b/>
                <w:bCs/>
                <w:i/>
                <w:lang w:eastAsia="en-GB"/>
              </w:rPr>
              <w:t>and</w:t>
            </w:r>
            <w:r w:rsidRPr="009267C6">
              <w:rPr>
                <w:lang w:eastAsia="en-GB"/>
              </w:rPr>
              <w:t xml:space="preserve"> scale-ups for critical infrastructure (network equipment, introduction of smart metering systems, technologies, raw material extraction, cyber security). The ECB and EIB should provide special support to these companies and enable a favourable (sustainable) credit rating in cases where they are also fulfilling existing sustainable standards. Innovative companies contributing to defence and environmental goals and ensuring good working conditions should have easier access to public funds facilitated by banks. Furthermore, a female founders initiative should be part of the EIA.</w:t>
            </w:r>
          </w:p>
        </w:tc>
        <w:tc>
          <w:tcPr>
            <w:tcW w:w="2500" w:type="pct"/>
            <w:tcBorders>
              <w:top w:val="single" w:color="auto" w:sz="4" w:space="0"/>
              <w:left w:val="single" w:color="auto" w:sz="4" w:space="0"/>
              <w:bottom w:val="single" w:color="auto" w:sz="4" w:space="0"/>
              <w:right w:val="single" w:color="auto" w:sz="4" w:space="0"/>
            </w:tcBorders>
            <w:hideMark/>
          </w:tcPr>
          <w:p w:rsidRPr="009267C6" w:rsidR="009267C6" w:rsidP="009267C6" w:rsidRDefault="009267C6" w14:paraId="4F0CE151" w14:textId="77777777">
            <w:pPr>
              <w:spacing w:before="80" w:after="80"/>
              <w:ind w:left="80" w:right="80"/>
              <w:rPr>
                <w:lang w:eastAsia="en-GB"/>
              </w:rPr>
            </w:pPr>
            <w:r w:rsidRPr="009267C6">
              <w:rPr>
                <w:lang w:eastAsia="en-GB"/>
              </w:rPr>
              <w:t>The EU also needs these ‘ready for growth’ companies in order to boost its economic security and technological sovereignty, which should be a criterion included in the modular system (as a public-private partnership (PPP) model within the EIT). The EIA should enable massive approval facilitation and support for EU start-ups</w:t>
            </w:r>
            <w:r w:rsidRPr="009267C6">
              <w:rPr>
                <w:b/>
                <w:bCs/>
                <w:i/>
                <w:lang w:eastAsia="en-GB"/>
              </w:rPr>
              <w:t>,</w:t>
            </w:r>
            <w:r w:rsidRPr="009267C6">
              <w:rPr>
                <w:lang w:eastAsia="en-GB"/>
              </w:rPr>
              <w:t xml:space="preserve"> scale-ups </w:t>
            </w:r>
            <w:r w:rsidRPr="009267C6">
              <w:rPr>
                <w:b/>
                <w:bCs/>
                <w:i/>
                <w:lang w:eastAsia="en-GB"/>
              </w:rPr>
              <w:t>and spin-offs</w:t>
            </w:r>
            <w:r w:rsidRPr="009267C6">
              <w:rPr>
                <w:lang w:eastAsia="en-GB"/>
              </w:rPr>
              <w:t xml:space="preserve"> for critical infrastructure (network equipment, introduction of smart metering systems, technologies, raw material extraction, cyber security). The ECB and EIB should provide special support to these companies and enable a favourable (sustainable) credit rating in cases where they are also fulfilling existing sustainable standards. Innovative companies contributing to defence and environmental goals and ensuring good working conditions should have easier access to public funds facilitated by banks. Furthermore, a female founders initiative should be part of the EIA.</w:t>
            </w:r>
          </w:p>
        </w:tc>
      </w:tr>
    </w:tbl>
    <w:p w:rsidRPr="009267C6" w:rsidR="009267C6" w:rsidP="009267C6" w:rsidRDefault="009267C6" w14:paraId="18F00B87" w14:textId="77777777">
      <w:pPr>
        <w:jc w:val="center"/>
      </w:pPr>
    </w:p>
    <w:p w:rsidR="009267C6" w:rsidP="00EC0F0F" w:rsidRDefault="009F30DF" w14:paraId="0BBD2672" w14:textId="5A414E63">
      <w:r w:rsidRPr="009F30DF">
        <w:t>The amendment was accepted by the rapporteur and the Assembly</w:t>
      </w:r>
      <w:r>
        <w:t>.</w:t>
      </w:r>
    </w:p>
    <w:p w:rsidR="009F30DF" w:rsidP="00EC0F0F" w:rsidRDefault="009F30DF" w14:paraId="5DC7B6FB" w14:textId="77777777"/>
    <w:p w:rsidRPr="00A67235" w:rsidR="000E4B6B" w:rsidP="00EC0F0F" w:rsidRDefault="000E4B6B" w14:paraId="0133C75D" w14:textId="3B8BBAD2">
      <w:r w:rsidRPr="00A67235">
        <w:t>The opinion was adopted by</w:t>
      </w:r>
      <w:r w:rsidR="00177DAC">
        <w:t xml:space="preserve"> </w:t>
      </w:r>
      <w:r w:rsidR="00BF3D48">
        <w:t>209 votes</w:t>
      </w:r>
      <w:r w:rsidR="007D0DBF">
        <w:t xml:space="preserve"> to </w:t>
      </w:r>
      <w:r w:rsidR="00BF3D48">
        <w:t>one</w:t>
      </w:r>
      <w:r w:rsidR="007D0DBF">
        <w:t>,</w:t>
      </w:r>
      <w:r w:rsidR="00BF3D48">
        <w:t xml:space="preserve"> with four abstentions</w:t>
      </w:r>
      <w:r w:rsidRPr="00A67235">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1BB9FE5F" w:rsidR="00964A13" w:rsidRPr="00BC0F98" w:rsidRDefault="00121D76" w:rsidP="00964A13">
    <w:pPr>
      <w:pStyle w:val="Footer"/>
      <w:rPr>
        <w:lang w:val="fr-BE"/>
      </w:rPr>
    </w:pPr>
    <w:r w:rsidRPr="00BC0F98">
      <w:rPr>
        <w:lang w:val="fr-BE"/>
      </w:rPr>
      <w:t>INT/11</w:t>
    </w:r>
    <w:r w:rsidR="00BC0F98">
      <w:rPr>
        <w:lang w:val="fr-BE"/>
      </w:rPr>
      <w:t>12</w:t>
    </w:r>
    <w:r w:rsidRPr="00BC0F98">
      <w:rPr>
        <w:lang w:val="fr-BE"/>
      </w:rPr>
      <w:t xml:space="preserve"> – </w:t>
    </w:r>
    <w:r w:rsidR="00BC0F98" w:rsidRPr="00BC0F98">
      <w:rPr>
        <w:lang w:val="fr-BE"/>
      </w:rPr>
      <w:t>EESC-2025-04126-00-00</w:t>
    </w:r>
    <w:r w:rsidRPr="00BC0F98">
      <w:rPr>
        <w:lang w:val="fr-BE"/>
      </w:rPr>
      <w:t>-CR-</w:t>
    </w:r>
    <w:r w:rsidR="00964A13" w:rsidRPr="00BC0F98">
      <w:rPr>
        <w:lang w:val="fr-BE"/>
      </w:rPr>
      <w:t>REF (</w:t>
    </w:r>
    <w:r w:rsidRPr="00BC0F98">
      <w:rPr>
        <w:lang w:val="fr-BE"/>
      </w:rPr>
      <w:t>EN</w:t>
    </w:r>
    <w:r w:rsidR="00964A13" w:rsidRPr="00BC0F98">
      <w:rPr>
        <w:lang w:val="fr-BE"/>
      </w:rPr>
      <w:t xml:space="preserve">) </w:t>
    </w:r>
    <w:r w:rsidR="00964A13">
      <w:fldChar w:fldCharType="begin"/>
    </w:r>
    <w:r w:rsidR="00964A13" w:rsidRPr="00BC0F98">
      <w:rPr>
        <w:lang w:val="fr-BE"/>
      </w:rPr>
      <w:instrText xml:space="preserve"> PAGE  \* Arabic  \* MERGEFORMAT </w:instrText>
    </w:r>
    <w:r w:rsidR="00964A13">
      <w:fldChar w:fldCharType="separate"/>
    </w:r>
    <w:r w:rsidR="00F9768F">
      <w:rPr>
        <w:noProof/>
        <w:lang w:val="fr-BE"/>
      </w:rPr>
      <w:t>1</w:t>
    </w:r>
    <w:r w:rsidR="00964A13">
      <w:fldChar w:fldCharType="end"/>
    </w:r>
    <w:r w:rsidR="00964A13" w:rsidRPr="00BC0F98">
      <w:rPr>
        <w:lang w:val="fr-BE"/>
      </w:rPr>
      <w:t>/</w:t>
    </w:r>
    <w:r w:rsidR="00964A13">
      <w:fldChar w:fldCharType="begin"/>
    </w:r>
    <w:r w:rsidR="00964A13" w:rsidRPr="00BC0F98">
      <w:rPr>
        <w:lang w:val="fr-BE"/>
      </w:rPr>
      <w:instrText xml:space="preserve"> = </w:instrText>
    </w:r>
    <w:r w:rsidR="00964A13">
      <w:fldChar w:fldCharType="begin"/>
    </w:r>
    <w:r w:rsidR="00964A13" w:rsidRPr="00BC0F98">
      <w:rPr>
        <w:lang w:val="fr-BE"/>
      </w:rPr>
      <w:instrText xml:space="preserve"> NUMPAGES </w:instrText>
    </w:r>
    <w:r w:rsidR="00964A13">
      <w:fldChar w:fldCharType="separate"/>
    </w:r>
    <w:r w:rsidR="00F9768F">
      <w:rPr>
        <w:noProof/>
        <w:lang w:val="fr-BE"/>
      </w:rPr>
      <w:instrText>1</w:instrText>
    </w:r>
    <w:r w:rsidR="00964A13">
      <w:fldChar w:fldCharType="end"/>
    </w:r>
    <w:r w:rsidR="00964A13" w:rsidRPr="00BC0F98">
      <w:rPr>
        <w:lang w:val="fr-BE"/>
      </w:rPr>
      <w:instrText xml:space="preserve"> -0 </w:instrText>
    </w:r>
    <w:r w:rsidR="00964A13">
      <w:fldChar w:fldCharType="separate"/>
    </w:r>
    <w:r w:rsidR="00F9768F">
      <w:rPr>
        <w:noProof/>
        <w:lang w:val="fr-BE"/>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2879B4"/>
    <w:multiLevelType w:val="hybridMultilevel"/>
    <w:tmpl w:val="8C6C744E"/>
    <w:lvl w:ilvl="0" w:tplc="A8B22DA0">
      <w:start w:val="1"/>
      <w:numFmt w:val="bullet"/>
      <w:lvlText w:val="─"/>
      <w:lvlJc w:val="left"/>
      <w:pPr>
        <w:ind w:left="360" w:hanging="360"/>
      </w:pPr>
      <w:rPr>
        <w:rFonts w:ascii="Calibri"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603F13DC"/>
    <w:multiLevelType w:val="hybridMultilevel"/>
    <w:tmpl w:val="05FAA6F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E6F64DE"/>
    <w:multiLevelType w:val="hybridMultilevel"/>
    <w:tmpl w:val="E35867A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B3441"/>
    <w:rsid w:val="000D6AA3"/>
    <w:rsid w:val="000E3E98"/>
    <w:rsid w:val="000E4B6B"/>
    <w:rsid w:val="000F03D6"/>
    <w:rsid w:val="00121D76"/>
    <w:rsid w:val="00143A71"/>
    <w:rsid w:val="0015330A"/>
    <w:rsid w:val="00165632"/>
    <w:rsid w:val="001766AB"/>
    <w:rsid w:val="00177DAC"/>
    <w:rsid w:val="00183771"/>
    <w:rsid w:val="001A6918"/>
    <w:rsid w:val="001C7254"/>
    <w:rsid w:val="00225D45"/>
    <w:rsid w:val="002346F9"/>
    <w:rsid w:val="002601CF"/>
    <w:rsid w:val="00261595"/>
    <w:rsid w:val="002659D2"/>
    <w:rsid w:val="00273FDB"/>
    <w:rsid w:val="002925F3"/>
    <w:rsid w:val="00297572"/>
    <w:rsid w:val="002F2A1D"/>
    <w:rsid w:val="00320C0B"/>
    <w:rsid w:val="003439B0"/>
    <w:rsid w:val="003876B5"/>
    <w:rsid w:val="00392924"/>
    <w:rsid w:val="003C15D7"/>
    <w:rsid w:val="003C2604"/>
    <w:rsid w:val="003E1619"/>
    <w:rsid w:val="00423299"/>
    <w:rsid w:val="00460CC5"/>
    <w:rsid w:val="00477DA1"/>
    <w:rsid w:val="00490B22"/>
    <w:rsid w:val="004A0843"/>
    <w:rsid w:val="004B6EB8"/>
    <w:rsid w:val="00564B0D"/>
    <w:rsid w:val="00590C1E"/>
    <w:rsid w:val="005E1A79"/>
    <w:rsid w:val="00646E27"/>
    <w:rsid w:val="006C4075"/>
    <w:rsid w:val="006D06D3"/>
    <w:rsid w:val="006F603A"/>
    <w:rsid w:val="00730CFC"/>
    <w:rsid w:val="0073571F"/>
    <w:rsid w:val="007C6A55"/>
    <w:rsid w:val="007D0DBF"/>
    <w:rsid w:val="00815851"/>
    <w:rsid w:val="00826375"/>
    <w:rsid w:val="00831CA3"/>
    <w:rsid w:val="00862EFF"/>
    <w:rsid w:val="008850C4"/>
    <w:rsid w:val="00896B02"/>
    <w:rsid w:val="008A371F"/>
    <w:rsid w:val="008E0097"/>
    <w:rsid w:val="008F2211"/>
    <w:rsid w:val="00911202"/>
    <w:rsid w:val="009267C6"/>
    <w:rsid w:val="009326E3"/>
    <w:rsid w:val="00961F04"/>
    <w:rsid w:val="00964A13"/>
    <w:rsid w:val="00974A8E"/>
    <w:rsid w:val="009A21AF"/>
    <w:rsid w:val="009E138D"/>
    <w:rsid w:val="009F30DF"/>
    <w:rsid w:val="00A14D3A"/>
    <w:rsid w:val="00A37423"/>
    <w:rsid w:val="00A53158"/>
    <w:rsid w:val="00A64D59"/>
    <w:rsid w:val="00A67235"/>
    <w:rsid w:val="00AF2CF4"/>
    <w:rsid w:val="00AF5734"/>
    <w:rsid w:val="00B02E7A"/>
    <w:rsid w:val="00B72BAC"/>
    <w:rsid w:val="00BC0F98"/>
    <w:rsid w:val="00BD56BA"/>
    <w:rsid w:val="00BE7410"/>
    <w:rsid w:val="00BF3D48"/>
    <w:rsid w:val="00C05B64"/>
    <w:rsid w:val="00C4683E"/>
    <w:rsid w:val="00C63BEF"/>
    <w:rsid w:val="00C87758"/>
    <w:rsid w:val="00CE0A98"/>
    <w:rsid w:val="00D11214"/>
    <w:rsid w:val="00D54F5F"/>
    <w:rsid w:val="00D71506"/>
    <w:rsid w:val="00D806A2"/>
    <w:rsid w:val="00DD05A8"/>
    <w:rsid w:val="00DD6B86"/>
    <w:rsid w:val="00E24886"/>
    <w:rsid w:val="00E55BBF"/>
    <w:rsid w:val="00E63CB0"/>
    <w:rsid w:val="00E70261"/>
    <w:rsid w:val="00EC0F0F"/>
    <w:rsid w:val="00ED6BB4"/>
    <w:rsid w:val="00F001F1"/>
    <w:rsid w:val="00F01EB5"/>
    <w:rsid w:val="00F9768F"/>
    <w:rsid w:val="00FC0B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uiPriority w:val="99"/>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121D76"/>
    <w:pPr>
      <w:overflowPunct w:val="0"/>
      <w:autoSpaceDE w:val="0"/>
      <w:autoSpaceDN w:val="0"/>
      <w:adjustRightInd w:val="0"/>
      <w:ind w:left="720"/>
      <w:contextualSpacing/>
      <w:textAlignment w:val="baseline"/>
    </w:pPr>
    <w:rPr>
      <w:szCs w:val="20"/>
    </w:rPr>
  </w:style>
  <w:style w:type="table" w:styleId="TableGrid">
    <w:name w:val="Table Grid"/>
    <w:basedOn w:val="TableNormal"/>
    <w:uiPriority w:val="39"/>
    <w:rsid w:val="00BC0F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67C6"/>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267C6"/>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A6WAAD5KZT2Q-1415362569-8132</_dlc_DocId>
    <_dlc_DocIdUrl xmlns="1a33af13-4045-4f88-9d7b-618e30f79918">
      <Url>http://dm/eesc/2025/_layouts/15/DocIdRedir.aspx?ID=A6WAAD5KZT2Q-1415362569-8132</Url>
      <Description>A6WAAD5KZT2Q-1415362569-8132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2026-05-04T12:00:00+00:00</ProductionDate>
    <FicheYear xmlns="1a33af13-4045-4f88-9d7b-618e30f79918">2025</FicheYear>
    <DocumentNumber xmlns="03db1768-8e83-4c4e-a8fb-1eb1d05ab6cf">4126</DocumentNumber>
    <DossierNumber xmlns="1a33af13-4045-4f88-9d7b-618e30f79918">1112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RÜBIG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4682</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2026-04-30T12:00:00+00:00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A1E4F6D9-3916-4D94-9AF1-685B18E715C3}"/>
</file>

<file path=customXml/itemProps2.xml><?xml version="1.0" encoding="utf-8"?>
<ds:datastoreItem xmlns:ds="http://schemas.openxmlformats.org/officeDocument/2006/customXml" ds:itemID="{CDDCF3CB-BA76-422B-B226-8CD4421034A3}"/>
</file>

<file path=customXml/itemProps3.xml><?xml version="1.0" encoding="utf-8"?>
<ds:datastoreItem xmlns:ds="http://schemas.openxmlformats.org/officeDocument/2006/customXml" ds:itemID="{55544FA4-2FE1-480C-B8EB-8AD2823253D2}"/>
</file>

<file path=customXml/itemProps4.xml><?xml version="1.0" encoding="utf-8"?>
<ds:datastoreItem xmlns:ds="http://schemas.openxmlformats.org/officeDocument/2006/customXml" ds:itemID="{9A22C17B-1CDE-4342-8DFD-A1840A310FFE}"/>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Startups and scale up strategy - with a focus on European Innovation Act</dc:title>
  <dc:subject>Record of proceedings</dc:subject>
  <dc:creator>Hilary Morris</dc:creator>
  <cp:keywords>EESC-2025-04126-00-00-CR-TRA-EN</cp:keywords>
  <dc:description>Rapporteur: - RÜBIG Original language: - EN Date of document: - 04/05/2026 Date of meeting: -  External documents: -  Administrator responsible: - MME VALANT Jana</dc:description>
  <cp:lastModifiedBy>TDriveSVCUserProd</cp:lastModifiedBy>
  <cp:revision>17</cp:revision>
  <cp:lastPrinted>2004-02-16T15:16:00Z</cp:lastPrinted>
  <dcterms:created xsi:type="dcterms:W3CDTF">2026-04-27T12:09:00Z</dcterms:created>
  <dcterms:modified xsi:type="dcterms:W3CDTF">2026-05-04T11:17:00Z</dcterms:modified>
  <cp:category>INT/1112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9d632b2c-f108-469d-93cd-9e29d5f71819</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4126</vt:i4>
  </property>
  <property fmtid="{D5CDD505-2E9C-101B-9397-08002B2CF9AE}" pid="14" name="FicheYear">
    <vt:i4>2025</vt:i4>
  </property>
  <property fmtid="{D5CDD505-2E9C-101B-9397-08002B2CF9AE}" pid="15" name="DocumentVersion">
    <vt:i4>0</vt:i4>
  </property>
  <property fmtid="{D5CDD505-2E9C-101B-9397-08002B2CF9AE}" pid="16" name="DossierNumber">
    <vt:i4>1112</vt:i4>
  </property>
  <property fmtid="{D5CDD505-2E9C-101B-9397-08002B2CF9AE}" pid="17" name="DocumentStatus">
    <vt:lpwstr>3;#REF|722611fd-7eaf-44e3-8780-a3226646f5f0</vt:lpwstr>
  </property>
  <property fmtid="{D5CDD505-2E9C-101B-9397-08002B2CF9AE}" pid="18" name="DossierName">
    <vt:lpwstr>51;#INT|e1edfecb-ed43-427b-bb02-d45fe6645386</vt:lpwstr>
  </property>
  <property fmtid="{D5CDD505-2E9C-101B-9397-08002B2CF9AE}" pid="19" name="RequestingService">
    <vt:lpwstr>Marché unique, production, consommation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5;#EN|f2175f21-25d7-44a3-96da-d6a61b075e1b;#3;#REF|722611fd-7eaf-44e3-8780-a3226646f5f0;#1;#EESC|422833ec-8d7e-4e65-8e4e-8bed07ffb729;#51;#INT|e1edfecb-ed43-427b-bb02-d45fe6645386</vt:lpwstr>
  </property>
  <property fmtid="{D5CDD505-2E9C-101B-9397-08002B2CF9AE}" pid="30" name="Rapporteur">
    <vt:lpwstr>RÜBIG</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4682</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2026-04-30T12:00:00Z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