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613"/>
      </w:tblGrid>
      <w:tr w:rsidR="001C4138" w:rsidRPr="004F6117" w14:paraId="30B76F57" w14:textId="77777777" w:rsidTr="001F7A73">
        <w:trPr>
          <w:jc w:val="center"/>
        </w:trPr>
        <w:tc>
          <w:tcPr>
            <w:tcW w:w="9613" w:type="dxa"/>
          </w:tcPr>
          <w:p w14:paraId="3A99935F" w14:textId="5C9F5CAE" w:rsidR="001C4138" w:rsidRPr="007A63AA" w:rsidRDefault="00BF7187" w:rsidP="00F60C76">
            <w:pPr>
              <w:spacing w:before="120" w:after="120"/>
              <w:rPr>
                <w:rFonts w:ascii="Times New Roman" w:hAnsi="Times New Roman"/>
                <w:b/>
                <w:sz w:val="24"/>
                <w:szCs w:val="24"/>
              </w:rPr>
            </w:pPr>
            <w:r w:rsidRPr="007A63AA">
              <w:rPr>
                <w:rFonts w:ascii="Times New Roman" w:hAnsi="Times New Roman"/>
                <w:b/>
                <w:sz w:val="24"/>
                <w:szCs w:val="24"/>
              </w:rPr>
              <w:t>Revision of the Union Civil Protection Mechanism</w:t>
            </w:r>
            <w:r w:rsidRPr="007A63AA">
              <w:rPr>
                <w:rFonts w:ascii="Times New Roman" w:hAnsi="Times New Roman"/>
                <w:b/>
                <w:sz w:val="24"/>
                <w:szCs w:val="24"/>
              </w:rPr>
              <w:br/>
              <w:t>(</w:t>
            </w:r>
            <w:r w:rsidR="001F7A73">
              <w:rPr>
                <w:rFonts w:ascii="Times New Roman" w:hAnsi="Times New Roman"/>
                <w:b/>
                <w:sz w:val="24"/>
                <w:szCs w:val="24"/>
              </w:rPr>
              <w:t xml:space="preserve">mandatory </w:t>
            </w:r>
            <w:r w:rsidRPr="007A63AA">
              <w:rPr>
                <w:rFonts w:ascii="Times New Roman" w:hAnsi="Times New Roman"/>
                <w:b/>
                <w:sz w:val="24"/>
                <w:szCs w:val="24"/>
              </w:rPr>
              <w:t>opinion)</w:t>
            </w:r>
            <w:r w:rsidRPr="007A63AA">
              <w:rPr>
                <w:rFonts w:ascii="Times New Roman" w:hAnsi="Times New Roman"/>
                <w:b/>
                <w:sz w:val="24"/>
                <w:szCs w:val="24"/>
              </w:rPr>
              <w:br/>
            </w:r>
            <w:r w:rsidRPr="007A63AA">
              <w:rPr>
                <w:rFonts w:ascii="Times New Roman" w:hAnsi="Times New Roman"/>
                <w:b/>
                <w:sz w:val="24"/>
                <w:szCs w:val="24"/>
                <w:lang w:val="en-IE"/>
              </w:rPr>
              <w:t>COM(2025) 548</w:t>
            </w:r>
            <w:r w:rsidR="001F7A73">
              <w:rPr>
                <w:rFonts w:ascii="Times New Roman" w:hAnsi="Times New Roman"/>
                <w:b/>
                <w:sz w:val="24"/>
                <w:szCs w:val="24"/>
                <w:lang w:val="en-IE"/>
              </w:rPr>
              <w:t xml:space="preserve"> final</w:t>
            </w:r>
            <w:r w:rsidRPr="007A63AA">
              <w:rPr>
                <w:rFonts w:ascii="Times New Roman" w:hAnsi="Times New Roman"/>
                <w:b/>
                <w:sz w:val="24"/>
                <w:szCs w:val="24"/>
                <w:lang w:val="en-IE"/>
              </w:rPr>
              <w:br/>
              <w:t>EESC-2025</w:t>
            </w:r>
            <w:r w:rsidR="007A63AA" w:rsidRPr="007A63AA">
              <w:rPr>
                <w:rFonts w:ascii="Times New Roman" w:hAnsi="Times New Roman"/>
                <w:b/>
                <w:sz w:val="24"/>
                <w:szCs w:val="24"/>
                <w:lang w:val="en-IE"/>
              </w:rPr>
              <w:t>-</w:t>
            </w:r>
            <w:r w:rsidR="007A63AA" w:rsidRPr="007F3DA1">
              <w:rPr>
                <w:rFonts w:ascii="Times New Roman" w:hAnsi="Times New Roman"/>
                <w:b/>
                <w:sz w:val="24"/>
                <w:szCs w:val="24"/>
                <w:lang w:val="en-IE"/>
              </w:rPr>
              <w:t>03573</w:t>
            </w:r>
            <w:r w:rsidR="001F7A73">
              <w:rPr>
                <w:rFonts w:ascii="Times New Roman" w:hAnsi="Times New Roman"/>
                <w:b/>
                <w:sz w:val="24"/>
                <w:szCs w:val="24"/>
                <w:lang w:val="en-IE"/>
              </w:rPr>
              <w:t xml:space="preserve"> </w:t>
            </w:r>
            <w:r w:rsidR="007A63AA" w:rsidRPr="007A63AA">
              <w:rPr>
                <w:rFonts w:ascii="Times New Roman" w:hAnsi="Times New Roman"/>
                <w:b/>
                <w:bCs/>
                <w:sz w:val="24"/>
                <w:szCs w:val="24"/>
              </w:rPr>
              <w:t xml:space="preserve">‒ </w:t>
            </w:r>
            <w:r w:rsidRPr="007A63AA">
              <w:rPr>
                <w:rFonts w:ascii="Times New Roman" w:hAnsi="Times New Roman"/>
                <w:b/>
                <w:sz w:val="24"/>
                <w:szCs w:val="24"/>
                <w:lang w:val="en-IE"/>
              </w:rPr>
              <w:t>NAT/962</w:t>
            </w:r>
            <w:r w:rsidRPr="007A63AA">
              <w:rPr>
                <w:rFonts w:ascii="Times New Roman" w:hAnsi="Times New Roman"/>
                <w:b/>
                <w:sz w:val="24"/>
                <w:szCs w:val="24"/>
              </w:rPr>
              <w:br/>
            </w:r>
            <w:r w:rsidR="00AD4143" w:rsidRPr="007A63AA">
              <w:rPr>
                <w:rFonts w:ascii="Times New Roman" w:hAnsi="Times New Roman"/>
                <w:b/>
                <w:sz w:val="24"/>
                <w:szCs w:val="24"/>
              </w:rPr>
              <w:t>601</w:t>
            </w:r>
            <w:r w:rsidR="00AD4143" w:rsidRPr="007A63AA">
              <w:rPr>
                <w:rFonts w:ascii="Times New Roman" w:hAnsi="Times New Roman"/>
                <w:b/>
                <w:sz w:val="24"/>
                <w:szCs w:val="24"/>
                <w:vertAlign w:val="superscript"/>
              </w:rPr>
              <w:t>st</w:t>
            </w:r>
            <w:r w:rsidR="00AD4143" w:rsidRPr="007A63AA">
              <w:rPr>
                <w:rFonts w:ascii="Times New Roman" w:hAnsi="Times New Roman"/>
                <w:b/>
                <w:sz w:val="24"/>
                <w:szCs w:val="24"/>
              </w:rPr>
              <w:t xml:space="preserve"> </w:t>
            </w:r>
            <w:r w:rsidRPr="007A63AA">
              <w:rPr>
                <w:rFonts w:ascii="Times New Roman" w:hAnsi="Times New Roman"/>
                <w:b/>
                <w:sz w:val="24"/>
                <w:szCs w:val="24"/>
              </w:rPr>
              <w:t xml:space="preserve">Plenary Session – </w:t>
            </w:r>
            <w:r w:rsidR="00AD4143" w:rsidRPr="007A63AA">
              <w:rPr>
                <w:rFonts w:ascii="Times New Roman" w:hAnsi="Times New Roman"/>
                <w:b/>
                <w:sz w:val="24"/>
                <w:szCs w:val="24"/>
              </w:rPr>
              <w:t>December</w:t>
            </w:r>
            <w:r w:rsidRPr="007A63AA">
              <w:rPr>
                <w:rFonts w:ascii="Times New Roman" w:hAnsi="Times New Roman"/>
                <w:b/>
                <w:sz w:val="24"/>
                <w:szCs w:val="24"/>
              </w:rPr>
              <w:t xml:space="preserve"> 2025</w:t>
            </w:r>
            <w:r w:rsidRPr="007A63AA">
              <w:rPr>
                <w:rFonts w:ascii="Times New Roman" w:hAnsi="Times New Roman"/>
                <w:b/>
                <w:sz w:val="24"/>
                <w:szCs w:val="24"/>
              </w:rPr>
              <w:br/>
              <w:t xml:space="preserve">Rapporteur: </w:t>
            </w:r>
            <w:r w:rsidRPr="007A63AA">
              <w:rPr>
                <w:rFonts w:ascii="Times New Roman" w:hAnsi="Times New Roman"/>
                <w:b/>
                <w:sz w:val="24"/>
                <w:szCs w:val="24"/>
                <w:lang w:val="en-IE"/>
              </w:rPr>
              <w:t xml:space="preserve">Florian </w:t>
            </w:r>
            <w:r w:rsidR="001F7A73" w:rsidRPr="007A63AA">
              <w:rPr>
                <w:rFonts w:ascii="Times New Roman" w:hAnsi="Times New Roman"/>
                <w:b/>
                <w:sz w:val="24"/>
                <w:szCs w:val="24"/>
                <w:lang w:val="en-IE"/>
              </w:rPr>
              <w:t>MARIN</w:t>
            </w:r>
            <w:r w:rsidR="007A63AA" w:rsidRPr="007A63AA">
              <w:rPr>
                <w:rFonts w:ascii="Times New Roman" w:hAnsi="Times New Roman"/>
                <w:b/>
                <w:sz w:val="24"/>
                <w:szCs w:val="24"/>
                <w:lang w:val="en-IE"/>
              </w:rPr>
              <w:t xml:space="preserve"> (RO-II)</w:t>
            </w:r>
            <w:r w:rsidRPr="007A63AA">
              <w:rPr>
                <w:rFonts w:ascii="Times New Roman" w:hAnsi="Times New Roman"/>
                <w:b/>
                <w:sz w:val="24"/>
                <w:szCs w:val="24"/>
              </w:rPr>
              <w:br/>
              <w:t>DG ECHO – Commissioner LAHBIB</w:t>
            </w:r>
          </w:p>
        </w:tc>
      </w:tr>
      <w:tr w:rsidR="004F6117" w:rsidRPr="004F6117" w14:paraId="041809D9" w14:textId="77777777" w:rsidTr="001F7A73">
        <w:trPr>
          <w:jc w:val="center"/>
        </w:trPr>
        <w:tc>
          <w:tcPr>
            <w:tcW w:w="9613" w:type="dxa"/>
          </w:tcPr>
          <w:p w14:paraId="52C253DC" w14:textId="6A508979" w:rsidR="004F6117" w:rsidRPr="004F6117" w:rsidRDefault="0049246C" w:rsidP="0049246C">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4F6117" w14:paraId="461CAB07" w14:textId="77777777" w:rsidTr="001F7A73">
        <w:trPr>
          <w:jc w:val="center"/>
        </w:trPr>
        <w:tc>
          <w:tcPr>
            <w:tcW w:w="9613" w:type="dxa"/>
          </w:tcPr>
          <w:p w14:paraId="20556B48" w14:textId="30EBD2D7"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The Commission would like to thank the Committee for its Opinion on the proposal for a</w:t>
            </w:r>
            <w:r w:rsidR="004D66C7">
              <w:rPr>
                <w:rFonts w:ascii="Times New Roman" w:hAnsi="Times New Roman"/>
                <w:sz w:val="24"/>
                <w:szCs w:val="24"/>
                <w:lang w:val="en-IE"/>
              </w:rPr>
              <w:t> </w:t>
            </w:r>
            <w:r w:rsidRPr="001E3306">
              <w:rPr>
                <w:rFonts w:ascii="Times New Roman" w:hAnsi="Times New Roman"/>
                <w:sz w:val="24"/>
                <w:szCs w:val="24"/>
                <w:lang w:val="en-IE"/>
              </w:rPr>
              <w:t>Regulation on the Union Civil Protection Mechanism and Union support for health emergency preparedness and response</w:t>
            </w:r>
            <w:r w:rsidR="006D5F01">
              <w:rPr>
                <w:rStyle w:val="FootnoteReference"/>
                <w:rFonts w:ascii="Times New Roman" w:hAnsi="Times New Roman"/>
                <w:szCs w:val="24"/>
                <w:lang w:val="en-IE"/>
              </w:rPr>
              <w:footnoteReference w:id="1"/>
            </w:r>
            <w:r w:rsidRPr="001E3306">
              <w:rPr>
                <w:rFonts w:ascii="Times New Roman" w:hAnsi="Times New Roman"/>
                <w:sz w:val="24"/>
                <w:szCs w:val="24"/>
                <w:lang w:val="en-IE"/>
              </w:rPr>
              <w:t xml:space="preserve"> (the Proposal).</w:t>
            </w:r>
          </w:p>
          <w:p w14:paraId="08017297" w14:textId="019851F5"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 xml:space="preserve">Taking full account of the positions expressed in the Opinion, the Commission notes with appreciation the Committee’s comprehensive assessment of the Proposal and the constructive recommendations put forward with a view to strengthening the Union Civil Protection Mechanism </w:t>
            </w:r>
            <w:r w:rsidR="00D677B8" w:rsidRPr="55CA67BC">
              <w:rPr>
                <w:rFonts w:ascii="Times New Roman" w:hAnsi="Times New Roman"/>
                <w:sz w:val="24"/>
                <w:szCs w:val="24"/>
                <w:lang w:val="en-IE"/>
              </w:rPr>
              <w:t>and Union support for health emergency preparedness and response (UCPM/HER).</w:t>
            </w:r>
            <w:r w:rsidR="00D677B8">
              <w:rPr>
                <w:rFonts w:ascii="Times New Roman" w:hAnsi="Times New Roman"/>
                <w:sz w:val="24"/>
                <w:szCs w:val="24"/>
                <w:lang w:val="en-IE"/>
              </w:rPr>
              <w:t xml:space="preserve"> </w:t>
            </w:r>
            <w:r w:rsidRPr="001E3306">
              <w:rPr>
                <w:rFonts w:ascii="Times New Roman" w:hAnsi="Times New Roman"/>
                <w:sz w:val="24"/>
                <w:szCs w:val="24"/>
                <w:lang w:val="en-IE"/>
              </w:rPr>
              <w:t xml:space="preserve">The Commission particularly welcomes the </w:t>
            </w:r>
            <w:r>
              <w:rPr>
                <w:rFonts w:ascii="Times New Roman" w:hAnsi="Times New Roman"/>
                <w:sz w:val="24"/>
                <w:szCs w:val="24"/>
                <w:lang w:val="en-IE"/>
              </w:rPr>
              <w:t>Committee</w:t>
            </w:r>
            <w:r w:rsidRPr="001E3306">
              <w:rPr>
                <w:rFonts w:ascii="Times New Roman" w:hAnsi="Times New Roman"/>
                <w:sz w:val="24"/>
                <w:szCs w:val="24"/>
                <w:lang w:val="en-IE"/>
              </w:rPr>
              <w:t>’s emphasis on prevention, preparedness, societal resilience, solidarity, operational effectiveness and the whole-of-government and whole-of-society approaches.</w:t>
            </w:r>
          </w:p>
          <w:p w14:paraId="3A95BEA2" w14:textId="05AFE735" w:rsidR="001E3306" w:rsidRPr="001E3306" w:rsidRDefault="001E3306" w:rsidP="001E3306">
            <w:pPr>
              <w:widowControl w:val="0"/>
              <w:spacing w:before="120" w:after="120"/>
              <w:jc w:val="both"/>
              <w:rPr>
                <w:rFonts w:ascii="Times New Roman" w:hAnsi="Times New Roman"/>
                <w:sz w:val="24"/>
                <w:szCs w:val="24"/>
                <w:lang w:val="en-IE"/>
              </w:rPr>
            </w:pPr>
            <w:r w:rsidRPr="0B373C74">
              <w:rPr>
                <w:rFonts w:ascii="Times New Roman" w:hAnsi="Times New Roman"/>
                <w:sz w:val="24"/>
                <w:szCs w:val="24"/>
                <w:lang w:val="en-IE"/>
              </w:rPr>
              <w:t>At a time when Europe is facing enormous challenges in terms of safety, security and resilience, characterised by increasingly complex crises, cascading risks and cross-border emergencies, the</w:t>
            </w:r>
            <w:r w:rsidR="003F30CE">
              <w:rPr>
                <w:rFonts w:ascii="Times New Roman" w:hAnsi="Times New Roman"/>
                <w:sz w:val="24"/>
                <w:szCs w:val="24"/>
                <w:lang w:val="en-IE"/>
              </w:rPr>
              <w:t> </w:t>
            </w:r>
            <w:r w:rsidRPr="0B373C74">
              <w:rPr>
                <w:rFonts w:ascii="Times New Roman" w:hAnsi="Times New Roman"/>
                <w:sz w:val="24"/>
                <w:szCs w:val="24"/>
                <w:lang w:val="en-IE"/>
              </w:rPr>
              <w:t xml:space="preserve">Commission attaches great importance to the Committee’s contribution. The Commission notes with satisfaction that many of the concerns and priorities highlighted by the Committee are fully aligned with </w:t>
            </w:r>
            <w:r w:rsidR="44934621" w:rsidRPr="0B373C74">
              <w:rPr>
                <w:rFonts w:ascii="Times New Roman" w:hAnsi="Times New Roman"/>
                <w:sz w:val="24"/>
                <w:szCs w:val="24"/>
                <w:lang w:val="en-IE"/>
              </w:rPr>
              <w:t>the Preparedness</w:t>
            </w:r>
            <w:r w:rsidRPr="0B373C74">
              <w:rPr>
                <w:rFonts w:ascii="Times New Roman" w:hAnsi="Times New Roman"/>
                <w:sz w:val="24"/>
                <w:szCs w:val="24"/>
                <w:lang w:val="en-IE"/>
              </w:rPr>
              <w:t xml:space="preserve"> Union Strateg</w:t>
            </w:r>
            <w:r w:rsidR="6D3FC8EC" w:rsidRPr="0B373C74">
              <w:rPr>
                <w:rFonts w:ascii="Times New Roman" w:hAnsi="Times New Roman"/>
                <w:sz w:val="24"/>
                <w:szCs w:val="24"/>
                <w:lang w:val="en-IE"/>
              </w:rPr>
              <w:t>y (PUS)</w:t>
            </w:r>
            <w:r w:rsidRPr="0B373C74">
              <w:rPr>
                <w:rFonts w:ascii="Times New Roman" w:hAnsi="Times New Roman"/>
                <w:sz w:val="24"/>
                <w:szCs w:val="24"/>
                <w:lang w:val="en-IE"/>
              </w:rPr>
              <w:t xml:space="preserve"> </w:t>
            </w:r>
            <w:r w:rsidR="00736C52">
              <w:rPr>
                <w:rFonts w:ascii="Times New Roman" w:hAnsi="Times New Roman"/>
                <w:sz w:val="24"/>
                <w:szCs w:val="24"/>
                <w:lang w:val="en-IE"/>
              </w:rPr>
              <w:t xml:space="preserve">and the upcoming EU Integrated Framework for Climate Resilience (IF), </w:t>
            </w:r>
            <w:r w:rsidRPr="0B373C74">
              <w:rPr>
                <w:rFonts w:ascii="Times New Roman" w:hAnsi="Times New Roman"/>
                <w:sz w:val="24"/>
                <w:szCs w:val="24"/>
                <w:lang w:val="en-IE"/>
              </w:rPr>
              <w:t>and</w:t>
            </w:r>
            <w:r w:rsidR="00736888">
              <w:rPr>
                <w:rFonts w:ascii="Times New Roman" w:hAnsi="Times New Roman"/>
                <w:sz w:val="24"/>
                <w:szCs w:val="24"/>
                <w:lang w:val="en-IE"/>
              </w:rPr>
              <w:t xml:space="preserve"> are</w:t>
            </w:r>
            <w:r w:rsidRPr="0B373C74">
              <w:rPr>
                <w:rFonts w:ascii="Times New Roman" w:hAnsi="Times New Roman"/>
                <w:sz w:val="24"/>
                <w:szCs w:val="24"/>
                <w:lang w:val="en-IE"/>
              </w:rPr>
              <w:t xml:space="preserve"> </w:t>
            </w:r>
            <w:r w:rsidR="00C25570">
              <w:rPr>
                <w:rFonts w:ascii="Times New Roman" w:hAnsi="Times New Roman"/>
                <w:sz w:val="24"/>
                <w:szCs w:val="24"/>
                <w:lang w:val="en-IE"/>
              </w:rPr>
              <w:t>addressed</w:t>
            </w:r>
            <w:r w:rsidRPr="0B373C74">
              <w:rPr>
                <w:rFonts w:ascii="Times New Roman" w:hAnsi="Times New Roman"/>
                <w:sz w:val="24"/>
                <w:szCs w:val="24"/>
                <w:lang w:val="en-IE"/>
              </w:rPr>
              <w:t xml:space="preserve"> in the Proposal.</w:t>
            </w:r>
          </w:p>
          <w:p w14:paraId="1DBF1409" w14:textId="308520A6" w:rsidR="001E3306" w:rsidRPr="001E3306" w:rsidRDefault="001E3306" w:rsidP="001E3306">
            <w:pPr>
              <w:widowControl w:val="0"/>
              <w:spacing w:before="120" w:after="120"/>
              <w:jc w:val="both"/>
              <w:rPr>
                <w:rFonts w:ascii="Times New Roman" w:hAnsi="Times New Roman"/>
                <w:sz w:val="24"/>
                <w:szCs w:val="24"/>
                <w:lang w:val="en-IE"/>
              </w:rPr>
            </w:pPr>
            <w:r w:rsidRPr="0B373C74">
              <w:rPr>
                <w:rFonts w:ascii="Times New Roman" w:hAnsi="Times New Roman"/>
                <w:sz w:val="24"/>
                <w:szCs w:val="24"/>
                <w:lang w:val="en-IE"/>
              </w:rPr>
              <w:t xml:space="preserve">The Commission </w:t>
            </w:r>
            <w:r w:rsidR="00C25570">
              <w:rPr>
                <w:rFonts w:ascii="Times New Roman" w:hAnsi="Times New Roman"/>
                <w:sz w:val="24"/>
                <w:szCs w:val="24"/>
                <w:lang w:val="en-IE"/>
              </w:rPr>
              <w:t>broadly shares</w:t>
            </w:r>
            <w:r w:rsidRPr="0B373C74">
              <w:rPr>
                <w:rFonts w:ascii="Times New Roman" w:hAnsi="Times New Roman"/>
                <w:sz w:val="24"/>
                <w:szCs w:val="24"/>
                <w:lang w:val="en-IE"/>
              </w:rPr>
              <w:t xml:space="preserve"> the fundamental objectives highlighted by the Committee. The</w:t>
            </w:r>
            <w:r w:rsidR="003F30CE">
              <w:rPr>
                <w:rFonts w:ascii="Times New Roman" w:hAnsi="Times New Roman"/>
                <w:sz w:val="24"/>
                <w:szCs w:val="24"/>
                <w:lang w:val="en-IE"/>
              </w:rPr>
              <w:t> </w:t>
            </w:r>
            <w:r w:rsidRPr="0B373C74">
              <w:rPr>
                <w:rFonts w:ascii="Times New Roman" w:hAnsi="Times New Roman"/>
                <w:sz w:val="24"/>
                <w:szCs w:val="24"/>
                <w:lang w:val="en-IE"/>
              </w:rPr>
              <w:t xml:space="preserve">Proposal seeks to preserve the well-functioning foundations of </w:t>
            </w:r>
            <w:r w:rsidR="006D5F01">
              <w:rPr>
                <w:rFonts w:ascii="Times New Roman" w:hAnsi="Times New Roman"/>
                <w:sz w:val="24"/>
                <w:szCs w:val="24"/>
                <w:lang w:val="en-IE"/>
              </w:rPr>
              <w:t xml:space="preserve">the </w:t>
            </w:r>
            <w:r w:rsidRPr="0B373C74">
              <w:rPr>
                <w:rFonts w:ascii="Times New Roman" w:hAnsi="Times New Roman"/>
                <w:sz w:val="24"/>
                <w:szCs w:val="24"/>
                <w:lang w:val="en-IE"/>
              </w:rPr>
              <w:t>Decision</w:t>
            </w:r>
            <w:r w:rsidR="006D5F01">
              <w:rPr>
                <w:rFonts w:ascii="Times New Roman" w:hAnsi="Times New Roman"/>
                <w:sz w:val="24"/>
                <w:szCs w:val="24"/>
                <w:lang w:val="en-IE"/>
              </w:rPr>
              <w:t xml:space="preserve"> </w:t>
            </w:r>
            <w:r w:rsidR="006D5F01" w:rsidRPr="007F3DA1">
              <w:rPr>
                <w:rFonts w:ascii="Times New Roman" w:hAnsi="Times New Roman"/>
                <w:sz w:val="24"/>
                <w:szCs w:val="24"/>
              </w:rPr>
              <w:t>on a Union Civil Protection Mechanism</w:t>
            </w:r>
            <w:r w:rsidR="006D5F01">
              <w:rPr>
                <w:rStyle w:val="FootnoteReference"/>
                <w:rFonts w:ascii="Times New Roman" w:hAnsi="Times New Roman"/>
                <w:szCs w:val="24"/>
              </w:rPr>
              <w:footnoteReference w:id="2"/>
            </w:r>
            <w:r w:rsidRPr="0B373C74">
              <w:rPr>
                <w:rFonts w:ascii="Times New Roman" w:hAnsi="Times New Roman"/>
                <w:sz w:val="24"/>
                <w:szCs w:val="24"/>
                <w:lang w:val="en-IE"/>
              </w:rPr>
              <w:t xml:space="preserve"> while adapting the UCPM to an evolving and more volatile risk landscape, marked by the increasing frequency, duration and intensity of climate-driven disasters, hybrid threats, geopolitical instability and health emergencies with cross-sectoral implications.</w:t>
            </w:r>
          </w:p>
          <w:p w14:paraId="3BCC4292" w14:textId="554D11AC"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1.1 of the opinion:</w:t>
            </w:r>
            <w:r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takes careful note of the Committee’s assessment regarding the adequacy of the proposed financial envelope and its call for greater ambition in addressing disaster risk reduction and prevention.</w:t>
            </w:r>
          </w:p>
          <w:p w14:paraId="2622A153" w14:textId="77777777"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 xml:space="preserve">The Commission fully recognises that prevention and preparedness constitute cost-effective investments capable of significantly reducing long-term human, social, economic and environmental losses. Experience gathered under the current UCPM framework has consistently </w:t>
            </w:r>
            <w:r w:rsidRPr="001E3306">
              <w:rPr>
                <w:rFonts w:ascii="Times New Roman" w:hAnsi="Times New Roman"/>
                <w:sz w:val="24"/>
                <w:szCs w:val="24"/>
                <w:lang w:val="en-IE"/>
              </w:rPr>
              <w:lastRenderedPageBreak/>
              <w:t>demonstrated that anticipatory measures, resilience-building investments and risk-informed planning enhance response effectiveness while mitigating recovery costs.</w:t>
            </w:r>
          </w:p>
          <w:p w14:paraId="1993AF2B" w14:textId="76984839" w:rsidR="001E3306" w:rsidRDefault="003C63F0" w:rsidP="001E3306">
            <w:pPr>
              <w:widowControl w:val="0"/>
              <w:spacing w:before="120" w:after="120"/>
              <w:jc w:val="both"/>
              <w:rPr>
                <w:rFonts w:ascii="Times New Roman" w:hAnsi="Times New Roman"/>
                <w:sz w:val="24"/>
                <w:szCs w:val="24"/>
                <w:lang w:val="en-IE"/>
              </w:rPr>
            </w:pPr>
            <w:r>
              <w:rPr>
                <w:rFonts w:ascii="Times New Roman" w:hAnsi="Times New Roman"/>
                <w:sz w:val="24"/>
                <w:szCs w:val="24"/>
                <w:lang w:val="en-IE"/>
              </w:rPr>
              <w:t>By adopting an integrated approach, t</w:t>
            </w:r>
            <w:r w:rsidR="004E70BF">
              <w:rPr>
                <w:rFonts w:ascii="Times New Roman" w:hAnsi="Times New Roman"/>
                <w:sz w:val="24"/>
                <w:szCs w:val="24"/>
                <w:lang w:val="en-IE"/>
              </w:rPr>
              <w:t>he Proposal</w:t>
            </w:r>
            <w:r w:rsidR="001E3306" w:rsidRPr="001E3306">
              <w:rPr>
                <w:rFonts w:ascii="Times New Roman" w:hAnsi="Times New Roman"/>
                <w:sz w:val="24"/>
                <w:szCs w:val="24"/>
                <w:lang w:val="en-IE"/>
              </w:rPr>
              <w:t xml:space="preserve"> seeks to ensure that investments in disaster resilience, climate adaptation and crisis preparedness are deployed coherently, avoiding fragmentation and maximising Union added value.</w:t>
            </w:r>
          </w:p>
          <w:p w14:paraId="665A4724" w14:textId="50E841DD" w:rsidR="00D677B8" w:rsidRDefault="00D677B8" w:rsidP="00D677B8">
            <w:pPr>
              <w:widowControl w:val="0"/>
              <w:spacing w:before="120" w:after="120"/>
              <w:jc w:val="both"/>
              <w:rPr>
                <w:rFonts w:ascii="Times New Roman" w:hAnsi="Times New Roman"/>
                <w:sz w:val="24"/>
                <w:szCs w:val="24"/>
                <w:lang w:val="en-IE"/>
              </w:rPr>
            </w:pPr>
            <w:r w:rsidRPr="67D4EE9B">
              <w:rPr>
                <w:rFonts w:ascii="Times New Roman" w:hAnsi="Times New Roman"/>
                <w:sz w:val="24"/>
                <w:szCs w:val="24"/>
                <w:lang w:val="en-IE"/>
              </w:rPr>
              <w:t xml:space="preserve">In the area of health emergency preparedness and response, the COVID-19 pandemic has demonstrated the added-value of investing in health preparedness measures at EU-level, such as surveillance and early-warning systems, stockpiles and capacity reservation </w:t>
            </w:r>
            <w:proofErr w:type="gramStart"/>
            <w:r w:rsidRPr="67D4EE9B">
              <w:rPr>
                <w:rFonts w:ascii="Times New Roman" w:hAnsi="Times New Roman"/>
                <w:sz w:val="24"/>
                <w:szCs w:val="24"/>
                <w:lang w:val="en-IE"/>
              </w:rPr>
              <w:t>for the production of</w:t>
            </w:r>
            <w:proofErr w:type="gramEnd"/>
            <w:r w:rsidRPr="67D4EE9B">
              <w:rPr>
                <w:rFonts w:ascii="Times New Roman" w:hAnsi="Times New Roman"/>
                <w:sz w:val="24"/>
                <w:szCs w:val="24"/>
                <w:lang w:val="en-IE"/>
              </w:rPr>
              <w:t xml:space="preserve"> medical countermeasures, simulation exercises. The UCPM/HER will be the main instrument to support operational health preparedness measures while actions supporting innovation and supply chains resilience of medical countermeasures</w:t>
            </w:r>
            <w:r w:rsidR="00736888">
              <w:rPr>
                <w:rFonts w:ascii="Times New Roman" w:hAnsi="Times New Roman"/>
                <w:sz w:val="24"/>
                <w:szCs w:val="24"/>
                <w:lang w:val="en-IE"/>
              </w:rPr>
              <w:t xml:space="preserve"> </w:t>
            </w:r>
            <w:r w:rsidR="003F30CE" w:rsidRPr="007A63AA">
              <w:rPr>
                <w:rFonts w:ascii="Times New Roman" w:hAnsi="Times New Roman"/>
                <w:b/>
                <w:bCs/>
                <w:sz w:val="24"/>
                <w:szCs w:val="24"/>
              </w:rPr>
              <w:t>‒</w:t>
            </w:r>
            <w:r w:rsidRPr="67D4EE9B">
              <w:rPr>
                <w:rFonts w:ascii="Times New Roman" w:hAnsi="Times New Roman"/>
                <w:sz w:val="24"/>
                <w:szCs w:val="24"/>
                <w:lang w:val="en-IE"/>
              </w:rPr>
              <w:t xml:space="preserve"> which also contribute to health emergency preparedness and response</w:t>
            </w:r>
            <w:r w:rsidR="00736888">
              <w:rPr>
                <w:rFonts w:ascii="Times New Roman" w:hAnsi="Times New Roman"/>
                <w:sz w:val="24"/>
                <w:szCs w:val="24"/>
                <w:lang w:val="en-IE"/>
              </w:rPr>
              <w:t xml:space="preserve"> </w:t>
            </w:r>
            <w:r w:rsidR="003F30CE" w:rsidRPr="007A63AA">
              <w:rPr>
                <w:rFonts w:ascii="Times New Roman" w:hAnsi="Times New Roman"/>
                <w:b/>
                <w:bCs/>
                <w:sz w:val="24"/>
                <w:szCs w:val="24"/>
              </w:rPr>
              <w:t>‒</w:t>
            </w:r>
            <w:r w:rsidRPr="67D4EE9B">
              <w:rPr>
                <w:rFonts w:ascii="Times New Roman" w:hAnsi="Times New Roman"/>
                <w:sz w:val="24"/>
                <w:szCs w:val="24"/>
                <w:lang w:val="en-IE"/>
              </w:rPr>
              <w:t xml:space="preserve"> will be covered in other funding instruments.</w:t>
            </w:r>
          </w:p>
          <w:p w14:paraId="1C14EE15" w14:textId="53CD0F2F" w:rsidR="001E3306" w:rsidRPr="001E3306" w:rsidRDefault="001E3306" w:rsidP="001E3306">
            <w:pPr>
              <w:widowControl w:val="0"/>
              <w:spacing w:before="120" w:after="120"/>
              <w:jc w:val="both"/>
              <w:rPr>
                <w:rFonts w:ascii="Times New Roman" w:hAnsi="Times New Roman"/>
                <w:sz w:val="24"/>
                <w:szCs w:val="24"/>
                <w:u w:val="single"/>
                <w:lang w:val="en-IE"/>
              </w:rPr>
            </w:pPr>
            <w:r w:rsidRPr="001E3306">
              <w:rPr>
                <w:rFonts w:ascii="Times New Roman" w:hAnsi="Times New Roman"/>
                <w:sz w:val="24"/>
                <w:szCs w:val="24"/>
                <w:u w:val="single"/>
                <w:lang w:val="en-IE"/>
              </w:rPr>
              <w:t>Point 1.2 of the opinion:</w:t>
            </w:r>
            <w:r w:rsidRPr="001E3306">
              <w:rPr>
                <w:rFonts w:ascii="Times New Roman" w:hAnsi="Times New Roman"/>
                <w:sz w:val="24"/>
                <w:szCs w:val="24"/>
                <w:lang w:val="en-IE"/>
              </w:rPr>
              <w:t xml:space="preserve"> The Commission welcomes the Committee’s emphasis on the protection of life in a comprehensive sense, including considerations relating to animals and biodiversity.</w:t>
            </w:r>
          </w:p>
          <w:p w14:paraId="69FE6EDF" w14:textId="6311374A"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The Proposal’s all-hazards approach already reflects the need to safeguard people, the</w:t>
            </w:r>
            <w:r w:rsidR="003F30CE">
              <w:rPr>
                <w:rFonts w:ascii="Times New Roman" w:hAnsi="Times New Roman"/>
                <w:sz w:val="24"/>
                <w:szCs w:val="24"/>
                <w:lang w:val="en-IE"/>
              </w:rPr>
              <w:t> </w:t>
            </w:r>
            <w:r w:rsidRPr="001E3306">
              <w:rPr>
                <w:rFonts w:ascii="Times New Roman" w:hAnsi="Times New Roman"/>
                <w:sz w:val="24"/>
                <w:szCs w:val="24"/>
                <w:lang w:val="en-IE"/>
              </w:rPr>
              <w:t>environment, property and cultural heritage against natural and human-induced disasters. The</w:t>
            </w:r>
            <w:r w:rsidR="003F30CE">
              <w:rPr>
                <w:rFonts w:ascii="Times New Roman" w:hAnsi="Times New Roman"/>
                <w:sz w:val="24"/>
                <w:szCs w:val="24"/>
                <w:lang w:val="en-IE"/>
              </w:rPr>
              <w:t> </w:t>
            </w:r>
            <w:r w:rsidRPr="001E3306">
              <w:rPr>
                <w:rFonts w:ascii="Times New Roman" w:hAnsi="Times New Roman"/>
                <w:sz w:val="24"/>
                <w:szCs w:val="24"/>
                <w:lang w:val="en-IE"/>
              </w:rPr>
              <w:t xml:space="preserve">Commission acknowledges </w:t>
            </w:r>
            <w:r w:rsidR="00DE310D" w:rsidRPr="001E3306">
              <w:rPr>
                <w:rFonts w:ascii="Times New Roman" w:hAnsi="Times New Roman"/>
                <w:sz w:val="24"/>
                <w:szCs w:val="24"/>
                <w:lang w:val="en-IE"/>
              </w:rPr>
              <w:t>the Committee</w:t>
            </w:r>
            <w:r w:rsidRPr="001E3306">
              <w:rPr>
                <w:rFonts w:ascii="Times New Roman" w:hAnsi="Times New Roman"/>
                <w:sz w:val="24"/>
                <w:szCs w:val="24"/>
                <w:lang w:val="en-IE"/>
              </w:rPr>
              <w:t>’s suggested amendment to Article</w:t>
            </w:r>
            <w:r w:rsidR="003F30CE">
              <w:rPr>
                <w:rFonts w:ascii="Times New Roman" w:hAnsi="Times New Roman"/>
                <w:sz w:val="24"/>
                <w:szCs w:val="24"/>
                <w:lang w:val="en-IE"/>
              </w:rPr>
              <w:t> </w:t>
            </w:r>
            <w:r w:rsidRPr="001E3306">
              <w:rPr>
                <w:rFonts w:ascii="Times New Roman" w:hAnsi="Times New Roman"/>
                <w:sz w:val="24"/>
                <w:szCs w:val="24"/>
                <w:lang w:val="en-IE"/>
              </w:rPr>
              <w:t>2(1) and recognises the underlying objective of enhancing conceptual clarity.</w:t>
            </w:r>
          </w:p>
          <w:p w14:paraId="60F059A5" w14:textId="77777777"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 xml:space="preserve">The Commission will carefully consider this proposal in the context of the legislative negotiations, particularly </w:t>
            </w:r>
            <w:proofErr w:type="gramStart"/>
            <w:r w:rsidRPr="001E3306">
              <w:rPr>
                <w:rFonts w:ascii="Times New Roman" w:hAnsi="Times New Roman"/>
                <w:sz w:val="24"/>
                <w:szCs w:val="24"/>
                <w:lang w:val="en-IE"/>
              </w:rPr>
              <w:t>with regard to</w:t>
            </w:r>
            <w:proofErr w:type="gramEnd"/>
            <w:r w:rsidRPr="001E3306">
              <w:rPr>
                <w:rFonts w:ascii="Times New Roman" w:hAnsi="Times New Roman"/>
                <w:sz w:val="24"/>
                <w:szCs w:val="24"/>
                <w:lang w:val="en-IE"/>
              </w:rPr>
              <w:t xml:space="preserve"> legal precision, consistency with existing Union terminology and alignment with the Regulation’s broader scope.</w:t>
            </w:r>
          </w:p>
          <w:p w14:paraId="4284C274" w14:textId="26830007" w:rsidR="008D71D3" w:rsidRPr="008D71D3" w:rsidRDefault="001E3306" w:rsidP="008D71D3">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1.3</w:t>
            </w:r>
            <w:r w:rsidR="00DE310D" w:rsidRPr="00DE310D">
              <w:rPr>
                <w:rFonts w:ascii="Times New Roman" w:hAnsi="Times New Roman"/>
                <w:sz w:val="24"/>
                <w:szCs w:val="24"/>
                <w:u w:val="single"/>
                <w:lang w:val="en-IE"/>
              </w:rPr>
              <w:t xml:space="preserve"> of the opinion:</w:t>
            </w:r>
            <w:r w:rsidR="00DE310D" w:rsidRPr="004D66C7">
              <w:rPr>
                <w:rFonts w:ascii="Times New Roman" w:hAnsi="Times New Roman"/>
                <w:sz w:val="24"/>
                <w:szCs w:val="24"/>
                <w:lang w:val="en-IE"/>
              </w:rPr>
              <w:t xml:space="preserve"> </w:t>
            </w:r>
            <w:r w:rsidR="008D71D3" w:rsidRPr="008D71D3">
              <w:rPr>
                <w:rFonts w:ascii="Times New Roman" w:hAnsi="Times New Roman"/>
                <w:sz w:val="24"/>
                <w:szCs w:val="24"/>
                <w:lang w:val="en-IE"/>
              </w:rPr>
              <w:t>The Commission fully shares the Committee’s assessment that administrative complexity, procedural overlaps and structural inefficiencies may impede the</w:t>
            </w:r>
            <w:r w:rsidR="003F30CE">
              <w:rPr>
                <w:rFonts w:ascii="Times New Roman" w:hAnsi="Times New Roman"/>
                <w:sz w:val="24"/>
                <w:szCs w:val="24"/>
                <w:lang w:val="en-IE"/>
              </w:rPr>
              <w:t> </w:t>
            </w:r>
            <w:r w:rsidR="008D71D3" w:rsidRPr="008D71D3">
              <w:rPr>
                <w:rFonts w:ascii="Times New Roman" w:hAnsi="Times New Roman"/>
                <w:sz w:val="24"/>
                <w:szCs w:val="24"/>
                <w:lang w:val="en-IE"/>
              </w:rPr>
              <w:t>rapid and effective deployment of assistance under the Union Civil Protection Mechanism.</w:t>
            </w:r>
          </w:p>
          <w:p w14:paraId="7A24C5C9" w14:textId="34D0524D" w:rsidR="008D71D3" w:rsidRPr="008D71D3" w:rsidRDefault="008D71D3" w:rsidP="008D71D3">
            <w:pPr>
              <w:widowControl w:val="0"/>
              <w:spacing w:before="120" w:after="120"/>
              <w:jc w:val="both"/>
              <w:rPr>
                <w:rFonts w:ascii="Times New Roman" w:hAnsi="Times New Roman"/>
                <w:sz w:val="24"/>
                <w:szCs w:val="24"/>
                <w:lang w:val="en-IE"/>
              </w:rPr>
            </w:pPr>
            <w:r w:rsidRPr="008D71D3">
              <w:rPr>
                <w:rFonts w:ascii="Times New Roman" w:hAnsi="Times New Roman"/>
                <w:sz w:val="24"/>
                <w:szCs w:val="24"/>
                <w:lang w:val="en-IE"/>
              </w:rPr>
              <w:t>The Proposal seeks to reduce unnecessary administrative burdens</w:t>
            </w:r>
            <w:r>
              <w:rPr>
                <w:rFonts w:ascii="Times New Roman" w:hAnsi="Times New Roman"/>
                <w:sz w:val="24"/>
                <w:szCs w:val="24"/>
                <w:lang w:val="en-IE"/>
              </w:rPr>
              <w:t xml:space="preserve"> and</w:t>
            </w:r>
            <w:r w:rsidRPr="008D71D3">
              <w:rPr>
                <w:rFonts w:ascii="Times New Roman" w:hAnsi="Times New Roman"/>
                <w:sz w:val="24"/>
                <w:szCs w:val="24"/>
                <w:lang w:val="en-IE"/>
              </w:rPr>
              <w:t xml:space="preserve"> enhance </w:t>
            </w:r>
            <w:r>
              <w:rPr>
                <w:rFonts w:ascii="Times New Roman" w:hAnsi="Times New Roman"/>
                <w:sz w:val="24"/>
                <w:szCs w:val="24"/>
                <w:lang w:val="en-IE"/>
              </w:rPr>
              <w:t>operational</w:t>
            </w:r>
            <w:r w:rsidRPr="008D71D3">
              <w:rPr>
                <w:rFonts w:ascii="Times New Roman" w:hAnsi="Times New Roman"/>
                <w:sz w:val="24"/>
                <w:szCs w:val="24"/>
                <w:lang w:val="en-IE"/>
              </w:rPr>
              <w:t xml:space="preserve"> clarity</w:t>
            </w:r>
            <w:r>
              <w:rPr>
                <w:rFonts w:ascii="Times New Roman" w:hAnsi="Times New Roman"/>
                <w:sz w:val="24"/>
                <w:szCs w:val="24"/>
                <w:lang w:val="en-IE"/>
              </w:rPr>
              <w:t>, particularly through the streamlining of financing rates and rules</w:t>
            </w:r>
            <w:r w:rsidRPr="008D71D3">
              <w:rPr>
                <w:rFonts w:ascii="Times New Roman" w:hAnsi="Times New Roman"/>
                <w:sz w:val="24"/>
                <w:szCs w:val="24"/>
                <w:lang w:val="en-IE"/>
              </w:rPr>
              <w:t xml:space="preserve"> </w:t>
            </w:r>
            <w:r>
              <w:rPr>
                <w:rFonts w:ascii="Times New Roman" w:hAnsi="Times New Roman"/>
                <w:sz w:val="24"/>
                <w:szCs w:val="24"/>
                <w:lang w:val="en-IE"/>
              </w:rPr>
              <w:t>concerning actions under the Proposal’s framework. The Proposal also seeks to</w:t>
            </w:r>
            <w:r w:rsidRPr="008D71D3">
              <w:rPr>
                <w:rFonts w:ascii="Times New Roman" w:hAnsi="Times New Roman"/>
                <w:sz w:val="24"/>
                <w:szCs w:val="24"/>
                <w:lang w:val="en-IE"/>
              </w:rPr>
              <w:t xml:space="preserve"> strengthen interoperability between national capacities</w:t>
            </w:r>
            <w:r>
              <w:rPr>
                <w:rFonts w:ascii="Times New Roman" w:hAnsi="Times New Roman"/>
                <w:sz w:val="24"/>
                <w:szCs w:val="24"/>
                <w:lang w:val="en-IE"/>
              </w:rPr>
              <w:t xml:space="preserve"> by reinforcing the structures already in place under the UCPM framework, specifically </w:t>
            </w:r>
            <w:r w:rsidRPr="008D71D3">
              <w:rPr>
                <w:rFonts w:ascii="Times New Roman" w:hAnsi="Times New Roman"/>
                <w:sz w:val="24"/>
                <w:szCs w:val="24"/>
                <w:lang w:val="en-IE"/>
              </w:rPr>
              <w:t>through common standards, training pathways and operational coordination arrangements. These measures aim to facilitate cross-border deployments, improve logistical coherence and ensure more efficient mobilisation of response assets during emergencies.</w:t>
            </w:r>
          </w:p>
          <w:p w14:paraId="6FC4B491" w14:textId="77777777" w:rsidR="008D71D3" w:rsidRPr="008D71D3" w:rsidRDefault="008D71D3" w:rsidP="008D71D3">
            <w:pPr>
              <w:widowControl w:val="0"/>
              <w:spacing w:before="120" w:after="120"/>
              <w:jc w:val="both"/>
              <w:rPr>
                <w:rFonts w:ascii="Times New Roman" w:hAnsi="Times New Roman"/>
                <w:sz w:val="24"/>
                <w:szCs w:val="24"/>
                <w:lang w:val="en-IE"/>
              </w:rPr>
            </w:pPr>
            <w:r w:rsidRPr="008D71D3">
              <w:rPr>
                <w:rFonts w:ascii="Times New Roman" w:hAnsi="Times New Roman"/>
                <w:sz w:val="24"/>
                <w:szCs w:val="24"/>
                <w:lang w:val="en-IE"/>
              </w:rPr>
              <w:t>The Commission also recognises the importance of strengthening preparedness structures at Member State level. In this regard, the Proposal supports the development and maintenance of effective early warning and public warning systems designed to detect, monitor and communicate imminent disaster risks. Such systems are essential to enable timely preventive action, reduce human and material losses, and enhance the overall resilience of societies.</w:t>
            </w:r>
          </w:p>
          <w:p w14:paraId="685004F3" w14:textId="0AA4E6D6" w:rsidR="008D71D3" w:rsidRPr="008D71D3" w:rsidRDefault="008D71D3" w:rsidP="004D66C7">
            <w:pPr>
              <w:keepNext/>
              <w:keepLines/>
              <w:spacing w:before="120" w:after="120"/>
              <w:jc w:val="both"/>
              <w:rPr>
                <w:rFonts w:ascii="Times New Roman" w:hAnsi="Times New Roman"/>
                <w:sz w:val="24"/>
                <w:szCs w:val="24"/>
                <w:lang w:val="en-IE"/>
              </w:rPr>
            </w:pPr>
            <w:r w:rsidRPr="008D71D3">
              <w:rPr>
                <w:rFonts w:ascii="Times New Roman" w:hAnsi="Times New Roman"/>
                <w:sz w:val="24"/>
                <w:szCs w:val="24"/>
                <w:lang w:val="en-IE"/>
              </w:rPr>
              <w:t>Furthermore, the Commission acknowledges the Committee’s emphasis on human resources. The</w:t>
            </w:r>
            <w:r w:rsidR="003F30CE">
              <w:rPr>
                <w:rFonts w:ascii="Times New Roman" w:hAnsi="Times New Roman"/>
                <w:sz w:val="24"/>
                <w:szCs w:val="24"/>
                <w:lang w:val="en-IE"/>
              </w:rPr>
              <w:t> </w:t>
            </w:r>
            <w:r w:rsidRPr="008D71D3">
              <w:rPr>
                <w:rFonts w:ascii="Times New Roman" w:hAnsi="Times New Roman"/>
                <w:sz w:val="24"/>
                <w:szCs w:val="24"/>
                <w:lang w:val="en-IE"/>
              </w:rPr>
              <w:t>effectiveness of the Mechanism depends on the availability of adequately trained personnel, including professional firefighters, healthcare workers and civil protection specialists. Ensuring appropriate</w:t>
            </w:r>
            <w:r w:rsidR="000E7379">
              <w:rPr>
                <w:rFonts w:ascii="Times New Roman" w:hAnsi="Times New Roman"/>
                <w:sz w:val="24"/>
                <w:szCs w:val="24"/>
                <w:lang w:val="en-IE"/>
              </w:rPr>
              <w:t xml:space="preserve"> financial support on the side of the Union in the development of response capacities, </w:t>
            </w:r>
            <w:r w:rsidR="000E7379">
              <w:rPr>
                <w:rFonts w:ascii="Times New Roman" w:hAnsi="Times New Roman"/>
                <w:sz w:val="24"/>
                <w:szCs w:val="24"/>
                <w:lang w:val="en-IE"/>
              </w:rPr>
              <w:lastRenderedPageBreak/>
              <w:t>as well as</w:t>
            </w:r>
            <w:r w:rsidRPr="008D71D3">
              <w:rPr>
                <w:rFonts w:ascii="Times New Roman" w:hAnsi="Times New Roman"/>
                <w:sz w:val="24"/>
                <w:szCs w:val="24"/>
                <w:lang w:val="en-IE"/>
              </w:rPr>
              <w:t xml:space="preserve"> training opportunities, remains a key prerequisite for maintaining operational readiness and response efficiency.</w:t>
            </w:r>
          </w:p>
          <w:p w14:paraId="62125DD8" w14:textId="40DA82FF" w:rsidR="000E7379" w:rsidRPr="000E7379" w:rsidRDefault="001E3306" w:rsidP="000E7379">
            <w:pPr>
              <w:widowControl w:val="0"/>
              <w:spacing w:before="120" w:after="120"/>
              <w:jc w:val="both"/>
              <w:rPr>
                <w:lang w:val="en-IE"/>
              </w:rPr>
            </w:pPr>
            <w:r w:rsidRPr="001E3306">
              <w:rPr>
                <w:rFonts w:ascii="Times New Roman" w:hAnsi="Times New Roman"/>
                <w:sz w:val="24"/>
                <w:szCs w:val="24"/>
                <w:u w:val="single"/>
                <w:lang w:val="en-IE"/>
              </w:rPr>
              <w:t>Point 1.4</w:t>
            </w:r>
            <w:r w:rsidR="000E7379" w:rsidRPr="000E7379">
              <w:rPr>
                <w:rFonts w:ascii="Times New Roman" w:hAnsi="Times New Roman"/>
                <w:sz w:val="24"/>
                <w:szCs w:val="24"/>
                <w:u w:val="single"/>
                <w:lang w:val="en-IE"/>
              </w:rPr>
              <w:t xml:space="preserve"> of the opinion:</w:t>
            </w:r>
            <w:r w:rsidR="000E7379" w:rsidRPr="004D66C7">
              <w:rPr>
                <w:rFonts w:ascii="Times New Roman" w:hAnsi="Times New Roman"/>
                <w:sz w:val="24"/>
                <w:szCs w:val="24"/>
                <w:lang w:val="en-IE"/>
              </w:rPr>
              <w:t xml:space="preserve"> </w:t>
            </w:r>
            <w:r w:rsidR="000E7379" w:rsidRPr="000E7379">
              <w:rPr>
                <w:rFonts w:ascii="Times New Roman" w:hAnsi="Times New Roman"/>
                <w:sz w:val="24"/>
                <w:szCs w:val="24"/>
                <w:lang w:val="en-IE"/>
              </w:rPr>
              <w:t>The Commission takes note of the Committee’s emphasis on anticipation, situational awareness and the role of communication in crisis management, including the risks associated with misinformation, propaganda and disinformation.</w:t>
            </w:r>
          </w:p>
          <w:p w14:paraId="2445D5BA" w14:textId="4B17B65B" w:rsidR="000E7379" w:rsidRPr="000E7379" w:rsidRDefault="000E7379" w:rsidP="000E7379">
            <w:pPr>
              <w:widowControl w:val="0"/>
              <w:spacing w:before="120" w:after="120"/>
              <w:jc w:val="both"/>
              <w:rPr>
                <w:rFonts w:ascii="Times New Roman" w:hAnsi="Times New Roman"/>
                <w:sz w:val="24"/>
                <w:szCs w:val="24"/>
                <w:lang w:val="en-IE"/>
              </w:rPr>
            </w:pPr>
            <w:r w:rsidRPr="000E7379">
              <w:rPr>
                <w:rFonts w:ascii="Times New Roman" w:hAnsi="Times New Roman"/>
                <w:sz w:val="24"/>
                <w:szCs w:val="24"/>
                <w:lang w:val="en-IE"/>
              </w:rPr>
              <w:t>Consistent with the emphasis placed in the European Preparedness Union Strategy on foresight, anticipation and risk communication, the Proposal reinforces mechanisms aimed at strengthening cross-sectoral situational awareness and improving the Union’s capacity to anticipate, monitor and respond to multifaceted crises.</w:t>
            </w:r>
          </w:p>
          <w:p w14:paraId="2624F3C0" w14:textId="1E4F5DC2" w:rsidR="000E7379" w:rsidRPr="000E7379" w:rsidRDefault="000E7379" w:rsidP="000E7379">
            <w:pPr>
              <w:widowControl w:val="0"/>
              <w:spacing w:before="120" w:after="120"/>
              <w:jc w:val="both"/>
              <w:rPr>
                <w:rFonts w:ascii="Times New Roman" w:hAnsi="Times New Roman"/>
                <w:sz w:val="24"/>
                <w:szCs w:val="24"/>
                <w:lang w:val="en-IE"/>
              </w:rPr>
            </w:pPr>
            <w:r w:rsidRPr="000E7379">
              <w:rPr>
                <w:rFonts w:ascii="Times New Roman" w:hAnsi="Times New Roman"/>
                <w:sz w:val="24"/>
                <w:szCs w:val="24"/>
                <w:lang w:val="en-IE"/>
              </w:rPr>
              <w:t>In particular, the proposed Crisis Coordination Hub</w:t>
            </w:r>
            <w:r w:rsidR="00423E19">
              <w:rPr>
                <w:rFonts w:ascii="Times New Roman" w:hAnsi="Times New Roman"/>
                <w:sz w:val="24"/>
                <w:szCs w:val="24"/>
                <w:lang w:val="en-IE"/>
              </w:rPr>
              <w:t xml:space="preserve"> (the Hub)</w:t>
            </w:r>
            <w:r w:rsidRPr="000E7379">
              <w:rPr>
                <w:rFonts w:ascii="Times New Roman" w:hAnsi="Times New Roman"/>
                <w:sz w:val="24"/>
                <w:szCs w:val="24"/>
                <w:lang w:val="en-IE"/>
              </w:rPr>
              <w:t xml:space="preserve"> is designed to enhance analytical capacity, facilitate the integration of information flows and support a more coherent cross-sectoral understanding of risks and emergencies. By strengthening internal coordination and promoting a shared situational picture across relevant policy domains, the Hub will contribute to earlier detection of emerging threats, improved preparedness and more effective consequence management.</w:t>
            </w:r>
          </w:p>
          <w:p w14:paraId="72A7C28C" w14:textId="35B9AD9C" w:rsidR="000E7379" w:rsidRPr="000E7379" w:rsidRDefault="000E7379" w:rsidP="000E7379">
            <w:pPr>
              <w:widowControl w:val="0"/>
              <w:spacing w:before="120" w:after="120"/>
              <w:jc w:val="both"/>
              <w:rPr>
                <w:rFonts w:ascii="Times New Roman" w:hAnsi="Times New Roman"/>
                <w:sz w:val="24"/>
                <w:szCs w:val="24"/>
                <w:lang w:val="en-IE"/>
              </w:rPr>
            </w:pPr>
            <w:r w:rsidRPr="000E7379">
              <w:rPr>
                <w:rFonts w:ascii="Times New Roman" w:hAnsi="Times New Roman"/>
                <w:sz w:val="24"/>
                <w:szCs w:val="24"/>
                <w:lang w:val="en-IE"/>
              </w:rPr>
              <w:t>Furthermore, the Proposal complements broader Union initiatives aimed at strengthening crisis-resilient communication frameworks, countering disinformation and hybrid threats, and enhancing public risk awareness</w:t>
            </w:r>
            <w:r>
              <w:rPr>
                <w:rFonts w:ascii="Times New Roman" w:hAnsi="Times New Roman"/>
                <w:sz w:val="24"/>
                <w:szCs w:val="24"/>
                <w:lang w:val="en-IE"/>
              </w:rPr>
              <w:t xml:space="preserve"> through its implementation of the all-hazards principle</w:t>
            </w:r>
            <w:r w:rsidRPr="000E7379">
              <w:rPr>
                <w:rFonts w:ascii="Times New Roman" w:hAnsi="Times New Roman"/>
                <w:sz w:val="24"/>
                <w:szCs w:val="24"/>
                <w:lang w:val="en-IE"/>
              </w:rPr>
              <w:t>.</w:t>
            </w:r>
          </w:p>
          <w:p w14:paraId="28123E1E" w14:textId="20FA1A0C"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1.5</w:t>
            </w:r>
            <w:r w:rsidR="000E7379">
              <w:rPr>
                <w:rFonts w:ascii="Times New Roman" w:hAnsi="Times New Roman"/>
                <w:sz w:val="24"/>
                <w:szCs w:val="24"/>
                <w:u w:val="single"/>
                <w:lang w:val="en-IE"/>
              </w:rPr>
              <w:t xml:space="preserve"> of the opinion</w:t>
            </w:r>
            <w:r w:rsidR="000E7379" w:rsidRPr="000E7379">
              <w:rPr>
                <w:rFonts w:ascii="Times New Roman" w:hAnsi="Times New Roman"/>
                <w:sz w:val="24"/>
                <w:szCs w:val="24"/>
                <w:u w:val="single"/>
                <w:lang w:val="en-IE"/>
              </w:rPr>
              <w:t>:</w:t>
            </w:r>
            <w:r w:rsidR="000E7379"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acknowledges the Committee’s emphasis on territorial asymmetries, vulnerable regions and the integration of the principle of territoriality in funding distribution.</w:t>
            </w:r>
          </w:p>
          <w:p w14:paraId="5EE5D931" w14:textId="73384E7F"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 xml:space="preserve">The Proposal already foresees that prevention, preparedness and response measures </w:t>
            </w:r>
            <w:proofErr w:type="gramStart"/>
            <w:r w:rsidRPr="001E3306">
              <w:rPr>
                <w:rFonts w:ascii="Times New Roman" w:hAnsi="Times New Roman"/>
                <w:sz w:val="24"/>
                <w:szCs w:val="24"/>
                <w:lang w:val="en-IE"/>
              </w:rPr>
              <w:t>take into account</w:t>
            </w:r>
            <w:proofErr w:type="gramEnd"/>
            <w:r w:rsidRPr="001E3306">
              <w:rPr>
                <w:rFonts w:ascii="Times New Roman" w:hAnsi="Times New Roman"/>
                <w:sz w:val="24"/>
                <w:szCs w:val="24"/>
                <w:lang w:val="en-IE"/>
              </w:rPr>
              <w:t xml:space="preserve"> the special needs of certain regions, including outermost regions and geographically isolated territories. The Commission recognises the Committee’s suggested amendment to Article</w:t>
            </w:r>
            <w:r w:rsidR="003F30CE">
              <w:rPr>
                <w:rFonts w:ascii="Times New Roman" w:hAnsi="Times New Roman"/>
                <w:sz w:val="24"/>
                <w:szCs w:val="24"/>
                <w:lang w:val="en-IE"/>
              </w:rPr>
              <w:t> </w:t>
            </w:r>
            <w:r w:rsidRPr="001E3306">
              <w:rPr>
                <w:rFonts w:ascii="Times New Roman" w:hAnsi="Times New Roman"/>
                <w:sz w:val="24"/>
                <w:szCs w:val="24"/>
                <w:lang w:val="en-IE"/>
              </w:rPr>
              <w:t>2(7) and its objective of reflecting evolving geopolitical realities.</w:t>
            </w:r>
          </w:p>
          <w:p w14:paraId="32CA13E7" w14:textId="77777777"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 xml:space="preserve">This proposal will be assessed carefully </w:t>
            </w:r>
            <w:proofErr w:type="gramStart"/>
            <w:r w:rsidRPr="001E3306">
              <w:rPr>
                <w:rFonts w:ascii="Times New Roman" w:hAnsi="Times New Roman"/>
                <w:sz w:val="24"/>
                <w:szCs w:val="24"/>
                <w:lang w:val="en-IE"/>
              </w:rPr>
              <w:t>in light of</w:t>
            </w:r>
            <w:proofErr w:type="gramEnd"/>
            <w:r w:rsidRPr="001E3306">
              <w:rPr>
                <w:rFonts w:ascii="Times New Roman" w:hAnsi="Times New Roman"/>
                <w:sz w:val="24"/>
                <w:szCs w:val="24"/>
                <w:lang w:val="en-IE"/>
              </w:rPr>
              <w:t xml:space="preserve"> coherence with risk-based allocation mechanisms, cohesion policy frameworks and Union solidarity principles. The Commission also recognises the importance of addressing the long-term social consequences of disasters, particularly for vulnerable groups.</w:t>
            </w:r>
          </w:p>
          <w:p w14:paraId="1A3EF0B2" w14:textId="727E5194"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1.6</w:t>
            </w:r>
            <w:r w:rsidR="000E7379" w:rsidRPr="000E7379">
              <w:rPr>
                <w:rFonts w:ascii="Times New Roman" w:hAnsi="Times New Roman"/>
                <w:sz w:val="24"/>
                <w:szCs w:val="24"/>
                <w:u w:val="single"/>
                <w:lang w:val="en-IE"/>
              </w:rPr>
              <w:t xml:space="preserve"> of the opinion:</w:t>
            </w:r>
            <w:r w:rsidR="000E7379"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fully agrees that coherence between Union-level instruments and National and Regional Partnership Plans is essential for ensuring effectiveness and avoiding duplication.</w:t>
            </w:r>
          </w:p>
          <w:p w14:paraId="7BA49EE6" w14:textId="77777777"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The forthcoming programming framework aims precisely to embed preparedness, resilience and disaster risk management investments into national and regional development strategies, ensuring alignment between Union objectives and territorial priorities.</w:t>
            </w:r>
          </w:p>
          <w:p w14:paraId="5868C431" w14:textId="76512930" w:rsid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1.7</w:t>
            </w:r>
            <w:r w:rsidR="000E7379" w:rsidRPr="000E7379">
              <w:rPr>
                <w:rFonts w:ascii="Times New Roman" w:hAnsi="Times New Roman"/>
                <w:sz w:val="24"/>
                <w:szCs w:val="24"/>
                <w:u w:val="single"/>
                <w:lang w:val="en-IE"/>
              </w:rPr>
              <w:t xml:space="preserve"> of the opinion:</w:t>
            </w:r>
            <w:r w:rsidR="000E7379"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shares the Committee’s view regarding the strategic importance of the European Civil Protection Pool, rescEU and the Common Emergency Communication and Information System (CECIS)</w:t>
            </w:r>
            <w:r w:rsidR="00423E19">
              <w:rPr>
                <w:rFonts w:ascii="Times New Roman" w:hAnsi="Times New Roman"/>
                <w:sz w:val="24"/>
                <w:szCs w:val="24"/>
                <w:lang w:val="en-IE"/>
              </w:rPr>
              <w:t xml:space="preserve"> as the pillars of the UCPM</w:t>
            </w:r>
            <w:r w:rsidRPr="001E3306">
              <w:rPr>
                <w:rFonts w:ascii="Times New Roman" w:hAnsi="Times New Roman"/>
                <w:sz w:val="24"/>
                <w:szCs w:val="24"/>
                <w:lang w:val="en-IE"/>
              </w:rPr>
              <w:t>.</w:t>
            </w:r>
          </w:p>
          <w:p w14:paraId="5738C8B6" w14:textId="6DF22CCE" w:rsidR="00423E19" w:rsidRPr="00423E19" w:rsidRDefault="00423E19" w:rsidP="00423E19">
            <w:pPr>
              <w:widowControl w:val="0"/>
              <w:spacing w:before="120" w:after="120"/>
              <w:jc w:val="both"/>
              <w:rPr>
                <w:rFonts w:ascii="Times New Roman" w:hAnsi="Times New Roman"/>
                <w:sz w:val="24"/>
                <w:szCs w:val="24"/>
                <w:lang w:val="en-IE"/>
              </w:rPr>
            </w:pPr>
            <w:r w:rsidRPr="0B373C74">
              <w:rPr>
                <w:rFonts w:ascii="Times New Roman" w:hAnsi="Times New Roman"/>
                <w:sz w:val="24"/>
                <w:szCs w:val="24"/>
                <w:lang w:val="en-IE"/>
              </w:rPr>
              <w:t xml:space="preserve">The Proposal does not alter the UCPM’s foundational structure nor the prominence of </w:t>
            </w:r>
            <w:r w:rsidRPr="0B373C74">
              <w:rPr>
                <w:rFonts w:ascii="Times New Roman" w:hAnsi="Times New Roman"/>
                <w:sz w:val="24"/>
                <w:szCs w:val="24"/>
                <w:lang w:val="en-IE"/>
              </w:rPr>
              <w:lastRenderedPageBreak/>
              <w:t>the</w:t>
            </w:r>
            <w:r w:rsidR="003F30CE">
              <w:rPr>
                <w:rFonts w:ascii="Times New Roman" w:hAnsi="Times New Roman"/>
                <w:sz w:val="24"/>
                <w:szCs w:val="24"/>
                <w:lang w:val="en-IE"/>
              </w:rPr>
              <w:t> </w:t>
            </w:r>
            <w:r w:rsidRPr="0B373C74">
              <w:rPr>
                <w:rFonts w:ascii="Times New Roman" w:hAnsi="Times New Roman"/>
                <w:sz w:val="24"/>
                <w:szCs w:val="24"/>
                <w:lang w:val="en-IE"/>
              </w:rPr>
              <w:t>European Civil Protection Pool, rescEU, or CECIS. Rather, it updates this framework with the</w:t>
            </w:r>
            <w:r w:rsidR="003F30CE">
              <w:rPr>
                <w:rFonts w:ascii="Times New Roman" w:hAnsi="Times New Roman"/>
                <w:sz w:val="24"/>
                <w:szCs w:val="24"/>
                <w:lang w:val="en-IE"/>
              </w:rPr>
              <w:t> </w:t>
            </w:r>
            <w:r w:rsidRPr="0B373C74">
              <w:rPr>
                <w:rFonts w:ascii="Times New Roman" w:hAnsi="Times New Roman"/>
                <w:sz w:val="24"/>
                <w:szCs w:val="24"/>
                <w:lang w:val="en-IE"/>
              </w:rPr>
              <w:t xml:space="preserve">establishment of the Hub to reflect the evolution of risks observed over the past decade, during which the Mechanism has been activated with increasing frequency and for crises of greater scale, duration and with a </w:t>
            </w:r>
            <w:r w:rsidR="6054439D" w:rsidRPr="0B373C74">
              <w:rPr>
                <w:rFonts w:ascii="Times New Roman" w:hAnsi="Times New Roman"/>
                <w:sz w:val="24"/>
                <w:szCs w:val="24"/>
                <w:lang w:val="en-IE"/>
              </w:rPr>
              <w:t>cross sectoral</w:t>
            </w:r>
            <w:r w:rsidRPr="0B373C74">
              <w:rPr>
                <w:rFonts w:ascii="Times New Roman" w:hAnsi="Times New Roman"/>
                <w:sz w:val="24"/>
                <w:szCs w:val="24"/>
                <w:lang w:val="en-IE"/>
              </w:rPr>
              <w:t xml:space="preserve"> complexity. The Proposal therefore seeks to preserve the UCPM as a </w:t>
            </w:r>
            <w:r w:rsidR="5E623488" w:rsidRPr="0B373C74">
              <w:rPr>
                <w:rFonts w:ascii="Times New Roman" w:hAnsi="Times New Roman"/>
                <w:sz w:val="24"/>
                <w:szCs w:val="24"/>
                <w:lang w:val="en-IE"/>
              </w:rPr>
              <w:t>well-functioning</w:t>
            </w:r>
            <w:r w:rsidRPr="0B373C74">
              <w:rPr>
                <w:rFonts w:ascii="Times New Roman" w:hAnsi="Times New Roman"/>
                <w:sz w:val="24"/>
                <w:szCs w:val="24"/>
                <w:lang w:val="en-IE"/>
              </w:rPr>
              <w:t xml:space="preserve"> system while enhancing its ability to anticipate risks and support Member States in a more predictable and effective manner.</w:t>
            </w:r>
          </w:p>
          <w:p w14:paraId="2F02487D" w14:textId="34B46E06" w:rsidR="001E3306" w:rsidRPr="004D66C7"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1.8</w:t>
            </w:r>
            <w:r w:rsidR="00423E19" w:rsidRPr="00423E19">
              <w:rPr>
                <w:rFonts w:ascii="Times New Roman" w:hAnsi="Times New Roman"/>
                <w:sz w:val="24"/>
                <w:szCs w:val="24"/>
                <w:u w:val="single"/>
                <w:lang w:val="en-IE"/>
              </w:rPr>
              <w:t xml:space="preserve"> of the opinion:</w:t>
            </w:r>
            <w:r w:rsidR="00423E19"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welcomes the Committee’s emphasis on fostering complementarities between Union instruments and addressing knowledge gaps concerning UCPM procedures.</w:t>
            </w:r>
          </w:p>
          <w:p w14:paraId="05A3A44D" w14:textId="7EADBEC9" w:rsidR="001E3306" w:rsidRPr="001E3306" w:rsidRDefault="001E3306" w:rsidP="001E3306">
            <w:pPr>
              <w:widowControl w:val="0"/>
              <w:spacing w:before="120" w:after="120"/>
              <w:jc w:val="both"/>
              <w:rPr>
                <w:rFonts w:ascii="Times New Roman" w:hAnsi="Times New Roman"/>
                <w:sz w:val="24"/>
                <w:szCs w:val="24"/>
                <w:lang w:val="en-IE"/>
              </w:rPr>
            </w:pPr>
            <w:r w:rsidRPr="0B373C74">
              <w:rPr>
                <w:rFonts w:ascii="Times New Roman" w:hAnsi="Times New Roman"/>
                <w:sz w:val="24"/>
                <w:szCs w:val="24"/>
                <w:lang w:val="en-IE"/>
              </w:rPr>
              <w:t>In line with the whole-of-society approach highlighted in the P</w:t>
            </w:r>
            <w:r w:rsidR="00423E19" w:rsidRPr="0B373C74">
              <w:rPr>
                <w:rFonts w:ascii="Times New Roman" w:hAnsi="Times New Roman"/>
                <w:sz w:val="24"/>
                <w:szCs w:val="24"/>
                <w:lang w:val="en-IE"/>
              </w:rPr>
              <w:t>reparedness Union Strategy</w:t>
            </w:r>
            <w:r w:rsidRPr="0B373C74">
              <w:rPr>
                <w:rFonts w:ascii="Times New Roman" w:hAnsi="Times New Roman"/>
                <w:sz w:val="24"/>
                <w:szCs w:val="24"/>
                <w:lang w:val="en-IE"/>
              </w:rPr>
              <w:t>, the</w:t>
            </w:r>
            <w:r w:rsidR="003F30CE">
              <w:rPr>
                <w:rFonts w:ascii="Times New Roman" w:hAnsi="Times New Roman"/>
                <w:sz w:val="24"/>
                <w:szCs w:val="24"/>
                <w:lang w:val="en-IE"/>
              </w:rPr>
              <w:t> </w:t>
            </w:r>
            <w:r w:rsidR="00423E19" w:rsidRPr="0B373C74">
              <w:rPr>
                <w:rFonts w:ascii="Times New Roman" w:hAnsi="Times New Roman"/>
                <w:sz w:val="24"/>
                <w:szCs w:val="24"/>
                <w:lang w:val="en-IE"/>
              </w:rPr>
              <w:t xml:space="preserve">Proposal has integrated </w:t>
            </w:r>
            <w:r w:rsidR="00394CB3" w:rsidRPr="0B373C74">
              <w:rPr>
                <w:rFonts w:ascii="Times New Roman" w:hAnsi="Times New Roman"/>
                <w:sz w:val="24"/>
                <w:szCs w:val="24"/>
                <w:lang w:val="en-IE"/>
              </w:rPr>
              <w:t xml:space="preserve">the potential to exchange knowledge and experience with stakeholders from all levels of government and society in the context of the Union Civil </w:t>
            </w:r>
            <w:r w:rsidR="61097442" w:rsidRPr="0B373C74">
              <w:rPr>
                <w:rFonts w:ascii="Times New Roman" w:hAnsi="Times New Roman"/>
                <w:sz w:val="24"/>
                <w:szCs w:val="24"/>
                <w:lang w:val="en-IE"/>
              </w:rPr>
              <w:t>Protection</w:t>
            </w:r>
            <w:r w:rsidR="00394CB3" w:rsidRPr="0B373C74">
              <w:rPr>
                <w:rFonts w:ascii="Times New Roman" w:hAnsi="Times New Roman"/>
                <w:sz w:val="24"/>
                <w:szCs w:val="24"/>
                <w:lang w:val="en-IE"/>
              </w:rPr>
              <w:t xml:space="preserve"> Knowledge Network (the Network).</w:t>
            </w:r>
            <w:r w:rsidRPr="0B373C74">
              <w:rPr>
                <w:rFonts w:ascii="Times New Roman" w:hAnsi="Times New Roman"/>
                <w:sz w:val="24"/>
                <w:szCs w:val="24"/>
                <w:lang w:val="en-IE"/>
              </w:rPr>
              <w:t xml:space="preserve"> </w:t>
            </w:r>
            <w:r w:rsidR="00394CB3" w:rsidRPr="0B373C74">
              <w:rPr>
                <w:rFonts w:ascii="Times New Roman" w:hAnsi="Times New Roman"/>
                <w:sz w:val="24"/>
                <w:szCs w:val="24"/>
                <w:lang w:val="en-IE"/>
              </w:rPr>
              <w:t xml:space="preserve">The Network </w:t>
            </w:r>
            <w:r w:rsidRPr="0B373C74">
              <w:rPr>
                <w:rFonts w:ascii="Times New Roman" w:hAnsi="Times New Roman"/>
                <w:sz w:val="24"/>
                <w:szCs w:val="24"/>
                <w:lang w:val="en-IE"/>
              </w:rPr>
              <w:t xml:space="preserve">continues </w:t>
            </w:r>
            <w:r w:rsidR="00394CB3" w:rsidRPr="0B373C74">
              <w:rPr>
                <w:rFonts w:ascii="Times New Roman" w:hAnsi="Times New Roman"/>
                <w:sz w:val="24"/>
                <w:szCs w:val="24"/>
                <w:lang w:val="en-IE"/>
              </w:rPr>
              <w:t xml:space="preserve">to be a pillar of </w:t>
            </w:r>
            <w:r w:rsidRPr="0B373C74">
              <w:rPr>
                <w:rFonts w:ascii="Times New Roman" w:hAnsi="Times New Roman"/>
                <w:sz w:val="24"/>
                <w:szCs w:val="24"/>
                <w:lang w:val="en-IE"/>
              </w:rPr>
              <w:t xml:space="preserve">outreach, capacity-building, training and awareness-raising. </w:t>
            </w:r>
            <w:r w:rsidR="00394CB3" w:rsidRPr="0B373C74">
              <w:rPr>
                <w:rFonts w:ascii="Times New Roman" w:hAnsi="Times New Roman"/>
                <w:sz w:val="24"/>
                <w:szCs w:val="24"/>
                <w:lang w:val="en-IE"/>
              </w:rPr>
              <w:t xml:space="preserve">Also, </w:t>
            </w:r>
            <w:r w:rsidR="00EF7433">
              <w:rPr>
                <w:rFonts w:ascii="Times New Roman" w:hAnsi="Times New Roman"/>
                <w:sz w:val="24"/>
                <w:szCs w:val="24"/>
                <w:lang w:val="en-IE"/>
              </w:rPr>
              <w:t xml:space="preserve">through </w:t>
            </w:r>
            <w:r w:rsidR="00394CB3" w:rsidRPr="0B373C74">
              <w:rPr>
                <w:rFonts w:ascii="Times New Roman" w:hAnsi="Times New Roman"/>
                <w:sz w:val="24"/>
                <w:szCs w:val="24"/>
                <w:lang w:val="en-IE"/>
              </w:rPr>
              <w:t>provisions supporting Member States, particularly in conducting preparedness actions, peer reviews, and development of public warning systems, the Proposal sets a basis for the e</w:t>
            </w:r>
            <w:r w:rsidRPr="0B373C74">
              <w:rPr>
                <w:rFonts w:ascii="Times New Roman" w:hAnsi="Times New Roman"/>
                <w:sz w:val="24"/>
                <w:szCs w:val="24"/>
                <w:lang w:val="en-IE"/>
              </w:rPr>
              <w:t>mpower</w:t>
            </w:r>
            <w:r w:rsidR="00394CB3" w:rsidRPr="0B373C74">
              <w:rPr>
                <w:rFonts w:ascii="Times New Roman" w:hAnsi="Times New Roman"/>
                <w:sz w:val="24"/>
                <w:szCs w:val="24"/>
                <w:lang w:val="en-IE"/>
              </w:rPr>
              <w:t>ment of</w:t>
            </w:r>
            <w:r w:rsidRPr="0B373C74">
              <w:rPr>
                <w:rFonts w:ascii="Times New Roman" w:hAnsi="Times New Roman"/>
                <w:sz w:val="24"/>
                <w:szCs w:val="24"/>
                <w:lang w:val="en-IE"/>
              </w:rPr>
              <w:t xml:space="preserve"> citizens, stakeholders and institutions to actively contribute to preparedness.</w:t>
            </w:r>
          </w:p>
          <w:p w14:paraId="0FB59A55" w14:textId="55FB3112" w:rsidR="001E3306" w:rsidRPr="004D66C7"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 xml:space="preserve">Point 1.9 </w:t>
            </w:r>
            <w:r w:rsidR="00394CB3" w:rsidRPr="00394CB3">
              <w:rPr>
                <w:rFonts w:ascii="Times New Roman" w:hAnsi="Times New Roman"/>
                <w:sz w:val="24"/>
                <w:szCs w:val="24"/>
                <w:u w:val="single"/>
                <w:lang w:val="en-IE"/>
              </w:rPr>
              <w:t>of the opinion:</w:t>
            </w:r>
            <w:r w:rsidR="00394CB3"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fully recognises the indispensable role of professional responders and volunteers</w:t>
            </w:r>
            <w:r w:rsidR="00394CB3">
              <w:rPr>
                <w:rFonts w:ascii="Times New Roman" w:hAnsi="Times New Roman"/>
                <w:sz w:val="24"/>
                <w:szCs w:val="24"/>
                <w:lang w:val="en-IE"/>
              </w:rPr>
              <w:t xml:space="preserve"> in civil protection action</w:t>
            </w:r>
            <w:r w:rsidRPr="001E3306">
              <w:rPr>
                <w:rFonts w:ascii="Times New Roman" w:hAnsi="Times New Roman"/>
                <w:sz w:val="24"/>
                <w:szCs w:val="24"/>
                <w:lang w:val="en-IE"/>
              </w:rPr>
              <w:t>.</w:t>
            </w:r>
          </w:p>
          <w:p w14:paraId="44EE6A13" w14:textId="6A7D3135" w:rsidR="001E3306" w:rsidRPr="001E3306" w:rsidRDefault="00394CB3" w:rsidP="001E3306">
            <w:pPr>
              <w:widowControl w:val="0"/>
              <w:spacing w:before="120" w:after="120"/>
              <w:jc w:val="both"/>
              <w:rPr>
                <w:rFonts w:ascii="Times New Roman" w:hAnsi="Times New Roman"/>
                <w:sz w:val="24"/>
                <w:szCs w:val="24"/>
                <w:lang w:val="en-IE"/>
              </w:rPr>
            </w:pPr>
            <w:r>
              <w:rPr>
                <w:rFonts w:ascii="Times New Roman" w:hAnsi="Times New Roman"/>
                <w:sz w:val="24"/>
                <w:szCs w:val="24"/>
                <w:lang w:val="en-IE"/>
              </w:rPr>
              <w:t>However, it is not in the Union’s competence to directly regulate on these matters. Such issues remain under the exclusive remit of the Member States. The Proposal maintains the approach already established in the UCPM framework where the Member States themselves decide on the</w:t>
            </w:r>
            <w:r w:rsidR="003F30CE">
              <w:rPr>
                <w:rFonts w:ascii="Times New Roman" w:hAnsi="Times New Roman"/>
                <w:sz w:val="24"/>
                <w:szCs w:val="24"/>
                <w:lang w:val="en-IE"/>
              </w:rPr>
              <w:t> </w:t>
            </w:r>
            <w:r>
              <w:rPr>
                <w:rFonts w:ascii="Times New Roman" w:hAnsi="Times New Roman"/>
                <w:sz w:val="24"/>
                <w:szCs w:val="24"/>
                <w:lang w:val="en-IE"/>
              </w:rPr>
              <w:t>appropriateness of involving volunteers in the context of national response</w:t>
            </w:r>
            <w:r w:rsidR="001E3306" w:rsidRPr="001E3306">
              <w:rPr>
                <w:rFonts w:ascii="Times New Roman" w:hAnsi="Times New Roman"/>
                <w:sz w:val="24"/>
                <w:szCs w:val="24"/>
                <w:lang w:val="en-IE"/>
              </w:rPr>
              <w:t>.</w:t>
            </w:r>
          </w:p>
          <w:p w14:paraId="14618444" w14:textId="2CC62B3F"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 xml:space="preserve">Point 1.10 </w:t>
            </w:r>
            <w:r w:rsidR="00394CB3" w:rsidRPr="00394CB3">
              <w:rPr>
                <w:rFonts w:ascii="Times New Roman" w:hAnsi="Times New Roman"/>
                <w:sz w:val="24"/>
                <w:szCs w:val="24"/>
                <w:u w:val="single"/>
                <w:lang w:val="en-IE"/>
              </w:rPr>
              <w:t>of the opinion:</w:t>
            </w:r>
            <w:r w:rsidR="00394CB3"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strongly agrees with the Committee’s emphasis on organised civil society as a strategic partner.</w:t>
            </w:r>
          </w:p>
          <w:p w14:paraId="7C1BDF12" w14:textId="5FD5B8C3"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The Proposal’s whole-of-society approach seeks to reinforce cooperation with civil society actors in preparedness, prevention, communication and community resilience. The suggested amendments to Articles</w:t>
            </w:r>
            <w:r w:rsidR="00F40FB0">
              <w:rPr>
                <w:rFonts w:ascii="Times New Roman" w:hAnsi="Times New Roman"/>
                <w:sz w:val="24"/>
                <w:szCs w:val="24"/>
                <w:lang w:val="en-IE"/>
              </w:rPr>
              <w:t> </w:t>
            </w:r>
            <w:r w:rsidRPr="001E3306">
              <w:rPr>
                <w:rFonts w:ascii="Times New Roman" w:hAnsi="Times New Roman"/>
                <w:sz w:val="24"/>
                <w:szCs w:val="24"/>
                <w:lang w:val="en-IE"/>
              </w:rPr>
              <w:t>14 and 17 will be examined carefully.</w:t>
            </w:r>
          </w:p>
          <w:p w14:paraId="08F8F6E6" w14:textId="1FAF5D28" w:rsidR="001E3306" w:rsidRPr="004D66C7"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1.11</w:t>
            </w:r>
            <w:r w:rsidR="00394CB3" w:rsidRPr="00394CB3">
              <w:rPr>
                <w:rFonts w:ascii="Times New Roman" w:hAnsi="Times New Roman"/>
                <w:sz w:val="24"/>
                <w:szCs w:val="24"/>
                <w:u w:val="single"/>
                <w:lang w:val="en-IE"/>
              </w:rPr>
              <w:t xml:space="preserve"> of the opinion:</w:t>
            </w:r>
            <w:r w:rsidR="00394CB3"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shares the Committee’s assessment that procurement procedures must not become bottlenecks during emergencies.</w:t>
            </w:r>
          </w:p>
          <w:p w14:paraId="522487FB" w14:textId="3971955F" w:rsidR="001E3306" w:rsidRPr="001E3306" w:rsidRDefault="001E3306" w:rsidP="001E3306">
            <w:pPr>
              <w:widowControl w:val="0"/>
              <w:spacing w:before="120" w:after="120"/>
              <w:jc w:val="both"/>
              <w:rPr>
                <w:rFonts w:ascii="Times New Roman" w:hAnsi="Times New Roman"/>
                <w:sz w:val="24"/>
                <w:szCs w:val="24"/>
                <w:lang w:val="en-IE"/>
              </w:rPr>
            </w:pPr>
            <w:r w:rsidRPr="001E3306">
              <w:rPr>
                <w:rFonts w:ascii="Times New Roman" w:hAnsi="Times New Roman"/>
                <w:sz w:val="24"/>
                <w:szCs w:val="24"/>
                <w:lang w:val="en-IE"/>
              </w:rPr>
              <w:t>The Proposal seeks to ensure rapid mobilisation of critical goods and services while safeguarding transparency and sound financial management. Promoting fair SME participation strengthens resilience and local recovery</w:t>
            </w:r>
            <w:r w:rsidR="00394CB3" w:rsidRPr="00394CB3">
              <w:rPr>
                <w:rFonts w:ascii="Times New Roman" w:hAnsi="Times New Roman"/>
                <w:sz w:val="24"/>
                <w:szCs w:val="24"/>
                <w:lang w:val="en-IE"/>
              </w:rPr>
              <w:t xml:space="preserve"> an</w:t>
            </w:r>
            <w:r w:rsidR="00394CB3">
              <w:rPr>
                <w:rFonts w:ascii="Times New Roman" w:hAnsi="Times New Roman"/>
                <w:sz w:val="24"/>
                <w:szCs w:val="24"/>
                <w:lang w:val="en-IE"/>
              </w:rPr>
              <w:t>d is not limited as an option under the Proposal</w:t>
            </w:r>
            <w:r w:rsidRPr="001E3306">
              <w:rPr>
                <w:rFonts w:ascii="Times New Roman" w:hAnsi="Times New Roman"/>
                <w:sz w:val="24"/>
                <w:szCs w:val="24"/>
                <w:lang w:val="en-IE"/>
              </w:rPr>
              <w:t>.</w:t>
            </w:r>
            <w:r w:rsidR="00394CB3">
              <w:rPr>
                <w:rFonts w:ascii="Times New Roman" w:hAnsi="Times New Roman"/>
                <w:sz w:val="24"/>
                <w:szCs w:val="24"/>
                <w:lang w:val="en-IE"/>
              </w:rPr>
              <w:t xml:space="preserve"> </w:t>
            </w:r>
            <w:r w:rsidR="00EF7433">
              <w:rPr>
                <w:rFonts w:ascii="Times New Roman" w:hAnsi="Times New Roman"/>
                <w:sz w:val="24"/>
                <w:szCs w:val="24"/>
                <w:lang w:val="en-IE"/>
              </w:rPr>
              <w:t>T</w:t>
            </w:r>
            <w:r w:rsidR="00394CB3">
              <w:rPr>
                <w:rFonts w:ascii="Times New Roman" w:hAnsi="Times New Roman"/>
                <w:sz w:val="24"/>
                <w:szCs w:val="24"/>
                <w:lang w:val="en-IE"/>
              </w:rPr>
              <w:t xml:space="preserve">he Proposal </w:t>
            </w:r>
            <w:r w:rsidR="00CE0ED9">
              <w:rPr>
                <w:rFonts w:ascii="Times New Roman" w:hAnsi="Times New Roman"/>
                <w:sz w:val="24"/>
                <w:szCs w:val="24"/>
                <w:lang w:val="en-IE"/>
              </w:rPr>
              <w:t>foresees flexible arrangements for the procurement of capacities, as well as materials and services that may support response to disasters and crises and introduces the potential to integrate donations into the pools of capacities when appropriate.</w:t>
            </w:r>
          </w:p>
          <w:p w14:paraId="1F5DC5EC" w14:textId="7C98A013" w:rsidR="001E3306" w:rsidRPr="004D66C7" w:rsidRDefault="001E3306" w:rsidP="001F7A73">
            <w:pPr>
              <w:keepNext/>
              <w:keepLines/>
              <w:spacing w:before="120" w:after="120"/>
              <w:jc w:val="both"/>
              <w:rPr>
                <w:rFonts w:ascii="Times New Roman" w:hAnsi="Times New Roman"/>
                <w:sz w:val="24"/>
                <w:szCs w:val="24"/>
                <w:lang w:val="en-IE"/>
              </w:rPr>
            </w:pPr>
            <w:r w:rsidRPr="001E3306">
              <w:rPr>
                <w:rFonts w:ascii="Times New Roman" w:hAnsi="Times New Roman"/>
                <w:sz w:val="24"/>
                <w:szCs w:val="24"/>
                <w:u w:val="single"/>
                <w:lang w:val="en-IE"/>
              </w:rPr>
              <w:t>Point 1.12</w:t>
            </w:r>
            <w:r w:rsidR="00CE0ED9" w:rsidRPr="00CE0ED9">
              <w:rPr>
                <w:rFonts w:ascii="Times New Roman" w:hAnsi="Times New Roman"/>
                <w:sz w:val="24"/>
                <w:szCs w:val="24"/>
                <w:u w:val="single"/>
                <w:lang w:val="en-IE"/>
              </w:rPr>
              <w:t xml:space="preserve"> of the opinion:</w:t>
            </w:r>
            <w:r w:rsidR="00CE0ED9" w:rsidRPr="004D66C7">
              <w:rPr>
                <w:rFonts w:ascii="Times New Roman" w:hAnsi="Times New Roman"/>
                <w:sz w:val="24"/>
                <w:szCs w:val="24"/>
                <w:lang w:val="en-IE"/>
              </w:rPr>
              <w:t xml:space="preserve"> </w:t>
            </w:r>
            <w:r w:rsidRPr="001E3306">
              <w:rPr>
                <w:rFonts w:ascii="Times New Roman" w:hAnsi="Times New Roman"/>
                <w:sz w:val="24"/>
                <w:szCs w:val="24"/>
                <w:lang w:val="en-IE"/>
              </w:rPr>
              <w:t>The Commission acknowledges the Committee’s recommendation to establish a standardised reporting form within CECIS.</w:t>
            </w:r>
          </w:p>
          <w:p w14:paraId="1AFFF694" w14:textId="251DEA02" w:rsidR="00CE0ED9" w:rsidRDefault="00CE0ED9" w:rsidP="00CE0ED9">
            <w:pPr>
              <w:widowControl w:val="0"/>
              <w:spacing w:before="120" w:after="120"/>
              <w:jc w:val="both"/>
              <w:rPr>
                <w:rFonts w:ascii="Times New Roman" w:hAnsi="Times New Roman"/>
                <w:sz w:val="24"/>
                <w:szCs w:val="24"/>
                <w:lang w:val="en-IE"/>
              </w:rPr>
            </w:pPr>
            <w:r>
              <w:rPr>
                <w:rFonts w:ascii="Times New Roman" w:hAnsi="Times New Roman"/>
                <w:sz w:val="24"/>
                <w:szCs w:val="24"/>
                <w:lang w:val="en-IE"/>
              </w:rPr>
              <w:t xml:space="preserve">The Proposal already seeks to streamline the reporting obligations under its framework. </w:t>
            </w:r>
            <w:r w:rsidRPr="00CE0ED9">
              <w:rPr>
                <w:rFonts w:ascii="Times New Roman" w:hAnsi="Times New Roman"/>
                <w:sz w:val="24"/>
                <w:szCs w:val="24"/>
                <w:lang w:val="en-IE"/>
              </w:rPr>
              <w:t>The</w:t>
            </w:r>
            <w:r w:rsidR="003F30CE">
              <w:rPr>
                <w:rFonts w:ascii="Times New Roman" w:hAnsi="Times New Roman"/>
                <w:sz w:val="24"/>
                <w:szCs w:val="24"/>
                <w:lang w:val="en-IE"/>
              </w:rPr>
              <w:t> </w:t>
            </w:r>
            <w:r>
              <w:rPr>
                <w:rFonts w:ascii="Times New Roman" w:hAnsi="Times New Roman"/>
                <w:sz w:val="24"/>
                <w:szCs w:val="24"/>
                <w:lang w:val="en-IE"/>
              </w:rPr>
              <w:t xml:space="preserve">provisions on Member States’ </w:t>
            </w:r>
            <w:r w:rsidRPr="00CE0ED9">
              <w:rPr>
                <w:rFonts w:ascii="Times New Roman" w:hAnsi="Times New Roman"/>
                <w:sz w:val="24"/>
                <w:szCs w:val="24"/>
                <w:lang w:val="en-IE"/>
              </w:rPr>
              <w:t xml:space="preserve">reporting </w:t>
            </w:r>
            <w:r>
              <w:rPr>
                <w:rFonts w:ascii="Times New Roman" w:hAnsi="Times New Roman"/>
                <w:sz w:val="24"/>
                <w:szCs w:val="24"/>
                <w:lang w:val="en-IE"/>
              </w:rPr>
              <w:t xml:space="preserve">foresees a five-year reporting cycle of risk </w:t>
            </w:r>
            <w:r>
              <w:rPr>
                <w:rFonts w:ascii="Times New Roman" w:hAnsi="Times New Roman"/>
                <w:sz w:val="24"/>
                <w:szCs w:val="24"/>
                <w:lang w:val="en-IE"/>
              </w:rPr>
              <w:lastRenderedPageBreak/>
              <w:t xml:space="preserve">assessments which would feed into Union-level policy development. This approach </w:t>
            </w:r>
            <w:r w:rsidRPr="00CE0ED9">
              <w:rPr>
                <w:rFonts w:ascii="Times New Roman" w:hAnsi="Times New Roman"/>
                <w:sz w:val="24"/>
                <w:szCs w:val="24"/>
                <w:lang w:val="en-IE"/>
              </w:rPr>
              <w:t>aims to strike a balance between ensuring sufficient regularity of information at Union level and avoiding unnecessary administrative burden on Member States.</w:t>
            </w:r>
          </w:p>
          <w:p w14:paraId="41ADDDA4" w14:textId="3B78EC48" w:rsidR="004F6117" w:rsidRPr="00CE0ED9" w:rsidRDefault="00CE0ED9" w:rsidP="00F60C76">
            <w:pPr>
              <w:widowControl w:val="0"/>
              <w:spacing w:before="120" w:after="120"/>
              <w:jc w:val="both"/>
              <w:rPr>
                <w:rFonts w:ascii="Times New Roman" w:hAnsi="Times New Roman"/>
                <w:sz w:val="24"/>
                <w:szCs w:val="24"/>
                <w:lang w:val="en-IE"/>
              </w:rPr>
            </w:pPr>
            <w:r w:rsidRPr="00CE0ED9">
              <w:rPr>
                <w:rFonts w:ascii="Times New Roman" w:hAnsi="Times New Roman"/>
                <w:sz w:val="24"/>
                <w:szCs w:val="24"/>
                <w:lang w:val="en-IE"/>
              </w:rPr>
              <w:t xml:space="preserve">The proposed timelines are intended to provide a stable basis for Union-level risk analysis and preparedness planning, while fully allowing Member States to update their assessments more frequently where circumstances require. It is the Commission’s position that a five-year reporting cycle ensures </w:t>
            </w:r>
            <w:proofErr w:type="gramStart"/>
            <w:r w:rsidRPr="00CE0ED9">
              <w:rPr>
                <w:rFonts w:ascii="Times New Roman" w:hAnsi="Times New Roman"/>
                <w:sz w:val="24"/>
                <w:szCs w:val="24"/>
                <w:lang w:val="en-IE"/>
              </w:rPr>
              <w:t>at the same time that</w:t>
            </w:r>
            <w:proofErr w:type="gramEnd"/>
            <w:r w:rsidRPr="00CE0ED9">
              <w:rPr>
                <w:rFonts w:ascii="Times New Roman" w:hAnsi="Times New Roman"/>
                <w:sz w:val="24"/>
                <w:szCs w:val="24"/>
                <w:lang w:val="en-IE"/>
              </w:rPr>
              <w:t xml:space="preserve"> national administrations are not overburdened with reporting obligations, and that the Commission has ample time to translate the national risk assessments into policy initiatives addressing the concerned risks.</w:t>
            </w:r>
          </w:p>
        </w:tc>
      </w:tr>
    </w:tbl>
    <w:p w14:paraId="41D86A3C" w14:textId="77777777" w:rsidR="00554137" w:rsidRPr="00554137" w:rsidRDefault="00554137" w:rsidP="001F7A73">
      <w:pPr>
        <w:ind w:left="-284"/>
        <w:rPr>
          <w:rFonts w:ascii="Times New Roman" w:hAnsi="Times New Roman"/>
          <w:b/>
          <w:sz w:val="16"/>
          <w:szCs w:val="16"/>
          <w:u w:val="single"/>
        </w:rPr>
      </w:pPr>
    </w:p>
    <w:sectPr w:rsidR="00554137" w:rsidRPr="0055413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BEBD" w14:textId="77777777" w:rsidR="00004F05" w:rsidRDefault="00004F05" w:rsidP="00FF63EA">
      <w:pPr>
        <w:spacing w:after="0" w:line="240" w:lineRule="auto"/>
      </w:pPr>
      <w:r>
        <w:separator/>
      </w:r>
    </w:p>
  </w:endnote>
  <w:endnote w:type="continuationSeparator" w:id="0">
    <w:p w14:paraId="70F23186" w14:textId="77777777" w:rsidR="00004F05" w:rsidRDefault="00004F05"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B53E" w14:textId="77777777" w:rsidR="002B54D6" w:rsidRDefault="002B5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B53F" w14:textId="77777777" w:rsidR="002B54D6" w:rsidRDefault="002B5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4A44" w14:textId="77777777" w:rsidR="002B54D6" w:rsidRDefault="002B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A38C" w14:textId="77777777" w:rsidR="00004F05" w:rsidRDefault="00004F05" w:rsidP="00FF63EA">
      <w:pPr>
        <w:spacing w:after="0" w:line="240" w:lineRule="auto"/>
      </w:pPr>
      <w:r>
        <w:separator/>
      </w:r>
    </w:p>
  </w:footnote>
  <w:footnote w:type="continuationSeparator" w:id="0">
    <w:p w14:paraId="1FE36EE1" w14:textId="77777777" w:rsidR="00004F05" w:rsidRDefault="00004F05" w:rsidP="00FF63EA">
      <w:pPr>
        <w:spacing w:after="0" w:line="240" w:lineRule="auto"/>
      </w:pPr>
      <w:r>
        <w:continuationSeparator/>
      </w:r>
    </w:p>
  </w:footnote>
  <w:footnote w:id="1">
    <w:p w14:paraId="1B55A6F6" w14:textId="07A7080D" w:rsidR="006D5F01" w:rsidRPr="004D66C7" w:rsidRDefault="006D5F01" w:rsidP="004D66C7">
      <w:pPr>
        <w:pStyle w:val="FootnoteText"/>
        <w:keepLines w:val="0"/>
        <w:widowControl w:val="0"/>
        <w:spacing w:after="0"/>
        <w:ind w:left="142" w:right="-142" w:hanging="284"/>
        <w:rPr>
          <w:sz w:val="20"/>
          <w:szCs w:val="20"/>
          <w:lang w:val="en-IE"/>
        </w:rPr>
      </w:pPr>
      <w:r w:rsidRPr="004D66C7">
        <w:rPr>
          <w:rStyle w:val="FootnoteReference"/>
          <w:sz w:val="20"/>
          <w:szCs w:val="20"/>
        </w:rPr>
        <w:footnoteRef/>
      </w:r>
      <w:r w:rsidRPr="004D66C7">
        <w:rPr>
          <w:sz w:val="20"/>
          <w:szCs w:val="20"/>
          <w:lang w:val="en-IE"/>
        </w:rPr>
        <w:t xml:space="preserve"> </w:t>
      </w:r>
      <w:r w:rsidRPr="004D66C7">
        <w:rPr>
          <w:sz w:val="20"/>
          <w:szCs w:val="20"/>
          <w:lang w:val="en-IE"/>
        </w:rPr>
        <w:tab/>
        <w:t>COM(2025)</w:t>
      </w:r>
      <w:r w:rsidR="003F30CE">
        <w:rPr>
          <w:sz w:val="20"/>
          <w:szCs w:val="20"/>
          <w:lang w:val="en-IE"/>
        </w:rPr>
        <w:t xml:space="preserve"> </w:t>
      </w:r>
      <w:r w:rsidRPr="004D66C7">
        <w:rPr>
          <w:sz w:val="20"/>
          <w:szCs w:val="20"/>
          <w:lang w:val="en-IE"/>
        </w:rPr>
        <w:t>548 final (</w:t>
      </w:r>
      <w:hyperlink r:id="rId1" w:history="1">
        <w:r w:rsidRPr="004D66C7">
          <w:rPr>
            <w:rStyle w:val="Hyperlink"/>
            <w:sz w:val="20"/>
            <w:szCs w:val="20"/>
            <w:lang w:val="en-IE"/>
          </w:rPr>
          <w:t>EUR-Lex - 52025PC0548 - EN - EUR-Lex</w:t>
        </w:r>
      </w:hyperlink>
      <w:r w:rsidRPr="004D66C7">
        <w:rPr>
          <w:sz w:val="20"/>
          <w:szCs w:val="20"/>
          <w:lang w:val="en-IE"/>
        </w:rPr>
        <w:t>).</w:t>
      </w:r>
    </w:p>
  </w:footnote>
  <w:footnote w:id="2">
    <w:p w14:paraId="263B8F2A" w14:textId="770E1C07" w:rsidR="006D5F01" w:rsidRPr="004D66C7" w:rsidRDefault="006D5F01" w:rsidP="004D66C7">
      <w:pPr>
        <w:pStyle w:val="FootnoteText"/>
        <w:keepLines w:val="0"/>
        <w:widowControl w:val="0"/>
        <w:spacing w:after="0"/>
        <w:ind w:left="142" w:right="-142" w:hanging="284"/>
        <w:rPr>
          <w:sz w:val="20"/>
          <w:szCs w:val="20"/>
          <w:lang w:val="en-IE"/>
        </w:rPr>
      </w:pPr>
      <w:r w:rsidRPr="004D66C7">
        <w:rPr>
          <w:rStyle w:val="FootnoteReference"/>
          <w:sz w:val="20"/>
          <w:szCs w:val="20"/>
        </w:rPr>
        <w:footnoteRef/>
      </w:r>
      <w:r w:rsidRPr="004D66C7">
        <w:rPr>
          <w:sz w:val="20"/>
          <w:szCs w:val="20"/>
        </w:rPr>
        <w:t xml:space="preserve"> </w:t>
      </w:r>
      <w:r w:rsidRPr="004D66C7">
        <w:rPr>
          <w:sz w:val="20"/>
          <w:szCs w:val="20"/>
          <w:lang w:val="en-IE"/>
        </w:rPr>
        <w:tab/>
      </w:r>
      <w:r w:rsidRPr="004D66C7">
        <w:rPr>
          <w:sz w:val="20"/>
          <w:szCs w:val="20"/>
          <w:lang w:val="en-GB"/>
        </w:rPr>
        <w:t>Decision No 1313/2013/EU of the European Parliament and of the Council of 17 December 2013 on a Union Civil Protection Mechanism (</w:t>
      </w:r>
      <w:hyperlink r:id="rId2" w:tooltip="Gives access to this document through its ELI URI." w:history="1">
        <w:r w:rsidRPr="004D66C7">
          <w:rPr>
            <w:rStyle w:val="Hyperlink"/>
            <w:sz w:val="20"/>
            <w:szCs w:val="20"/>
            <w:lang w:val="en-GB"/>
          </w:rPr>
          <w:t>http://data.europa.eu/eli/dec/2013/1313/oj</w:t>
        </w:r>
      </w:hyperlink>
      <w:r w:rsidRPr="004D66C7">
        <w:rPr>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1049" w14:textId="77777777" w:rsidR="002B54D6" w:rsidRDefault="002B5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BDC7" w14:textId="77777777" w:rsidR="002B54D6" w:rsidRDefault="002B5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17DF" w14:textId="77777777" w:rsidR="002B54D6" w:rsidRDefault="002B5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6F5"/>
    <w:multiLevelType w:val="multilevel"/>
    <w:tmpl w:val="712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40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4F05"/>
    <w:rsid w:val="00012A37"/>
    <w:rsid w:val="0003584F"/>
    <w:rsid w:val="00036CAD"/>
    <w:rsid w:val="00041755"/>
    <w:rsid w:val="00046B15"/>
    <w:rsid w:val="00050594"/>
    <w:rsid w:val="00050837"/>
    <w:rsid w:val="00050DC7"/>
    <w:rsid w:val="00076109"/>
    <w:rsid w:val="00077C4F"/>
    <w:rsid w:val="00082A6A"/>
    <w:rsid w:val="00084C4D"/>
    <w:rsid w:val="00085332"/>
    <w:rsid w:val="00085AA6"/>
    <w:rsid w:val="00091D7C"/>
    <w:rsid w:val="000973E8"/>
    <w:rsid w:val="000A121F"/>
    <w:rsid w:val="000B2AEC"/>
    <w:rsid w:val="000E3039"/>
    <w:rsid w:val="000E7379"/>
    <w:rsid w:val="000F0274"/>
    <w:rsid w:val="000F5FD8"/>
    <w:rsid w:val="00102F49"/>
    <w:rsid w:val="001041FE"/>
    <w:rsid w:val="00110B2D"/>
    <w:rsid w:val="001167C0"/>
    <w:rsid w:val="00135C2A"/>
    <w:rsid w:val="001805B5"/>
    <w:rsid w:val="001B0E0B"/>
    <w:rsid w:val="001C4138"/>
    <w:rsid w:val="001D276E"/>
    <w:rsid w:val="001E3306"/>
    <w:rsid w:val="001F2EC6"/>
    <w:rsid w:val="001F65D0"/>
    <w:rsid w:val="001F7A73"/>
    <w:rsid w:val="00217E59"/>
    <w:rsid w:val="002208C0"/>
    <w:rsid w:val="00274056"/>
    <w:rsid w:val="002743E4"/>
    <w:rsid w:val="00287F05"/>
    <w:rsid w:val="002924AA"/>
    <w:rsid w:val="00295E96"/>
    <w:rsid w:val="002B2BE9"/>
    <w:rsid w:val="002B54D6"/>
    <w:rsid w:val="002C07DC"/>
    <w:rsid w:val="002D36BA"/>
    <w:rsid w:val="002F03FA"/>
    <w:rsid w:val="003004D2"/>
    <w:rsid w:val="00303129"/>
    <w:rsid w:val="003220E7"/>
    <w:rsid w:val="00324DF9"/>
    <w:rsid w:val="003310BC"/>
    <w:rsid w:val="003349A3"/>
    <w:rsid w:val="003362EB"/>
    <w:rsid w:val="00343324"/>
    <w:rsid w:val="0036379E"/>
    <w:rsid w:val="00372E2B"/>
    <w:rsid w:val="00374D89"/>
    <w:rsid w:val="00377967"/>
    <w:rsid w:val="00386143"/>
    <w:rsid w:val="00390979"/>
    <w:rsid w:val="00394CB3"/>
    <w:rsid w:val="003A5286"/>
    <w:rsid w:val="003B58DC"/>
    <w:rsid w:val="003C5298"/>
    <w:rsid w:val="003C63F0"/>
    <w:rsid w:val="003E16A4"/>
    <w:rsid w:val="003E2B8B"/>
    <w:rsid w:val="003F30CE"/>
    <w:rsid w:val="003F599E"/>
    <w:rsid w:val="003F686E"/>
    <w:rsid w:val="00422FC2"/>
    <w:rsid w:val="00423E19"/>
    <w:rsid w:val="00435DC6"/>
    <w:rsid w:val="00442552"/>
    <w:rsid w:val="004506E7"/>
    <w:rsid w:val="00455A1C"/>
    <w:rsid w:val="00461A97"/>
    <w:rsid w:val="004675B5"/>
    <w:rsid w:val="004770D6"/>
    <w:rsid w:val="0049246C"/>
    <w:rsid w:val="00496610"/>
    <w:rsid w:val="004A7932"/>
    <w:rsid w:val="004B0D72"/>
    <w:rsid w:val="004C7604"/>
    <w:rsid w:val="004D03EE"/>
    <w:rsid w:val="004D4D61"/>
    <w:rsid w:val="004D66C7"/>
    <w:rsid w:val="004E70BF"/>
    <w:rsid w:val="004F6117"/>
    <w:rsid w:val="004F63F1"/>
    <w:rsid w:val="004F651E"/>
    <w:rsid w:val="00522236"/>
    <w:rsid w:val="0052596B"/>
    <w:rsid w:val="00554137"/>
    <w:rsid w:val="00554D8D"/>
    <w:rsid w:val="00573835"/>
    <w:rsid w:val="00581306"/>
    <w:rsid w:val="005834ED"/>
    <w:rsid w:val="0058610C"/>
    <w:rsid w:val="005B3D29"/>
    <w:rsid w:val="005C3105"/>
    <w:rsid w:val="005D15DC"/>
    <w:rsid w:val="005D3CF5"/>
    <w:rsid w:val="005E7EEF"/>
    <w:rsid w:val="00636603"/>
    <w:rsid w:val="006417A9"/>
    <w:rsid w:val="006509FB"/>
    <w:rsid w:val="00674924"/>
    <w:rsid w:val="00675DA4"/>
    <w:rsid w:val="00692C2F"/>
    <w:rsid w:val="00695797"/>
    <w:rsid w:val="00696994"/>
    <w:rsid w:val="00696A5E"/>
    <w:rsid w:val="006B151E"/>
    <w:rsid w:val="006B3B69"/>
    <w:rsid w:val="006C1DD6"/>
    <w:rsid w:val="006C49B6"/>
    <w:rsid w:val="006D5F01"/>
    <w:rsid w:val="00722D5B"/>
    <w:rsid w:val="00734613"/>
    <w:rsid w:val="0073616C"/>
    <w:rsid w:val="00736888"/>
    <w:rsid w:val="00736C52"/>
    <w:rsid w:val="00751910"/>
    <w:rsid w:val="00751E60"/>
    <w:rsid w:val="007547B5"/>
    <w:rsid w:val="00764968"/>
    <w:rsid w:val="00766C81"/>
    <w:rsid w:val="0077105D"/>
    <w:rsid w:val="00785F17"/>
    <w:rsid w:val="007878D2"/>
    <w:rsid w:val="00793364"/>
    <w:rsid w:val="00795A9E"/>
    <w:rsid w:val="00797A4F"/>
    <w:rsid w:val="007A606D"/>
    <w:rsid w:val="007A63AA"/>
    <w:rsid w:val="007A7362"/>
    <w:rsid w:val="007B0090"/>
    <w:rsid w:val="007B30F6"/>
    <w:rsid w:val="007C10D1"/>
    <w:rsid w:val="007C2214"/>
    <w:rsid w:val="007F3DA1"/>
    <w:rsid w:val="00807B48"/>
    <w:rsid w:val="008135CA"/>
    <w:rsid w:val="0081584F"/>
    <w:rsid w:val="00830AC9"/>
    <w:rsid w:val="008703BF"/>
    <w:rsid w:val="008750B3"/>
    <w:rsid w:val="00877121"/>
    <w:rsid w:val="00885CF4"/>
    <w:rsid w:val="008925CE"/>
    <w:rsid w:val="008A5052"/>
    <w:rsid w:val="008A606F"/>
    <w:rsid w:val="008C4D41"/>
    <w:rsid w:val="008C60D9"/>
    <w:rsid w:val="008D71D3"/>
    <w:rsid w:val="008E5162"/>
    <w:rsid w:val="008F4362"/>
    <w:rsid w:val="009052E2"/>
    <w:rsid w:val="00905DFE"/>
    <w:rsid w:val="0090666A"/>
    <w:rsid w:val="009175C1"/>
    <w:rsid w:val="0092793A"/>
    <w:rsid w:val="00947EF5"/>
    <w:rsid w:val="00955EC7"/>
    <w:rsid w:val="009713ED"/>
    <w:rsid w:val="00981F45"/>
    <w:rsid w:val="00987EE5"/>
    <w:rsid w:val="00994D12"/>
    <w:rsid w:val="009A3524"/>
    <w:rsid w:val="009B128B"/>
    <w:rsid w:val="009C423F"/>
    <w:rsid w:val="009C5BEA"/>
    <w:rsid w:val="009E6E9E"/>
    <w:rsid w:val="00A03258"/>
    <w:rsid w:val="00A154B0"/>
    <w:rsid w:val="00A16F07"/>
    <w:rsid w:val="00A16FF1"/>
    <w:rsid w:val="00A26B60"/>
    <w:rsid w:val="00A44873"/>
    <w:rsid w:val="00A46F2D"/>
    <w:rsid w:val="00A62C7B"/>
    <w:rsid w:val="00A72A25"/>
    <w:rsid w:val="00A76B1E"/>
    <w:rsid w:val="00A7709A"/>
    <w:rsid w:val="00A82337"/>
    <w:rsid w:val="00A838B3"/>
    <w:rsid w:val="00A975F9"/>
    <w:rsid w:val="00AA0D0B"/>
    <w:rsid w:val="00AD4143"/>
    <w:rsid w:val="00AD47DF"/>
    <w:rsid w:val="00AD5EC5"/>
    <w:rsid w:val="00AE0F99"/>
    <w:rsid w:val="00AE1842"/>
    <w:rsid w:val="00AE3C7C"/>
    <w:rsid w:val="00B058C3"/>
    <w:rsid w:val="00B11E1C"/>
    <w:rsid w:val="00B15E53"/>
    <w:rsid w:val="00B31306"/>
    <w:rsid w:val="00B40AAB"/>
    <w:rsid w:val="00B42814"/>
    <w:rsid w:val="00B44C00"/>
    <w:rsid w:val="00B47C74"/>
    <w:rsid w:val="00B76ED5"/>
    <w:rsid w:val="00B82989"/>
    <w:rsid w:val="00B83936"/>
    <w:rsid w:val="00B84937"/>
    <w:rsid w:val="00B94FF2"/>
    <w:rsid w:val="00BB64B0"/>
    <w:rsid w:val="00BD6EB7"/>
    <w:rsid w:val="00BE2D93"/>
    <w:rsid w:val="00BF7187"/>
    <w:rsid w:val="00C25570"/>
    <w:rsid w:val="00C37BDD"/>
    <w:rsid w:val="00C54D27"/>
    <w:rsid w:val="00C6157A"/>
    <w:rsid w:val="00C7224D"/>
    <w:rsid w:val="00C76EEB"/>
    <w:rsid w:val="00C81181"/>
    <w:rsid w:val="00CD7029"/>
    <w:rsid w:val="00CE0ED9"/>
    <w:rsid w:val="00CE3C7F"/>
    <w:rsid w:val="00CF76A5"/>
    <w:rsid w:val="00CF7A30"/>
    <w:rsid w:val="00D002CB"/>
    <w:rsid w:val="00D01F5A"/>
    <w:rsid w:val="00D112A0"/>
    <w:rsid w:val="00D1323B"/>
    <w:rsid w:val="00D13F45"/>
    <w:rsid w:val="00D1716E"/>
    <w:rsid w:val="00D35070"/>
    <w:rsid w:val="00D36242"/>
    <w:rsid w:val="00D47412"/>
    <w:rsid w:val="00D51E30"/>
    <w:rsid w:val="00D5451E"/>
    <w:rsid w:val="00D64E05"/>
    <w:rsid w:val="00D64EA1"/>
    <w:rsid w:val="00D677B8"/>
    <w:rsid w:val="00D81D50"/>
    <w:rsid w:val="00D861CC"/>
    <w:rsid w:val="00D90C78"/>
    <w:rsid w:val="00D92FD3"/>
    <w:rsid w:val="00DA3B6E"/>
    <w:rsid w:val="00DB7581"/>
    <w:rsid w:val="00DC2D7E"/>
    <w:rsid w:val="00DC70C1"/>
    <w:rsid w:val="00DE310D"/>
    <w:rsid w:val="00DF3932"/>
    <w:rsid w:val="00E05FA9"/>
    <w:rsid w:val="00E21D79"/>
    <w:rsid w:val="00E57270"/>
    <w:rsid w:val="00E72BD8"/>
    <w:rsid w:val="00E755D8"/>
    <w:rsid w:val="00E83C12"/>
    <w:rsid w:val="00E864E1"/>
    <w:rsid w:val="00E904C8"/>
    <w:rsid w:val="00E947B1"/>
    <w:rsid w:val="00EA1BBF"/>
    <w:rsid w:val="00EA40CE"/>
    <w:rsid w:val="00EA5E94"/>
    <w:rsid w:val="00EB29A9"/>
    <w:rsid w:val="00EB77D2"/>
    <w:rsid w:val="00EC5711"/>
    <w:rsid w:val="00ED69B3"/>
    <w:rsid w:val="00ED749C"/>
    <w:rsid w:val="00EF41B8"/>
    <w:rsid w:val="00EF6293"/>
    <w:rsid w:val="00EF7433"/>
    <w:rsid w:val="00F316C8"/>
    <w:rsid w:val="00F40FB0"/>
    <w:rsid w:val="00F53A63"/>
    <w:rsid w:val="00F60C76"/>
    <w:rsid w:val="00F632DE"/>
    <w:rsid w:val="00F735E4"/>
    <w:rsid w:val="00F85C4C"/>
    <w:rsid w:val="00FB10EC"/>
    <w:rsid w:val="00FB7834"/>
    <w:rsid w:val="00FD002F"/>
    <w:rsid w:val="00FD4247"/>
    <w:rsid w:val="00FD4B6A"/>
    <w:rsid w:val="00FF03A8"/>
    <w:rsid w:val="00FF6055"/>
    <w:rsid w:val="00FF63EA"/>
    <w:rsid w:val="00FF67D6"/>
    <w:rsid w:val="052B3DBD"/>
    <w:rsid w:val="06F68E9F"/>
    <w:rsid w:val="0B373C74"/>
    <w:rsid w:val="1343D95E"/>
    <w:rsid w:val="44934621"/>
    <w:rsid w:val="5E623488"/>
    <w:rsid w:val="6054439D"/>
    <w:rsid w:val="61097442"/>
    <w:rsid w:val="64898A91"/>
    <w:rsid w:val="6D3FC8EC"/>
    <w:rsid w:val="7426A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FF70E22F-1F0F-4634-9F9B-7461A1F3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BB64B0"/>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link w:val="FootnoteText"/>
    <w:rsid w:val="00BB64B0"/>
    <w:rPr>
      <w:rFonts w:ascii="Times New Roman" w:eastAsia="Times New Roman" w:hAnsi="Times New Roman"/>
      <w:sz w:val="16"/>
      <w:szCs w:val="22"/>
      <w:lang w:val="en-US" w:eastAsia="en-US"/>
    </w:rPr>
  </w:style>
  <w:style w:type="character" w:styleId="FootnoteReference">
    <w:name w:val="footnote reference"/>
    <w:aliases w:val="Footnote symbol"/>
    <w:unhideWhenUsed/>
    <w:qFormat/>
    <w:rsid w:val="00BB64B0"/>
    <w:rPr>
      <w:sz w:val="24"/>
      <w:vertAlign w:val="superscript"/>
    </w:rPr>
  </w:style>
  <w:style w:type="character" w:styleId="Hyperlink">
    <w:name w:val="Hyperlink"/>
    <w:uiPriority w:val="99"/>
    <w:rsid w:val="00BB64B0"/>
    <w:rPr>
      <w:color w:val="0000FF"/>
      <w:u w:val="single"/>
    </w:rPr>
  </w:style>
  <w:style w:type="paragraph" w:styleId="Revision">
    <w:name w:val="Revision"/>
    <w:hidden/>
    <w:uiPriority w:val="99"/>
    <w:semiHidden/>
    <w:rsid w:val="00303129"/>
    <w:rPr>
      <w:sz w:val="22"/>
      <w:szCs w:val="22"/>
      <w:lang w:val="en-GB" w:eastAsia="en-US"/>
    </w:rPr>
  </w:style>
  <w:style w:type="character" w:styleId="CommentReference">
    <w:name w:val="annotation reference"/>
    <w:uiPriority w:val="99"/>
    <w:semiHidden/>
    <w:unhideWhenUsed/>
    <w:rsid w:val="00303129"/>
    <w:rPr>
      <w:sz w:val="16"/>
      <w:szCs w:val="16"/>
    </w:rPr>
  </w:style>
  <w:style w:type="paragraph" w:styleId="CommentText">
    <w:name w:val="annotation text"/>
    <w:basedOn w:val="Normal"/>
    <w:link w:val="CommentTextChar"/>
    <w:uiPriority w:val="99"/>
    <w:unhideWhenUsed/>
    <w:rsid w:val="00303129"/>
    <w:rPr>
      <w:sz w:val="20"/>
      <w:szCs w:val="20"/>
    </w:rPr>
  </w:style>
  <w:style w:type="character" w:customStyle="1" w:styleId="CommentTextChar">
    <w:name w:val="Comment Text Char"/>
    <w:link w:val="CommentText"/>
    <w:uiPriority w:val="99"/>
    <w:rsid w:val="00303129"/>
    <w:rPr>
      <w:lang w:eastAsia="en-US"/>
    </w:rPr>
  </w:style>
  <w:style w:type="paragraph" w:styleId="CommentSubject">
    <w:name w:val="annotation subject"/>
    <w:basedOn w:val="CommentText"/>
    <w:next w:val="CommentText"/>
    <w:link w:val="CommentSubjectChar"/>
    <w:uiPriority w:val="99"/>
    <w:semiHidden/>
    <w:unhideWhenUsed/>
    <w:rsid w:val="00303129"/>
    <w:rPr>
      <w:b/>
      <w:bCs/>
    </w:rPr>
  </w:style>
  <w:style w:type="character" w:customStyle="1" w:styleId="CommentSubjectChar">
    <w:name w:val="Comment Subject Char"/>
    <w:link w:val="CommentSubject"/>
    <w:uiPriority w:val="99"/>
    <w:semiHidden/>
    <w:rsid w:val="00303129"/>
    <w:rPr>
      <w:b/>
      <w:bCs/>
      <w:lang w:eastAsia="en-US"/>
    </w:rPr>
  </w:style>
  <w:style w:type="character" w:styleId="UnresolvedMention">
    <w:name w:val="Unresolved Mention"/>
    <w:uiPriority w:val="99"/>
    <w:semiHidden/>
    <w:unhideWhenUsed/>
    <w:rsid w:val="00A26B60"/>
    <w:rPr>
      <w:color w:val="605E5C"/>
      <w:shd w:val="clear" w:color="auto" w:fill="E1DFDD"/>
    </w:rPr>
  </w:style>
  <w:style w:type="character" w:styleId="FollowedHyperlink">
    <w:name w:val="FollowedHyperlink"/>
    <w:uiPriority w:val="99"/>
    <w:semiHidden/>
    <w:unhideWhenUsed/>
    <w:rsid w:val="00E21D79"/>
    <w:rPr>
      <w:color w:val="954F72"/>
      <w:u w:val="single"/>
    </w:rPr>
  </w:style>
  <w:style w:type="paragraph" w:styleId="Header">
    <w:name w:val="header"/>
    <w:basedOn w:val="Normal"/>
    <w:link w:val="HeaderChar"/>
    <w:uiPriority w:val="99"/>
    <w:unhideWhenUsed/>
    <w:rsid w:val="002B54D6"/>
    <w:pPr>
      <w:tabs>
        <w:tab w:val="center" w:pos="4513"/>
        <w:tab w:val="right" w:pos="9026"/>
      </w:tabs>
    </w:pPr>
  </w:style>
  <w:style w:type="character" w:customStyle="1" w:styleId="HeaderChar">
    <w:name w:val="Header Char"/>
    <w:link w:val="Header"/>
    <w:uiPriority w:val="99"/>
    <w:rsid w:val="002B54D6"/>
    <w:rPr>
      <w:sz w:val="22"/>
      <w:szCs w:val="22"/>
      <w:lang w:eastAsia="en-US"/>
    </w:rPr>
  </w:style>
  <w:style w:type="paragraph" w:styleId="Footer">
    <w:name w:val="footer"/>
    <w:basedOn w:val="Normal"/>
    <w:link w:val="FooterChar"/>
    <w:uiPriority w:val="99"/>
    <w:unhideWhenUsed/>
    <w:rsid w:val="002B54D6"/>
    <w:pPr>
      <w:tabs>
        <w:tab w:val="center" w:pos="4513"/>
        <w:tab w:val="right" w:pos="9026"/>
      </w:tabs>
    </w:pPr>
  </w:style>
  <w:style w:type="character" w:customStyle="1" w:styleId="FooterChar">
    <w:name w:val="Footer Char"/>
    <w:link w:val="Footer"/>
    <w:uiPriority w:val="99"/>
    <w:rsid w:val="002B54D6"/>
    <w:rPr>
      <w:sz w:val="22"/>
      <w:szCs w:val="22"/>
      <w:lang w:eastAsia="en-US"/>
    </w:rPr>
  </w:style>
  <w:style w:type="paragraph" w:styleId="NormalWeb">
    <w:name w:val="Normal (Web)"/>
    <w:basedOn w:val="Normal"/>
    <w:uiPriority w:val="99"/>
    <w:semiHidden/>
    <w:unhideWhenUsed/>
    <w:rsid w:val="008D71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396">
      <w:bodyDiv w:val="1"/>
      <w:marLeft w:val="0"/>
      <w:marRight w:val="0"/>
      <w:marTop w:val="0"/>
      <w:marBottom w:val="0"/>
      <w:divBdr>
        <w:top w:val="none" w:sz="0" w:space="0" w:color="auto"/>
        <w:left w:val="none" w:sz="0" w:space="0" w:color="auto"/>
        <w:bottom w:val="none" w:sz="0" w:space="0" w:color="auto"/>
        <w:right w:val="none" w:sz="0" w:space="0" w:color="auto"/>
      </w:divBdr>
    </w:div>
    <w:div w:id="783843061">
      <w:bodyDiv w:val="1"/>
      <w:marLeft w:val="0"/>
      <w:marRight w:val="0"/>
      <w:marTop w:val="0"/>
      <w:marBottom w:val="0"/>
      <w:divBdr>
        <w:top w:val="none" w:sz="0" w:space="0" w:color="auto"/>
        <w:left w:val="none" w:sz="0" w:space="0" w:color="auto"/>
        <w:bottom w:val="none" w:sz="0" w:space="0" w:color="auto"/>
        <w:right w:val="none" w:sz="0" w:space="0" w:color="auto"/>
      </w:divBdr>
    </w:div>
    <w:div w:id="886720164">
      <w:bodyDiv w:val="1"/>
      <w:marLeft w:val="0"/>
      <w:marRight w:val="0"/>
      <w:marTop w:val="0"/>
      <w:marBottom w:val="0"/>
      <w:divBdr>
        <w:top w:val="none" w:sz="0" w:space="0" w:color="auto"/>
        <w:left w:val="none" w:sz="0" w:space="0" w:color="auto"/>
        <w:bottom w:val="none" w:sz="0" w:space="0" w:color="auto"/>
        <w:right w:val="none" w:sz="0" w:space="0" w:color="auto"/>
      </w:divBdr>
      <w:divsChild>
        <w:div w:id="559556770">
          <w:marLeft w:val="0"/>
          <w:marRight w:val="0"/>
          <w:marTop w:val="0"/>
          <w:marBottom w:val="0"/>
          <w:divBdr>
            <w:top w:val="none" w:sz="0" w:space="0" w:color="auto"/>
            <w:left w:val="none" w:sz="0" w:space="0" w:color="auto"/>
            <w:bottom w:val="none" w:sz="0" w:space="0" w:color="auto"/>
            <w:right w:val="none" w:sz="0" w:space="0" w:color="auto"/>
          </w:divBdr>
        </w:div>
        <w:div w:id="672688575">
          <w:marLeft w:val="0"/>
          <w:marRight w:val="0"/>
          <w:marTop w:val="0"/>
          <w:marBottom w:val="0"/>
          <w:divBdr>
            <w:top w:val="none" w:sz="0" w:space="0" w:color="auto"/>
            <w:left w:val="none" w:sz="0" w:space="0" w:color="auto"/>
            <w:bottom w:val="none" w:sz="0" w:space="0" w:color="auto"/>
            <w:right w:val="none" w:sz="0" w:space="0" w:color="auto"/>
          </w:divBdr>
        </w:div>
        <w:div w:id="2066105544">
          <w:marLeft w:val="0"/>
          <w:marRight w:val="0"/>
          <w:marTop w:val="0"/>
          <w:marBottom w:val="0"/>
          <w:divBdr>
            <w:top w:val="none" w:sz="0" w:space="0" w:color="auto"/>
            <w:left w:val="none" w:sz="0" w:space="0" w:color="auto"/>
            <w:bottom w:val="none" w:sz="0" w:space="0" w:color="auto"/>
            <w:right w:val="none" w:sz="0" w:space="0" w:color="auto"/>
          </w:divBdr>
        </w:div>
        <w:div w:id="1361392488">
          <w:marLeft w:val="0"/>
          <w:marRight w:val="0"/>
          <w:marTop w:val="0"/>
          <w:marBottom w:val="0"/>
          <w:divBdr>
            <w:top w:val="none" w:sz="0" w:space="0" w:color="auto"/>
            <w:left w:val="none" w:sz="0" w:space="0" w:color="auto"/>
            <w:bottom w:val="none" w:sz="0" w:space="0" w:color="auto"/>
            <w:right w:val="none" w:sz="0" w:space="0" w:color="auto"/>
          </w:divBdr>
        </w:div>
      </w:divsChild>
    </w:div>
    <w:div w:id="913973725">
      <w:bodyDiv w:val="1"/>
      <w:marLeft w:val="0"/>
      <w:marRight w:val="0"/>
      <w:marTop w:val="0"/>
      <w:marBottom w:val="0"/>
      <w:divBdr>
        <w:top w:val="none" w:sz="0" w:space="0" w:color="auto"/>
        <w:left w:val="none" w:sz="0" w:space="0" w:color="auto"/>
        <w:bottom w:val="none" w:sz="0" w:space="0" w:color="auto"/>
        <w:right w:val="none" w:sz="0" w:space="0" w:color="auto"/>
      </w:divBdr>
    </w:div>
    <w:div w:id="1014114502">
      <w:bodyDiv w:val="1"/>
      <w:marLeft w:val="0"/>
      <w:marRight w:val="0"/>
      <w:marTop w:val="0"/>
      <w:marBottom w:val="0"/>
      <w:divBdr>
        <w:top w:val="none" w:sz="0" w:space="0" w:color="auto"/>
        <w:left w:val="none" w:sz="0" w:space="0" w:color="auto"/>
        <w:bottom w:val="none" w:sz="0" w:space="0" w:color="auto"/>
        <w:right w:val="none" w:sz="0" w:space="0" w:color="auto"/>
      </w:divBdr>
    </w:div>
    <w:div w:id="1188445184">
      <w:bodyDiv w:val="1"/>
      <w:marLeft w:val="0"/>
      <w:marRight w:val="0"/>
      <w:marTop w:val="0"/>
      <w:marBottom w:val="0"/>
      <w:divBdr>
        <w:top w:val="none" w:sz="0" w:space="0" w:color="auto"/>
        <w:left w:val="none" w:sz="0" w:space="0" w:color="auto"/>
        <w:bottom w:val="none" w:sz="0" w:space="0" w:color="auto"/>
        <w:right w:val="none" w:sz="0" w:space="0" w:color="auto"/>
      </w:divBdr>
    </w:div>
    <w:div w:id="1496874506">
      <w:bodyDiv w:val="1"/>
      <w:marLeft w:val="0"/>
      <w:marRight w:val="0"/>
      <w:marTop w:val="0"/>
      <w:marBottom w:val="0"/>
      <w:divBdr>
        <w:top w:val="none" w:sz="0" w:space="0" w:color="auto"/>
        <w:left w:val="none" w:sz="0" w:space="0" w:color="auto"/>
        <w:bottom w:val="none" w:sz="0" w:space="0" w:color="auto"/>
        <w:right w:val="none" w:sz="0" w:space="0" w:color="auto"/>
      </w:divBdr>
    </w:div>
    <w:div w:id="1563447957">
      <w:bodyDiv w:val="1"/>
      <w:marLeft w:val="0"/>
      <w:marRight w:val="0"/>
      <w:marTop w:val="0"/>
      <w:marBottom w:val="0"/>
      <w:divBdr>
        <w:top w:val="none" w:sz="0" w:space="0" w:color="auto"/>
        <w:left w:val="none" w:sz="0" w:space="0" w:color="auto"/>
        <w:bottom w:val="none" w:sz="0" w:space="0" w:color="auto"/>
        <w:right w:val="none" w:sz="0" w:space="0" w:color="auto"/>
      </w:divBdr>
    </w:div>
    <w:div w:id="2022467127">
      <w:bodyDiv w:val="1"/>
      <w:marLeft w:val="0"/>
      <w:marRight w:val="0"/>
      <w:marTop w:val="0"/>
      <w:marBottom w:val="0"/>
      <w:divBdr>
        <w:top w:val="none" w:sz="0" w:space="0" w:color="auto"/>
        <w:left w:val="none" w:sz="0" w:space="0" w:color="auto"/>
        <w:bottom w:val="none" w:sz="0" w:space="0" w:color="auto"/>
        <w:right w:val="none" w:sz="0" w:space="0" w:color="auto"/>
      </w:divBdr>
    </w:div>
    <w:div w:id="2089617221">
      <w:bodyDiv w:val="1"/>
      <w:marLeft w:val="0"/>
      <w:marRight w:val="0"/>
      <w:marTop w:val="0"/>
      <w:marBottom w:val="0"/>
      <w:divBdr>
        <w:top w:val="none" w:sz="0" w:space="0" w:color="auto"/>
        <w:left w:val="none" w:sz="0" w:space="0" w:color="auto"/>
        <w:bottom w:val="none" w:sz="0" w:space="0" w:color="auto"/>
        <w:right w:val="none" w:sz="0" w:space="0" w:color="auto"/>
      </w:divBdr>
      <w:divsChild>
        <w:div w:id="2005206020">
          <w:marLeft w:val="0"/>
          <w:marRight w:val="0"/>
          <w:marTop w:val="0"/>
          <w:marBottom w:val="0"/>
          <w:divBdr>
            <w:top w:val="none" w:sz="0" w:space="0" w:color="auto"/>
            <w:left w:val="none" w:sz="0" w:space="0" w:color="auto"/>
            <w:bottom w:val="none" w:sz="0" w:space="0" w:color="auto"/>
            <w:right w:val="none" w:sz="0" w:space="0" w:color="auto"/>
          </w:divBdr>
        </w:div>
        <w:div w:id="1689869227">
          <w:marLeft w:val="0"/>
          <w:marRight w:val="0"/>
          <w:marTop w:val="0"/>
          <w:marBottom w:val="0"/>
          <w:divBdr>
            <w:top w:val="none" w:sz="0" w:space="0" w:color="auto"/>
            <w:left w:val="none" w:sz="0" w:space="0" w:color="auto"/>
            <w:bottom w:val="none" w:sz="0" w:space="0" w:color="auto"/>
            <w:right w:val="none" w:sz="0" w:space="0" w:color="auto"/>
          </w:divBdr>
        </w:div>
        <w:div w:id="1239554074">
          <w:marLeft w:val="0"/>
          <w:marRight w:val="0"/>
          <w:marTop w:val="0"/>
          <w:marBottom w:val="0"/>
          <w:divBdr>
            <w:top w:val="none" w:sz="0" w:space="0" w:color="auto"/>
            <w:left w:val="none" w:sz="0" w:space="0" w:color="auto"/>
            <w:bottom w:val="none" w:sz="0" w:space="0" w:color="auto"/>
            <w:right w:val="none" w:sz="0" w:space="0" w:color="auto"/>
          </w:divBdr>
        </w:div>
        <w:div w:id="1056588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dec/2013/1313/oj" TargetMode="External"/><Relationship Id="rId1" Type="http://schemas.openxmlformats.org/officeDocument/2006/relationships/hyperlink" Target="https://eur-lex.europa.eu/legal-content/EN/TXT/?uri=CELEX%3A52025PC0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60b76ac-e86b-4c28-8f73-fb1fa26cb3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6C5FF7545B7948801649B9A2D39635" ma:contentTypeVersion="13" ma:contentTypeDescription="Create a new document." ma:contentTypeScope="" ma:versionID="de6140f6c9bb2a28eda074c2a1f32011">
  <xsd:schema xmlns:xsd="http://www.w3.org/2001/XMLSchema" xmlns:xs="http://www.w3.org/2001/XMLSchema" xmlns:p="http://schemas.microsoft.com/office/2006/metadata/properties" xmlns:ns3="360b76ac-e86b-4c28-8f73-fb1fa26cb38b" xmlns:ns4="8207ab88-a204-4a9c-84ca-648d3694c4c1" targetNamespace="http://schemas.microsoft.com/office/2006/metadata/properties" ma:root="true" ma:fieldsID="b2e8e47a12e880bb669412c2c43a347e" ns3:_="" ns4:_="">
    <xsd:import namespace="360b76ac-e86b-4c28-8f73-fb1fa26cb38b"/>
    <xsd:import namespace="8207ab88-a204-4a9c-84ca-648d3694c4c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76ac-e86b-4c28-8f73-fb1fa26c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7ab88-a204-4a9c-84ca-648d3694c4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21947-7E78-4ABA-8116-6E91E090068C}">
  <ds:schemaRefs>
    <ds:schemaRef ds:uri="http://schemas.microsoft.com/sharepoint/v3/contenttype/forms"/>
  </ds:schemaRefs>
</ds:datastoreItem>
</file>

<file path=customXml/itemProps2.xml><?xml version="1.0" encoding="utf-8"?>
<ds:datastoreItem xmlns:ds="http://schemas.openxmlformats.org/officeDocument/2006/customXml" ds:itemID="{3C20B5A3-EE8F-423A-83EF-FA62EC3D01D3}">
  <ds:schemaRefs>
    <ds:schemaRef ds:uri="http://schemas.microsoft.com/office/2006/metadata/properties"/>
    <ds:schemaRef ds:uri="http://schemas.microsoft.com/office/infopath/2007/PartnerControls"/>
    <ds:schemaRef ds:uri="360b76ac-e86b-4c28-8f73-fb1fa26cb38b"/>
  </ds:schemaRefs>
</ds:datastoreItem>
</file>

<file path=customXml/itemProps3.xml><?xml version="1.0" encoding="utf-8"?>
<ds:datastoreItem xmlns:ds="http://schemas.openxmlformats.org/officeDocument/2006/customXml" ds:itemID="{8A307545-7AC6-4BAC-917A-9F7102C49BC9}">
  <ds:schemaRefs>
    <ds:schemaRef ds:uri="http://schemas.openxmlformats.org/officeDocument/2006/bibliography"/>
  </ds:schemaRefs>
</ds:datastoreItem>
</file>

<file path=customXml/itemProps4.xml><?xml version="1.0" encoding="utf-8"?>
<ds:datastoreItem xmlns:ds="http://schemas.openxmlformats.org/officeDocument/2006/customXml" ds:itemID="{CE7EDD51-A1AC-4F76-8874-BB8F4D83A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b76ac-e86b-4c28-8f73-fb1fa26cb38b"/>
    <ds:schemaRef ds:uri="8207ab88-a204-4a9c-84ca-648d3694c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2077</Words>
  <Characters>11261</Characters>
  <Application>Microsoft Office Word</Application>
  <DocSecurity>0</DocSecurity>
  <Lines>173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VERBOEKET Robert (SG)</dc:creator>
  <cp:keywords/>
  <cp:lastModifiedBy>ROSSI Simona (SG)</cp:lastModifiedBy>
  <cp:revision>2</cp:revision>
  <dcterms:created xsi:type="dcterms:W3CDTF">2026-05-11T16:22:00Z</dcterms:created>
  <dcterms:modified xsi:type="dcterms:W3CDTF">2026-05-11T16:22:00Z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2025-10-29T09:19:16Z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94f52459-f265-440c-9872-4cfd0952af4b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0x010100E56C5FF7545B7948801649B9A2D39635</vt:lpwstr>
  </property>
</Properties>
</file>