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554137" w:rsidRDefault="00077C4F" w:rsidP="00554137">
      <w:pPr>
        <w:spacing w:after="0" w:line="240" w:lineRule="auto"/>
        <w:ind w:left="-709"/>
        <w:rPr>
          <w:rFonts w:ascii="Times New Roman" w:hAnsi="Times New Roman"/>
          <w:bCs/>
          <w:sz w:val="4"/>
          <w:szCs w:val="4"/>
        </w:rPr>
      </w:pPr>
    </w:p>
    <w:tbl>
      <w:tblPr>
        <w:tblW w:w="1050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509"/>
      </w:tblGrid>
      <w:tr w:rsidR="001C4138" w:rsidRPr="00442552" w14:paraId="7E6372DC" w14:textId="77777777" w:rsidTr="000A3A33">
        <w:trPr>
          <w:jc w:val="center"/>
        </w:trPr>
        <w:tc>
          <w:tcPr>
            <w:tcW w:w="10509" w:type="dxa"/>
          </w:tcPr>
          <w:tbl>
            <w:tblPr>
              <w:tblW w:w="5000" w:type="pct"/>
              <w:tblLook w:val="04A0" w:firstRow="1" w:lastRow="0" w:firstColumn="1" w:lastColumn="0" w:noHBand="0" w:noVBand="1"/>
            </w:tblPr>
            <w:tblGrid>
              <w:gridCol w:w="10293"/>
            </w:tblGrid>
            <w:tr w:rsidR="00324A12" w:rsidRPr="00DD2A81" w14:paraId="63A2E487" w14:textId="77777777" w:rsidTr="00DD2A81">
              <w:tc>
                <w:tcPr>
                  <w:tcW w:w="5000" w:type="pct"/>
                  <w:vAlign w:val="center"/>
                </w:tcPr>
                <w:p w14:paraId="3127EC59" w14:textId="6F7EF496" w:rsidR="00324A12" w:rsidRPr="00DD2A81" w:rsidRDefault="00E439EC" w:rsidP="00B96ADA">
                  <w:pPr>
                    <w:widowControl w:val="0"/>
                    <w:spacing w:before="120" w:after="120"/>
                    <w:rPr>
                      <w:rFonts w:ascii="Times New Roman" w:hAnsi="Times New Roman"/>
                      <w:b/>
                      <w:bCs/>
                      <w:sz w:val="24"/>
                      <w:szCs w:val="24"/>
                    </w:rPr>
                  </w:pPr>
                  <w:r w:rsidRPr="00EC16EA">
                    <w:rPr>
                      <w:rFonts w:ascii="Times New Roman" w:hAnsi="Times New Roman"/>
                      <w:b/>
                      <w:sz w:val="24"/>
                      <w:szCs w:val="24"/>
                    </w:rPr>
                    <w:t>Report on Competition Policy 202</w:t>
                  </w:r>
                  <w:r>
                    <w:rPr>
                      <w:rFonts w:ascii="Times New Roman" w:hAnsi="Times New Roman"/>
                      <w:b/>
                      <w:sz w:val="24"/>
                      <w:szCs w:val="24"/>
                    </w:rPr>
                    <w:t>4</w:t>
                  </w:r>
                  <w:r>
                    <w:rPr>
                      <w:rFonts w:ascii="Times New Roman" w:hAnsi="Times New Roman"/>
                      <w:b/>
                      <w:sz w:val="24"/>
                      <w:szCs w:val="24"/>
                    </w:rPr>
                    <w:br/>
                  </w:r>
                  <w:r w:rsidR="00DD2A81">
                    <w:rPr>
                      <w:rFonts w:ascii="Times New Roman" w:hAnsi="Times New Roman"/>
                      <w:b/>
                      <w:bCs/>
                      <w:sz w:val="24"/>
                      <w:szCs w:val="24"/>
                    </w:rPr>
                    <w:t>(optional opinion)</w:t>
                  </w:r>
                  <w:r w:rsidR="00324A12" w:rsidRPr="00DD2A81">
                    <w:rPr>
                      <w:rFonts w:ascii="Times New Roman" w:hAnsi="Times New Roman"/>
                      <w:b/>
                      <w:bCs/>
                      <w:sz w:val="24"/>
                      <w:szCs w:val="24"/>
                    </w:rPr>
                    <w:br/>
                    <w:t>COM(2025) 181 final</w:t>
                  </w:r>
                  <w:r w:rsidR="00DD2A81">
                    <w:rPr>
                      <w:rFonts w:ascii="Times New Roman" w:hAnsi="Times New Roman"/>
                      <w:b/>
                      <w:bCs/>
                      <w:sz w:val="24"/>
                      <w:szCs w:val="24"/>
                    </w:rPr>
                    <w:br/>
                  </w:r>
                  <w:r w:rsidR="00324A12" w:rsidRPr="00DD2A81">
                    <w:rPr>
                      <w:rFonts w:ascii="Times New Roman" w:hAnsi="Times New Roman"/>
                      <w:b/>
                      <w:bCs/>
                      <w:sz w:val="24"/>
                      <w:szCs w:val="24"/>
                      <w:lang w:val="en-IE"/>
                    </w:rPr>
                    <w:t>EESC-2025-</w:t>
                  </w:r>
                  <w:r w:rsidR="00091749" w:rsidRPr="00DD2A81">
                    <w:rPr>
                      <w:rFonts w:ascii="Times New Roman" w:hAnsi="Times New Roman"/>
                      <w:b/>
                      <w:bCs/>
                      <w:sz w:val="24"/>
                      <w:szCs w:val="24"/>
                      <w:lang w:val="en-IE"/>
                    </w:rPr>
                    <w:t>02299</w:t>
                  </w:r>
                  <w:r w:rsidR="00DD2A81" w:rsidRPr="00983377">
                    <w:rPr>
                      <w:rFonts w:ascii="Times New Roman" w:hAnsi="Times New Roman"/>
                      <w:b/>
                      <w:bCs/>
                      <w:sz w:val="24"/>
                      <w:szCs w:val="24"/>
                      <w:lang w:val="en-IE"/>
                    </w:rPr>
                    <w:t xml:space="preserve"> – INT/1096</w:t>
                  </w:r>
                  <w:r w:rsidR="00DD2A81" w:rsidRPr="00DD2A81" w:rsidDel="00DD2A81">
                    <w:rPr>
                      <w:rFonts w:ascii="Times New Roman" w:hAnsi="Times New Roman"/>
                      <w:b/>
                      <w:bCs/>
                      <w:sz w:val="24"/>
                      <w:szCs w:val="24"/>
                      <w:lang w:val="en-IE"/>
                    </w:rPr>
                    <w:t xml:space="preserve"> </w:t>
                  </w:r>
                  <w:r w:rsidR="00DD2A81">
                    <w:rPr>
                      <w:rFonts w:ascii="Times New Roman" w:hAnsi="Times New Roman"/>
                      <w:b/>
                      <w:bCs/>
                      <w:sz w:val="24"/>
                      <w:szCs w:val="24"/>
                      <w:lang w:val="en-IE"/>
                    </w:rPr>
                    <w:br/>
                  </w:r>
                  <w:r w:rsidR="00DD2A81" w:rsidRPr="00DD2A81">
                    <w:rPr>
                      <w:rFonts w:ascii="Times New Roman" w:hAnsi="Times New Roman"/>
                      <w:b/>
                      <w:sz w:val="24"/>
                      <w:szCs w:val="24"/>
                      <w:lang w:val="en-IE"/>
                    </w:rPr>
                    <w:t>601</w:t>
                  </w:r>
                  <w:r w:rsidR="00DD2A81" w:rsidRPr="00DD2A81">
                    <w:rPr>
                      <w:rFonts w:ascii="Times New Roman" w:hAnsi="Times New Roman"/>
                      <w:b/>
                      <w:sz w:val="24"/>
                      <w:szCs w:val="24"/>
                      <w:vertAlign w:val="superscript"/>
                      <w:lang w:val="en-IE"/>
                    </w:rPr>
                    <w:t>st</w:t>
                  </w:r>
                  <w:r w:rsidR="00DD2A81" w:rsidRPr="00DD2A81">
                    <w:rPr>
                      <w:rFonts w:ascii="Times New Roman" w:hAnsi="Times New Roman"/>
                      <w:b/>
                      <w:sz w:val="24"/>
                      <w:szCs w:val="24"/>
                      <w:lang w:val="en-IE"/>
                    </w:rPr>
                    <w:t xml:space="preserve"> </w:t>
                  </w:r>
                  <w:r w:rsidR="00DD2A81" w:rsidRPr="00DD2A81">
                    <w:rPr>
                      <w:rFonts w:ascii="Times New Roman" w:hAnsi="Times New Roman"/>
                      <w:b/>
                      <w:sz w:val="24"/>
                      <w:szCs w:val="24"/>
                    </w:rPr>
                    <w:t>Plenary Session – December 2025</w:t>
                  </w:r>
                  <w:r w:rsidR="00DD2A81" w:rsidRPr="00DD2A81">
                    <w:rPr>
                      <w:rFonts w:ascii="Times New Roman" w:hAnsi="Times New Roman"/>
                      <w:b/>
                      <w:sz w:val="24"/>
                      <w:szCs w:val="24"/>
                    </w:rPr>
                    <w:br/>
                    <w:t>Rapporteur: Andrea MONE (IT- II)</w:t>
                  </w:r>
                  <w:r w:rsidR="00DD2A81" w:rsidRPr="00DD2A81">
                    <w:rPr>
                      <w:rFonts w:ascii="Times New Roman" w:hAnsi="Times New Roman"/>
                      <w:b/>
                      <w:sz w:val="24"/>
                      <w:szCs w:val="24"/>
                    </w:rPr>
                    <w:br/>
                    <w:t xml:space="preserve">DG </w:t>
                  </w:r>
                  <w:r w:rsidR="00DD2A81">
                    <w:rPr>
                      <w:rFonts w:ascii="Times New Roman" w:hAnsi="Times New Roman"/>
                      <w:b/>
                      <w:sz w:val="24"/>
                      <w:szCs w:val="24"/>
                    </w:rPr>
                    <w:t>COMP</w:t>
                  </w:r>
                  <w:r w:rsidR="00DD2A81" w:rsidRPr="00DD2A81">
                    <w:rPr>
                      <w:rFonts w:ascii="Times New Roman" w:hAnsi="Times New Roman"/>
                      <w:b/>
                      <w:sz w:val="24"/>
                      <w:szCs w:val="24"/>
                    </w:rPr>
                    <w:t xml:space="preserve"> - </w:t>
                  </w:r>
                  <w:r w:rsidR="00DD2A81" w:rsidRPr="00DD2A81">
                    <w:rPr>
                      <w:rFonts w:ascii="Times New Roman" w:hAnsi="Times New Roman"/>
                      <w:b/>
                      <w:bCs/>
                      <w:kern w:val="28"/>
                      <w:sz w:val="24"/>
                      <w:szCs w:val="24"/>
                    </w:rPr>
                    <w:t>Executive Vice-President</w:t>
                  </w:r>
                  <w:r w:rsidR="00DD2A81" w:rsidRPr="00DD2A81">
                    <w:rPr>
                      <w:rFonts w:ascii="Times New Roman" w:hAnsi="Times New Roman"/>
                      <w:b/>
                      <w:sz w:val="24"/>
                      <w:szCs w:val="24"/>
                    </w:rPr>
                    <w:t xml:space="preserve"> RIBERA</w:t>
                  </w:r>
                </w:p>
              </w:tc>
            </w:tr>
          </w:tbl>
          <w:p w14:paraId="3A4EDC3A" w14:textId="246841FD" w:rsidR="001C4138" w:rsidRPr="004F6117" w:rsidRDefault="001C4138" w:rsidP="001765D9">
            <w:pPr>
              <w:widowControl w:val="0"/>
              <w:spacing w:before="120" w:after="120"/>
              <w:rPr>
                <w:rFonts w:ascii="Times New Roman" w:hAnsi="Times New Roman"/>
                <w:b/>
                <w:sz w:val="24"/>
                <w:szCs w:val="24"/>
              </w:rPr>
            </w:pPr>
          </w:p>
        </w:tc>
      </w:tr>
      <w:tr w:rsidR="00734613" w:rsidRPr="00442552" w14:paraId="1937071F" w14:textId="77777777" w:rsidTr="000A3A33">
        <w:trPr>
          <w:jc w:val="center"/>
        </w:trPr>
        <w:tc>
          <w:tcPr>
            <w:tcW w:w="10509" w:type="dxa"/>
          </w:tcPr>
          <w:p w14:paraId="1E50B4DB" w14:textId="6210B328" w:rsidR="00734613" w:rsidRPr="00695797" w:rsidRDefault="004F6117" w:rsidP="001765D9">
            <w:pPr>
              <w:widowControl w:val="0"/>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554137">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0A3A33">
        <w:trPr>
          <w:jc w:val="center"/>
        </w:trPr>
        <w:tc>
          <w:tcPr>
            <w:tcW w:w="10509" w:type="dxa"/>
          </w:tcPr>
          <w:p w14:paraId="24E99A4D" w14:textId="6DFE4CDF" w:rsidR="00734613" w:rsidRPr="001765D9" w:rsidRDefault="00224F1B" w:rsidP="00B96ADA">
            <w:pPr>
              <w:widowControl w:val="0"/>
              <w:spacing w:before="120" w:after="120"/>
              <w:jc w:val="both"/>
              <w:rPr>
                <w:rFonts w:ascii="Times New Roman" w:hAnsi="Times New Roman"/>
                <w:b/>
                <w:bCs/>
                <w:sz w:val="24"/>
                <w:szCs w:val="24"/>
              </w:rPr>
            </w:pPr>
            <w:r w:rsidRPr="001765D9">
              <w:rPr>
                <w:rFonts w:ascii="Times New Roman" w:hAnsi="Times New Roman"/>
                <w:b/>
                <w:bCs/>
                <w:sz w:val="24"/>
                <w:szCs w:val="24"/>
              </w:rPr>
              <w:t>O</w:t>
            </w:r>
            <w:r w:rsidR="00BC07CD" w:rsidRPr="001765D9">
              <w:rPr>
                <w:rFonts w:ascii="Times New Roman" w:hAnsi="Times New Roman"/>
                <w:b/>
                <w:bCs/>
                <w:sz w:val="24"/>
                <w:szCs w:val="24"/>
              </w:rPr>
              <w:t xml:space="preserve">n </w:t>
            </w:r>
            <w:r w:rsidR="005D1512" w:rsidRPr="001765D9">
              <w:rPr>
                <w:rFonts w:ascii="Times New Roman" w:hAnsi="Times New Roman"/>
                <w:b/>
                <w:bCs/>
                <w:sz w:val="24"/>
                <w:szCs w:val="24"/>
              </w:rPr>
              <w:t xml:space="preserve">the Clean Industrial State </w:t>
            </w:r>
            <w:r w:rsidR="00284744" w:rsidRPr="001765D9">
              <w:rPr>
                <w:rFonts w:ascii="Times New Roman" w:hAnsi="Times New Roman"/>
                <w:b/>
                <w:bCs/>
                <w:sz w:val="24"/>
                <w:szCs w:val="24"/>
              </w:rPr>
              <w:t>Aid</w:t>
            </w:r>
            <w:r w:rsidR="005D1512" w:rsidRPr="001765D9">
              <w:rPr>
                <w:rFonts w:ascii="Times New Roman" w:hAnsi="Times New Roman"/>
                <w:b/>
                <w:bCs/>
                <w:sz w:val="24"/>
                <w:szCs w:val="24"/>
              </w:rPr>
              <w:t xml:space="preserve"> Framework</w:t>
            </w:r>
            <w:r w:rsidR="00AA2CCA" w:rsidRPr="001765D9">
              <w:rPr>
                <w:rFonts w:ascii="Times New Roman" w:hAnsi="Times New Roman"/>
                <w:b/>
                <w:bCs/>
                <w:sz w:val="24"/>
                <w:szCs w:val="24"/>
              </w:rPr>
              <w:t xml:space="preserve"> (</w:t>
            </w:r>
            <w:r w:rsidR="00BC07CD" w:rsidRPr="001765D9">
              <w:rPr>
                <w:rFonts w:ascii="Times New Roman" w:hAnsi="Times New Roman"/>
                <w:b/>
                <w:bCs/>
                <w:sz w:val="24"/>
                <w:szCs w:val="24"/>
              </w:rPr>
              <w:t>CISAF</w:t>
            </w:r>
            <w:r w:rsidR="00AA2CCA" w:rsidRPr="001765D9">
              <w:rPr>
                <w:rFonts w:ascii="Times New Roman" w:hAnsi="Times New Roman"/>
                <w:b/>
                <w:bCs/>
                <w:sz w:val="24"/>
                <w:szCs w:val="24"/>
              </w:rPr>
              <w:t>)</w:t>
            </w:r>
            <w:r w:rsidR="00B96ADA" w:rsidRPr="001765D9">
              <w:rPr>
                <w:rFonts w:ascii="Times New Roman" w:hAnsi="Times New Roman"/>
                <w:b/>
                <w:bCs/>
                <w:sz w:val="24"/>
                <w:szCs w:val="24"/>
              </w:rPr>
              <w:t xml:space="preserve"> - Sections 1.11 and 2.7.2 of the Opinion</w:t>
            </w:r>
            <w:r w:rsidR="00BC07CD" w:rsidRPr="001765D9">
              <w:rPr>
                <w:rFonts w:ascii="Times New Roman" w:hAnsi="Times New Roman"/>
                <w:b/>
                <w:bCs/>
                <w:sz w:val="24"/>
                <w:szCs w:val="24"/>
              </w:rPr>
              <w:t xml:space="preserve">: </w:t>
            </w:r>
          </w:p>
          <w:p w14:paraId="20F4994A" w14:textId="2FBCACE4" w:rsidR="009B1614" w:rsidRPr="00B96ADA" w:rsidRDefault="00994165" w:rsidP="00B96ADA">
            <w:pPr>
              <w:widowControl w:val="0"/>
              <w:spacing w:before="120" w:after="120"/>
              <w:jc w:val="both"/>
              <w:rPr>
                <w:rFonts w:ascii="Times New Roman" w:hAnsi="Times New Roman"/>
                <w:sz w:val="24"/>
                <w:szCs w:val="24"/>
                <w:u w:val="single"/>
              </w:rPr>
            </w:pPr>
            <w:r w:rsidRPr="00B96ADA">
              <w:rPr>
                <w:rFonts w:ascii="Times New Roman" w:hAnsi="Times New Roman"/>
                <w:sz w:val="24"/>
                <w:szCs w:val="24"/>
                <w:u w:val="single"/>
              </w:rPr>
              <w:t>Commission reply:</w:t>
            </w:r>
            <w:r w:rsidR="0087313A">
              <w:rPr>
                <w:rFonts w:ascii="Times New Roman" w:hAnsi="Times New Roman"/>
                <w:sz w:val="24"/>
                <w:szCs w:val="24"/>
                <w:u w:val="single"/>
              </w:rPr>
              <w:t xml:space="preserve"> </w:t>
            </w:r>
          </w:p>
          <w:p w14:paraId="2A35492C" w14:textId="5D343E7A" w:rsidR="00A2355C" w:rsidRPr="001765D9" w:rsidRDefault="005B2B80" w:rsidP="00B96ADA">
            <w:pPr>
              <w:widowControl w:val="0"/>
              <w:spacing w:before="120" w:after="120"/>
              <w:jc w:val="both"/>
              <w:rPr>
                <w:rFonts w:ascii="Times New Roman" w:hAnsi="Times New Roman"/>
                <w:sz w:val="24"/>
                <w:szCs w:val="24"/>
              </w:rPr>
            </w:pPr>
            <w:r w:rsidRPr="001765D9">
              <w:rPr>
                <w:rFonts w:ascii="Times New Roman" w:hAnsi="Times New Roman"/>
                <w:sz w:val="24"/>
                <w:szCs w:val="24"/>
              </w:rPr>
              <w:t>Within the Single Market, companies frequently have supply chains covering several Member States</w:t>
            </w:r>
            <w:r>
              <w:rPr>
                <w:rFonts w:ascii="Times New Roman" w:hAnsi="Times New Roman"/>
                <w:sz w:val="24"/>
                <w:szCs w:val="24"/>
              </w:rPr>
              <w:t>.</w:t>
            </w:r>
            <w:r w:rsidRPr="001765D9">
              <w:rPr>
                <w:rFonts w:ascii="Times New Roman" w:hAnsi="Times New Roman"/>
                <w:sz w:val="24"/>
                <w:szCs w:val="24"/>
              </w:rPr>
              <w:t xml:space="preserve"> </w:t>
            </w:r>
            <w:r w:rsidR="00A2355C" w:rsidRPr="001765D9">
              <w:rPr>
                <w:rFonts w:ascii="Times New Roman" w:hAnsi="Times New Roman"/>
                <w:sz w:val="24"/>
                <w:szCs w:val="24"/>
              </w:rPr>
              <w:t xml:space="preserve">The CISAF is primarily directed at individual Member States that wish to speed up the clean transition towards a net-zero economy. This also applies to state-of-the-art </w:t>
            </w:r>
            <w:r w:rsidR="001F2333">
              <w:rPr>
                <w:rFonts w:ascii="Times New Roman" w:hAnsi="Times New Roman"/>
                <w:sz w:val="24"/>
                <w:szCs w:val="24"/>
              </w:rPr>
              <w:t>decarbonisation</w:t>
            </w:r>
            <w:r w:rsidR="001F2333" w:rsidRPr="001765D9">
              <w:rPr>
                <w:rFonts w:ascii="Times New Roman" w:hAnsi="Times New Roman"/>
                <w:sz w:val="24"/>
                <w:szCs w:val="24"/>
              </w:rPr>
              <w:t xml:space="preserve"> </w:t>
            </w:r>
            <w:r w:rsidR="00A2355C" w:rsidRPr="001765D9">
              <w:rPr>
                <w:rFonts w:ascii="Times New Roman" w:hAnsi="Times New Roman"/>
                <w:sz w:val="24"/>
                <w:szCs w:val="24"/>
              </w:rPr>
              <w:t xml:space="preserve">projects like those subsidised by individual Member States under </w:t>
            </w:r>
            <w:r w:rsidR="00431BB0" w:rsidRPr="00B96ADA">
              <w:rPr>
                <w:rFonts w:ascii="Times New Roman" w:hAnsi="Times New Roman"/>
                <w:sz w:val="24"/>
                <w:szCs w:val="24"/>
              </w:rPr>
              <w:t>S</w:t>
            </w:r>
            <w:r w:rsidR="00A2355C" w:rsidRPr="00B96ADA">
              <w:rPr>
                <w:rFonts w:ascii="Times New Roman" w:hAnsi="Times New Roman"/>
                <w:sz w:val="24"/>
                <w:szCs w:val="24"/>
              </w:rPr>
              <w:t xml:space="preserve">ection </w:t>
            </w:r>
            <w:r w:rsidR="00A2355C" w:rsidRPr="001765D9">
              <w:rPr>
                <w:rFonts w:ascii="Times New Roman" w:hAnsi="Times New Roman"/>
                <w:sz w:val="24"/>
                <w:szCs w:val="24"/>
              </w:rPr>
              <w:t>7 of the CISAF</w:t>
            </w:r>
            <w:r w:rsidR="00C0522C">
              <w:rPr>
                <w:rFonts w:ascii="Times New Roman" w:hAnsi="Times New Roman"/>
                <w:sz w:val="24"/>
                <w:szCs w:val="24"/>
              </w:rPr>
              <w:t>. It</w:t>
            </w:r>
            <w:r w:rsidR="00A2355C" w:rsidRPr="001765D9">
              <w:rPr>
                <w:rFonts w:ascii="Times New Roman" w:hAnsi="Times New Roman"/>
                <w:sz w:val="24"/>
                <w:szCs w:val="24"/>
              </w:rPr>
              <w:t xml:space="preserve"> sets out criteria to support investments that have been positively assessed under the Innovation Fund and that have been awarded a</w:t>
            </w:r>
            <w:r w:rsidR="00993A0F">
              <w:rPr>
                <w:rFonts w:ascii="Times New Roman" w:hAnsi="Times New Roman"/>
                <w:sz w:val="24"/>
                <w:szCs w:val="24"/>
              </w:rPr>
              <w:t> </w:t>
            </w:r>
            <w:r w:rsidR="00A2355C" w:rsidRPr="001765D9">
              <w:rPr>
                <w:rFonts w:ascii="Times New Roman" w:hAnsi="Times New Roman"/>
                <w:sz w:val="24"/>
                <w:szCs w:val="24"/>
              </w:rPr>
              <w:t xml:space="preserve">Sovereignty </w:t>
            </w:r>
            <w:r w:rsidR="002D2B3D" w:rsidRPr="001765D9">
              <w:rPr>
                <w:rFonts w:ascii="Times New Roman" w:hAnsi="Times New Roman"/>
                <w:sz w:val="24"/>
                <w:szCs w:val="24"/>
              </w:rPr>
              <w:t>Seal</w:t>
            </w:r>
            <w:r w:rsidR="009F4757" w:rsidRPr="001765D9">
              <w:rPr>
                <w:rFonts w:ascii="Times New Roman" w:hAnsi="Times New Roman"/>
                <w:sz w:val="24"/>
                <w:szCs w:val="24"/>
              </w:rPr>
              <w:t xml:space="preserve"> (</w:t>
            </w:r>
            <w:r w:rsidR="002D2B3D" w:rsidRPr="001765D9">
              <w:rPr>
                <w:rFonts w:ascii="Times New Roman" w:hAnsi="Times New Roman"/>
                <w:sz w:val="24"/>
                <w:szCs w:val="24"/>
              </w:rPr>
              <w:t>the EU quality label awarded to high-quality projects contributing to the</w:t>
            </w:r>
            <w:r w:rsidR="00F72506" w:rsidRPr="001765D9">
              <w:rPr>
                <w:rFonts w:ascii="Times New Roman" w:hAnsi="Times New Roman"/>
                <w:sz w:val="24"/>
                <w:szCs w:val="24"/>
              </w:rPr>
              <w:t xml:space="preserve"> objectives</w:t>
            </w:r>
            <w:r w:rsidR="009F4757" w:rsidRPr="001765D9">
              <w:rPr>
                <w:rFonts w:ascii="Times New Roman" w:hAnsi="Times New Roman"/>
                <w:sz w:val="24"/>
                <w:szCs w:val="24"/>
              </w:rPr>
              <w:t xml:space="preserve"> </w:t>
            </w:r>
            <w:r w:rsidR="002D7D63" w:rsidRPr="001765D9">
              <w:rPr>
                <w:rFonts w:ascii="Times New Roman" w:hAnsi="Times New Roman"/>
                <w:sz w:val="24"/>
                <w:szCs w:val="24"/>
              </w:rPr>
              <w:t xml:space="preserve">of </w:t>
            </w:r>
            <w:r w:rsidR="009F4757" w:rsidRPr="001765D9">
              <w:rPr>
                <w:rFonts w:ascii="Times New Roman" w:hAnsi="Times New Roman"/>
                <w:sz w:val="24"/>
                <w:szCs w:val="24"/>
              </w:rPr>
              <w:t xml:space="preserve">the </w:t>
            </w:r>
            <w:r w:rsidR="002D7D63" w:rsidRPr="001765D9">
              <w:rPr>
                <w:rFonts w:ascii="Times New Roman" w:hAnsi="Times New Roman"/>
                <w:sz w:val="24"/>
                <w:szCs w:val="24"/>
              </w:rPr>
              <w:t xml:space="preserve">Strategic Technologies </w:t>
            </w:r>
            <w:r w:rsidR="005C52C3" w:rsidRPr="001765D9">
              <w:rPr>
                <w:rFonts w:ascii="Times New Roman" w:hAnsi="Times New Roman"/>
                <w:sz w:val="24"/>
                <w:szCs w:val="24"/>
              </w:rPr>
              <w:t>for Europe Platform</w:t>
            </w:r>
            <w:r w:rsidR="00431BB0" w:rsidRPr="001765D9">
              <w:rPr>
                <w:rFonts w:ascii="Times New Roman" w:hAnsi="Times New Roman"/>
                <w:sz w:val="24"/>
                <w:szCs w:val="24"/>
              </w:rPr>
              <w:t>,</w:t>
            </w:r>
            <w:r w:rsidR="005C52C3" w:rsidRPr="001765D9">
              <w:rPr>
                <w:rFonts w:ascii="Times New Roman" w:hAnsi="Times New Roman"/>
                <w:sz w:val="24"/>
                <w:szCs w:val="24"/>
              </w:rPr>
              <w:t xml:space="preserve"> </w:t>
            </w:r>
            <w:r w:rsidR="00431BB0" w:rsidRPr="001765D9">
              <w:rPr>
                <w:rFonts w:ascii="Times New Roman" w:hAnsi="Times New Roman"/>
                <w:sz w:val="24"/>
                <w:szCs w:val="24"/>
              </w:rPr>
              <w:t>‘STEP’).</w:t>
            </w:r>
            <w:r w:rsidR="005C52C3" w:rsidRPr="001765D9">
              <w:rPr>
                <w:rFonts w:ascii="Times New Roman" w:hAnsi="Times New Roman"/>
                <w:sz w:val="24"/>
                <w:szCs w:val="24"/>
              </w:rPr>
              <w:t xml:space="preserve"> </w:t>
            </w:r>
            <w:r w:rsidR="00A2355C" w:rsidRPr="001765D9">
              <w:rPr>
                <w:rFonts w:ascii="Times New Roman" w:hAnsi="Times New Roman"/>
                <w:sz w:val="24"/>
                <w:szCs w:val="24"/>
              </w:rPr>
              <w:t xml:space="preserve">The objective of </w:t>
            </w:r>
            <w:r w:rsidR="00431BB0" w:rsidRPr="001765D9">
              <w:rPr>
                <w:rFonts w:ascii="Times New Roman" w:hAnsi="Times New Roman"/>
                <w:sz w:val="24"/>
                <w:szCs w:val="24"/>
              </w:rPr>
              <w:t xml:space="preserve">Section </w:t>
            </w:r>
            <w:r w:rsidR="00AB6411" w:rsidRPr="001765D9">
              <w:rPr>
                <w:rFonts w:ascii="Times New Roman" w:hAnsi="Times New Roman"/>
                <w:sz w:val="24"/>
                <w:szCs w:val="24"/>
              </w:rPr>
              <w:t xml:space="preserve">7 </w:t>
            </w:r>
            <w:r w:rsidR="00A2355C" w:rsidRPr="001765D9">
              <w:rPr>
                <w:rFonts w:ascii="Times New Roman" w:hAnsi="Times New Roman"/>
                <w:sz w:val="24"/>
                <w:szCs w:val="24"/>
              </w:rPr>
              <w:t xml:space="preserve">is to increase consistency </w:t>
            </w:r>
            <w:r w:rsidR="00B96ADA">
              <w:rPr>
                <w:rFonts w:ascii="Times New Roman" w:hAnsi="Times New Roman"/>
                <w:sz w:val="24"/>
                <w:szCs w:val="24"/>
              </w:rPr>
              <w:t>among</w:t>
            </w:r>
            <w:r w:rsidR="00A2355C" w:rsidRPr="00B96ADA">
              <w:rPr>
                <w:rFonts w:ascii="Times New Roman" w:hAnsi="Times New Roman"/>
                <w:sz w:val="24"/>
                <w:szCs w:val="24"/>
              </w:rPr>
              <w:t xml:space="preserve"> </w:t>
            </w:r>
            <w:r w:rsidR="00A2355C" w:rsidRPr="001765D9">
              <w:rPr>
                <w:rFonts w:ascii="Times New Roman" w:hAnsi="Times New Roman"/>
                <w:sz w:val="24"/>
                <w:szCs w:val="24"/>
              </w:rPr>
              <w:t xml:space="preserve">EU rules and </w:t>
            </w:r>
            <w:r w:rsidR="00AB6411" w:rsidRPr="001765D9">
              <w:rPr>
                <w:rFonts w:ascii="Times New Roman" w:hAnsi="Times New Roman"/>
                <w:sz w:val="24"/>
                <w:szCs w:val="24"/>
              </w:rPr>
              <w:t xml:space="preserve">to </w:t>
            </w:r>
            <w:r w:rsidR="00A2355C" w:rsidRPr="001765D9">
              <w:rPr>
                <w:rFonts w:ascii="Times New Roman" w:hAnsi="Times New Roman"/>
                <w:sz w:val="24"/>
                <w:szCs w:val="24"/>
              </w:rPr>
              <w:t>ensure simple procedures. The fact that some Member States are more advanced and specialised in ‘</w:t>
            </w:r>
            <w:r w:rsidR="00AE27C1">
              <w:rPr>
                <w:rFonts w:ascii="Times New Roman" w:hAnsi="Times New Roman"/>
                <w:sz w:val="24"/>
                <w:szCs w:val="24"/>
              </w:rPr>
              <w:t>clean</w:t>
            </w:r>
            <w:r w:rsidR="00AE27C1" w:rsidRPr="001765D9">
              <w:rPr>
                <w:rFonts w:ascii="Times New Roman" w:hAnsi="Times New Roman"/>
                <w:sz w:val="24"/>
                <w:szCs w:val="24"/>
              </w:rPr>
              <w:t xml:space="preserve"> </w:t>
            </w:r>
            <w:r w:rsidR="00A2355C" w:rsidRPr="001765D9">
              <w:rPr>
                <w:rFonts w:ascii="Times New Roman" w:hAnsi="Times New Roman"/>
                <w:sz w:val="24"/>
                <w:szCs w:val="24"/>
              </w:rPr>
              <w:t xml:space="preserve">technologies’ than others, increases the likelihood that national </w:t>
            </w:r>
            <w:r w:rsidR="00B96ADA">
              <w:rPr>
                <w:rFonts w:ascii="Times New Roman" w:hAnsi="Times New Roman"/>
                <w:sz w:val="24"/>
                <w:szCs w:val="24"/>
              </w:rPr>
              <w:t>S</w:t>
            </w:r>
            <w:r w:rsidR="00B96ADA" w:rsidRPr="00B96ADA">
              <w:rPr>
                <w:rFonts w:ascii="Times New Roman" w:hAnsi="Times New Roman"/>
                <w:sz w:val="24"/>
                <w:szCs w:val="24"/>
              </w:rPr>
              <w:t xml:space="preserve">tate </w:t>
            </w:r>
            <w:r w:rsidR="00A2355C" w:rsidRPr="001765D9">
              <w:rPr>
                <w:rFonts w:ascii="Times New Roman" w:hAnsi="Times New Roman"/>
                <w:sz w:val="24"/>
                <w:szCs w:val="24"/>
              </w:rPr>
              <w:t xml:space="preserve">aid measures and schemes will result in economic spill-over effects across Member States. However, the amplitude and frequency of such </w:t>
            </w:r>
            <w:r w:rsidR="00A2355C" w:rsidRPr="00B96ADA">
              <w:rPr>
                <w:rFonts w:ascii="Times New Roman" w:hAnsi="Times New Roman"/>
                <w:sz w:val="24"/>
                <w:szCs w:val="24"/>
              </w:rPr>
              <w:t xml:space="preserve">potential </w:t>
            </w:r>
            <w:r w:rsidR="0093149D" w:rsidRPr="0093149D">
              <w:rPr>
                <w:rFonts w:ascii="Times New Roman" w:hAnsi="Times New Roman"/>
                <w:sz w:val="24"/>
                <w:szCs w:val="24"/>
              </w:rPr>
              <w:t>spillovers</w:t>
            </w:r>
            <w:r w:rsidR="00A2355C" w:rsidRPr="00B96ADA">
              <w:rPr>
                <w:rFonts w:ascii="Times New Roman" w:hAnsi="Times New Roman"/>
                <w:sz w:val="24"/>
                <w:szCs w:val="24"/>
              </w:rPr>
              <w:t xml:space="preserve"> are difficult </w:t>
            </w:r>
            <w:r w:rsidR="00A2355C" w:rsidRPr="001765D9">
              <w:rPr>
                <w:rFonts w:ascii="Times New Roman" w:hAnsi="Times New Roman"/>
                <w:sz w:val="24"/>
                <w:szCs w:val="24"/>
              </w:rPr>
              <w:t>to measure at this stage, because CISAF has</w:t>
            </w:r>
            <w:r w:rsidR="0021170C">
              <w:rPr>
                <w:rFonts w:ascii="Times New Roman" w:hAnsi="Times New Roman"/>
                <w:sz w:val="24"/>
                <w:szCs w:val="24"/>
              </w:rPr>
              <w:t xml:space="preserve"> only</w:t>
            </w:r>
            <w:r w:rsidR="00A2355C" w:rsidRPr="00B96ADA">
              <w:rPr>
                <w:rFonts w:ascii="Times New Roman" w:hAnsi="Times New Roman"/>
                <w:sz w:val="24"/>
                <w:szCs w:val="24"/>
              </w:rPr>
              <w:t xml:space="preserve"> been </w:t>
            </w:r>
            <w:r w:rsidR="00A2355C" w:rsidRPr="001765D9">
              <w:rPr>
                <w:rFonts w:ascii="Times New Roman" w:hAnsi="Times New Roman"/>
                <w:sz w:val="24"/>
                <w:szCs w:val="24"/>
              </w:rPr>
              <w:t xml:space="preserve">in force for less than a year. In addition, for </w:t>
            </w:r>
            <w:r w:rsidR="00A2355C" w:rsidRPr="00B96ADA">
              <w:rPr>
                <w:rFonts w:ascii="Times New Roman" w:hAnsi="Times New Roman"/>
                <w:sz w:val="23"/>
                <w:szCs w:val="23"/>
              </w:rPr>
              <w:t xml:space="preserve">large State aid </w:t>
            </w:r>
            <w:r w:rsidR="00A2355C" w:rsidRPr="001765D9">
              <w:rPr>
                <w:rFonts w:ascii="Times New Roman" w:hAnsi="Times New Roman"/>
                <w:sz w:val="24"/>
                <w:szCs w:val="24"/>
              </w:rPr>
              <w:t xml:space="preserve">projects where </w:t>
            </w:r>
            <w:r w:rsidR="00A2355C" w:rsidRPr="00B96ADA">
              <w:rPr>
                <w:rFonts w:ascii="Times New Roman" w:hAnsi="Times New Roman"/>
                <w:sz w:val="24"/>
                <w:szCs w:val="24"/>
              </w:rPr>
              <w:t xml:space="preserve">the </w:t>
            </w:r>
            <w:r w:rsidR="008D68D1">
              <w:rPr>
                <w:rFonts w:ascii="Times New Roman" w:hAnsi="Times New Roman"/>
                <w:sz w:val="24"/>
                <w:szCs w:val="24"/>
              </w:rPr>
              <w:t>s</w:t>
            </w:r>
            <w:r w:rsidR="00A2355C" w:rsidRPr="00B96ADA">
              <w:rPr>
                <w:rFonts w:ascii="Times New Roman" w:hAnsi="Times New Roman"/>
                <w:sz w:val="24"/>
                <w:szCs w:val="24"/>
              </w:rPr>
              <w:t xml:space="preserve">tate is the </w:t>
            </w:r>
            <w:r w:rsidR="00A2355C" w:rsidRPr="001765D9">
              <w:rPr>
                <w:rFonts w:ascii="Times New Roman" w:hAnsi="Times New Roman"/>
                <w:sz w:val="24"/>
                <w:szCs w:val="24"/>
              </w:rPr>
              <w:t xml:space="preserve">only or the majority owner, the EU procurement rules would apply (provided that the threshold values are fulfilled). </w:t>
            </w:r>
          </w:p>
          <w:p w14:paraId="5944D69A" w14:textId="73860A97" w:rsidR="00A2355C" w:rsidRPr="00B96ADA" w:rsidRDefault="00A2355C" w:rsidP="00B96ADA">
            <w:pPr>
              <w:widowControl w:val="0"/>
              <w:spacing w:before="120" w:after="120"/>
              <w:jc w:val="both"/>
              <w:rPr>
                <w:rFonts w:ascii="Times New Roman" w:hAnsi="Times New Roman"/>
                <w:sz w:val="24"/>
                <w:szCs w:val="24"/>
              </w:rPr>
            </w:pPr>
            <w:r w:rsidRPr="00B96ADA">
              <w:rPr>
                <w:rFonts w:ascii="Times New Roman" w:hAnsi="Times New Roman"/>
                <w:sz w:val="24"/>
                <w:szCs w:val="24"/>
              </w:rPr>
              <w:t xml:space="preserve">The most appropriate </w:t>
            </w:r>
            <w:r w:rsidR="00B96ADA">
              <w:rPr>
                <w:rFonts w:ascii="Times New Roman" w:hAnsi="Times New Roman"/>
                <w:sz w:val="24"/>
                <w:szCs w:val="24"/>
              </w:rPr>
              <w:t>S</w:t>
            </w:r>
            <w:r w:rsidRPr="00B96ADA">
              <w:rPr>
                <w:rFonts w:ascii="Times New Roman" w:hAnsi="Times New Roman"/>
                <w:sz w:val="24"/>
                <w:szCs w:val="24"/>
              </w:rPr>
              <w:t xml:space="preserve">tate aid tool for generating positive effects across multiple Member States is   Important Projects of Common European Interest (IPCEIs). This instrument is designed to generate positive economic and innovation-driven spill-over-effects in multiple Member States. IPCEIs benefit </w:t>
            </w:r>
            <w:r w:rsidR="00127A94" w:rsidRPr="00B96ADA">
              <w:rPr>
                <w:rFonts w:ascii="Times New Roman" w:hAnsi="Times New Roman"/>
                <w:sz w:val="24"/>
                <w:szCs w:val="24"/>
              </w:rPr>
              <w:t xml:space="preserve">SMEs as well as </w:t>
            </w:r>
            <w:r w:rsidRPr="00B96ADA">
              <w:rPr>
                <w:rFonts w:ascii="Times New Roman" w:hAnsi="Times New Roman"/>
                <w:sz w:val="24"/>
                <w:szCs w:val="24"/>
              </w:rPr>
              <w:t>large privately</w:t>
            </w:r>
            <w:r w:rsidR="00D5402C" w:rsidRPr="00B96ADA">
              <w:rPr>
                <w:rFonts w:ascii="Times New Roman" w:hAnsi="Times New Roman"/>
                <w:sz w:val="24"/>
                <w:szCs w:val="24"/>
              </w:rPr>
              <w:t>-</w:t>
            </w:r>
            <w:r w:rsidRPr="00B96ADA">
              <w:rPr>
                <w:rFonts w:ascii="Times New Roman" w:hAnsi="Times New Roman"/>
                <w:sz w:val="24"/>
                <w:szCs w:val="24"/>
              </w:rPr>
              <w:t>owned companies</w:t>
            </w:r>
            <w:r w:rsidR="00127A94" w:rsidRPr="00B96ADA">
              <w:rPr>
                <w:rFonts w:ascii="Times New Roman" w:hAnsi="Times New Roman"/>
                <w:sz w:val="24"/>
                <w:szCs w:val="24"/>
              </w:rPr>
              <w:t>.</w:t>
            </w:r>
            <w:r w:rsidR="0087313A">
              <w:rPr>
                <w:rFonts w:ascii="Times New Roman" w:hAnsi="Times New Roman"/>
                <w:sz w:val="24"/>
                <w:szCs w:val="24"/>
              </w:rPr>
              <w:t xml:space="preserve"> </w:t>
            </w:r>
          </w:p>
          <w:p w14:paraId="40E9C5EF" w14:textId="00FD2C53" w:rsidR="00A2355C" w:rsidRPr="001765D9" w:rsidRDefault="00A2355C" w:rsidP="00B96ADA">
            <w:pPr>
              <w:widowControl w:val="0"/>
              <w:spacing w:before="120" w:after="120"/>
              <w:jc w:val="both"/>
              <w:rPr>
                <w:rFonts w:ascii="Times New Roman" w:hAnsi="Times New Roman"/>
                <w:sz w:val="24"/>
                <w:szCs w:val="24"/>
              </w:rPr>
            </w:pPr>
            <w:r w:rsidRPr="00B96ADA">
              <w:rPr>
                <w:rFonts w:ascii="Times New Roman" w:hAnsi="Times New Roman"/>
                <w:sz w:val="24"/>
                <w:szCs w:val="24"/>
              </w:rPr>
              <w:t>As regards ‘cutting red tape’, the Commission refers</w:t>
            </w:r>
            <w:r w:rsidR="008D68D1">
              <w:rPr>
                <w:rFonts w:ascii="Times New Roman" w:hAnsi="Times New Roman"/>
                <w:sz w:val="24"/>
                <w:szCs w:val="24"/>
              </w:rPr>
              <w:t xml:space="preserve"> to</w:t>
            </w:r>
            <w:r w:rsidRPr="00B96ADA">
              <w:rPr>
                <w:rFonts w:ascii="Times New Roman" w:hAnsi="Times New Roman"/>
                <w:sz w:val="24"/>
                <w:szCs w:val="24"/>
              </w:rPr>
              <w:t xml:space="preserve"> the </w:t>
            </w:r>
            <w:r w:rsidR="00C40891" w:rsidRPr="00B96ADA">
              <w:rPr>
                <w:rFonts w:ascii="Times New Roman" w:hAnsi="Times New Roman"/>
                <w:sz w:val="24"/>
                <w:szCs w:val="24"/>
                <w:lang w:val="en-IE"/>
              </w:rPr>
              <w:t>2025 Annual Progress Report on Simplification, Implementation and Enforceme</w:t>
            </w:r>
            <w:r w:rsidR="007415F0">
              <w:rPr>
                <w:rFonts w:ascii="Times New Roman" w:hAnsi="Times New Roman"/>
                <w:sz w:val="24"/>
                <w:szCs w:val="24"/>
                <w:lang w:val="en-IE"/>
              </w:rPr>
              <w:t>nt</w:t>
            </w:r>
            <w:r w:rsidR="006A195E" w:rsidRPr="00B96ADA">
              <w:rPr>
                <w:rFonts w:ascii="Times New Roman" w:hAnsi="Times New Roman"/>
                <w:sz w:val="24"/>
                <w:szCs w:val="24"/>
                <w:lang w:val="en-IE"/>
              </w:rPr>
              <w:t xml:space="preserve"> published</w:t>
            </w:r>
            <w:r w:rsidR="00B96ADA">
              <w:rPr>
                <w:rFonts w:ascii="Times New Roman" w:hAnsi="Times New Roman"/>
                <w:sz w:val="24"/>
                <w:szCs w:val="24"/>
                <w:lang w:val="en-IE"/>
              </w:rPr>
              <w:t xml:space="preserve"> in </w:t>
            </w:r>
            <w:r w:rsidR="007415F0">
              <w:rPr>
                <w:rFonts w:ascii="Times New Roman" w:hAnsi="Times New Roman"/>
                <w:sz w:val="24"/>
                <w:szCs w:val="24"/>
                <w:lang w:val="en-IE"/>
              </w:rPr>
              <w:t>October</w:t>
            </w:r>
            <w:r w:rsidR="006A195E" w:rsidRPr="00B96ADA">
              <w:rPr>
                <w:rFonts w:ascii="Times New Roman" w:hAnsi="Times New Roman"/>
                <w:sz w:val="24"/>
                <w:szCs w:val="24"/>
                <w:lang w:val="en-IE"/>
              </w:rPr>
              <w:t>2025)</w:t>
            </w:r>
            <w:r w:rsidR="00793200" w:rsidRPr="00B96ADA">
              <w:rPr>
                <w:rFonts w:ascii="Times New Roman" w:hAnsi="Times New Roman"/>
                <w:sz w:val="24"/>
                <w:szCs w:val="24"/>
                <w:lang w:val="en-IE"/>
              </w:rPr>
              <w:t>.</w:t>
            </w:r>
            <w:r w:rsidR="006A195E" w:rsidRPr="00B96ADA">
              <w:rPr>
                <w:rFonts w:ascii="Times New Roman" w:hAnsi="Times New Roman"/>
                <w:sz w:val="24"/>
                <w:szCs w:val="24"/>
                <w:lang w:val="en-IE"/>
              </w:rPr>
              <w:t xml:space="preserve"> </w:t>
            </w:r>
            <w:r w:rsidRPr="00B96ADA">
              <w:rPr>
                <w:rFonts w:ascii="Times New Roman" w:hAnsi="Times New Roman"/>
                <w:iCs/>
                <w:sz w:val="24"/>
                <w:szCs w:val="24"/>
                <w:lang w:val="en-IE"/>
              </w:rPr>
              <w:t>The Report</w:t>
            </w:r>
            <w:r w:rsidR="00F868D3" w:rsidRPr="00B96ADA">
              <w:rPr>
                <w:rFonts w:ascii="Times New Roman" w:hAnsi="Times New Roman"/>
                <w:iCs/>
                <w:sz w:val="24"/>
                <w:szCs w:val="24"/>
                <w:lang w:val="en-IE"/>
              </w:rPr>
              <w:t xml:space="preserve"> </w:t>
            </w:r>
            <w:r w:rsidRPr="001765D9">
              <w:rPr>
                <w:rFonts w:ascii="Times New Roman" w:hAnsi="Times New Roman"/>
                <w:sz w:val="24"/>
                <w:szCs w:val="24"/>
                <w:lang w:val="en-IE"/>
              </w:rPr>
              <w:t xml:space="preserve">covers the first seven months of that year. It illustrates the priority that the Executive Vice-President attaches to the Commission’s implementation and simplification agenda within her fields of responsibility. It describes the efforts made to revise and simplify existing legislation and to make new legislation simple and easy to implement. The </w:t>
            </w:r>
            <w:r w:rsidRPr="001765D9">
              <w:rPr>
                <w:rFonts w:ascii="Times New Roman" w:hAnsi="Times New Roman"/>
                <w:iCs/>
                <w:sz w:val="24"/>
                <w:szCs w:val="24"/>
                <w:lang w:val="en-IE"/>
              </w:rPr>
              <w:t xml:space="preserve">Report gives </w:t>
            </w:r>
            <w:r w:rsidRPr="001765D9">
              <w:rPr>
                <w:rFonts w:ascii="Times New Roman" w:hAnsi="Times New Roman"/>
                <w:sz w:val="24"/>
                <w:szCs w:val="24"/>
                <w:lang w:val="en-IE"/>
              </w:rPr>
              <w:t>examples of finalised or ongoing simplification and implementation efforts, including CISAF, and many other pieces of competition-related legislation.</w:t>
            </w:r>
            <w:r w:rsidRPr="001765D9">
              <w:rPr>
                <w:rFonts w:ascii="Times New Roman" w:hAnsi="Times New Roman"/>
                <w:sz w:val="24"/>
                <w:szCs w:val="24"/>
              </w:rPr>
              <w:t xml:space="preserve"> </w:t>
            </w:r>
          </w:p>
          <w:p w14:paraId="24302FC9" w14:textId="64C2A3C1" w:rsidR="0012521E" w:rsidRPr="001765D9" w:rsidRDefault="00224F1B" w:rsidP="00B96ADA">
            <w:pPr>
              <w:widowControl w:val="0"/>
              <w:spacing w:before="120" w:after="120"/>
              <w:jc w:val="both"/>
              <w:rPr>
                <w:rFonts w:ascii="Times New Roman" w:hAnsi="Times New Roman"/>
                <w:b/>
                <w:bCs/>
                <w:sz w:val="24"/>
                <w:szCs w:val="24"/>
              </w:rPr>
            </w:pPr>
            <w:r w:rsidRPr="001765D9">
              <w:rPr>
                <w:rFonts w:ascii="Times New Roman" w:hAnsi="Times New Roman"/>
                <w:b/>
                <w:bCs/>
                <w:sz w:val="24"/>
                <w:szCs w:val="24"/>
              </w:rPr>
              <w:t>O</w:t>
            </w:r>
            <w:r w:rsidR="00994165" w:rsidRPr="001765D9">
              <w:rPr>
                <w:rFonts w:ascii="Times New Roman" w:hAnsi="Times New Roman"/>
                <w:b/>
                <w:bCs/>
                <w:sz w:val="24"/>
                <w:szCs w:val="24"/>
              </w:rPr>
              <w:t xml:space="preserve">n </w:t>
            </w:r>
            <w:r w:rsidR="00AA2CCA" w:rsidRPr="001765D9">
              <w:rPr>
                <w:rFonts w:ascii="Times New Roman" w:hAnsi="Times New Roman"/>
                <w:b/>
                <w:bCs/>
                <w:sz w:val="24"/>
                <w:szCs w:val="24"/>
              </w:rPr>
              <w:t xml:space="preserve">Important Projects </w:t>
            </w:r>
            <w:r w:rsidR="00F06399" w:rsidRPr="001765D9">
              <w:rPr>
                <w:rFonts w:ascii="Times New Roman" w:hAnsi="Times New Roman"/>
                <w:b/>
                <w:bCs/>
                <w:sz w:val="24"/>
                <w:szCs w:val="24"/>
              </w:rPr>
              <w:t xml:space="preserve">of Common European </w:t>
            </w:r>
            <w:r w:rsidR="00BB734D" w:rsidRPr="001765D9">
              <w:rPr>
                <w:rFonts w:ascii="Times New Roman" w:hAnsi="Times New Roman"/>
                <w:b/>
                <w:bCs/>
                <w:sz w:val="24"/>
                <w:szCs w:val="24"/>
              </w:rPr>
              <w:t>Interest</w:t>
            </w:r>
            <w:r w:rsidR="00F06399" w:rsidRPr="001765D9">
              <w:rPr>
                <w:rFonts w:ascii="Times New Roman" w:hAnsi="Times New Roman"/>
                <w:b/>
                <w:bCs/>
                <w:sz w:val="24"/>
                <w:szCs w:val="24"/>
              </w:rPr>
              <w:t xml:space="preserve"> </w:t>
            </w:r>
            <w:r w:rsidR="00BB734D" w:rsidRPr="001765D9">
              <w:rPr>
                <w:rFonts w:ascii="Times New Roman" w:hAnsi="Times New Roman"/>
                <w:b/>
                <w:bCs/>
                <w:sz w:val="24"/>
                <w:szCs w:val="24"/>
              </w:rPr>
              <w:t>(</w:t>
            </w:r>
            <w:r w:rsidR="0012521E" w:rsidRPr="001765D9">
              <w:rPr>
                <w:rFonts w:ascii="Times New Roman" w:hAnsi="Times New Roman"/>
                <w:b/>
                <w:bCs/>
                <w:sz w:val="24"/>
                <w:szCs w:val="24"/>
              </w:rPr>
              <w:t>IPCEIs</w:t>
            </w:r>
            <w:r w:rsidR="00BB734D" w:rsidRPr="001765D9">
              <w:rPr>
                <w:rFonts w:ascii="Times New Roman" w:hAnsi="Times New Roman"/>
                <w:b/>
                <w:bCs/>
                <w:sz w:val="24"/>
                <w:szCs w:val="24"/>
              </w:rPr>
              <w:t>)</w:t>
            </w:r>
            <w:r w:rsidR="00B96ADA" w:rsidRPr="001765D9">
              <w:rPr>
                <w:rFonts w:ascii="Times New Roman" w:hAnsi="Times New Roman"/>
                <w:b/>
                <w:bCs/>
                <w:sz w:val="24"/>
                <w:szCs w:val="24"/>
              </w:rPr>
              <w:t xml:space="preserve"> – Sections 2.6.3, 2.6.6 and 2.7.3 of the Opinion</w:t>
            </w:r>
            <w:r w:rsidR="00C42018" w:rsidRPr="001765D9">
              <w:rPr>
                <w:rFonts w:ascii="Times New Roman" w:hAnsi="Times New Roman"/>
                <w:b/>
                <w:bCs/>
                <w:sz w:val="24"/>
                <w:szCs w:val="24"/>
              </w:rPr>
              <w:t>:</w:t>
            </w:r>
            <w:r w:rsidR="00F50A07" w:rsidRPr="001765D9">
              <w:rPr>
                <w:rFonts w:ascii="Times New Roman" w:hAnsi="Times New Roman"/>
                <w:b/>
                <w:bCs/>
                <w:sz w:val="24"/>
                <w:szCs w:val="24"/>
              </w:rPr>
              <w:t xml:space="preserve"> </w:t>
            </w:r>
          </w:p>
          <w:p w14:paraId="57697672" w14:textId="02143B1E" w:rsidR="00C42018" w:rsidRPr="001765D9" w:rsidRDefault="00C42018" w:rsidP="001765D9">
            <w:pPr>
              <w:widowControl w:val="0"/>
              <w:spacing w:before="120" w:after="120"/>
              <w:jc w:val="both"/>
              <w:rPr>
                <w:rFonts w:ascii="Times New Roman" w:hAnsi="Times New Roman"/>
                <w:sz w:val="24"/>
                <w:szCs w:val="24"/>
                <w:u w:val="single"/>
              </w:rPr>
            </w:pPr>
            <w:r w:rsidRPr="001765D9">
              <w:rPr>
                <w:rFonts w:ascii="Times New Roman" w:hAnsi="Times New Roman"/>
                <w:sz w:val="24"/>
                <w:szCs w:val="24"/>
                <w:u w:val="single"/>
              </w:rPr>
              <w:t>Commission reply:</w:t>
            </w:r>
            <w:r w:rsidR="00622896">
              <w:rPr>
                <w:rFonts w:ascii="Times New Roman" w:hAnsi="Times New Roman"/>
                <w:sz w:val="24"/>
                <w:szCs w:val="24"/>
                <w:u w:val="single"/>
              </w:rPr>
              <w:t xml:space="preserve"> </w:t>
            </w:r>
          </w:p>
          <w:p w14:paraId="5DF6E282" w14:textId="2D8C85B4" w:rsidR="004B0150" w:rsidRPr="001765D9" w:rsidRDefault="00C54C3B" w:rsidP="001765D9">
            <w:pPr>
              <w:widowControl w:val="0"/>
              <w:spacing w:before="120" w:after="120"/>
              <w:jc w:val="both"/>
              <w:rPr>
                <w:rFonts w:ascii="Times New Roman" w:hAnsi="Times New Roman"/>
                <w:iCs/>
                <w:sz w:val="24"/>
                <w:szCs w:val="24"/>
              </w:rPr>
            </w:pPr>
            <w:r w:rsidRPr="001765D9">
              <w:rPr>
                <w:rFonts w:ascii="Times New Roman" w:hAnsi="Times New Roman"/>
                <w:iCs/>
                <w:sz w:val="24"/>
                <w:szCs w:val="24"/>
              </w:rPr>
              <w:lastRenderedPageBreak/>
              <w:t>IPCEIs are Member State-driven initiative</w:t>
            </w:r>
            <w:r w:rsidR="000A53D5" w:rsidRPr="001765D9">
              <w:rPr>
                <w:rFonts w:ascii="Times New Roman" w:hAnsi="Times New Roman"/>
                <w:iCs/>
                <w:sz w:val="24"/>
                <w:szCs w:val="24"/>
              </w:rPr>
              <w:t>s</w:t>
            </w:r>
            <w:r w:rsidR="005F73DE" w:rsidRPr="001765D9">
              <w:rPr>
                <w:rFonts w:ascii="Times New Roman" w:hAnsi="Times New Roman"/>
                <w:iCs/>
                <w:sz w:val="24"/>
                <w:szCs w:val="24"/>
              </w:rPr>
              <w:t xml:space="preserve"> where t</w:t>
            </w:r>
            <w:r w:rsidRPr="001765D9">
              <w:rPr>
                <w:rFonts w:ascii="Times New Roman" w:hAnsi="Times New Roman"/>
                <w:iCs/>
                <w:sz w:val="24"/>
                <w:szCs w:val="24"/>
              </w:rPr>
              <w:t>he Commission support</w:t>
            </w:r>
            <w:r w:rsidR="00B0542C" w:rsidRPr="001765D9">
              <w:rPr>
                <w:rFonts w:ascii="Times New Roman" w:hAnsi="Times New Roman"/>
                <w:iCs/>
                <w:sz w:val="24"/>
                <w:szCs w:val="24"/>
              </w:rPr>
              <w:t xml:space="preserve">s </w:t>
            </w:r>
            <w:r w:rsidR="006804FA" w:rsidRPr="001765D9">
              <w:rPr>
                <w:rFonts w:ascii="Times New Roman" w:hAnsi="Times New Roman"/>
                <w:iCs/>
                <w:sz w:val="24"/>
                <w:szCs w:val="24"/>
              </w:rPr>
              <w:t xml:space="preserve">and cooperates with </w:t>
            </w:r>
            <w:r w:rsidRPr="001765D9">
              <w:rPr>
                <w:rFonts w:ascii="Times New Roman" w:hAnsi="Times New Roman"/>
                <w:iCs/>
                <w:sz w:val="24"/>
                <w:szCs w:val="24"/>
              </w:rPr>
              <w:t>the Member States</w:t>
            </w:r>
            <w:r w:rsidR="006804FA" w:rsidRPr="001765D9">
              <w:rPr>
                <w:rFonts w:ascii="Times New Roman" w:hAnsi="Times New Roman"/>
                <w:iCs/>
                <w:sz w:val="24"/>
                <w:szCs w:val="24"/>
              </w:rPr>
              <w:t xml:space="preserve"> </w:t>
            </w:r>
            <w:r w:rsidR="007B4E3A" w:rsidRPr="001765D9">
              <w:rPr>
                <w:rFonts w:ascii="Times New Roman" w:hAnsi="Times New Roman"/>
                <w:iCs/>
                <w:sz w:val="24"/>
                <w:szCs w:val="24"/>
              </w:rPr>
              <w:t xml:space="preserve">to </w:t>
            </w:r>
            <w:r w:rsidRPr="001765D9">
              <w:rPr>
                <w:rFonts w:ascii="Times New Roman" w:hAnsi="Times New Roman"/>
                <w:iCs/>
                <w:sz w:val="24"/>
                <w:szCs w:val="24"/>
              </w:rPr>
              <w:t xml:space="preserve">improve </w:t>
            </w:r>
            <w:r w:rsidR="005F73DE" w:rsidRPr="001765D9">
              <w:rPr>
                <w:rFonts w:ascii="Times New Roman" w:hAnsi="Times New Roman"/>
                <w:iCs/>
                <w:sz w:val="24"/>
                <w:szCs w:val="24"/>
              </w:rPr>
              <w:t>t</w:t>
            </w:r>
            <w:r w:rsidRPr="001765D9">
              <w:rPr>
                <w:rFonts w:ascii="Times New Roman" w:hAnsi="Times New Roman"/>
                <w:iCs/>
                <w:sz w:val="24"/>
                <w:szCs w:val="24"/>
              </w:rPr>
              <w:t xml:space="preserve">he </w:t>
            </w:r>
            <w:r w:rsidR="007B4E3A" w:rsidRPr="001765D9">
              <w:rPr>
                <w:rFonts w:ascii="Times New Roman" w:hAnsi="Times New Roman"/>
                <w:iCs/>
                <w:sz w:val="24"/>
                <w:szCs w:val="24"/>
              </w:rPr>
              <w:t xml:space="preserve">design of </w:t>
            </w:r>
            <w:r w:rsidRPr="001765D9">
              <w:rPr>
                <w:rFonts w:ascii="Times New Roman" w:hAnsi="Times New Roman"/>
                <w:iCs/>
                <w:sz w:val="24"/>
                <w:szCs w:val="24"/>
              </w:rPr>
              <w:t>IPCEI</w:t>
            </w:r>
            <w:r w:rsidR="007B4E3A" w:rsidRPr="001765D9">
              <w:rPr>
                <w:rFonts w:ascii="Times New Roman" w:hAnsi="Times New Roman"/>
                <w:iCs/>
                <w:sz w:val="24"/>
                <w:szCs w:val="24"/>
              </w:rPr>
              <w:t>s</w:t>
            </w:r>
            <w:r w:rsidR="000655E1" w:rsidRPr="001765D9">
              <w:rPr>
                <w:rFonts w:ascii="Times New Roman" w:hAnsi="Times New Roman"/>
                <w:iCs/>
                <w:sz w:val="24"/>
                <w:szCs w:val="24"/>
              </w:rPr>
              <w:t xml:space="preserve"> </w:t>
            </w:r>
            <w:r w:rsidR="00F67161" w:rsidRPr="001765D9">
              <w:rPr>
                <w:rFonts w:ascii="Times New Roman" w:hAnsi="Times New Roman"/>
                <w:iCs/>
                <w:sz w:val="24"/>
                <w:szCs w:val="24"/>
              </w:rPr>
              <w:t xml:space="preserve">with the aim to </w:t>
            </w:r>
            <w:r w:rsidR="00011E20" w:rsidRPr="001765D9">
              <w:rPr>
                <w:rFonts w:ascii="Times New Roman" w:hAnsi="Times New Roman"/>
                <w:iCs/>
                <w:sz w:val="24"/>
                <w:szCs w:val="24"/>
              </w:rPr>
              <w:t>make</w:t>
            </w:r>
            <w:r w:rsidRPr="001765D9">
              <w:rPr>
                <w:rFonts w:ascii="Times New Roman" w:hAnsi="Times New Roman"/>
                <w:iCs/>
                <w:sz w:val="24"/>
                <w:szCs w:val="24"/>
              </w:rPr>
              <w:t xml:space="preserve"> </w:t>
            </w:r>
            <w:r w:rsidR="000655E1" w:rsidRPr="001765D9">
              <w:rPr>
                <w:rFonts w:ascii="Times New Roman" w:hAnsi="Times New Roman"/>
                <w:iCs/>
                <w:sz w:val="24"/>
                <w:szCs w:val="24"/>
              </w:rPr>
              <w:t>them</w:t>
            </w:r>
            <w:r w:rsidRPr="001765D9">
              <w:rPr>
                <w:rFonts w:ascii="Times New Roman" w:hAnsi="Times New Roman"/>
                <w:iCs/>
                <w:sz w:val="24"/>
                <w:szCs w:val="24"/>
              </w:rPr>
              <w:t xml:space="preserve"> more effective, streamlined and faster</w:t>
            </w:r>
            <w:r w:rsidR="000655E1" w:rsidRPr="001765D9">
              <w:rPr>
                <w:rFonts w:ascii="Times New Roman" w:hAnsi="Times New Roman"/>
                <w:iCs/>
                <w:sz w:val="24"/>
                <w:szCs w:val="24"/>
              </w:rPr>
              <w:t xml:space="preserve"> </w:t>
            </w:r>
            <w:r w:rsidR="00F67161" w:rsidRPr="001765D9">
              <w:rPr>
                <w:rFonts w:ascii="Times New Roman" w:hAnsi="Times New Roman"/>
                <w:iCs/>
                <w:sz w:val="24"/>
                <w:szCs w:val="24"/>
              </w:rPr>
              <w:t>to implement</w:t>
            </w:r>
            <w:r w:rsidRPr="001765D9">
              <w:rPr>
                <w:rFonts w:ascii="Times New Roman" w:hAnsi="Times New Roman"/>
                <w:iCs/>
                <w:sz w:val="24"/>
                <w:szCs w:val="24"/>
              </w:rPr>
              <w:t>.</w:t>
            </w:r>
            <w:r w:rsidR="00011E20" w:rsidRPr="001765D9">
              <w:rPr>
                <w:rFonts w:ascii="Times New Roman" w:hAnsi="Times New Roman"/>
                <w:iCs/>
                <w:sz w:val="24"/>
                <w:szCs w:val="24"/>
              </w:rPr>
              <w:t xml:space="preserve"> </w:t>
            </w:r>
            <w:r w:rsidR="004A0966" w:rsidRPr="001765D9">
              <w:rPr>
                <w:rFonts w:ascii="Times New Roman" w:hAnsi="Times New Roman"/>
                <w:iCs/>
                <w:sz w:val="24"/>
                <w:szCs w:val="24"/>
              </w:rPr>
              <w:t xml:space="preserve">Two major initiatives </w:t>
            </w:r>
            <w:r w:rsidR="00792200" w:rsidRPr="001765D9">
              <w:rPr>
                <w:rFonts w:ascii="Times New Roman" w:hAnsi="Times New Roman"/>
                <w:iCs/>
                <w:sz w:val="24"/>
                <w:szCs w:val="24"/>
              </w:rPr>
              <w:t xml:space="preserve">are </w:t>
            </w:r>
            <w:r w:rsidR="00DA2048" w:rsidRPr="001765D9">
              <w:rPr>
                <w:rFonts w:ascii="Times New Roman" w:hAnsi="Times New Roman"/>
                <w:iCs/>
                <w:sz w:val="24"/>
                <w:szCs w:val="24"/>
              </w:rPr>
              <w:t xml:space="preserve">of central importance </w:t>
            </w:r>
            <w:r w:rsidR="00792200" w:rsidRPr="001765D9">
              <w:rPr>
                <w:rFonts w:ascii="Times New Roman" w:hAnsi="Times New Roman"/>
                <w:iCs/>
                <w:sz w:val="24"/>
                <w:szCs w:val="24"/>
              </w:rPr>
              <w:t>for these efforts:</w:t>
            </w:r>
            <w:r w:rsidR="00622896">
              <w:rPr>
                <w:rFonts w:ascii="Times New Roman" w:hAnsi="Times New Roman"/>
                <w:iCs/>
                <w:sz w:val="24"/>
                <w:szCs w:val="24"/>
              </w:rPr>
              <w:t xml:space="preserve"> </w:t>
            </w:r>
          </w:p>
          <w:p w14:paraId="691341F6" w14:textId="6559E2D2" w:rsidR="007518EB" w:rsidRPr="001765D9" w:rsidRDefault="00C54C3B" w:rsidP="48CF4FC2">
            <w:pPr>
              <w:jc w:val="both"/>
              <w:rPr>
                <w:rFonts w:ascii="Times New Roman" w:hAnsi="Times New Roman"/>
                <w:sz w:val="24"/>
                <w:szCs w:val="24"/>
                <w:lang w:val="en-IE"/>
              </w:rPr>
            </w:pPr>
            <w:r w:rsidRPr="48CF4FC2">
              <w:rPr>
                <w:rFonts w:ascii="Times New Roman" w:hAnsi="Times New Roman"/>
                <w:sz w:val="23"/>
                <w:szCs w:val="23"/>
              </w:rPr>
              <w:t>The Joint European Forum for IPCEI (JEF-IPCEI)</w:t>
            </w:r>
            <w:r w:rsidR="00E86284" w:rsidRPr="48CF4FC2">
              <w:rPr>
                <w:rFonts w:ascii="Times New Roman" w:hAnsi="Times New Roman"/>
                <w:sz w:val="23"/>
                <w:szCs w:val="23"/>
              </w:rPr>
              <w:t xml:space="preserve">, </w:t>
            </w:r>
            <w:r w:rsidRPr="48CF4FC2">
              <w:rPr>
                <w:rFonts w:ascii="Times New Roman" w:hAnsi="Times New Roman"/>
                <w:sz w:val="23"/>
                <w:szCs w:val="23"/>
              </w:rPr>
              <w:t xml:space="preserve">set up in 2023, </w:t>
            </w:r>
            <w:r w:rsidR="00834CA9" w:rsidRPr="48CF4FC2">
              <w:rPr>
                <w:rFonts w:ascii="Times New Roman" w:hAnsi="Times New Roman"/>
                <w:sz w:val="23"/>
                <w:szCs w:val="23"/>
              </w:rPr>
              <w:t xml:space="preserve">acts as a focal point </w:t>
            </w:r>
            <w:r w:rsidRPr="48CF4FC2">
              <w:rPr>
                <w:rFonts w:ascii="Times New Roman" w:hAnsi="Times New Roman"/>
                <w:sz w:val="23"/>
                <w:szCs w:val="23"/>
              </w:rPr>
              <w:t xml:space="preserve">to identify areas of strategic EU interest </w:t>
            </w:r>
            <w:r w:rsidR="005B591B" w:rsidRPr="48CF4FC2">
              <w:rPr>
                <w:rFonts w:ascii="Times New Roman" w:hAnsi="Times New Roman"/>
                <w:sz w:val="23"/>
                <w:szCs w:val="23"/>
              </w:rPr>
              <w:t xml:space="preserve">which may be of interest </w:t>
            </w:r>
            <w:r w:rsidRPr="48CF4FC2">
              <w:rPr>
                <w:rFonts w:ascii="Times New Roman" w:hAnsi="Times New Roman"/>
                <w:sz w:val="23"/>
                <w:szCs w:val="23"/>
              </w:rPr>
              <w:t xml:space="preserve">for potential </w:t>
            </w:r>
            <w:r w:rsidRPr="48CF4FC2">
              <w:rPr>
                <w:rFonts w:ascii="Times New Roman" w:hAnsi="Times New Roman"/>
                <w:sz w:val="24"/>
                <w:szCs w:val="24"/>
              </w:rPr>
              <w:t>future IPCEIs</w:t>
            </w:r>
            <w:r w:rsidR="00723204" w:rsidRPr="48CF4FC2">
              <w:rPr>
                <w:rFonts w:ascii="Times New Roman" w:hAnsi="Times New Roman"/>
                <w:sz w:val="24"/>
                <w:szCs w:val="24"/>
              </w:rPr>
              <w:t xml:space="preserve"> </w:t>
            </w:r>
            <w:r w:rsidR="00490EA5" w:rsidRPr="48CF4FC2">
              <w:rPr>
                <w:rFonts w:ascii="Times New Roman" w:hAnsi="Times New Roman"/>
                <w:sz w:val="24"/>
                <w:szCs w:val="24"/>
              </w:rPr>
              <w:t xml:space="preserve">and </w:t>
            </w:r>
            <w:r w:rsidR="001A79FE" w:rsidRPr="48CF4FC2">
              <w:rPr>
                <w:rFonts w:ascii="Times New Roman" w:hAnsi="Times New Roman"/>
                <w:sz w:val="24"/>
                <w:szCs w:val="24"/>
              </w:rPr>
              <w:t xml:space="preserve">make </w:t>
            </w:r>
            <w:r w:rsidRPr="48CF4FC2">
              <w:rPr>
                <w:rFonts w:ascii="Times New Roman" w:hAnsi="Times New Roman"/>
                <w:sz w:val="24"/>
                <w:szCs w:val="24"/>
              </w:rPr>
              <w:t>designing, assess</w:t>
            </w:r>
            <w:r w:rsidR="006E53F8" w:rsidRPr="48CF4FC2">
              <w:rPr>
                <w:rFonts w:ascii="Times New Roman" w:hAnsi="Times New Roman"/>
                <w:sz w:val="24"/>
                <w:szCs w:val="24"/>
              </w:rPr>
              <w:t xml:space="preserve">ing and </w:t>
            </w:r>
            <w:r w:rsidRPr="48CF4FC2">
              <w:rPr>
                <w:rFonts w:ascii="Times New Roman" w:hAnsi="Times New Roman"/>
                <w:sz w:val="24"/>
                <w:szCs w:val="24"/>
              </w:rPr>
              <w:t>implement</w:t>
            </w:r>
            <w:r w:rsidR="006E53F8" w:rsidRPr="48CF4FC2">
              <w:rPr>
                <w:rFonts w:ascii="Times New Roman" w:hAnsi="Times New Roman"/>
                <w:sz w:val="24"/>
                <w:szCs w:val="24"/>
              </w:rPr>
              <w:t xml:space="preserve">ing </w:t>
            </w:r>
            <w:r w:rsidRPr="48CF4FC2">
              <w:rPr>
                <w:rFonts w:ascii="Times New Roman" w:hAnsi="Times New Roman"/>
                <w:sz w:val="24"/>
                <w:szCs w:val="24"/>
              </w:rPr>
              <w:t>IPCEI</w:t>
            </w:r>
            <w:r w:rsidR="006E53F8" w:rsidRPr="48CF4FC2">
              <w:rPr>
                <w:rFonts w:ascii="Times New Roman" w:hAnsi="Times New Roman"/>
                <w:sz w:val="24"/>
                <w:szCs w:val="24"/>
              </w:rPr>
              <w:t xml:space="preserve">s </w:t>
            </w:r>
            <w:r w:rsidR="00C4409B" w:rsidRPr="48CF4FC2">
              <w:rPr>
                <w:rFonts w:ascii="Times New Roman" w:hAnsi="Times New Roman"/>
                <w:sz w:val="24"/>
                <w:szCs w:val="24"/>
              </w:rPr>
              <w:t>more effective</w:t>
            </w:r>
            <w:r w:rsidR="00DF1247" w:rsidRPr="48CF4FC2">
              <w:rPr>
                <w:rFonts w:ascii="Times New Roman" w:hAnsi="Times New Roman"/>
                <w:sz w:val="24"/>
                <w:szCs w:val="24"/>
              </w:rPr>
              <w:t xml:space="preserve">. </w:t>
            </w:r>
            <w:r w:rsidR="00DF1247" w:rsidRPr="48CF4FC2">
              <w:rPr>
                <w:rFonts w:ascii="Times New Roman" w:hAnsi="Times New Roman"/>
                <w:sz w:val="24"/>
                <w:szCs w:val="24"/>
                <w:lang w:val="en-IE"/>
              </w:rPr>
              <w:t xml:space="preserve">The </w:t>
            </w:r>
            <w:r w:rsidR="00CA0826" w:rsidRPr="48CF4FC2">
              <w:rPr>
                <w:rFonts w:ascii="Times New Roman" w:hAnsi="Times New Roman"/>
                <w:sz w:val="24"/>
                <w:szCs w:val="24"/>
                <w:lang w:val="en-IE"/>
              </w:rPr>
              <w:t xml:space="preserve">JEF-IPCEI </w:t>
            </w:r>
            <w:r w:rsidR="00073886" w:rsidRPr="48CF4FC2">
              <w:rPr>
                <w:rFonts w:ascii="Times New Roman" w:hAnsi="Times New Roman"/>
                <w:sz w:val="24"/>
                <w:szCs w:val="24"/>
                <w:lang w:val="en-IE"/>
              </w:rPr>
              <w:t xml:space="preserve">is </w:t>
            </w:r>
            <w:r w:rsidR="0061716E" w:rsidRPr="48CF4FC2">
              <w:rPr>
                <w:rFonts w:ascii="Times New Roman" w:hAnsi="Times New Roman"/>
                <w:sz w:val="24"/>
                <w:szCs w:val="24"/>
                <w:lang w:val="en-IE"/>
              </w:rPr>
              <w:t xml:space="preserve">a </w:t>
            </w:r>
            <w:r w:rsidR="001469DA" w:rsidRPr="48CF4FC2">
              <w:rPr>
                <w:rFonts w:ascii="Times New Roman" w:hAnsi="Times New Roman"/>
                <w:sz w:val="24"/>
                <w:szCs w:val="24"/>
                <w:lang w:val="en-IE"/>
              </w:rPr>
              <w:t xml:space="preserve">partnership </w:t>
            </w:r>
            <w:r w:rsidR="00073886" w:rsidRPr="48CF4FC2">
              <w:rPr>
                <w:rFonts w:ascii="Times New Roman" w:hAnsi="Times New Roman"/>
                <w:sz w:val="24"/>
                <w:szCs w:val="24"/>
                <w:lang w:val="en-IE"/>
              </w:rPr>
              <w:t xml:space="preserve">jointly led by </w:t>
            </w:r>
            <w:r w:rsidR="00AF2FD2" w:rsidRPr="48CF4FC2">
              <w:rPr>
                <w:rFonts w:ascii="Times New Roman" w:hAnsi="Times New Roman"/>
                <w:sz w:val="24"/>
                <w:szCs w:val="24"/>
                <w:lang w:val="en-IE"/>
              </w:rPr>
              <w:t xml:space="preserve">the </w:t>
            </w:r>
            <w:r w:rsidR="00073886" w:rsidRPr="48CF4FC2">
              <w:rPr>
                <w:rFonts w:ascii="Times New Roman" w:hAnsi="Times New Roman"/>
                <w:sz w:val="24"/>
                <w:szCs w:val="24"/>
                <w:lang w:val="en-IE"/>
              </w:rPr>
              <w:t>D</w:t>
            </w:r>
            <w:r w:rsidR="00AF2FD2" w:rsidRPr="48CF4FC2">
              <w:rPr>
                <w:rFonts w:ascii="Times New Roman" w:hAnsi="Times New Roman"/>
                <w:sz w:val="24"/>
                <w:szCs w:val="24"/>
                <w:lang w:val="en-IE"/>
              </w:rPr>
              <w:t>irectorate-</w:t>
            </w:r>
            <w:r w:rsidR="00073886" w:rsidRPr="48CF4FC2">
              <w:rPr>
                <w:rFonts w:ascii="Times New Roman" w:hAnsi="Times New Roman"/>
                <w:sz w:val="24"/>
                <w:szCs w:val="24"/>
                <w:lang w:val="en-IE"/>
              </w:rPr>
              <w:t>G</w:t>
            </w:r>
            <w:r w:rsidR="00AF2FD2" w:rsidRPr="48CF4FC2">
              <w:rPr>
                <w:rFonts w:ascii="Times New Roman" w:hAnsi="Times New Roman"/>
                <w:sz w:val="24"/>
                <w:szCs w:val="24"/>
                <w:lang w:val="en-IE"/>
              </w:rPr>
              <w:t>eneral for</w:t>
            </w:r>
            <w:r w:rsidR="00073886" w:rsidRPr="48CF4FC2">
              <w:rPr>
                <w:rFonts w:ascii="Times New Roman" w:hAnsi="Times New Roman"/>
                <w:sz w:val="24"/>
                <w:szCs w:val="24"/>
                <w:lang w:val="en-IE"/>
              </w:rPr>
              <w:t xml:space="preserve"> Competition</w:t>
            </w:r>
            <w:r w:rsidR="2D8EBDC1" w:rsidRPr="48CF4FC2">
              <w:rPr>
                <w:rFonts w:ascii="Times New Roman" w:hAnsi="Times New Roman"/>
                <w:sz w:val="24"/>
                <w:szCs w:val="24"/>
                <w:lang w:val="en-IE"/>
              </w:rPr>
              <w:t xml:space="preserve"> (DG COMP)</w:t>
            </w:r>
            <w:r w:rsidR="00073886" w:rsidRPr="48CF4FC2">
              <w:rPr>
                <w:rFonts w:ascii="Times New Roman" w:hAnsi="Times New Roman"/>
                <w:sz w:val="24"/>
                <w:szCs w:val="24"/>
                <w:lang w:val="en-IE"/>
              </w:rPr>
              <w:t xml:space="preserve"> and </w:t>
            </w:r>
            <w:r w:rsidR="00AF2FD2" w:rsidRPr="48CF4FC2">
              <w:rPr>
                <w:rFonts w:ascii="Times New Roman" w:hAnsi="Times New Roman"/>
                <w:sz w:val="24"/>
                <w:szCs w:val="24"/>
                <w:lang w:val="en-IE"/>
              </w:rPr>
              <w:t xml:space="preserve">the </w:t>
            </w:r>
            <w:r w:rsidR="00CF50A2" w:rsidRPr="48CF4FC2">
              <w:rPr>
                <w:rFonts w:ascii="Times New Roman" w:hAnsi="Times New Roman"/>
                <w:sz w:val="24"/>
                <w:szCs w:val="24"/>
                <w:lang w:val="en-IE"/>
              </w:rPr>
              <w:t>D</w:t>
            </w:r>
            <w:r w:rsidR="00AF2FD2" w:rsidRPr="48CF4FC2">
              <w:rPr>
                <w:rFonts w:ascii="Times New Roman" w:hAnsi="Times New Roman"/>
                <w:sz w:val="24"/>
                <w:szCs w:val="24"/>
                <w:lang w:val="en-IE"/>
              </w:rPr>
              <w:t>irectorate-</w:t>
            </w:r>
            <w:r w:rsidR="00CF50A2" w:rsidRPr="48CF4FC2">
              <w:rPr>
                <w:rFonts w:ascii="Times New Roman" w:hAnsi="Times New Roman"/>
                <w:sz w:val="24"/>
                <w:szCs w:val="24"/>
                <w:lang w:val="en-IE"/>
              </w:rPr>
              <w:t>G</w:t>
            </w:r>
            <w:r w:rsidR="00AF2FD2" w:rsidRPr="48CF4FC2">
              <w:rPr>
                <w:rFonts w:ascii="Times New Roman" w:hAnsi="Times New Roman"/>
                <w:sz w:val="24"/>
                <w:szCs w:val="24"/>
                <w:lang w:val="en-IE"/>
              </w:rPr>
              <w:t>eneral</w:t>
            </w:r>
            <w:r w:rsidR="00CF50A2" w:rsidRPr="48CF4FC2">
              <w:rPr>
                <w:rFonts w:ascii="Times New Roman" w:hAnsi="Times New Roman"/>
                <w:sz w:val="24"/>
                <w:szCs w:val="24"/>
                <w:lang w:val="en-IE"/>
              </w:rPr>
              <w:t xml:space="preserve"> </w:t>
            </w:r>
            <w:r w:rsidR="00AF2FD2" w:rsidRPr="48CF4FC2">
              <w:rPr>
                <w:rFonts w:ascii="Times New Roman" w:hAnsi="Times New Roman"/>
                <w:sz w:val="24"/>
                <w:szCs w:val="24"/>
                <w:lang w:val="en-IE"/>
              </w:rPr>
              <w:t xml:space="preserve">for Internal Market, Industry, Entrepreneurship and </w:t>
            </w:r>
            <w:r w:rsidR="675E3B77" w:rsidRPr="48CF4FC2">
              <w:rPr>
                <w:rFonts w:ascii="Times New Roman" w:hAnsi="Times New Roman"/>
                <w:sz w:val="24"/>
                <w:szCs w:val="24"/>
                <w:lang w:val="en-IE"/>
              </w:rPr>
              <w:t>S</w:t>
            </w:r>
            <w:r w:rsidR="0093149D" w:rsidRPr="48CF4FC2">
              <w:rPr>
                <w:rFonts w:ascii="Times New Roman" w:hAnsi="Times New Roman"/>
                <w:sz w:val="24"/>
                <w:szCs w:val="24"/>
                <w:lang w:val="en-IE"/>
              </w:rPr>
              <w:t xml:space="preserve">mall and </w:t>
            </w:r>
            <w:r w:rsidR="20C7D455" w:rsidRPr="48CF4FC2">
              <w:rPr>
                <w:rFonts w:ascii="Times New Roman" w:hAnsi="Times New Roman"/>
                <w:sz w:val="24"/>
                <w:szCs w:val="24"/>
                <w:lang w:val="en-IE"/>
              </w:rPr>
              <w:t>M</w:t>
            </w:r>
            <w:r w:rsidR="0093149D" w:rsidRPr="48CF4FC2">
              <w:rPr>
                <w:rFonts w:ascii="Times New Roman" w:hAnsi="Times New Roman"/>
                <w:sz w:val="24"/>
                <w:szCs w:val="24"/>
                <w:lang w:val="en-IE"/>
              </w:rPr>
              <w:t>edium-sized enterprises (</w:t>
            </w:r>
            <w:r w:rsidR="00AF2FD2" w:rsidRPr="48CF4FC2">
              <w:rPr>
                <w:rFonts w:ascii="Times New Roman" w:hAnsi="Times New Roman"/>
                <w:sz w:val="24"/>
                <w:szCs w:val="24"/>
                <w:lang w:val="en-IE"/>
              </w:rPr>
              <w:t>SMEs</w:t>
            </w:r>
            <w:r w:rsidR="0093149D" w:rsidRPr="48CF4FC2">
              <w:rPr>
                <w:rFonts w:ascii="Times New Roman" w:hAnsi="Times New Roman"/>
                <w:sz w:val="24"/>
                <w:szCs w:val="24"/>
                <w:lang w:val="en-IE"/>
              </w:rPr>
              <w:t>)</w:t>
            </w:r>
            <w:r w:rsidR="7646C1B2" w:rsidRPr="48CF4FC2">
              <w:rPr>
                <w:rFonts w:ascii="Times New Roman" w:hAnsi="Times New Roman"/>
                <w:sz w:val="24"/>
                <w:szCs w:val="24"/>
                <w:lang w:val="en-IE"/>
              </w:rPr>
              <w:t xml:space="preserve"> (DG GROW)</w:t>
            </w:r>
            <w:r w:rsidR="3B5EBB81" w:rsidRPr="48CF4FC2">
              <w:rPr>
                <w:rFonts w:ascii="Times New Roman" w:hAnsi="Times New Roman"/>
                <w:sz w:val="24"/>
                <w:szCs w:val="24"/>
                <w:lang w:val="en-IE"/>
              </w:rPr>
              <w:t>,</w:t>
            </w:r>
            <w:r w:rsidR="00AF2FD2" w:rsidRPr="48CF4FC2">
              <w:rPr>
                <w:rFonts w:ascii="Times New Roman" w:hAnsi="Times New Roman"/>
                <w:sz w:val="24"/>
                <w:szCs w:val="24"/>
                <w:lang w:val="en-IE"/>
              </w:rPr>
              <w:t xml:space="preserve"> </w:t>
            </w:r>
            <w:r w:rsidR="00DF1247" w:rsidRPr="48CF4FC2">
              <w:rPr>
                <w:rFonts w:ascii="Times New Roman" w:hAnsi="Times New Roman"/>
                <w:sz w:val="24"/>
                <w:szCs w:val="24"/>
                <w:lang w:val="en-IE"/>
              </w:rPr>
              <w:t>work</w:t>
            </w:r>
            <w:r w:rsidR="0061716E" w:rsidRPr="48CF4FC2">
              <w:rPr>
                <w:rFonts w:ascii="Times New Roman" w:hAnsi="Times New Roman"/>
                <w:sz w:val="24"/>
                <w:szCs w:val="24"/>
                <w:lang w:val="en-IE"/>
              </w:rPr>
              <w:t>ing</w:t>
            </w:r>
            <w:r w:rsidR="001469DA" w:rsidRPr="48CF4FC2">
              <w:rPr>
                <w:rFonts w:ascii="Times New Roman" w:hAnsi="Times New Roman"/>
                <w:sz w:val="24"/>
                <w:szCs w:val="24"/>
                <w:lang w:val="en-IE"/>
              </w:rPr>
              <w:t xml:space="preserve"> </w:t>
            </w:r>
            <w:r w:rsidR="00DF1247" w:rsidRPr="48CF4FC2">
              <w:rPr>
                <w:rFonts w:ascii="Times New Roman" w:hAnsi="Times New Roman"/>
                <w:sz w:val="24"/>
                <w:szCs w:val="24"/>
                <w:lang w:val="en-IE"/>
              </w:rPr>
              <w:t xml:space="preserve">in close cooperation with </w:t>
            </w:r>
            <w:r w:rsidR="00E37A08" w:rsidRPr="48CF4FC2">
              <w:rPr>
                <w:rFonts w:ascii="Times New Roman" w:hAnsi="Times New Roman"/>
                <w:sz w:val="24"/>
                <w:szCs w:val="24"/>
                <w:lang w:val="en-IE"/>
              </w:rPr>
              <w:t xml:space="preserve">all </w:t>
            </w:r>
            <w:r w:rsidR="00DF1247" w:rsidRPr="48CF4FC2">
              <w:rPr>
                <w:rFonts w:ascii="Times New Roman" w:hAnsi="Times New Roman"/>
                <w:sz w:val="24"/>
                <w:szCs w:val="24"/>
                <w:lang w:val="en-IE"/>
              </w:rPr>
              <w:t>Member States</w:t>
            </w:r>
            <w:r w:rsidR="001469DA" w:rsidRPr="48CF4FC2">
              <w:rPr>
                <w:rFonts w:ascii="Times New Roman" w:hAnsi="Times New Roman"/>
                <w:sz w:val="24"/>
                <w:szCs w:val="24"/>
                <w:lang w:val="en-IE"/>
              </w:rPr>
              <w:t xml:space="preserve">. </w:t>
            </w:r>
            <w:r w:rsidR="0020109B" w:rsidRPr="48CF4FC2">
              <w:rPr>
                <w:rFonts w:ascii="Times New Roman" w:hAnsi="Times New Roman"/>
                <w:sz w:val="24"/>
                <w:szCs w:val="24"/>
                <w:lang w:val="en-IE"/>
              </w:rPr>
              <w:t xml:space="preserve">There is </w:t>
            </w:r>
            <w:r w:rsidR="00DF1247" w:rsidRPr="48CF4FC2">
              <w:rPr>
                <w:rFonts w:ascii="Times New Roman" w:hAnsi="Times New Roman"/>
                <w:sz w:val="24"/>
                <w:szCs w:val="24"/>
                <w:lang w:val="en-IE"/>
              </w:rPr>
              <w:t xml:space="preserve">a dedicated JEF-IPCEI website </w:t>
            </w:r>
            <w:r w:rsidR="0020109B" w:rsidRPr="48CF4FC2">
              <w:rPr>
                <w:rFonts w:ascii="Times New Roman" w:hAnsi="Times New Roman"/>
                <w:sz w:val="24"/>
                <w:szCs w:val="24"/>
                <w:lang w:val="en-IE"/>
              </w:rPr>
              <w:t xml:space="preserve">which provides guidance </w:t>
            </w:r>
            <w:r w:rsidR="00AE02DE" w:rsidRPr="48CF4FC2">
              <w:rPr>
                <w:rFonts w:ascii="Times New Roman" w:hAnsi="Times New Roman"/>
                <w:sz w:val="24"/>
                <w:szCs w:val="24"/>
                <w:lang w:val="en-IE"/>
              </w:rPr>
              <w:t xml:space="preserve">and </w:t>
            </w:r>
            <w:r w:rsidR="00DF1247" w:rsidRPr="48CF4FC2">
              <w:rPr>
                <w:rFonts w:ascii="Times New Roman" w:hAnsi="Times New Roman"/>
                <w:sz w:val="24"/>
                <w:szCs w:val="24"/>
                <w:lang w:val="en-IE"/>
              </w:rPr>
              <w:t>publi</w:t>
            </w:r>
            <w:r w:rsidR="00AE02DE" w:rsidRPr="48CF4FC2">
              <w:rPr>
                <w:rFonts w:ascii="Times New Roman" w:hAnsi="Times New Roman"/>
                <w:sz w:val="24"/>
                <w:szCs w:val="24"/>
                <w:lang w:val="en-IE"/>
              </w:rPr>
              <w:t xml:space="preserve">shes templates for proposed </w:t>
            </w:r>
            <w:r w:rsidR="00DF1247" w:rsidRPr="48CF4FC2">
              <w:rPr>
                <w:rFonts w:ascii="Times New Roman" w:hAnsi="Times New Roman"/>
                <w:sz w:val="24"/>
                <w:szCs w:val="24"/>
                <w:lang w:val="en-IE"/>
              </w:rPr>
              <w:t>IPCEI</w:t>
            </w:r>
            <w:r w:rsidR="00AE02DE" w:rsidRPr="48CF4FC2">
              <w:rPr>
                <w:rFonts w:ascii="Times New Roman" w:hAnsi="Times New Roman"/>
                <w:sz w:val="24"/>
                <w:szCs w:val="24"/>
                <w:lang w:val="en-IE"/>
              </w:rPr>
              <w:t>s.</w:t>
            </w:r>
            <w:r w:rsidR="00A539DF" w:rsidRPr="48CF4FC2">
              <w:rPr>
                <w:rFonts w:ascii="Times New Roman" w:hAnsi="Times New Roman"/>
                <w:sz w:val="24"/>
                <w:szCs w:val="24"/>
                <w:lang w:val="en-IE"/>
              </w:rPr>
              <w:t xml:space="preserve"> </w:t>
            </w:r>
            <w:r w:rsidR="007518EB" w:rsidRPr="48CF4FC2">
              <w:rPr>
                <w:rFonts w:ascii="Times New Roman" w:hAnsi="Times New Roman"/>
                <w:sz w:val="24"/>
                <w:szCs w:val="24"/>
                <w:lang w:val="en-IE"/>
              </w:rPr>
              <w:t xml:space="preserve">The eleven </w:t>
            </w:r>
            <w:r w:rsidR="0021019D" w:rsidRPr="48CF4FC2">
              <w:rPr>
                <w:rFonts w:ascii="Times New Roman" w:hAnsi="Times New Roman"/>
                <w:sz w:val="24"/>
                <w:szCs w:val="24"/>
                <w:lang w:val="en-IE"/>
              </w:rPr>
              <w:t xml:space="preserve">IPCEIs </w:t>
            </w:r>
            <w:r w:rsidR="00E53FC6" w:rsidRPr="48CF4FC2">
              <w:rPr>
                <w:rFonts w:ascii="Times New Roman" w:hAnsi="Times New Roman"/>
                <w:sz w:val="24"/>
                <w:szCs w:val="24"/>
                <w:lang w:val="en-IE"/>
              </w:rPr>
              <w:t xml:space="preserve">approved since 2018 </w:t>
            </w:r>
            <w:r w:rsidR="003F6352" w:rsidRPr="48CF4FC2">
              <w:rPr>
                <w:rFonts w:ascii="Times New Roman" w:hAnsi="Times New Roman"/>
                <w:sz w:val="24"/>
                <w:szCs w:val="24"/>
                <w:lang w:val="en-IE"/>
              </w:rPr>
              <w:t xml:space="preserve">comprise </w:t>
            </w:r>
            <w:r w:rsidR="0050525A" w:rsidRPr="48CF4FC2">
              <w:rPr>
                <w:rFonts w:ascii="Times New Roman" w:hAnsi="Times New Roman"/>
                <w:sz w:val="24"/>
                <w:szCs w:val="24"/>
                <w:lang w:val="en-IE"/>
              </w:rPr>
              <w:t xml:space="preserve">EUR </w:t>
            </w:r>
            <w:r w:rsidR="001A2117" w:rsidRPr="48CF4FC2">
              <w:rPr>
                <w:rFonts w:ascii="Times New Roman" w:hAnsi="Times New Roman"/>
                <w:sz w:val="24"/>
                <w:szCs w:val="24"/>
              </w:rPr>
              <w:t xml:space="preserve">37.6 billion in </w:t>
            </w:r>
            <w:r w:rsidR="009D5B4A" w:rsidRPr="48CF4FC2">
              <w:rPr>
                <w:rFonts w:ascii="Times New Roman" w:hAnsi="Times New Roman"/>
                <w:sz w:val="24"/>
                <w:szCs w:val="24"/>
              </w:rPr>
              <w:t xml:space="preserve">State aid, which has </w:t>
            </w:r>
            <w:r w:rsidR="001A2117" w:rsidRPr="48CF4FC2">
              <w:rPr>
                <w:rFonts w:ascii="Times New Roman" w:hAnsi="Times New Roman"/>
                <w:sz w:val="24"/>
                <w:szCs w:val="24"/>
              </w:rPr>
              <w:t>unlock</w:t>
            </w:r>
            <w:r w:rsidR="009D5B4A" w:rsidRPr="48CF4FC2">
              <w:rPr>
                <w:rFonts w:ascii="Times New Roman" w:hAnsi="Times New Roman"/>
                <w:sz w:val="24"/>
                <w:szCs w:val="24"/>
              </w:rPr>
              <w:t>ed</w:t>
            </w:r>
            <w:r w:rsidR="001A2117" w:rsidRPr="48CF4FC2">
              <w:rPr>
                <w:rFonts w:ascii="Times New Roman" w:hAnsi="Times New Roman"/>
                <w:sz w:val="24"/>
                <w:szCs w:val="24"/>
              </w:rPr>
              <w:t xml:space="preserve"> an additional </w:t>
            </w:r>
            <w:r w:rsidR="009D5B4A" w:rsidRPr="48CF4FC2">
              <w:rPr>
                <w:rFonts w:ascii="Times New Roman" w:hAnsi="Times New Roman"/>
                <w:sz w:val="24"/>
                <w:szCs w:val="24"/>
              </w:rPr>
              <w:t xml:space="preserve">EUR </w:t>
            </w:r>
            <w:r w:rsidR="001A2117" w:rsidRPr="48CF4FC2">
              <w:rPr>
                <w:rFonts w:ascii="Times New Roman" w:hAnsi="Times New Roman"/>
                <w:sz w:val="24"/>
                <w:szCs w:val="24"/>
              </w:rPr>
              <w:t>66.8 billion in private investments</w:t>
            </w:r>
            <w:r w:rsidR="00352447" w:rsidRPr="48CF4FC2">
              <w:rPr>
                <w:rFonts w:ascii="Times New Roman" w:hAnsi="Times New Roman"/>
                <w:sz w:val="24"/>
                <w:szCs w:val="24"/>
              </w:rPr>
              <w:t>. The p</w:t>
            </w:r>
            <w:r w:rsidR="00D658F0" w:rsidRPr="48CF4FC2">
              <w:rPr>
                <w:rFonts w:ascii="Times New Roman" w:hAnsi="Times New Roman"/>
                <w:sz w:val="24"/>
                <w:szCs w:val="24"/>
              </w:rPr>
              <w:t xml:space="preserve">articipation of SMEs in </w:t>
            </w:r>
            <w:r w:rsidR="00845646" w:rsidRPr="48CF4FC2">
              <w:rPr>
                <w:rFonts w:ascii="Times New Roman" w:hAnsi="Times New Roman"/>
                <w:sz w:val="24"/>
                <w:szCs w:val="24"/>
              </w:rPr>
              <w:t xml:space="preserve">IPCEIs has steadily increased since 2018. For the </w:t>
            </w:r>
            <w:r w:rsidR="004B2A58" w:rsidRPr="48CF4FC2">
              <w:rPr>
                <w:rFonts w:ascii="Times New Roman" w:hAnsi="Times New Roman"/>
                <w:sz w:val="24"/>
                <w:szCs w:val="24"/>
              </w:rPr>
              <w:t xml:space="preserve">2025 </w:t>
            </w:r>
            <w:r w:rsidR="00845646" w:rsidRPr="48CF4FC2">
              <w:rPr>
                <w:rFonts w:ascii="Times New Roman" w:hAnsi="Times New Roman"/>
                <w:sz w:val="24"/>
                <w:szCs w:val="24"/>
              </w:rPr>
              <w:t>IPCEI Tech4Cure</w:t>
            </w:r>
            <w:r w:rsidR="006825ED" w:rsidRPr="48CF4FC2">
              <w:rPr>
                <w:rFonts w:ascii="Times New Roman" w:hAnsi="Times New Roman"/>
                <w:sz w:val="24"/>
                <w:szCs w:val="24"/>
              </w:rPr>
              <w:t xml:space="preserve">, 60% of the firms </w:t>
            </w:r>
            <w:r w:rsidR="00D96F8E" w:rsidRPr="48CF4FC2">
              <w:rPr>
                <w:rFonts w:ascii="Times New Roman" w:hAnsi="Times New Roman"/>
                <w:sz w:val="24"/>
                <w:szCs w:val="24"/>
              </w:rPr>
              <w:t>participating are SMEs</w:t>
            </w:r>
            <w:r w:rsidR="00845646" w:rsidRPr="48CF4FC2">
              <w:rPr>
                <w:rFonts w:ascii="Times New Roman" w:hAnsi="Times New Roman"/>
                <w:sz w:val="24"/>
                <w:szCs w:val="24"/>
              </w:rPr>
              <w:t>.</w:t>
            </w:r>
            <w:r w:rsidR="00361020" w:rsidRPr="48CF4FC2">
              <w:rPr>
                <w:rFonts w:ascii="Times New Roman" w:hAnsi="Times New Roman"/>
                <w:sz w:val="24"/>
                <w:szCs w:val="24"/>
              </w:rPr>
              <w:t xml:space="preserve"> </w:t>
            </w:r>
          </w:p>
          <w:p w14:paraId="111541F8" w14:textId="54630226" w:rsidR="00F219D1" w:rsidRPr="001765D9" w:rsidRDefault="00C54C3B" w:rsidP="001765D9">
            <w:pPr>
              <w:widowControl w:val="0"/>
              <w:spacing w:before="120" w:after="120"/>
              <w:jc w:val="both"/>
              <w:rPr>
                <w:rFonts w:ascii="Times New Roman" w:hAnsi="Times New Roman"/>
                <w:sz w:val="24"/>
                <w:szCs w:val="24"/>
              </w:rPr>
            </w:pPr>
            <w:r w:rsidRPr="001765D9">
              <w:rPr>
                <w:rFonts w:ascii="Times New Roman" w:hAnsi="Times New Roman"/>
                <w:sz w:val="24"/>
                <w:szCs w:val="24"/>
              </w:rPr>
              <w:t>The IPCEI Design Support Hub, launched in 2025</w:t>
            </w:r>
            <w:r w:rsidR="00F467FF" w:rsidRPr="001765D9">
              <w:rPr>
                <w:rFonts w:ascii="Times New Roman" w:hAnsi="Times New Roman"/>
                <w:sz w:val="24"/>
                <w:szCs w:val="24"/>
              </w:rPr>
              <w:t xml:space="preserve"> as a part of the JEF-IPCEI</w:t>
            </w:r>
            <w:r w:rsidRPr="001765D9">
              <w:rPr>
                <w:rFonts w:ascii="Times New Roman" w:hAnsi="Times New Roman"/>
                <w:sz w:val="24"/>
                <w:szCs w:val="24"/>
              </w:rPr>
              <w:t>, provide</w:t>
            </w:r>
            <w:r w:rsidR="007C49EC" w:rsidRPr="001765D9">
              <w:rPr>
                <w:rFonts w:ascii="Times New Roman" w:hAnsi="Times New Roman"/>
                <w:sz w:val="24"/>
                <w:szCs w:val="24"/>
              </w:rPr>
              <w:t>s</w:t>
            </w:r>
            <w:r w:rsidRPr="001765D9">
              <w:rPr>
                <w:rFonts w:ascii="Times New Roman" w:hAnsi="Times New Roman"/>
                <w:sz w:val="24"/>
                <w:szCs w:val="24"/>
              </w:rPr>
              <w:t xml:space="preserve"> dedicated </w:t>
            </w:r>
            <w:r w:rsidR="00583510" w:rsidRPr="001765D9">
              <w:rPr>
                <w:rFonts w:ascii="Times New Roman" w:hAnsi="Times New Roman"/>
                <w:sz w:val="24"/>
                <w:szCs w:val="24"/>
              </w:rPr>
              <w:t>and more ‘hands</w:t>
            </w:r>
            <w:r w:rsidR="001765D9">
              <w:rPr>
                <w:rFonts w:ascii="Times New Roman" w:hAnsi="Times New Roman"/>
                <w:sz w:val="24"/>
                <w:szCs w:val="24"/>
              </w:rPr>
              <w:t>-</w:t>
            </w:r>
            <w:r w:rsidR="00583510" w:rsidRPr="001765D9">
              <w:rPr>
                <w:rFonts w:ascii="Times New Roman" w:hAnsi="Times New Roman"/>
                <w:sz w:val="24"/>
                <w:szCs w:val="24"/>
              </w:rPr>
              <w:t xml:space="preserve">on’ </w:t>
            </w:r>
            <w:r w:rsidRPr="001765D9">
              <w:rPr>
                <w:rFonts w:ascii="Times New Roman" w:hAnsi="Times New Roman"/>
                <w:sz w:val="24"/>
                <w:szCs w:val="24"/>
              </w:rPr>
              <w:t xml:space="preserve">technical and expert support to </w:t>
            </w:r>
            <w:r w:rsidR="00E37A08" w:rsidRPr="001765D9">
              <w:rPr>
                <w:rFonts w:ascii="Times New Roman" w:hAnsi="Times New Roman"/>
                <w:sz w:val="24"/>
                <w:szCs w:val="24"/>
              </w:rPr>
              <w:t xml:space="preserve">those </w:t>
            </w:r>
            <w:r w:rsidRPr="001765D9">
              <w:rPr>
                <w:rFonts w:ascii="Times New Roman" w:hAnsi="Times New Roman"/>
                <w:sz w:val="24"/>
                <w:szCs w:val="24"/>
              </w:rPr>
              <w:t xml:space="preserve">Member States </w:t>
            </w:r>
            <w:r w:rsidR="00E37A08" w:rsidRPr="001765D9">
              <w:rPr>
                <w:rFonts w:ascii="Times New Roman" w:hAnsi="Times New Roman"/>
                <w:sz w:val="24"/>
                <w:szCs w:val="24"/>
              </w:rPr>
              <w:t xml:space="preserve">which decided to enter the </w:t>
            </w:r>
            <w:r w:rsidRPr="001765D9">
              <w:rPr>
                <w:rFonts w:ascii="Times New Roman" w:hAnsi="Times New Roman"/>
                <w:sz w:val="24"/>
                <w:szCs w:val="24"/>
              </w:rPr>
              <w:t xml:space="preserve">design </w:t>
            </w:r>
            <w:r w:rsidR="00E37A08" w:rsidRPr="001765D9">
              <w:rPr>
                <w:rFonts w:ascii="Times New Roman" w:hAnsi="Times New Roman"/>
                <w:sz w:val="24"/>
                <w:szCs w:val="24"/>
              </w:rPr>
              <w:t xml:space="preserve">phase for </w:t>
            </w:r>
            <w:r w:rsidR="003B1FCC" w:rsidRPr="001765D9">
              <w:rPr>
                <w:rFonts w:ascii="Times New Roman" w:hAnsi="Times New Roman"/>
                <w:sz w:val="24"/>
                <w:szCs w:val="24"/>
              </w:rPr>
              <w:t xml:space="preserve">potential </w:t>
            </w:r>
            <w:r w:rsidRPr="001765D9">
              <w:rPr>
                <w:rFonts w:ascii="Times New Roman" w:hAnsi="Times New Roman"/>
                <w:sz w:val="24"/>
                <w:szCs w:val="24"/>
              </w:rPr>
              <w:t>IPCEI</w:t>
            </w:r>
            <w:r w:rsidR="003B1FCC" w:rsidRPr="001765D9">
              <w:rPr>
                <w:rFonts w:ascii="Times New Roman" w:hAnsi="Times New Roman"/>
                <w:sz w:val="24"/>
                <w:szCs w:val="24"/>
              </w:rPr>
              <w:t>s</w:t>
            </w:r>
            <w:r w:rsidRPr="001765D9">
              <w:rPr>
                <w:rFonts w:ascii="Times New Roman" w:hAnsi="Times New Roman"/>
                <w:sz w:val="24"/>
                <w:szCs w:val="24"/>
              </w:rPr>
              <w:t xml:space="preserve"> candidate</w:t>
            </w:r>
            <w:r w:rsidR="00FB7545" w:rsidRPr="001765D9">
              <w:rPr>
                <w:rFonts w:ascii="Times New Roman" w:hAnsi="Times New Roman"/>
                <w:sz w:val="24"/>
                <w:szCs w:val="24"/>
              </w:rPr>
              <w:t>s</w:t>
            </w:r>
            <w:r w:rsidR="00E37A08" w:rsidRPr="001765D9">
              <w:rPr>
                <w:rFonts w:ascii="Times New Roman" w:hAnsi="Times New Roman"/>
                <w:sz w:val="24"/>
                <w:szCs w:val="24"/>
              </w:rPr>
              <w:t>. The aim is</w:t>
            </w:r>
            <w:r w:rsidRPr="001765D9">
              <w:rPr>
                <w:rFonts w:ascii="Times New Roman" w:hAnsi="Times New Roman"/>
                <w:sz w:val="24"/>
                <w:szCs w:val="24"/>
              </w:rPr>
              <w:t xml:space="preserve"> to </w:t>
            </w:r>
            <w:r w:rsidR="00464F18" w:rsidRPr="001765D9">
              <w:rPr>
                <w:rFonts w:ascii="Times New Roman" w:hAnsi="Times New Roman"/>
                <w:sz w:val="24"/>
                <w:szCs w:val="24"/>
              </w:rPr>
              <w:t xml:space="preserve">optimise </w:t>
            </w:r>
            <w:r w:rsidRPr="001765D9">
              <w:rPr>
                <w:rFonts w:ascii="Times New Roman" w:hAnsi="Times New Roman"/>
                <w:sz w:val="24"/>
                <w:szCs w:val="24"/>
              </w:rPr>
              <w:t xml:space="preserve">the IPCEI process, to increase </w:t>
            </w:r>
            <w:r w:rsidR="004318F3" w:rsidRPr="001765D9">
              <w:rPr>
                <w:rFonts w:ascii="Times New Roman" w:hAnsi="Times New Roman"/>
                <w:sz w:val="24"/>
                <w:szCs w:val="24"/>
              </w:rPr>
              <w:t xml:space="preserve">design </w:t>
            </w:r>
            <w:r w:rsidRPr="001765D9">
              <w:rPr>
                <w:rFonts w:ascii="Times New Roman" w:hAnsi="Times New Roman"/>
                <w:sz w:val="24"/>
                <w:szCs w:val="24"/>
              </w:rPr>
              <w:t>efficiency</w:t>
            </w:r>
            <w:r w:rsidR="00E37A08" w:rsidRPr="001765D9">
              <w:rPr>
                <w:rFonts w:ascii="Times New Roman" w:hAnsi="Times New Roman"/>
                <w:sz w:val="24"/>
                <w:szCs w:val="24"/>
              </w:rPr>
              <w:t xml:space="preserve">, </w:t>
            </w:r>
            <w:r w:rsidRPr="001765D9">
              <w:rPr>
                <w:rFonts w:ascii="Times New Roman" w:hAnsi="Times New Roman"/>
                <w:sz w:val="24"/>
                <w:szCs w:val="24"/>
              </w:rPr>
              <w:t>to better prepare the subsequent assessment phase</w:t>
            </w:r>
            <w:r w:rsidR="00E37A08" w:rsidRPr="001765D9">
              <w:rPr>
                <w:rFonts w:ascii="Times New Roman" w:hAnsi="Times New Roman"/>
                <w:sz w:val="24"/>
                <w:szCs w:val="24"/>
              </w:rPr>
              <w:t xml:space="preserve"> and therefore speed up the process</w:t>
            </w:r>
            <w:r w:rsidRPr="001765D9">
              <w:rPr>
                <w:rFonts w:ascii="Times New Roman" w:hAnsi="Times New Roman"/>
                <w:sz w:val="24"/>
                <w:szCs w:val="24"/>
              </w:rPr>
              <w:t>.</w:t>
            </w:r>
            <w:r w:rsidR="00F70D0E" w:rsidRPr="001765D9">
              <w:rPr>
                <w:rFonts w:ascii="Times New Roman" w:hAnsi="Times New Roman"/>
                <w:sz w:val="24"/>
                <w:szCs w:val="24"/>
              </w:rPr>
              <w:t xml:space="preserve"> </w:t>
            </w:r>
            <w:r w:rsidR="00D50790" w:rsidRPr="001765D9">
              <w:rPr>
                <w:rFonts w:ascii="Times New Roman" w:hAnsi="Times New Roman"/>
                <w:sz w:val="24"/>
                <w:szCs w:val="24"/>
              </w:rPr>
              <w:t xml:space="preserve">The </w:t>
            </w:r>
            <w:r w:rsidR="00D50790" w:rsidRPr="001765D9">
              <w:rPr>
                <w:rFonts w:ascii="Times New Roman" w:hAnsi="Times New Roman"/>
                <w:sz w:val="24"/>
                <w:szCs w:val="24"/>
                <w:lang w:val="en-IE"/>
              </w:rPr>
              <w:t>IPCEI Design Support Hub</w:t>
            </w:r>
            <w:r w:rsidR="00D50790" w:rsidRPr="001765D9">
              <w:rPr>
                <w:rFonts w:ascii="Times New Roman" w:hAnsi="Times New Roman"/>
                <w:sz w:val="24"/>
                <w:szCs w:val="24"/>
              </w:rPr>
              <w:t xml:space="preserve"> </w:t>
            </w:r>
            <w:r w:rsidR="00F70D0E" w:rsidRPr="001765D9">
              <w:rPr>
                <w:rFonts w:ascii="Times New Roman" w:hAnsi="Times New Roman"/>
                <w:sz w:val="24"/>
                <w:szCs w:val="24"/>
                <w:lang w:val="en-IE"/>
              </w:rPr>
              <w:t xml:space="preserve">comprises a team led by </w:t>
            </w:r>
            <w:r w:rsidR="00675A77" w:rsidRPr="001765D9">
              <w:rPr>
                <w:rFonts w:ascii="Times New Roman" w:hAnsi="Times New Roman"/>
                <w:sz w:val="24"/>
                <w:szCs w:val="24"/>
                <w:lang w:val="en-IE"/>
              </w:rPr>
              <w:t xml:space="preserve">the Directorate-General for </w:t>
            </w:r>
            <w:r w:rsidR="00F70D0E" w:rsidRPr="001765D9">
              <w:rPr>
                <w:rFonts w:ascii="Times New Roman" w:hAnsi="Times New Roman"/>
                <w:sz w:val="24"/>
                <w:szCs w:val="24"/>
                <w:lang w:val="en-IE"/>
              </w:rPr>
              <w:t>C</w:t>
            </w:r>
            <w:r w:rsidR="00DC54B7" w:rsidRPr="001765D9">
              <w:rPr>
                <w:rFonts w:ascii="Times New Roman" w:hAnsi="Times New Roman"/>
                <w:sz w:val="24"/>
                <w:szCs w:val="24"/>
                <w:lang w:val="en-IE"/>
              </w:rPr>
              <w:t>ompetition</w:t>
            </w:r>
            <w:r w:rsidR="00F70D0E" w:rsidRPr="001765D9">
              <w:rPr>
                <w:rFonts w:ascii="Times New Roman" w:hAnsi="Times New Roman"/>
                <w:sz w:val="24"/>
                <w:szCs w:val="24"/>
                <w:lang w:val="en-IE"/>
              </w:rPr>
              <w:t xml:space="preserve"> in close collaboration with experts from different </w:t>
            </w:r>
            <w:r w:rsidR="00DC54B7" w:rsidRPr="001765D9">
              <w:rPr>
                <w:rFonts w:ascii="Times New Roman" w:hAnsi="Times New Roman"/>
                <w:sz w:val="24"/>
                <w:szCs w:val="24"/>
                <w:lang w:val="en-IE"/>
              </w:rPr>
              <w:t xml:space="preserve">Commission </w:t>
            </w:r>
            <w:r w:rsidR="00F70D0E" w:rsidRPr="001765D9">
              <w:rPr>
                <w:rFonts w:ascii="Times New Roman" w:hAnsi="Times New Roman"/>
                <w:sz w:val="24"/>
                <w:szCs w:val="24"/>
                <w:lang w:val="en-IE"/>
              </w:rPr>
              <w:t>Directorate</w:t>
            </w:r>
            <w:r w:rsidR="001765D9">
              <w:rPr>
                <w:rFonts w:ascii="Times New Roman" w:hAnsi="Times New Roman"/>
                <w:sz w:val="24"/>
                <w:szCs w:val="24"/>
                <w:lang w:val="en-IE"/>
              </w:rPr>
              <w:t>s</w:t>
            </w:r>
            <w:r w:rsidR="00F70D0E" w:rsidRPr="001765D9">
              <w:rPr>
                <w:rFonts w:ascii="Times New Roman" w:hAnsi="Times New Roman"/>
                <w:sz w:val="24"/>
                <w:szCs w:val="24"/>
                <w:lang w:val="en-IE"/>
              </w:rPr>
              <w:t xml:space="preserve"> General, including</w:t>
            </w:r>
            <w:r w:rsidR="005C6BEC" w:rsidRPr="001765D9">
              <w:rPr>
                <w:rFonts w:ascii="Times New Roman" w:hAnsi="Times New Roman"/>
                <w:sz w:val="24"/>
                <w:szCs w:val="24"/>
                <w:lang w:val="en-IE"/>
              </w:rPr>
              <w:t xml:space="preserve"> – when relevant - </w:t>
            </w:r>
            <w:r w:rsidR="00F70D0E" w:rsidRPr="001765D9">
              <w:rPr>
                <w:rFonts w:ascii="Times New Roman" w:hAnsi="Times New Roman"/>
                <w:sz w:val="24"/>
                <w:szCs w:val="24"/>
                <w:lang w:val="en-IE"/>
              </w:rPr>
              <w:t>the Joint Research Centre</w:t>
            </w:r>
            <w:r w:rsidR="00D50790" w:rsidRPr="001765D9">
              <w:rPr>
                <w:rFonts w:ascii="Times New Roman" w:hAnsi="Times New Roman"/>
                <w:sz w:val="24"/>
                <w:szCs w:val="24"/>
                <w:lang w:val="en-IE"/>
              </w:rPr>
              <w:t>.</w:t>
            </w:r>
            <w:r w:rsidR="00F70D0E" w:rsidRPr="001765D9">
              <w:rPr>
                <w:rFonts w:ascii="Times New Roman" w:hAnsi="Times New Roman"/>
                <w:sz w:val="24"/>
                <w:szCs w:val="24"/>
                <w:lang w:val="en-IE"/>
              </w:rPr>
              <w:t xml:space="preserve"> All IPCEI candidate</w:t>
            </w:r>
            <w:r w:rsidR="007C6A22" w:rsidRPr="001765D9">
              <w:rPr>
                <w:rFonts w:ascii="Times New Roman" w:hAnsi="Times New Roman"/>
                <w:sz w:val="24"/>
                <w:szCs w:val="24"/>
                <w:lang w:val="en-IE"/>
              </w:rPr>
              <w:t xml:space="preserve"> projects</w:t>
            </w:r>
            <w:r w:rsidR="00F70D0E" w:rsidRPr="001765D9">
              <w:rPr>
                <w:rFonts w:ascii="Times New Roman" w:hAnsi="Times New Roman"/>
                <w:sz w:val="24"/>
                <w:szCs w:val="24"/>
                <w:lang w:val="en-IE"/>
              </w:rPr>
              <w:t xml:space="preserve"> currently in the design phase are supported by the IPCEI Design Support Hub</w:t>
            </w:r>
            <w:r w:rsidR="007C6A22" w:rsidRPr="001765D9">
              <w:rPr>
                <w:rFonts w:ascii="Times New Roman" w:hAnsi="Times New Roman"/>
                <w:sz w:val="24"/>
                <w:szCs w:val="24"/>
                <w:lang w:val="en-IE"/>
              </w:rPr>
              <w:t>.</w:t>
            </w:r>
            <w:r w:rsidR="00361020">
              <w:rPr>
                <w:rFonts w:ascii="Times New Roman" w:hAnsi="Times New Roman"/>
                <w:sz w:val="24"/>
                <w:szCs w:val="24"/>
                <w:lang w:val="en-IE"/>
              </w:rPr>
              <w:t xml:space="preserve"> </w:t>
            </w:r>
          </w:p>
          <w:p w14:paraId="5222EBD9" w14:textId="5E146721" w:rsidR="00D747E9" w:rsidRPr="001765D9" w:rsidRDefault="00D747E9" w:rsidP="001765D9">
            <w:pPr>
              <w:widowControl w:val="0"/>
              <w:spacing w:before="120" w:after="120"/>
              <w:jc w:val="both"/>
              <w:rPr>
                <w:rFonts w:ascii="Times New Roman" w:hAnsi="Times New Roman"/>
                <w:sz w:val="24"/>
                <w:szCs w:val="24"/>
                <w:lang w:val="en-IE"/>
              </w:rPr>
            </w:pPr>
            <w:r w:rsidRPr="001765D9">
              <w:rPr>
                <w:rFonts w:ascii="Times New Roman" w:hAnsi="Times New Roman"/>
                <w:sz w:val="24"/>
                <w:szCs w:val="24"/>
              </w:rPr>
              <w:t xml:space="preserve">In its proposal for the Multiannual Financial Framework (MFF) 2028-2034, the Commission </w:t>
            </w:r>
            <w:r w:rsidR="00675A77" w:rsidRPr="001765D9">
              <w:rPr>
                <w:rFonts w:ascii="Times New Roman" w:hAnsi="Times New Roman"/>
                <w:sz w:val="24"/>
                <w:szCs w:val="24"/>
              </w:rPr>
              <w:t>designated</w:t>
            </w:r>
            <w:r w:rsidRPr="001765D9">
              <w:rPr>
                <w:rFonts w:ascii="Times New Roman" w:hAnsi="Times New Roman"/>
                <w:sz w:val="24"/>
                <w:szCs w:val="24"/>
              </w:rPr>
              <w:t xml:space="preserve"> support to IPCEIs as one of 14 EU initiatives of the EU Facility as part of the European Economic, Territorial, Social, Rural and Maritime Sustainable Prosperity and Security Fund. In addition, the Commission has introduced the possibility to provide top-up support for IPCEIs under the European Competitiveness Fund. </w:t>
            </w:r>
            <w:r w:rsidRPr="001765D9">
              <w:rPr>
                <w:rFonts w:ascii="Times New Roman" w:hAnsi="Times New Roman"/>
                <w:sz w:val="24"/>
                <w:szCs w:val="24"/>
                <w:lang w:val="en-IE"/>
              </w:rPr>
              <w:t xml:space="preserve"> Negotiations between co-legislators on the Commission proposal for the next MFF are on-going.</w:t>
            </w:r>
            <w:r w:rsidR="00361020">
              <w:rPr>
                <w:rFonts w:ascii="Times New Roman" w:hAnsi="Times New Roman"/>
                <w:sz w:val="24"/>
                <w:szCs w:val="24"/>
                <w:lang w:val="en-IE"/>
              </w:rPr>
              <w:t xml:space="preserve"> </w:t>
            </w:r>
          </w:p>
          <w:p w14:paraId="14E559C8" w14:textId="55904C71" w:rsidR="006C6A2E" w:rsidRPr="001765D9" w:rsidRDefault="00224F1B" w:rsidP="001765D9">
            <w:pPr>
              <w:widowControl w:val="0"/>
              <w:spacing w:before="120" w:after="120"/>
              <w:jc w:val="both"/>
              <w:rPr>
                <w:rFonts w:ascii="Times New Roman" w:hAnsi="Times New Roman"/>
                <w:b/>
                <w:bCs/>
                <w:sz w:val="24"/>
                <w:szCs w:val="24"/>
              </w:rPr>
            </w:pPr>
            <w:r w:rsidRPr="001765D9">
              <w:rPr>
                <w:rFonts w:ascii="Times New Roman" w:hAnsi="Times New Roman"/>
                <w:b/>
                <w:bCs/>
                <w:sz w:val="24"/>
                <w:szCs w:val="24"/>
              </w:rPr>
              <w:t xml:space="preserve">On </w:t>
            </w:r>
            <w:r w:rsidR="00C42018" w:rsidRPr="001765D9">
              <w:rPr>
                <w:rFonts w:ascii="Times New Roman" w:hAnsi="Times New Roman"/>
                <w:b/>
                <w:bCs/>
                <w:sz w:val="24"/>
                <w:szCs w:val="24"/>
              </w:rPr>
              <w:t>exclusionary abuses of market dominance</w:t>
            </w:r>
            <w:r w:rsidR="001765D9" w:rsidRPr="001765D9">
              <w:rPr>
                <w:rFonts w:ascii="Times New Roman" w:hAnsi="Times New Roman"/>
                <w:b/>
                <w:bCs/>
                <w:sz w:val="24"/>
                <w:szCs w:val="24"/>
              </w:rPr>
              <w:t xml:space="preserve"> – Section 2.4.1 of the Opinion</w:t>
            </w:r>
            <w:r w:rsidR="004C764C" w:rsidRPr="001765D9">
              <w:rPr>
                <w:rFonts w:ascii="Times New Roman" w:hAnsi="Times New Roman"/>
                <w:b/>
                <w:bCs/>
                <w:sz w:val="24"/>
                <w:szCs w:val="24"/>
              </w:rPr>
              <w:t>:</w:t>
            </w:r>
          </w:p>
          <w:p w14:paraId="26907380" w14:textId="630BCD6A" w:rsidR="00C42018" w:rsidRPr="001765D9" w:rsidRDefault="00972782" w:rsidP="001765D9">
            <w:pPr>
              <w:widowControl w:val="0"/>
              <w:spacing w:before="120" w:after="120"/>
              <w:jc w:val="both"/>
              <w:rPr>
                <w:rFonts w:ascii="Times New Roman" w:hAnsi="Times New Roman"/>
                <w:sz w:val="24"/>
                <w:szCs w:val="24"/>
                <w:u w:val="single"/>
              </w:rPr>
            </w:pPr>
            <w:r w:rsidRPr="001765D9">
              <w:rPr>
                <w:rFonts w:ascii="Times New Roman" w:hAnsi="Times New Roman"/>
                <w:sz w:val="24"/>
                <w:szCs w:val="24"/>
                <w:u w:val="single"/>
              </w:rPr>
              <w:t>Commission reply:</w:t>
            </w:r>
          </w:p>
          <w:p w14:paraId="54D5F41C" w14:textId="0B726A36" w:rsidR="003E1A57" w:rsidRPr="001765D9" w:rsidRDefault="00A53974" w:rsidP="001765D9">
            <w:pPr>
              <w:widowControl w:val="0"/>
              <w:spacing w:before="120" w:after="120"/>
              <w:jc w:val="both"/>
              <w:rPr>
                <w:rFonts w:ascii="Times New Roman" w:hAnsi="Times New Roman"/>
                <w:sz w:val="24"/>
                <w:szCs w:val="24"/>
                <w:u w:val="single"/>
              </w:rPr>
            </w:pPr>
            <w:r w:rsidRPr="001765D9">
              <w:rPr>
                <w:rFonts w:ascii="Times New Roman" w:hAnsi="Times New Roman"/>
                <w:iCs/>
                <w:noProof/>
                <w:sz w:val="24"/>
                <w:szCs w:val="24"/>
                <w:lang w:val="en-IE"/>
              </w:rPr>
              <w:t xml:space="preserve">The public consultation on the draft Guidelines closed on 31 October 2024. The Commission received more than </w:t>
            </w:r>
            <w:r w:rsidR="006C41B6" w:rsidRPr="001765D9">
              <w:rPr>
                <w:rFonts w:ascii="Times New Roman" w:hAnsi="Times New Roman"/>
                <w:iCs/>
                <w:noProof/>
                <w:sz w:val="24"/>
                <w:szCs w:val="24"/>
                <w:lang w:val="en-IE"/>
              </w:rPr>
              <w:t>100</w:t>
            </w:r>
            <w:r w:rsidR="00FE560C" w:rsidRPr="001765D9">
              <w:rPr>
                <w:rFonts w:ascii="Times New Roman" w:hAnsi="Times New Roman"/>
                <w:iCs/>
                <w:noProof/>
                <w:sz w:val="24"/>
                <w:szCs w:val="24"/>
                <w:lang w:val="en-IE"/>
              </w:rPr>
              <w:t xml:space="preserve"> </w:t>
            </w:r>
            <w:r w:rsidRPr="001765D9">
              <w:rPr>
                <w:rFonts w:ascii="Times New Roman" w:hAnsi="Times New Roman"/>
                <w:iCs/>
                <w:noProof/>
                <w:sz w:val="24"/>
                <w:szCs w:val="24"/>
                <w:lang w:val="en-IE"/>
              </w:rPr>
              <w:t>submissions commenting on the draft. A stakeholder workshop was held on 13 Februa</w:t>
            </w:r>
            <w:r w:rsidR="00A26463" w:rsidRPr="001765D9">
              <w:rPr>
                <w:rFonts w:ascii="Times New Roman" w:hAnsi="Times New Roman"/>
                <w:iCs/>
                <w:noProof/>
                <w:sz w:val="24"/>
                <w:szCs w:val="24"/>
                <w:lang w:val="en-IE"/>
              </w:rPr>
              <w:t>r</w:t>
            </w:r>
            <w:r w:rsidRPr="001765D9">
              <w:rPr>
                <w:rFonts w:ascii="Times New Roman" w:hAnsi="Times New Roman"/>
                <w:iCs/>
                <w:noProof/>
                <w:sz w:val="24"/>
                <w:szCs w:val="24"/>
                <w:lang w:val="en-IE"/>
              </w:rPr>
              <w:t xml:space="preserve">y 2025 to further discuss the most </w:t>
            </w:r>
            <w:r w:rsidR="0097301C" w:rsidRPr="001765D9">
              <w:rPr>
                <w:rFonts w:ascii="Times New Roman" w:hAnsi="Times New Roman"/>
                <w:iCs/>
                <w:noProof/>
                <w:sz w:val="24"/>
                <w:szCs w:val="24"/>
                <w:lang w:val="en-IE"/>
              </w:rPr>
              <w:t xml:space="preserve">important </w:t>
            </w:r>
            <w:r w:rsidRPr="001765D9">
              <w:rPr>
                <w:rFonts w:ascii="Times New Roman" w:hAnsi="Times New Roman"/>
                <w:iCs/>
                <w:noProof/>
                <w:sz w:val="24"/>
                <w:szCs w:val="24"/>
                <w:lang w:val="en-IE"/>
              </w:rPr>
              <w:t>issues</w:t>
            </w:r>
            <w:r w:rsidR="000E3426" w:rsidRPr="001765D9">
              <w:rPr>
                <w:rFonts w:ascii="Times New Roman" w:hAnsi="Times New Roman"/>
                <w:iCs/>
                <w:noProof/>
                <w:sz w:val="24"/>
                <w:szCs w:val="24"/>
                <w:lang w:val="en-IE"/>
              </w:rPr>
              <w:t xml:space="preserve"> raised </w:t>
            </w:r>
            <w:r w:rsidR="00A26463" w:rsidRPr="001765D9">
              <w:rPr>
                <w:rFonts w:ascii="Times New Roman" w:hAnsi="Times New Roman"/>
                <w:iCs/>
                <w:noProof/>
                <w:sz w:val="24"/>
                <w:szCs w:val="24"/>
                <w:lang w:val="en-IE"/>
              </w:rPr>
              <w:t>during</w:t>
            </w:r>
            <w:r w:rsidR="000E3426" w:rsidRPr="001765D9">
              <w:rPr>
                <w:rFonts w:ascii="Times New Roman" w:hAnsi="Times New Roman"/>
                <w:iCs/>
                <w:noProof/>
                <w:sz w:val="24"/>
                <w:szCs w:val="24"/>
                <w:lang w:val="en-IE"/>
              </w:rPr>
              <w:t xml:space="preserve"> the public consultation</w:t>
            </w:r>
            <w:r w:rsidRPr="001765D9">
              <w:rPr>
                <w:rFonts w:ascii="Times New Roman" w:hAnsi="Times New Roman"/>
                <w:iCs/>
                <w:noProof/>
                <w:sz w:val="24"/>
                <w:szCs w:val="24"/>
                <w:lang w:val="en-IE"/>
              </w:rPr>
              <w:t xml:space="preserve">. The Commission is </w:t>
            </w:r>
            <w:r w:rsidR="00E70B5E" w:rsidRPr="001765D9">
              <w:rPr>
                <w:rFonts w:ascii="Times New Roman" w:hAnsi="Times New Roman"/>
                <w:iCs/>
                <w:noProof/>
                <w:sz w:val="24"/>
                <w:szCs w:val="24"/>
                <w:lang w:val="en-IE"/>
              </w:rPr>
              <w:t xml:space="preserve">currently </w:t>
            </w:r>
            <w:r w:rsidRPr="001765D9">
              <w:rPr>
                <w:rFonts w:ascii="Times New Roman" w:hAnsi="Times New Roman"/>
                <w:iCs/>
                <w:noProof/>
                <w:sz w:val="24"/>
                <w:szCs w:val="24"/>
                <w:lang w:val="en-IE"/>
              </w:rPr>
              <w:t>revising the draft Guidelines</w:t>
            </w:r>
            <w:r w:rsidR="00467773" w:rsidRPr="001765D9">
              <w:rPr>
                <w:rFonts w:ascii="Times New Roman" w:hAnsi="Times New Roman"/>
                <w:iCs/>
                <w:noProof/>
                <w:sz w:val="24"/>
                <w:szCs w:val="24"/>
                <w:lang w:val="en-IE"/>
              </w:rPr>
              <w:t xml:space="preserve">, incorporating the feedback received </w:t>
            </w:r>
            <w:r w:rsidR="00AA2889" w:rsidRPr="001765D9">
              <w:rPr>
                <w:rFonts w:ascii="Times New Roman" w:hAnsi="Times New Roman"/>
                <w:iCs/>
                <w:noProof/>
                <w:sz w:val="24"/>
                <w:szCs w:val="24"/>
                <w:lang w:val="en-IE"/>
              </w:rPr>
              <w:t xml:space="preserve">as well as the conclusions </w:t>
            </w:r>
            <w:r w:rsidR="00420C61" w:rsidRPr="001765D9">
              <w:rPr>
                <w:rFonts w:ascii="Times New Roman" w:hAnsi="Times New Roman"/>
                <w:iCs/>
                <w:noProof/>
                <w:sz w:val="24"/>
                <w:szCs w:val="24"/>
                <w:lang w:val="en-IE"/>
              </w:rPr>
              <w:t xml:space="preserve">to be </w:t>
            </w:r>
            <w:r w:rsidR="00AA2889" w:rsidRPr="001765D9">
              <w:rPr>
                <w:rFonts w:ascii="Times New Roman" w:hAnsi="Times New Roman"/>
                <w:iCs/>
                <w:noProof/>
                <w:sz w:val="24"/>
                <w:szCs w:val="24"/>
                <w:lang w:val="en-IE"/>
              </w:rPr>
              <w:t xml:space="preserve">drawn from </w:t>
            </w:r>
            <w:r w:rsidRPr="001765D9">
              <w:rPr>
                <w:rFonts w:ascii="Times New Roman" w:hAnsi="Times New Roman"/>
                <w:iCs/>
                <w:noProof/>
                <w:sz w:val="24"/>
                <w:szCs w:val="24"/>
                <w:lang w:val="en-IE"/>
              </w:rPr>
              <w:t xml:space="preserve">the </w:t>
            </w:r>
            <w:r w:rsidR="00AA2889" w:rsidRPr="001765D9">
              <w:rPr>
                <w:rFonts w:ascii="Times New Roman" w:hAnsi="Times New Roman"/>
                <w:iCs/>
                <w:noProof/>
                <w:sz w:val="24"/>
                <w:szCs w:val="24"/>
                <w:lang w:val="en-IE"/>
              </w:rPr>
              <w:t>EU Court</w:t>
            </w:r>
            <w:r w:rsidR="00675A77" w:rsidRPr="001765D9">
              <w:rPr>
                <w:rFonts w:ascii="Times New Roman" w:hAnsi="Times New Roman"/>
                <w:iCs/>
                <w:noProof/>
                <w:sz w:val="24"/>
                <w:szCs w:val="24"/>
                <w:lang w:val="en-IE"/>
              </w:rPr>
              <w:t>’s j</w:t>
            </w:r>
            <w:r w:rsidR="00C31BB1" w:rsidRPr="001765D9">
              <w:rPr>
                <w:rFonts w:ascii="Times New Roman" w:hAnsi="Times New Roman"/>
                <w:iCs/>
                <w:noProof/>
                <w:sz w:val="24"/>
                <w:szCs w:val="24"/>
                <w:lang w:val="en-IE"/>
              </w:rPr>
              <w:t xml:space="preserve">udgments </w:t>
            </w:r>
            <w:r w:rsidR="00C4056C" w:rsidRPr="001765D9">
              <w:rPr>
                <w:rFonts w:ascii="Times New Roman" w:hAnsi="Times New Roman"/>
                <w:iCs/>
                <w:noProof/>
                <w:sz w:val="24"/>
                <w:szCs w:val="24"/>
                <w:lang w:val="en-IE"/>
              </w:rPr>
              <w:t xml:space="preserve">that were </w:t>
            </w:r>
            <w:r w:rsidR="00675A77" w:rsidRPr="001765D9">
              <w:rPr>
                <w:rFonts w:ascii="Times New Roman" w:hAnsi="Times New Roman"/>
                <w:iCs/>
                <w:noProof/>
                <w:sz w:val="24"/>
                <w:szCs w:val="24"/>
                <w:lang w:val="en-IE"/>
              </w:rPr>
              <w:t>delivered</w:t>
            </w:r>
            <w:r w:rsidR="00C4056C" w:rsidRPr="001765D9">
              <w:rPr>
                <w:rFonts w:ascii="Times New Roman" w:hAnsi="Times New Roman"/>
                <w:iCs/>
                <w:noProof/>
                <w:sz w:val="24"/>
                <w:szCs w:val="24"/>
                <w:lang w:val="en-IE"/>
              </w:rPr>
              <w:t xml:space="preserve"> </w:t>
            </w:r>
            <w:r w:rsidR="002C20A1" w:rsidRPr="001765D9">
              <w:rPr>
                <w:rFonts w:ascii="Times New Roman" w:hAnsi="Times New Roman"/>
                <w:iCs/>
                <w:noProof/>
                <w:sz w:val="24"/>
                <w:szCs w:val="24"/>
                <w:lang w:val="en-IE"/>
              </w:rPr>
              <w:t xml:space="preserve">after </w:t>
            </w:r>
            <w:r w:rsidR="000E3426" w:rsidRPr="001765D9">
              <w:rPr>
                <w:rFonts w:ascii="Times New Roman" w:hAnsi="Times New Roman"/>
                <w:iCs/>
                <w:noProof/>
                <w:sz w:val="24"/>
                <w:szCs w:val="24"/>
                <w:lang w:val="en-IE"/>
              </w:rPr>
              <w:t xml:space="preserve">the publication of the </w:t>
            </w:r>
            <w:r w:rsidR="002C20A1" w:rsidRPr="001765D9">
              <w:rPr>
                <w:rFonts w:ascii="Times New Roman" w:hAnsi="Times New Roman"/>
                <w:iCs/>
                <w:noProof/>
                <w:sz w:val="24"/>
                <w:szCs w:val="24"/>
                <w:lang w:val="en-IE"/>
              </w:rPr>
              <w:t xml:space="preserve">2024 </w:t>
            </w:r>
            <w:r w:rsidR="000E3426" w:rsidRPr="001765D9">
              <w:rPr>
                <w:rFonts w:ascii="Times New Roman" w:hAnsi="Times New Roman"/>
                <w:iCs/>
                <w:noProof/>
                <w:sz w:val="24"/>
                <w:szCs w:val="24"/>
                <w:lang w:val="en-IE"/>
              </w:rPr>
              <w:t>draft</w:t>
            </w:r>
            <w:r w:rsidR="002C20A1" w:rsidRPr="001765D9">
              <w:rPr>
                <w:rFonts w:ascii="Times New Roman" w:hAnsi="Times New Roman"/>
                <w:iCs/>
                <w:noProof/>
                <w:sz w:val="24"/>
                <w:szCs w:val="24"/>
                <w:lang w:val="en-IE"/>
              </w:rPr>
              <w:t xml:space="preserve"> Guid</w:t>
            </w:r>
            <w:r w:rsidR="00B835B2" w:rsidRPr="001765D9">
              <w:rPr>
                <w:rFonts w:ascii="Times New Roman" w:hAnsi="Times New Roman"/>
                <w:iCs/>
                <w:noProof/>
                <w:sz w:val="24"/>
                <w:szCs w:val="24"/>
                <w:lang w:val="en-IE"/>
              </w:rPr>
              <w:t>e</w:t>
            </w:r>
            <w:r w:rsidR="002C20A1" w:rsidRPr="001765D9">
              <w:rPr>
                <w:rFonts w:ascii="Times New Roman" w:hAnsi="Times New Roman"/>
                <w:iCs/>
                <w:noProof/>
                <w:sz w:val="24"/>
                <w:szCs w:val="24"/>
                <w:lang w:val="en-IE"/>
              </w:rPr>
              <w:t>lines</w:t>
            </w:r>
            <w:r w:rsidRPr="001765D9">
              <w:rPr>
                <w:rFonts w:ascii="Times New Roman" w:hAnsi="Times New Roman"/>
                <w:iCs/>
                <w:noProof/>
                <w:sz w:val="24"/>
                <w:szCs w:val="24"/>
                <w:lang w:val="en-IE"/>
              </w:rPr>
              <w:t xml:space="preserve">. </w:t>
            </w:r>
            <w:r w:rsidR="000E3426" w:rsidRPr="001765D9">
              <w:rPr>
                <w:rFonts w:ascii="Times New Roman" w:hAnsi="Times New Roman"/>
                <w:noProof/>
                <w:sz w:val="24"/>
                <w:szCs w:val="24"/>
                <w:lang w:val="en-US"/>
              </w:rPr>
              <w:t xml:space="preserve">The Commission aims to adopt the revised Guidelines </w:t>
            </w:r>
            <w:r w:rsidR="00C731F6" w:rsidRPr="001765D9">
              <w:rPr>
                <w:rFonts w:ascii="Times New Roman" w:hAnsi="Times New Roman"/>
                <w:noProof/>
                <w:sz w:val="24"/>
                <w:szCs w:val="24"/>
                <w:lang w:val="en-US"/>
              </w:rPr>
              <w:t>in 2026</w:t>
            </w:r>
            <w:r w:rsidR="00675A77" w:rsidRPr="001765D9">
              <w:rPr>
                <w:rFonts w:ascii="Times New Roman" w:hAnsi="Times New Roman"/>
                <w:noProof/>
                <w:sz w:val="24"/>
                <w:szCs w:val="24"/>
                <w:lang w:val="en-US"/>
              </w:rPr>
              <w:t>.</w:t>
            </w:r>
            <w:r w:rsidR="00081F54" w:rsidRPr="001765D9">
              <w:rPr>
                <w:rFonts w:ascii="Times New Roman" w:hAnsi="Times New Roman"/>
                <w:noProof/>
                <w:sz w:val="24"/>
                <w:szCs w:val="24"/>
                <w:lang w:val="en-US"/>
              </w:rPr>
              <w:t xml:space="preserve"> </w:t>
            </w:r>
          </w:p>
          <w:p w14:paraId="4F5FC2A7" w14:textId="5E93CE46" w:rsidR="00224F1B" w:rsidRPr="00A70DF3" w:rsidRDefault="00224F1B" w:rsidP="001765D9">
            <w:pPr>
              <w:widowControl w:val="0"/>
              <w:spacing w:before="120" w:after="120"/>
              <w:jc w:val="both"/>
              <w:rPr>
                <w:rFonts w:ascii="Times New Roman" w:hAnsi="Times New Roman"/>
                <w:b/>
                <w:bCs/>
                <w:sz w:val="24"/>
                <w:szCs w:val="24"/>
              </w:rPr>
            </w:pPr>
            <w:r w:rsidRPr="00A70DF3">
              <w:rPr>
                <w:rFonts w:ascii="Times New Roman" w:hAnsi="Times New Roman"/>
                <w:b/>
                <w:bCs/>
                <w:sz w:val="24"/>
                <w:szCs w:val="24"/>
              </w:rPr>
              <w:t xml:space="preserve">On </w:t>
            </w:r>
            <w:r w:rsidR="00BB21AA" w:rsidRPr="00A70DF3">
              <w:rPr>
                <w:rFonts w:ascii="Times New Roman" w:hAnsi="Times New Roman"/>
                <w:b/>
                <w:bCs/>
                <w:sz w:val="24"/>
                <w:szCs w:val="24"/>
              </w:rPr>
              <w:t xml:space="preserve">referrals </w:t>
            </w:r>
            <w:r w:rsidR="00E30AEE" w:rsidRPr="00A70DF3">
              <w:rPr>
                <w:rFonts w:ascii="Times New Roman" w:hAnsi="Times New Roman"/>
                <w:b/>
                <w:bCs/>
                <w:sz w:val="24"/>
                <w:szCs w:val="24"/>
              </w:rPr>
              <w:t xml:space="preserve">under Article 22 Merger </w:t>
            </w:r>
            <w:r w:rsidR="005B4935" w:rsidRPr="00A70DF3">
              <w:rPr>
                <w:rFonts w:ascii="Times New Roman" w:hAnsi="Times New Roman"/>
                <w:b/>
                <w:bCs/>
                <w:sz w:val="24"/>
                <w:szCs w:val="24"/>
              </w:rPr>
              <w:t>Regulation</w:t>
            </w:r>
            <w:r w:rsidR="001765D9" w:rsidRPr="00A70DF3">
              <w:rPr>
                <w:rFonts w:ascii="Times New Roman" w:hAnsi="Times New Roman"/>
                <w:b/>
                <w:bCs/>
                <w:sz w:val="24"/>
                <w:szCs w:val="24"/>
              </w:rPr>
              <w:t xml:space="preserve"> - Section 2.5.1 of the Opinion</w:t>
            </w:r>
            <w:r w:rsidR="000227D5" w:rsidRPr="00A70DF3">
              <w:rPr>
                <w:rFonts w:ascii="Times New Roman" w:hAnsi="Times New Roman"/>
                <w:b/>
                <w:bCs/>
                <w:sz w:val="24"/>
                <w:szCs w:val="24"/>
              </w:rPr>
              <w:t xml:space="preserve">: </w:t>
            </w:r>
            <w:r w:rsidRPr="00A70DF3">
              <w:rPr>
                <w:rFonts w:ascii="Times New Roman" w:hAnsi="Times New Roman"/>
                <w:b/>
                <w:bCs/>
                <w:sz w:val="24"/>
                <w:szCs w:val="24"/>
              </w:rPr>
              <w:t xml:space="preserve"> </w:t>
            </w:r>
          </w:p>
          <w:p w14:paraId="0255E6B5" w14:textId="77777777" w:rsidR="00420C61" w:rsidRPr="001765D9" w:rsidRDefault="00224F1B" w:rsidP="001765D9">
            <w:pPr>
              <w:widowControl w:val="0"/>
              <w:spacing w:before="120" w:after="120"/>
              <w:jc w:val="both"/>
              <w:rPr>
                <w:rFonts w:ascii="Times New Roman" w:hAnsi="Times New Roman"/>
                <w:sz w:val="24"/>
                <w:szCs w:val="24"/>
                <w:u w:val="single"/>
              </w:rPr>
            </w:pPr>
            <w:r w:rsidRPr="001765D9">
              <w:rPr>
                <w:rFonts w:ascii="Times New Roman" w:hAnsi="Times New Roman"/>
                <w:sz w:val="24"/>
                <w:szCs w:val="24"/>
                <w:u w:val="single"/>
              </w:rPr>
              <w:t>Commission reply:</w:t>
            </w:r>
          </w:p>
          <w:p w14:paraId="1EF3E46F" w14:textId="445F7AE4" w:rsidR="00A13C44" w:rsidRPr="001765D9" w:rsidRDefault="00420C61" w:rsidP="001765D9">
            <w:pPr>
              <w:widowControl w:val="0"/>
              <w:spacing w:before="120" w:after="120"/>
              <w:jc w:val="both"/>
              <w:rPr>
                <w:rFonts w:ascii="Times New Roman" w:hAnsi="Times New Roman"/>
                <w:sz w:val="24"/>
                <w:szCs w:val="24"/>
                <w:lang w:eastAsia="en-GB"/>
              </w:rPr>
            </w:pPr>
            <w:r w:rsidRPr="001765D9">
              <w:rPr>
                <w:rFonts w:ascii="Times New Roman" w:hAnsi="Times New Roman"/>
                <w:sz w:val="24"/>
                <w:szCs w:val="24"/>
                <w:lang w:eastAsia="en-GB"/>
              </w:rPr>
              <w:t>M</w:t>
            </w:r>
            <w:r w:rsidR="002E750B" w:rsidRPr="001765D9">
              <w:rPr>
                <w:rFonts w:ascii="Times New Roman" w:hAnsi="Times New Roman"/>
                <w:sz w:val="24"/>
                <w:szCs w:val="24"/>
                <w:lang w:eastAsia="en-GB"/>
              </w:rPr>
              <w:t xml:space="preserve">ost mergers do not significantly impact effective competition. This is why approximately 90% of notified mergers are cleared by simplified procedure and the number of market interventions </w:t>
            </w:r>
            <w:r w:rsidR="00414964" w:rsidRPr="001765D9">
              <w:rPr>
                <w:rFonts w:ascii="Times New Roman" w:hAnsi="Times New Roman"/>
                <w:sz w:val="24"/>
                <w:szCs w:val="24"/>
                <w:lang w:eastAsia="en-GB"/>
              </w:rPr>
              <w:t xml:space="preserve">is limited </w:t>
            </w:r>
            <w:r w:rsidR="002E750B" w:rsidRPr="001765D9">
              <w:rPr>
                <w:rFonts w:ascii="Times New Roman" w:hAnsi="Times New Roman"/>
                <w:sz w:val="24"/>
                <w:szCs w:val="24"/>
                <w:lang w:eastAsia="en-GB"/>
              </w:rPr>
              <w:lastRenderedPageBreak/>
              <w:t xml:space="preserve">(prohibitions, mergers cleared with commitments, and notification withdrawals during second-phase investigations). </w:t>
            </w:r>
          </w:p>
          <w:p w14:paraId="4499712F" w14:textId="1BB821B8" w:rsidR="002E750B" w:rsidRPr="001765D9" w:rsidRDefault="00A13C44" w:rsidP="001765D9">
            <w:pPr>
              <w:widowControl w:val="0"/>
              <w:spacing w:before="120" w:after="120"/>
              <w:jc w:val="both"/>
              <w:rPr>
                <w:rFonts w:ascii="Times New Roman" w:hAnsi="Times New Roman"/>
                <w:sz w:val="24"/>
                <w:szCs w:val="24"/>
                <w:lang w:eastAsia="en-GB"/>
              </w:rPr>
            </w:pPr>
            <w:r w:rsidRPr="001765D9">
              <w:rPr>
                <w:rFonts w:ascii="Times New Roman" w:hAnsi="Times New Roman"/>
                <w:sz w:val="24"/>
                <w:szCs w:val="24"/>
                <w:lang w:eastAsia="en-GB"/>
              </w:rPr>
              <w:t xml:space="preserve">In the context of the ongoing review of the horizontal and vertical merger guidelines </w:t>
            </w:r>
            <w:r w:rsidR="002E750B" w:rsidRPr="001765D9">
              <w:rPr>
                <w:rFonts w:ascii="Times New Roman" w:hAnsi="Times New Roman"/>
                <w:sz w:val="24"/>
                <w:szCs w:val="24"/>
                <w:lang w:eastAsia="en-GB"/>
              </w:rPr>
              <w:t>the Commission will</w:t>
            </w:r>
            <w:r w:rsidRPr="001765D9">
              <w:rPr>
                <w:rFonts w:ascii="Times New Roman" w:hAnsi="Times New Roman"/>
                <w:sz w:val="24"/>
                <w:szCs w:val="24"/>
                <w:lang w:eastAsia="en-GB"/>
              </w:rPr>
              <w:t xml:space="preserve"> pay attention to innovation</w:t>
            </w:r>
            <w:r w:rsidR="004E6D79" w:rsidRPr="001765D9">
              <w:rPr>
                <w:rFonts w:ascii="Times New Roman" w:hAnsi="Times New Roman"/>
                <w:sz w:val="24"/>
                <w:szCs w:val="24"/>
                <w:lang w:eastAsia="en-GB"/>
              </w:rPr>
              <w:t>, in particular for mergers</w:t>
            </w:r>
            <w:r w:rsidR="002E750B" w:rsidRPr="001765D9">
              <w:rPr>
                <w:rFonts w:ascii="Times New Roman" w:hAnsi="Times New Roman"/>
                <w:sz w:val="24"/>
                <w:szCs w:val="24"/>
                <w:lang w:eastAsia="en-GB"/>
              </w:rPr>
              <w:t xml:space="preserve"> involving start-ups. While ‘killer acquisitions’ may be exceptional, the revised </w:t>
            </w:r>
            <w:r w:rsidR="000970D6">
              <w:rPr>
                <w:rFonts w:ascii="Times New Roman" w:hAnsi="Times New Roman"/>
                <w:sz w:val="24"/>
                <w:szCs w:val="24"/>
                <w:lang w:eastAsia="en-GB"/>
              </w:rPr>
              <w:t xml:space="preserve">Merger </w:t>
            </w:r>
            <w:r w:rsidR="002E750B" w:rsidRPr="001765D9">
              <w:rPr>
                <w:rFonts w:ascii="Times New Roman" w:hAnsi="Times New Roman"/>
                <w:sz w:val="24"/>
                <w:szCs w:val="24"/>
                <w:lang w:eastAsia="en-GB"/>
              </w:rPr>
              <w:t>Guidelines will include guidance on acquisitions of nascent or innovative competitors that could stifle innovation</w:t>
            </w:r>
            <w:r w:rsidR="00E54FD1">
              <w:rPr>
                <w:rFonts w:ascii="Times New Roman" w:hAnsi="Times New Roman"/>
                <w:sz w:val="24"/>
                <w:szCs w:val="24"/>
                <w:lang w:eastAsia="en-GB"/>
              </w:rPr>
              <w:t>, and on an ‘innovation shield’</w:t>
            </w:r>
            <w:r w:rsidR="009A1ED6">
              <w:rPr>
                <w:rFonts w:ascii="Times New Roman" w:hAnsi="Times New Roman"/>
                <w:sz w:val="24"/>
                <w:szCs w:val="24"/>
                <w:lang w:eastAsia="en-GB"/>
              </w:rPr>
              <w:t xml:space="preserve"> where</w:t>
            </w:r>
            <w:r w:rsidR="00FD4AEE">
              <w:rPr>
                <w:rFonts w:ascii="Times New Roman" w:hAnsi="Times New Roman"/>
                <w:sz w:val="24"/>
                <w:szCs w:val="24"/>
                <w:lang w:eastAsia="en-GB"/>
              </w:rPr>
              <w:t xml:space="preserve"> acqu</w:t>
            </w:r>
            <w:r w:rsidR="007E504C">
              <w:rPr>
                <w:rFonts w:ascii="Times New Roman" w:hAnsi="Times New Roman"/>
                <w:sz w:val="24"/>
                <w:szCs w:val="24"/>
                <w:lang w:eastAsia="en-GB"/>
              </w:rPr>
              <w:t xml:space="preserve">isitions </w:t>
            </w:r>
            <w:r w:rsidR="00170C64">
              <w:rPr>
                <w:rFonts w:ascii="Times New Roman" w:hAnsi="Times New Roman"/>
                <w:sz w:val="24"/>
                <w:szCs w:val="24"/>
                <w:lang w:eastAsia="en-GB"/>
              </w:rPr>
              <w:t>are unlikely to lead to competition concerns</w:t>
            </w:r>
            <w:r w:rsidR="004E6D79" w:rsidRPr="001765D9">
              <w:rPr>
                <w:rFonts w:ascii="Times New Roman" w:hAnsi="Times New Roman"/>
                <w:sz w:val="24"/>
                <w:szCs w:val="24"/>
                <w:lang w:eastAsia="en-GB"/>
              </w:rPr>
              <w:t>.</w:t>
            </w:r>
            <w:r w:rsidR="00B3376F">
              <w:rPr>
                <w:rFonts w:ascii="Times New Roman" w:hAnsi="Times New Roman"/>
                <w:sz w:val="24"/>
                <w:szCs w:val="24"/>
                <w:lang w:eastAsia="en-GB"/>
              </w:rPr>
              <w:t xml:space="preserve"> </w:t>
            </w:r>
          </w:p>
          <w:p w14:paraId="4D97E925" w14:textId="0B22C7C4" w:rsidR="002E750B" w:rsidRPr="001765D9" w:rsidRDefault="002E750B" w:rsidP="001765D9">
            <w:pPr>
              <w:widowControl w:val="0"/>
              <w:spacing w:before="120" w:after="120"/>
              <w:jc w:val="both"/>
              <w:rPr>
                <w:rFonts w:ascii="Times New Roman" w:hAnsi="Times New Roman"/>
                <w:sz w:val="24"/>
                <w:szCs w:val="24"/>
                <w:lang w:eastAsia="en-GB"/>
              </w:rPr>
            </w:pPr>
            <w:r w:rsidRPr="001765D9">
              <w:rPr>
                <w:rFonts w:ascii="Times New Roman" w:hAnsi="Times New Roman"/>
                <w:sz w:val="24"/>
                <w:szCs w:val="24"/>
                <w:lang w:eastAsia="en-GB"/>
              </w:rPr>
              <w:t xml:space="preserve">The Commission continues to apply Article 22 </w:t>
            </w:r>
            <w:r w:rsidR="00A8100A" w:rsidRPr="001765D9">
              <w:rPr>
                <w:rFonts w:ascii="Times New Roman" w:hAnsi="Times New Roman"/>
                <w:sz w:val="24"/>
                <w:szCs w:val="24"/>
                <w:lang w:eastAsia="en-GB"/>
              </w:rPr>
              <w:t xml:space="preserve">of the </w:t>
            </w:r>
            <w:r w:rsidRPr="001765D9">
              <w:rPr>
                <w:rFonts w:ascii="Times New Roman" w:hAnsi="Times New Roman"/>
                <w:sz w:val="24"/>
                <w:szCs w:val="24"/>
                <w:lang w:eastAsia="en-GB"/>
              </w:rPr>
              <w:t>Merger Regulation in line with the Illumina-GRAIL judgment of the Court of Justice. In 2025, one concentration was transferred to the Commission from Austria and the Netherlands under Article 22</w:t>
            </w:r>
            <w:r w:rsidR="00D45BE4" w:rsidRPr="001765D9">
              <w:rPr>
                <w:rFonts w:ascii="Times New Roman" w:hAnsi="Times New Roman"/>
                <w:sz w:val="24"/>
                <w:szCs w:val="24"/>
                <w:lang w:eastAsia="en-GB"/>
              </w:rPr>
              <w:t xml:space="preserve"> </w:t>
            </w:r>
            <w:r w:rsidR="00A8100A" w:rsidRPr="001765D9">
              <w:rPr>
                <w:rFonts w:ascii="Times New Roman" w:hAnsi="Times New Roman"/>
                <w:sz w:val="24"/>
                <w:szCs w:val="24"/>
                <w:lang w:eastAsia="en-GB"/>
              </w:rPr>
              <w:t xml:space="preserve">of the </w:t>
            </w:r>
            <w:r w:rsidR="00D45BE4" w:rsidRPr="001765D9">
              <w:rPr>
                <w:rFonts w:ascii="Times New Roman" w:hAnsi="Times New Roman"/>
                <w:sz w:val="24"/>
                <w:szCs w:val="24"/>
                <w:lang w:eastAsia="en-GB"/>
              </w:rPr>
              <w:t>Merger Regulation</w:t>
            </w:r>
            <w:r w:rsidR="00415BF9" w:rsidRPr="001765D9">
              <w:rPr>
                <w:rFonts w:ascii="Times New Roman" w:hAnsi="Times New Roman"/>
                <w:sz w:val="24"/>
                <w:szCs w:val="24"/>
                <w:lang w:eastAsia="en-GB"/>
              </w:rPr>
              <w:t xml:space="preserve"> -</w:t>
            </w:r>
            <w:r w:rsidRPr="001765D9">
              <w:rPr>
                <w:rFonts w:ascii="Times New Roman" w:hAnsi="Times New Roman"/>
                <w:sz w:val="24"/>
                <w:szCs w:val="24"/>
                <w:lang w:eastAsia="en-GB"/>
              </w:rPr>
              <w:t xml:space="preserve"> the acquisition of </w:t>
            </w:r>
            <w:r w:rsidRPr="001765D9">
              <w:rPr>
                <w:rFonts w:ascii="Times New Roman" w:hAnsi="Times New Roman"/>
                <w:i/>
                <w:iCs/>
                <w:sz w:val="24"/>
                <w:szCs w:val="24"/>
                <w:lang w:eastAsia="en-GB"/>
              </w:rPr>
              <w:t>Downtown</w:t>
            </w:r>
            <w:r w:rsidRPr="001765D9">
              <w:rPr>
                <w:rFonts w:ascii="Times New Roman" w:hAnsi="Times New Roman"/>
                <w:sz w:val="24"/>
                <w:szCs w:val="24"/>
                <w:lang w:eastAsia="en-GB"/>
              </w:rPr>
              <w:t xml:space="preserve"> by </w:t>
            </w:r>
            <w:r w:rsidRPr="001765D9">
              <w:rPr>
                <w:rFonts w:ascii="Times New Roman" w:hAnsi="Times New Roman"/>
                <w:i/>
                <w:iCs/>
                <w:sz w:val="24"/>
                <w:szCs w:val="24"/>
                <w:lang w:eastAsia="en-GB"/>
              </w:rPr>
              <w:t xml:space="preserve">UMG </w:t>
            </w:r>
            <w:r w:rsidRPr="001765D9">
              <w:rPr>
                <w:rFonts w:ascii="Times New Roman" w:hAnsi="Times New Roman"/>
                <w:sz w:val="24"/>
                <w:szCs w:val="24"/>
                <w:lang w:eastAsia="en-GB"/>
              </w:rPr>
              <w:t>(case M.11956)</w:t>
            </w:r>
            <w:r w:rsidR="00AD0FCF" w:rsidRPr="001765D9">
              <w:rPr>
                <w:rFonts w:ascii="Times New Roman" w:hAnsi="Times New Roman"/>
                <w:sz w:val="24"/>
                <w:szCs w:val="24"/>
                <w:lang w:eastAsia="en-GB"/>
              </w:rPr>
              <w:t>.</w:t>
            </w:r>
            <w:r w:rsidR="00415BF9" w:rsidRPr="001765D9">
              <w:rPr>
                <w:rFonts w:ascii="Times New Roman" w:hAnsi="Times New Roman"/>
                <w:sz w:val="24"/>
                <w:szCs w:val="24"/>
                <w:lang w:eastAsia="en-GB"/>
              </w:rPr>
              <w:t xml:space="preserve"> Th</w:t>
            </w:r>
            <w:r w:rsidR="00E510F1">
              <w:rPr>
                <w:rFonts w:ascii="Times New Roman" w:hAnsi="Times New Roman"/>
                <w:sz w:val="24"/>
                <w:szCs w:val="24"/>
                <w:lang w:eastAsia="en-GB"/>
              </w:rPr>
              <w:t>is merger was approved subject to conditions</w:t>
            </w:r>
            <w:r w:rsidR="00B938E9">
              <w:rPr>
                <w:rFonts w:ascii="Times New Roman" w:hAnsi="Times New Roman"/>
                <w:sz w:val="24"/>
                <w:szCs w:val="24"/>
                <w:lang w:eastAsia="en-GB"/>
              </w:rPr>
              <w:t xml:space="preserve">, </w:t>
            </w:r>
            <w:r w:rsidR="00D71694">
              <w:rPr>
                <w:rFonts w:ascii="Times New Roman" w:hAnsi="Times New Roman"/>
                <w:sz w:val="24"/>
                <w:szCs w:val="24"/>
                <w:lang w:eastAsia="en-GB"/>
              </w:rPr>
              <w:t>after a</w:t>
            </w:r>
            <w:r w:rsidR="00A8100A" w:rsidRPr="001765D9">
              <w:rPr>
                <w:rFonts w:ascii="Times New Roman" w:hAnsi="Times New Roman"/>
                <w:sz w:val="24"/>
                <w:szCs w:val="24"/>
                <w:lang w:eastAsia="en-GB"/>
              </w:rPr>
              <w:t xml:space="preserve"> </w:t>
            </w:r>
            <w:r w:rsidR="00415BF9" w:rsidRPr="001765D9">
              <w:rPr>
                <w:rFonts w:ascii="Times New Roman" w:hAnsi="Times New Roman"/>
                <w:sz w:val="24"/>
                <w:szCs w:val="24"/>
                <w:lang w:eastAsia="en-GB"/>
              </w:rPr>
              <w:t xml:space="preserve">second-phase </w:t>
            </w:r>
            <w:r w:rsidRPr="001765D9">
              <w:rPr>
                <w:rFonts w:ascii="Times New Roman" w:hAnsi="Times New Roman"/>
                <w:sz w:val="24"/>
                <w:szCs w:val="24"/>
                <w:lang w:eastAsia="en-GB"/>
              </w:rPr>
              <w:t xml:space="preserve">investigation. </w:t>
            </w:r>
            <w:r w:rsidR="0040000B" w:rsidRPr="001765D9">
              <w:rPr>
                <w:rFonts w:ascii="Times New Roman" w:hAnsi="Times New Roman"/>
                <w:sz w:val="24"/>
                <w:szCs w:val="24"/>
                <w:lang w:eastAsia="en-GB"/>
              </w:rPr>
              <w:t xml:space="preserve">In addition, </w:t>
            </w:r>
            <w:r w:rsidR="00B54425" w:rsidRPr="001765D9">
              <w:rPr>
                <w:rFonts w:ascii="Times New Roman" w:hAnsi="Times New Roman"/>
                <w:sz w:val="24"/>
                <w:szCs w:val="24"/>
                <w:lang w:eastAsia="en-GB"/>
              </w:rPr>
              <w:t xml:space="preserve">the </w:t>
            </w:r>
            <w:r w:rsidRPr="001765D9">
              <w:rPr>
                <w:rFonts w:ascii="Times New Roman" w:hAnsi="Times New Roman"/>
                <w:sz w:val="24"/>
                <w:szCs w:val="24"/>
                <w:lang w:val="en-IE" w:eastAsia="en-GB"/>
              </w:rPr>
              <w:t>Commission conditionally approved</w:t>
            </w:r>
            <w:r w:rsidR="00B54425" w:rsidRPr="001765D9">
              <w:rPr>
                <w:rFonts w:ascii="Times New Roman" w:hAnsi="Times New Roman"/>
                <w:sz w:val="24"/>
                <w:szCs w:val="24"/>
                <w:lang w:val="en-IE" w:eastAsia="en-GB"/>
              </w:rPr>
              <w:t xml:space="preserve"> in 2025 </w:t>
            </w:r>
            <w:r w:rsidRPr="001765D9">
              <w:rPr>
                <w:rFonts w:ascii="Times New Roman" w:hAnsi="Times New Roman"/>
                <w:i/>
                <w:iCs/>
                <w:sz w:val="24"/>
                <w:szCs w:val="24"/>
                <w:lang w:val="en-IE" w:eastAsia="en-GB"/>
              </w:rPr>
              <w:t>Brasserie Nationale</w:t>
            </w:r>
            <w:r w:rsidRPr="001765D9">
              <w:rPr>
                <w:rFonts w:ascii="Times New Roman" w:hAnsi="Times New Roman"/>
                <w:sz w:val="24"/>
                <w:szCs w:val="24"/>
                <w:lang w:val="en-IE" w:eastAsia="en-GB"/>
              </w:rPr>
              <w:t xml:space="preserve">’s acquisition of </w:t>
            </w:r>
            <w:r w:rsidRPr="001765D9">
              <w:rPr>
                <w:rFonts w:ascii="Times New Roman" w:hAnsi="Times New Roman"/>
                <w:i/>
                <w:iCs/>
                <w:sz w:val="24"/>
                <w:szCs w:val="24"/>
                <w:lang w:val="en-IE" w:eastAsia="en-GB"/>
              </w:rPr>
              <w:t xml:space="preserve">Boissons Heintz </w:t>
            </w:r>
            <w:r w:rsidRPr="001765D9">
              <w:rPr>
                <w:rFonts w:ascii="Times New Roman" w:hAnsi="Times New Roman"/>
                <w:sz w:val="24"/>
                <w:szCs w:val="24"/>
                <w:lang w:val="en-IE" w:eastAsia="en-GB"/>
              </w:rPr>
              <w:t xml:space="preserve">(case M.11485), that Luxembourg referred to the Commission in 2024 because it </w:t>
            </w:r>
            <w:r w:rsidR="00763A74">
              <w:rPr>
                <w:rFonts w:ascii="Times New Roman" w:hAnsi="Times New Roman"/>
                <w:sz w:val="24"/>
                <w:szCs w:val="24"/>
                <w:lang w:val="en-IE" w:eastAsia="en-GB"/>
              </w:rPr>
              <w:t>did</w:t>
            </w:r>
            <w:r w:rsidR="00175091">
              <w:rPr>
                <w:rFonts w:ascii="Times New Roman" w:hAnsi="Times New Roman"/>
                <w:sz w:val="24"/>
                <w:szCs w:val="24"/>
                <w:lang w:val="en-IE" w:eastAsia="en-GB"/>
              </w:rPr>
              <w:t xml:space="preserve"> not</w:t>
            </w:r>
            <w:r w:rsidR="00763A74">
              <w:rPr>
                <w:rFonts w:ascii="Times New Roman" w:hAnsi="Times New Roman"/>
                <w:sz w:val="24"/>
                <w:szCs w:val="24"/>
                <w:lang w:val="en-IE" w:eastAsia="en-GB"/>
              </w:rPr>
              <w:t xml:space="preserve"> have</w:t>
            </w:r>
            <w:r w:rsidRPr="001765D9">
              <w:rPr>
                <w:rFonts w:ascii="Times New Roman" w:hAnsi="Times New Roman"/>
                <w:sz w:val="24"/>
                <w:szCs w:val="24"/>
                <w:lang w:val="en-IE" w:eastAsia="en-GB"/>
              </w:rPr>
              <w:t xml:space="preserve"> a</w:t>
            </w:r>
            <w:r w:rsidR="009D66FA">
              <w:rPr>
                <w:rFonts w:ascii="Times New Roman" w:hAnsi="Times New Roman"/>
                <w:sz w:val="24"/>
                <w:szCs w:val="24"/>
                <w:lang w:val="en-IE" w:eastAsia="en-GB"/>
              </w:rPr>
              <w:t> </w:t>
            </w:r>
            <w:r w:rsidRPr="001765D9">
              <w:rPr>
                <w:rFonts w:ascii="Times New Roman" w:hAnsi="Times New Roman"/>
                <w:sz w:val="24"/>
                <w:szCs w:val="24"/>
                <w:lang w:val="en-IE" w:eastAsia="en-GB"/>
              </w:rPr>
              <w:t>national merger control regime</w:t>
            </w:r>
            <w:r w:rsidR="00763A74">
              <w:rPr>
                <w:rFonts w:ascii="Times New Roman" w:hAnsi="Times New Roman"/>
                <w:sz w:val="24"/>
                <w:szCs w:val="24"/>
                <w:lang w:val="en-IE" w:eastAsia="en-GB"/>
              </w:rPr>
              <w:t xml:space="preserve"> enabling it to review the transaction</w:t>
            </w:r>
            <w:r w:rsidRPr="001765D9">
              <w:rPr>
                <w:rFonts w:ascii="Times New Roman" w:hAnsi="Times New Roman"/>
                <w:sz w:val="24"/>
                <w:szCs w:val="24"/>
                <w:lang w:val="en-IE" w:eastAsia="en-GB"/>
              </w:rPr>
              <w:t>.</w:t>
            </w:r>
            <w:r w:rsidRPr="001765D9">
              <w:rPr>
                <w:rFonts w:ascii="Times New Roman" w:hAnsi="Times New Roman"/>
                <w:sz w:val="24"/>
                <w:szCs w:val="24"/>
                <w:lang w:eastAsia="en-GB"/>
              </w:rPr>
              <w:t xml:space="preserve"> </w:t>
            </w:r>
          </w:p>
          <w:p w14:paraId="2F72F4C1" w14:textId="68391271" w:rsidR="005E2DE8" w:rsidRPr="001765D9" w:rsidRDefault="004447E3" w:rsidP="001765D9">
            <w:pPr>
              <w:widowControl w:val="0"/>
              <w:spacing w:before="120" w:after="120"/>
              <w:jc w:val="both"/>
              <w:rPr>
                <w:rFonts w:ascii="Times New Roman" w:hAnsi="Times New Roman"/>
                <w:sz w:val="24"/>
                <w:szCs w:val="24"/>
                <w:lang w:val="en-US" w:eastAsia="en-GB"/>
              </w:rPr>
            </w:pPr>
            <w:r w:rsidRPr="001765D9">
              <w:rPr>
                <w:rFonts w:ascii="Times New Roman" w:hAnsi="Times New Roman"/>
                <w:sz w:val="24"/>
                <w:szCs w:val="24"/>
                <w:lang w:eastAsia="en-GB"/>
              </w:rPr>
              <w:t>T</w:t>
            </w:r>
            <w:r w:rsidR="005E2DE8" w:rsidRPr="001765D9">
              <w:rPr>
                <w:rFonts w:ascii="Times New Roman" w:hAnsi="Times New Roman"/>
                <w:sz w:val="24"/>
                <w:szCs w:val="24"/>
                <w:lang w:eastAsia="en-GB"/>
              </w:rPr>
              <w:t>he Commission continue</w:t>
            </w:r>
            <w:r w:rsidR="00261713" w:rsidRPr="001765D9">
              <w:rPr>
                <w:rFonts w:ascii="Times New Roman" w:hAnsi="Times New Roman"/>
                <w:sz w:val="24"/>
                <w:szCs w:val="24"/>
                <w:lang w:eastAsia="en-GB"/>
              </w:rPr>
              <w:t>s</w:t>
            </w:r>
            <w:r w:rsidR="005E2DE8" w:rsidRPr="001765D9">
              <w:rPr>
                <w:rFonts w:ascii="Times New Roman" w:hAnsi="Times New Roman"/>
                <w:sz w:val="24"/>
                <w:szCs w:val="24"/>
                <w:lang w:eastAsia="en-GB"/>
              </w:rPr>
              <w:t xml:space="preserve"> to monitor </w:t>
            </w:r>
            <w:r w:rsidR="004E6D79" w:rsidRPr="001765D9">
              <w:rPr>
                <w:rFonts w:ascii="Times New Roman" w:hAnsi="Times New Roman"/>
                <w:sz w:val="24"/>
                <w:szCs w:val="24"/>
                <w:lang w:eastAsia="en-GB"/>
              </w:rPr>
              <w:t xml:space="preserve">market developments </w:t>
            </w:r>
            <w:r w:rsidR="005E2DE8" w:rsidRPr="001765D9">
              <w:rPr>
                <w:rFonts w:ascii="Times New Roman" w:hAnsi="Times New Roman"/>
                <w:sz w:val="24"/>
                <w:szCs w:val="24"/>
                <w:lang w:eastAsia="en-GB"/>
              </w:rPr>
              <w:t xml:space="preserve">to identify </w:t>
            </w:r>
            <w:r w:rsidR="004E6D79" w:rsidRPr="001765D9">
              <w:rPr>
                <w:rFonts w:ascii="Times New Roman" w:hAnsi="Times New Roman"/>
                <w:sz w:val="24"/>
                <w:szCs w:val="24"/>
                <w:lang w:eastAsia="en-GB"/>
              </w:rPr>
              <w:t xml:space="preserve">proposed mergers </w:t>
            </w:r>
            <w:r w:rsidR="005E2DE8" w:rsidRPr="001765D9">
              <w:rPr>
                <w:rFonts w:ascii="Times New Roman" w:hAnsi="Times New Roman"/>
                <w:sz w:val="24"/>
                <w:szCs w:val="24"/>
                <w:lang w:eastAsia="en-GB"/>
              </w:rPr>
              <w:t>that m</w:t>
            </w:r>
            <w:r w:rsidR="004C0C39" w:rsidRPr="001765D9">
              <w:rPr>
                <w:rFonts w:ascii="Times New Roman" w:hAnsi="Times New Roman"/>
                <w:sz w:val="24"/>
                <w:szCs w:val="24"/>
                <w:lang w:eastAsia="en-GB"/>
              </w:rPr>
              <w:t>ay</w:t>
            </w:r>
            <w:r w:rsidR="005E2DE8" w:rsidRPr="001765D9">
              <w:rPr>
                <w:rFonts w:ascii="Times New Roman" w:hAnsi="Times New Roman"/>
                <w:sz w:val="24"/>
                <w:szCs w:val="24"/>
                <w:lang w:eastAsia="en-GB"/>
              </w:rPr>
              <w:t xml:space="preserve"> be suitable for referral </w:t>
            </w:r>
            <w:r w:rsidR="007C0F68" w:rsidRPr="001765D9">
              <w:rPr>
                <w:rFonts w:ascii="Times New Roman" w:hAnsi="Times New Roman"/>
                <w:sz w:val="24"/>
                <w:szCs w:val="24"/>
                <w:lang w:eastAsia="en-GB"/>
              </w:rPr>
              <w:t>u</w:t>
            </w:r>
            <w:r w:rsidR="005E2DE8" w:rsidRPr="001765D9">
              <w:rPr>
                <w:rFonts w:ascii="Times New Roman" w:hAnsi="Times New Roman"/>
                <w:sz w:val="24"/>
                <w:szCs w:val="24"/>
                <w:lang w:eastAsia="en-GB"/>
              </w:rPr>
              <w:t xml:space="preserve">nder Article 22 </w:t>
            </w:r>
            <w:r w:rsidR="00A8100A" w:rsidRPr="001765D9">
              <w:rPr>
                <w:rFonts w:ascii="Times New Roman" w:hAnsi="Times New Roman"/>
                <w:sz w:val="24"/>
                <w:szCs w:val="24"/>
                <w:lang w:eastAsia="en-GB"/>
              </w:rPr>
              <w:t xml:space="preserve">of the </w:t>
            </w:r>
            <w:r w:rsidR="007C0F68" w:rsidRPr="001765D9">
              <w:rPr>
                <w:rFonts w:ascii="Times New Roman" w:hAnsi="Times New Roman"/>
                <w:sz w:val="24"/>
                <w:szCs w:val="24"/>
                <w:lang w:eastAsia="en-GB"/>
              </w:rPr>
              <w:t>Merger Regulation.</w:t>
            </w:r>
            <w:r w:rsidR="005E2DE8" w:rsidRPr="001765D9">
              <w:rPr>
                <w:rFonts w:ascii="Times New Roman" w:hAnsi="Times New Roman"/>
                <w:sz w:val="24"/>
                <w:szCs w:val="24"/>
                <w:lang w:eastAsia="en-GB"/>
              </w:rPr>
              <w:t xml:space="preserve"> </w:t>
            </w:r>
            <w:r w:rsidR="00A8100A" w:rsidRPr="001765D9">
              <w:rPr>
                <w:rFonts w:ascii="Times New Roman" w:hAnsi="Times New Roman"/>
                <w:sz w:val="24"/>
                <w:szCs w:val="24"/>
                <w:lang w:eastAsia="en-GB"/>
              </w:rPr>
              <w:t>In this context</w:t>
            </w:r>
            <w:r w:rsidR="007B68A0" w:rsidRPr="001765D9">
              <w:rPr>
                <w:rFonts w:ascii="Times New Roman" w:hAnsi="Times New Roman"/>
                <w:sz w:val="24"/>
                <w:szCs w:val="24"/>
                <w:lang w:eastAsia="en-GB"/>
              </w:rPr>
              <w:t xml:space="preserve">, </w:t>
            </w:r>
            <w:r w:rsidR="005E2DE8" w:rsidRPr="001765D9">
              <w:rPr>
                <w:rFonts w:ascii="Times New Roman" w:hAnsi="Times New Roman"/>
                <w:sz w:val="24"/>
                <w:szCs w:val="24"/>
                <w:lang w:eastAsia="en-GB"/>
              </w:rPr>
              <w:t xml:space="preserve">the Commission </w:t>
            </w:r>
            <w:r w:rsidR="0092507F">
              <w:rPr>
                <w:rFonts w:ascii="Times New Roman" w:hAnsi="Times New Roman"/>
                <w:sz w:val="24"/>
                <w:szCs w:val="24"/>
                <w:lang w:eastAsia="en-GB"/>
              </w:rPr>
              <w:t>may sen</w:t>
            </w:r>
            <w:r w:rsidR="000D1345">
              <w:rPr>
                <w:rFonts w:ascii="Times New Roman" w:hAnsi="Times New Roman"/>
                <w:sz w:val="24"/>
                <w:szCs w:val="24"/>
                <w:lang w:eastAsia="en-GB"/>
              </w:rPr>
              <w:t>d</w:t>
            </w:r>
            <w:r w:rsidR="0092507F" w:rsidRPr="001765D9">
              <w:rPr>
                <w:rFonts w:ascii="Times New Roman" w:hAnsi="Times New Roman"/>
                <w:sz w:val="24"/>
                <w:szCs w:val="24"/>
                <w:lang w:eastAsia="en-GB"/>
              </w:rPr>
              <w:t xml:space="preserve"> </w:t>
            </w:r>
            <w:r w:rsidR="005E2DE8" w:rsidRPr="001765D9">
              <w:rPr>
                <w:rFonts w:ascii="Times New Roman" w:hAnsi="Times New Roman"/>
                <w:sz w:val="24"/>
                <w:szCs w:val="24"/>
                <w:lang w:eastAsia="en-GB"/>
              </w:rPr>
              <w:t xml:space="preserve">information requests to companies involved in transactions, </w:t>
            </w:r>
            <w:r w:rsidR="00EE3640" w:rsidRPr="001765D9">
              <w:rPr>
                <w:rFonts w:ascii="Times New Roman" w:hAnsi="Times New Roman"/>
                <w:sz w:val="24"/>
                <w:szCs w:val="24"/>
                <w:lang w:eastAsia="en-GB"/>
              </w:rPr>
              <w:t>e</w:t>
            </w:r>
            <w:r w:rsidR="005E2DE8" w:rsidRPr="001765D9">
              <w:rPr>
                <w:rFonts w:ascii="Times New Roman" w:hAnsi="Times New Roman"/>
                <w:sz w:val="24"/>
                <w:szCs w:val="24"/>
                <w:lang w:eastAsia="en-GB"/>
              </w:rPr>
              <w:t xml:space="preserve">nquiring </w:t>
            </w:r>
            <w:r w:rsidR="003315D4" w:rsidRPr="001765D9">
              <w:rPr>
                <w:rFonts w:ascii="Times New Roman" w:hAnsi="Times New Roman"/>
                <w:sz w:val="24"/>
                <w:szCs w:val="24"/>
                <w:lang w:eastAsia="en-GB"/>
              </w:rPr>
              <w:t xml:space="preserve">for example </w:t>
            </w:r>
            <w:r w:rsidR="005E2DE8" w:rsidRPr="001765D9">
              <w:rPr>
                <w:rFonts w:ascii="Times New Roman" w:hAnsi="Times New Roman"/>
                <w:sz w:val="24"/>
                <w:szCs w:val="24"/>
                <w:lang w:eastAsia="en-GB"/>
              </w:rPr>
              <w:t xml:space="preserve">about jurisdictional </w:t>
            </w:r>
            <w:r w:rsidR="003315D4" w:rsidRPr="001765D9">
              <w:rPr>
                <w:rFonts w:ascii="Times New Roman" w:hAnsi="Times New Roman"/>
                <w:sz w:val="24"/>
                <w:szCs w:val="24"/>
                <w:lang w:eastAsia="en-GB"/>
              </w:rPr>
              <w:t>matters</w:t>
            </w:r>
            <w:r w:rsidR="007F1825" w:rsidRPr="001765D9">
              <w:rPr>
                <w:rFonts w:ascii="Times New Roman" w:hAnsi="Times New Roman"/>
                <w:sz w:val="24"/>
                <w:szCs w:val="24"/>
                <w:lang w:eastAsia="en-GB"/>
              </w:rPr>
              <w:t xml:space="preserve">. </w:t>
            </w:r>
          </w:p>
          <w:p w14:paraId="5196969C" w14:textId="456175BF" w:rsidR="00141D1A" w:rsidRPr="001765D9" w:rsidRDefault="00141D1A" w:rsidP="001765D9">
            <w:pPr>
              <w:widowControl w:val="0"/>
              <w:spacing w:before="120" w:after="120"/>
              <w:jc w:val="both"/>
              <w:rPr>
                <w:rFonts w:ascii="Times New Roman" w:hAnsi="Times New Roman"/>
                <w:b/>
                <w:bCs/>
                <w:sz w:val="24"/>
                <w:szCs w:val="24"/>
              </w:rPr>
            </w:pPr>
            <w:r w:rsidRPr="001765D9">
              <w:rPr>
                <w:rFonts w:ascii="Times New Roman" w:hAnsi="Times New Roman"/>
                <w:b/>
                <w:bCs/>
                <w:sz w:val="24"/>
                <w:szCs w:val="24"/>
              </w:rPr>
              <w:t xml:space="preserve">On </w:t>
            </w:r>
            <w:r w:rsidR="00035973" w:rsidRPr="001765D9">
              <w:rPr>
                <w:rFonts w:ascii="Times New Roman" w:hAnsi="Times New Roman"/>
                <w:b/>
                <w:bCs/>
                <w:sz w:val="24"/>
                <w:szCs w:val="24"/>
              </w:rPr>
              <w:t>the D</w:t>
            </w:r>
            <w:r w:rsidR="0089172A" w:rsidRPr="001765D9">
              <w:rPr>
                <w:rFonts w:ascii="Times New Roman" w:hAnsi="Times New Roman"/>
                <w:b/>
                <w:bCs/>
                <w:sz w:val="24"/>
                <w:szCs w:val="24"/>
              </w:rPr>
              <w:t>igital Markets Act</w:t>
            </w:r>
            <w:r w:rsidR="00BE7966" w:rsidRPr="001765D9">
              <w:rPr>
                <w:rFonts w:ascii="Times New Roman" w:hAnsi="Times New Roman"/>
                <w:b/>
                <w:bCs/>
                <w:sz w:val="24"/>
                <w:szCs w:val="24"/>
              </w:rPr>
              <w:t xml:space="preserve"> (D</w:t>
            </w:r>
            <w:r w:rsidR="00035973" w:rsidRPr="001765D9">
              <w:rPr>
                <w:rFonts w:ascii="Times New Roman" w:hAnsi="Times New Roman"/>
                <w:b/>
                <w:bCs/>
                <w:sz w:val="24"/>
                <w:szCs w:val="24"/>
              </w:rPr>
              <w:t>MA</w:t>
            </w:r>
            <w:r w:rsidR="00BE7966" w:rsidRPr="001765D9">
              <w:rPr>
                <w:rFonts w:ascii="Times New Roman" w:hAnsi="Times New Roman"/>
                <w:b/>
                <w:bCs/>
                <w:sz w:val="24"/>
                <w:szCs w:val="24"/>
              </w:rPr>
              <w:t>)</w:t>
            </w:r>
            <w:r w:rsidR="001765D9" w:rsidRPr="001765D9">
              <w:rPr>
                <w:rFonts w:ascii="Times New Roman" w:hAnsi="Times New Roman"/>
                <w:b/>
                <w:bCs/>
                <w:sz w:val="24"/>
                <w:szCs w:val="24"/>
              </w:rPr>
              <w:t xml:space="preserve"> – Sections 2.8.1 and 2.8.2 of the Opinion</w:t>
            </w:r>
            <w:r w:rsidR="00035973" w:rsidRPr="001765D9">
              <w:rPr>
                <w:rFonts w:ascii="Times New Roman" w:hAnsi="Times New Roman"/>
                <w:b/>
                <w:bCs/>
                <w:sz w:val="24"/>
                <w:szCs w:val="24"/>
              </w:rPr>
              <w:t>:</w:t>
            </w:r>
          </w:p>
          <w:p w14:paraId="28E8B889" w14:textId="35714CA3" w:rsidR="00972782" w:rsidRPr="00DD2A81" w:rsidRDefault="00AA50F1" w:rsidP="001765D9">
            <w:pPr>
              <w:widowControl w:val="0"/>
              <w:spacing w:before="120" w:after="120"/>
              <w:jc w:val="both"/>
              <w:rPr>
                <w:rFonts w:ascii="Times New Roman" w:hAnsi="Times New Roman"/>
                <w:sz w:val="24"/>
                <w:szCs w:val="24"/>
                <w:u w:val="single"/>
              </w:rPr>
            </w:pPr>
            <w:r w:rsidRPr="00DD2A81">
              <w:rPr>
                <w:rFonts w:ascii="Times New Roman" w:hAnsi="Times New Roman"/>
                <w:sz w:val="24"/>
                <w:szCs w:val="24"/>
                <w:u w:val="single"/>
              </w:rPr>
              <w:t>Commission reply:</w:t>
            </w:r>
          </w:p>
          <w:p w14:paraId="31427B85" w14:textId="1DA3D22D" w:rsidR="00D23FBA" w:rsidRPr="001765D9" w:rsidRDefault="00D23FBA" w:rsidP="001765D9">
            <w:pPr>
              <w:widowControl w:val="0"/>
              <w:spacing w:before="120" w:after="120"/>
              <w:jc w:val="both"/>
              <w:rPr>
                <w:rFonts w:ascii="Times New Roman" w:hAnsi="Times New Roman"/>
                <w:sz w:val="24"/>
                <w:szCs w:val="24"/>
                <w:lang w:val="en-IE"/>
              </w:rPr>
            </w:pPr>
            <w:r w:rsidRPr="001765D9">
              <w:rPr>
                <w:rFonts w:ascii="Times New Roman" w:hAnsi="Times New Roman"/>
                <w:sz w:val="24"/>
                <w:szCs w:val="24"/>
                <w:lang w:val="en-IE"/>
              </w:rPr>
              <w:t>Since the DMA entered into force, it has become clear that</w:t>
            </w:r>
            <w:r w:rsidR="00AD4B8A" w:rsidRPr="001765D9">
              <w:rPr>
                <w:rFonts w:ascii="Times New Roman" w:hAnsi="Times New Roman"/>
                <w:sz w:val="24"/>
                <w:szCs w:val="24"/>
                <w:lang w:val="en-IE"/>
              </w:rPr>
              <w:t xml:space="preserve"> continuous regulatory dialogue and/or</w:t>
            </w:r>
            <w:r w:rsidR="00A8100A" w:rsidRPr="001765D9">
              <w:rPr>
                <w:rFonts w:ascii="Times New Roman" w:hAnsi="Times New Roman"/>
                <w:sz w:val="24"/>
                <w:szCs w:val="24"/>
                <w:lang w:val="en-IE"/>
              </w:rPr>
              <w:t xml:space="preserve"> </w:t>
            </w:r>
            <w:r w:rsidRPr="001765D9">
              <w:rPr>
                <w:rFonts w:ascii="Times New Roman" w:hAnsi="Times New Roman"/>
                <w:sz w:val="24"/>
                <w:szCs w:val="24"/>
                <w:lang w:val="en-IE"/>
              </w:rPr>
              <w:t xml:space="preserve">enforcement has resulted in tangible and practical improvements to the benefit of businesses and consumers. </w:t>
            </w:r>
            <w:r w:rsidRPr="00DD2A81">
              <w:rPr>
                <w:rFonts w:ascii="Times New Roman" w:hAnsi="Times New Roman"/>
                <w:sz w:val="24"/>
                <w:szCs w:val="24"/>
                <w:lang w:val="en-US"/>
              </w:rPr>
              <w:t xml:space="preserve">The DMA ensures that the competitive process </w:t>
            </w:r>
            <w:r w:rsidR="00A8100A" w:rsidRPr="00DD2A81">
              <w:rPr>
                <w:rFonts w:ascii="Times New Roman" w:hAnsi="Times New Roman"/>
                <w:sz w:val="24"/>
                <w:szCs w:val="24"/>
                <w:lang w:val="en-US"/>
              </w:rPr>
              <w:t xml:space="preserve">remains </w:t>
            </w:r>
            <w:r w:rsidRPr="00DD2A81">
              <w:rPr>
                <w:rFonts w:ascii="Times New Roman" w:hAnsi="Times New Roman"/>
                <w:sz w:val="24"/>
                <w:szCs w:val="24"/>
                <w:lang w:val="en-US"/>
              </w:rPr>
              <w:t xml:space="preserve">open for all global rivals, enhancing the Single Market's attractiveness and providing new opportunities for both EU and foreign market participants. </w:t>
            </w:r>
            <w:r w:rsidRPr="001765D9">
              <w:rPr>
                <w:rFonts w:ascii="Times New Roman" w:hAnsi="Times New Roman"/>
                <w:sz w:val="24"/>
                <w:szCs w:val="24"/>
                <w:lang w:val="en-IE"/>
              </w:rPr>
              <w:t>For example, DMA enforcement has opened mobile ecosystems, allowing</w:t>
            </w:r>
            <w:r w:rsidRPr="001765D9">
              <w:rPr>
                <w:rFonts w:ascii="Times New Roman" w:hAnsi="Times New Roman"/>
                <w:sz w:val="24"/>
                <w:szCs w:val="24"/>
                <w:lang w:val="en-US"/>
              </w:rPr>
              <w:t xml:space="preserve"> developers to offer alternative app stores on iOS and iPadOS</w:t>
            </w:r>
            <w:r w:rsidR="00A8100A" w:rsidRPr="001765D9">
              <w:rPr>
                <w:rFonts w:ascii="Times New Roman" w:hAnsi="Times New Roman"/>
                <w:sz w:val="24"/>
                <w:szCs w:val="24"/>
                <w:lang w:val="en-US"/>
              </w:rPr>
              <w:t xml:space="preserve"> -</w:t>
            </w:r>
            <w:r w:rsidRPr="001765D9">
              <w:rPr>
                <w:rFonts w:ascii="Times New Roman" w:hAnsi="Times New Roman"/>
                <w:sz w:val="24"/>
                <w:szCs w:val="24"/>
                <w:lang w:val="en-US"/>
              </w:rPr>
              <w:t xml:space="preserve"> allowing the transfer of </w:t>
            </w:r>
            <w:proofErr w:type="spellStart"/>
            <w:r w:rsidRPr="001765D9">
              <w:rPr>
                <w:rFonts w:ascii="Times New Roman" w:hAnsi="Times New Roman"/>
                <w:sz w:val="24"/>
                <w:szCs w:val="24"/>
                <w:lang w:val="en-US"/>
              </w:rPr>
              <w:t>eSIMs</w:t>
            </w:r>
            <w:proofErr w:type="spellEnd"/>
            <w:r w:rsidRPr="001765D9">
              <w:rPr>
                <w:rFonts w:ascii="Times New Roman" w:hAnsi="Times New Roman"/>
                <w:sz w:val="24"/>
                <w:szCs w:val="24"/>
                <w:lang w:val="en-US"/>
              </w:rPr>
              <w:t xml:space="preserve"> (</w:t>
            </w:r>
            <w:r w:rsidRPr="001765D9">
              <w:rPr>
                <w:rFonts w:ascii="Times New Roman" w:hAnsi="Times New Roman"/>
                <w:sz w:val="24"/>
                <w:szCs w:val="24"/>
                <w:lang w:val="en-IE"/>
              </w:rPr>
              <w:t>embedded SIM cards built directly into the smartphone device)</w:t>
            </w:r>
            <w:r w:rsidRPr="001765D9">
              <w:rPr>
                <w:rFonts w:ascii="Times New Roman" w:hAnsi="Times New Roman"/>
                <w:sz w:val="24"/>
                <w:szCs w:val="24"/>
                <w:lang w:val="en-US"/>
              </w:rPr>
              <w:t xml:space="preserve"> from Android phones to iPhones and</w:t>
            </w:r>
            <w:r w:rsidR="0066330D">
              <w:rPr>
                <w:rFonts w:ascii="Times New Roman" w:hAnsi="Times New Roman"/>
                <w:sz w:val="24"/>
                <w:szCs w:val="24"/>
                <w:lang w:val="en-US"/>
              </w:rPr>
              <w:t xml:space="preserve"> vice versa</w:t>
            </w:r>
            <w:r w:rsidR="00A8100A" w:rsidRPr="001765D9">
              <w:rPr>
                <w:rFonts w:ascii="Times New Roman" w:hAnsi="Times New Roman"/>
                <w:sz w:val="24"/>
                <w:szCs w:val="24"/>
                <w:lang w:val="en-US"/>
              </w:rPr>
              <w:t xml:space="preserve"> -</w:t>
            </w:r>
            <w:r w:rsidRPr="001765D9">
              <w:rPr>
                <w:rFonts w:ascii="Times New Roman" w:hAnsi="Times New Roman"/>
                <w:sz w:val="24"/>
                <w:szCs w:val="24"/>
                <w:lang w:val="en-US"/>
              </w:rPr>
              <w:t xml:space="preserve"> </w:t>
            </w:r>
            <w:r w:rsidR="001D3F3D" w:rsidRPr="001765D9">
              <w:rPr>
                <w:rFonts w:ascii="Times New Roman" w:hAnsi="Times New Roman"/>
                <w:sz w:val="24"/>
                <w:szCs w:val="24"/>
                <w:lang w:val="en-US"/>
              </w:rPr>
              <w:t xml:space="preserve">as well as </w:t>
            </w:r>
            <w:r w:rsidRPr="001765D9">
              <w:rPr>
                <w:rFonts w:ascii="Times New Roman" w:hAnsi="Times New Roman"/>
                <w:sz w:val="24"/>
                <w:szCs w:val="24"/>
                <w:lang w:val="en-US"/>
              </w:rPr>
              <w:t>improving the interoperability of iOS with connected devices</w:t>
            </w:r>
            <w:r w:rsidRPr="001765D9">
              <w:rPr>
                <w:rFonts w:ascii="Times New Roman" w:hAnsi="Times New Roman"/>
                <w:i/>
                <w:iCs/>
                <w:sz w:val="24"/>
                <w:szCs w:val="24"/>
                <w:lang w:val="en-US"/>
              </w:rPr>
              <w:t xml:space="preserve">. </w:t>
            </w:r>
            <w:r w:rsidRPr="001765D9">
              <w:rPr>
                <w:rFonts w:ascii="Times New Roman" w:hAnsi="Times New Roman"/>
                <w:sz w:val="24"/>
                <w:szCs w:val="24"/>
                <w:lang w:val="en-IE"/>
              </w:rPr>
              <w:t>Moreover, us</w:t>
            </w:r>
            <w:proofErr w:type="spellStart"/>
            <w:r w:rsidRPr="001765D9">
              <w:rPr>
                <w:rFonts w:ascii="Times New Roman" w:hAnsi="Times New Roman"/>
                <w:sz w:val="24"/>
                <w:szCs w:val="24"/>
                <w:lang w:val="en-US"/>
              </w:rPr>
              <w:t>ers</w:t>
            </w:r>
            <w:proofErr w:type="spellEnd"/>
            <w:r w:rsidRPr="001765D9">
              <w:rPr>
                <w:rFonts w:ascii="Times New Roman" w:hAnsi="Times New Roman"/>
                <w:sz w:val="24"/>
                <w:szCs w:val="24"/>
                <w:lang w:val="en-US"/>
              </w:rPr>
              <w:t xml:space="preserve"> now have a</w:t>
            </w:r>
            <w:r w:rsidR="00DD2A81">
              <w:rPr>
                <w:rFonts w:ascii="Times New Roman" w:hAnsi="Times New Roman"/>
                <w:sz w:val="24"/>
                <w:szCs w:val="24"/>
                <w:lang w:val="en-US"/>
              </w:rPr>
              <w:t> </w:t>
            </w:r>
            <w:r w:rsidRPr="001765D9">
              <w:rPr>
                <w:rFonts w:ascii="Times New Roman" w:hAnsi="Times New Roman"/>
                <w:sz w:val="24"/>
                <w:szCs w:val="24"/>
                <w:lang w:val="en-IE"/>
              </w:rPr>
              <w:t xml:space="preserve">choice screen so that they can select their preferred default browser and search engine on their mobile devices. These </w:t>
            </w:r>
            <w:r w:rsidRPr="001765D9">
              <w:rPr>
                <w:rFonts w:ascii="Times New Roman" w:hAnsi="Times New Roman"/>
                <w:sz w:val="24"/>
                <w:szCs w:val="24"/>
                <w:lang w:val="en-US"/>
              </w:rPr>
              <w:t xml:space="preserve">measures increase </w:t>
            </w:r>
            <w:r w:rsidRPr="001765D9">
              <w:rPr>
                <w:rFonts w:ascii="Times New Roman" w:hAnsi="Times New Roman"/>
                <w:sz w:val="24"/>
                <w:szCs w:val="24"/>
                <w:lang w:val="en-IE"/>
              </w:rPr>
              <w:t>interoperability and choice for consumers across services and devices. The Commission publishes on its website annual reports on the implementation of the DMA and the progress made towards achieving its objectives, as well as the decisions it adopts to enforce the DMA, which can help guide companies and stakeholders.</w:t>
            </w:r>
            <w:r w:rsidR="00ED5231">
              <w:rPr>
                <w:rFonts w:ascii="Times New Roman" w:hAnsi="Times New Roman"/>
                <w:sz w:val="24"/>
                <w:szCs w:val="24"/>
                <w:lang w:val="en-IE"/>
              </w:rPr>
              <w:t xml:space="preserve"> </w:t>
            </w:r>
          </w:p>
          <w:p w14:paraId="30D14481" w14:textId="49320679" w:rsidR="0049246C" w:rsidRPr="001765D9" w:rsidRDefault="00AD4B8A" w:rsidP="001765D9">
            <w:pPr>
              <w:widowControl w:val="0"/>
              <w:spacing w:before="120" w:after="120"/>
              <w:jc w:val="both"/>
              <w:rPr>
                <w:rFonts w:ascii="Times New Roman" w:hAnsi="Times New Roman"/>
                <w:sz w:val="24"/>
                <w:szCs w:val="24"/>
              </w:rPr>
            </w:pPr>
            <w:r w:rsidRPr="001765D9">
              <w:rPr>
                <w:rFonts w:ascii="Times New Roman" w:hAnsi="Times New Roman"/>
                <w:sz w:val="24"/>
                <w:szCs w:val="24"/>
                <w:lang w:val="en-IE"/>
              </w:rPr>
              <w:t xml:space="preserve">In view of preparing the first DMA review (as required by the DMA), </w:t>
            </w:r>
            <w:r w:rsidR="00D23FBA" w:rsidRPr="001765D9">
              <w:rPr>
                <w:rFonts w:ascii="Times New Roman" w:hAnsi="Times New Roman"/>
                <w:sz w:val="24"/>
                <w:szCs w:val="24"/>
                <w:lang w:val="en-IE"/>
              </w:rPr>
              <w:t>the Commission launched a</w:t>
            </w:r>
            <w:r w:rsidR="00DD2A81">
              <w:rPr>
                <w:rFonts w:ascii="Times New Roman" w:hAnsi="Times New Roman"/>
                <w:sz w:val="24"/>
                <w:szCs w:val="24"/>
                <w:lang w:val="en-IE"/>
              </w:rPr>
              <w:t> </w:t>
            </w:r>
            <w:r w:rsidR="00D23FBA" w:rsidRPr="001765D9">
              <w:rPr>
                <w:rFonts w:ascii="Times New Roman" w:hAnsi="Times New Roman"/>
                <w:sz w:val="24"/>
                <w:szCs w:val="24"/>
                <w:lang w:val="en-IE"/>
              </w:rPr>
              <w:t>public consultation and call for evidence in 2025. The Commission sought feedback from interested parties on the DMA’s overall effectiveness and implementation. Based on the input received, the Commission is preparing its first review report, which must be presented to the European Parliament, the Council, the E</w:t>
            </w:r>
            <w:r w:rsidR="00AF2FD2" w:rsidRPr="001765D9">
              <w:rPr>
                <w:rFonts w:ascii="Times New Roman" w:hAnsi="Times New Roman"/>
                <w:sz w:val="24"/>
                <w:szCs w:val="24"/>
                <w:lang w:val="en-IE"/>
              </w:rPr>
              <w:t xml:space="preserve">uropean </w:t>
            </w:r>
            <w:r w:rsidR="00D23FBA" w:rsidRPr="001765D9">
              <w:rPr>
                <w:rFonts w:ascii="Times New Roman" w:hAnsi="Times New Roman"/>
                <w:sz w:val="24"/>
                <w:szCs w:val="24"/>
                <w:lang w:val="en-IE"/>
              </w:rPr>
              <w:t>E</w:t>
            </w:r>
            <w:r w:rsidR="00AF2FD2" w:rsidRPr="001765D9">
              <w:rPr>
                <w:rFonts w:ascii="Times New Roman" w:hAnsi="Times New Roman"/>
                <w:sz w:val="24"/>
                <w:szCs w:val="24"/>
                <w:lang w:val="en-IE"/>
              </w:rPr>
              <w:t xml:space="preserve">conomic and </w:t>
            </w:r>
            <w:r w:rsidR="00D23FBA" w:rsidRPr="001765D9">
              <w:rPr>
                <w:rFonts w:ascii="Times New Roman" w:hAnsi="Times New Roman"/>
                <w:sz w:val="24"/>
                <w:szCs w:val="24"/>
                <w:lang w:val="en-IE"/>
              </w:rPr>
              <w:t>S</w:t>
            </w:r>
            <w:r w:rsidR="00AF2FD2" w:rsidRPr="001765D9">
              <w:rPr>
                <w:rFonts w:ascii="Times New Roman" w:hAnsi="Times New Roman"/>
                <w:sz w:val="24"/>
                <w:szCs w:val="24"/>
                <w:lang w:val="en-IE"/>
              </w:rPr>
              <w:t xml:space="preserve">ocial </w:t>
            </w:r>
            <w:r w:rsidR="00D23FBA" w:rsidRPr="001765D9">
              <w:rPr>
                <w:rFonts w:ascii="Times New Roman" w:hAnsi="Times New Roman"/>
                <w:sz w:val="24"/>
                <w:szCs w:val="24"/>
                <w:lang w:val="en-IE"/>
              </w:rPr>
              <w:t>C</w:t>
            </w:r>
            <w:r w:rsidR="00AF2FD2" w:rsidRPr="001765D9">
              <w:rPr>
                <w:rFonts w:ascii="Times New Roman" w:hAnsi="Times New Roman"/>
                <w:sz w:val="24"/>
                <w:szCs w:val="24"/>
                <w:lang w:val="en-IE"/>
              </w:rPr>
              <w:t>ommittee</w:t>
            </w:r>
            <w:r w:rsidR="00D23FBA" w:rsidRPr="001765D9">
              <w:rPr>
                <w:rFonts w:ascii="Times New Roman" w:hAnsi="Times New Roman"/>
                <w:sz w:val="24"/>
                <w:szCs w:val="24"/>
                <w:lang w:val="en-IE"/>
              </w:rPr>
              <w:t xml:space="preserve"> and the </w:t>
            </w:r>
            <w:r w:rsidR="00AF2FD2" w:rsidRPr="001765D9">
              <w:rPr>
                <w:rFonts w:ascii="Times New Roman" w:hAnsi="Times New Roman"/>
                <w:sz w:val="24"/>
                <w:szCs w:val="24"/>
                <w:lang w:val="en-IE"/>
              </w:rPr>
              <w:t xml:space="preserve">European </w:t>
            </w:r>
            <w:r w:rsidR="00D23FBA" w:rsidRPr="001765D9">
              <w:rPr>
                <w:rFonts w:ascii="Times New Roman" w:hAnsi="Times New Roman"/>
                <w:sz w:val="24"/>
                <w:szCs w:val="24"/>
                <w:lang w:val="en-IE"/>
              </w:rPr>
              <w:t>C</w:t>
            </w:r>
            <w:r w:rsidR="00AF2FD2" w:rsidRPr="001765D9">
              <w:rPr>
                <w:rFonts w:ascii="Times New Roman" w:hAnsi="Times New Roman"/>
                <w:sz w:val="24"/>
                <w:szCs w:val="24"/>
                <w:lang w:val="en-IE"/>
              </w:rPr>
              <w:t xml:space="preserve">ommittee </w:t>
            </w:r>
            <w:r w:rsidR="00D23FBA" w:rsidRPr="001765D9">
              <w:rPr>
                <w:rFonts w:ascii="Times New Roman" w:hAnsi="Times New Roman"/>
                <w:sz w:val="24"/>
                <w:szCs w:val="24"/>
                <w:lang w:val="en-IE"/>
              </w:rPr>
              <w:t>o</w:t>
            </w:r>
            <w:r w:rsidR="00AF2FD2" w:rsidRPr="001765D9">
              <w:rPr>
                <w:rFonts w:ascii="Times New Roman" w:hAnsi="Times New Roman"/>
                <w:sz w:val="24"/>
                <w:szCs w:val="24"/>
                <w:lang w:val="en-IE"/>
              </w:rPr>
              <w:t xml:space="preserve">f the </w:t>
            </w:r>
            <w:r w:rsidR="00D23FBA" w:rsidRPr="001765D9">
              <w:rPr>
                <w:rFonts w:ascii="Times New Roman" w:hAnsi="Times New Roman"/>
                <w:sz w:val="24"/>
                <w:szCs w:val="24"/>
                <w:lang w:val="en-IE"/>
              </w:rPr>
              <w:t>R</w:t>
            </w:r>
            <w:r w:rsidR="00AF2FD2" w:rsidRPr="001765D9">
              <w:rPr>
                <w:rFonts w:ascii="Times New Roman" w:hAnsi="Times New Roman"/>
                <w:sz w:val="24"/>
                <w:szCs w:val="24"/>
                <w:lang w:val="en-IE"/>
              </w:rPr>
              <w:t>egions</w:t>
            </w:r>
            <w:r w:rsidR="00D23FBA" w:rsidRPr="001765D9">
              <w:rPr>
                <w:rFonts w:ascii="Times New Roman" w:hAnsi="Times New Roman"/>
                <w:sz w:val="24"/>
                <w:szCs w:val="24"/>
                <w:lang w:val="en-IE"/>
              </w:rPr>
              <w:t xml:space="preserve"> by May 2026.</w:t>
            </w:r>
            <w:r w:rsidR="00A34B2F">
              <w:rPr>
                <w:rFonts w:ascii="Times New Roman" w:hAnsi="Times New Roman"/>
                <w:sz w:val="24"/>
                <w:szCs w:val="24"/>
                <w:lang w:val="en-IE"/>
              </w:rPr>
              <w:t xml:space="preserve"> </w:t>
            </w:r>
          </w:p>
        </w:tc>
      </w:tr>
    </w:tbl>
    <w:p w14:paraId="41D86A3C" w14:textId="77777777" w:rsidR="00554137" w:rsidRPr="00DD2A81" w:rsidRDefault="00554137" w:rsidP="0085315F">
      <w:pPr>
        <w:spacing w:after="120"/>
        <w:rPr>
          <w:rFonts w:ascii="Times New Roman" w:hAnsi="Times New Roman"/>
          <w:b/>
          <w:sz w:val="2"/>
          <w:szCs w:val="2"/>
          <w:u w:val="single"/>
        </w:rPr>
      </w:pPr>
    </w:p>
    <w:sectPr w:rsidR="00554137" w:rsidRPr="00DD2A8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E161" w14:textId="77777777" w:rsidR="00B909CF" w:rsidRDefault="00B909CF" w:rsidP="00FF63EA">
      <w:pPr>
        <w:spacing w:after="0" w:line="240" w:lineRule="auto"/>
      </w:pPr>
      <w:r>
        <w:separator/>
      </w:r>
    </w:p>
  </w:endnote>
  <w:endnote w:type="continuationSeparator" w:id="0">
    <w:p w14:paraId="5A0A688C" w14:textId="77777777" w:rsidR="00B909CF" w:rsidRDefault="00B909CF"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F5BE" w14:textId="77777777" w:rsidR="00C656BF" w:rsidRDefault="00C65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5829" w14:textId="77777777" w:rsidR="00BB190F" w:rsidRDefault="00BB190F">
    <w:pPr>
      <w:pStyle w:val="Footer"/>
      <w:jc w:val="center"/>
    </w:pPr>
    <w:r>
      <w:fldChar w:fldCharType="begin"/>
    </w:r>
    <w:r>
      <w:instrText xml:space="preserve"> PAGE   \* MERGEFORMAT </w:instrText>
    </w:r>
    <w:r>
      <w:fldChar w:fldCharType="separate"/>
    </w:r>
    <w:r>
      <w:rPr>
        <w:noProof/>
      </w:rPr>
      <w:t>2</w:t>
    </w:r>
    <w:r>
      <w:rPr>
        <w:noProof/>
      </w:rPr>
      <w:fldChar w:fldCharType="end"/>
    </w:r>
  </w:p>
  <w:p w14:paraId="1BDF2CCD" w14:textId="77777777" w:rsidR="00C656BF" w:rsidRDefault="00C65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1819" w14:textId="77777777" w:rsidR="00C656BF" w:rsidRDefault="00C65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39B9F" w14:textId="77777777" w:rsidR="00B909CF" w:rsidRDefault="00B909CF" w:rsidP="00FF63EA">
      <w:pPr>
        <w:spacing w:after="0" w:line="240" w:lineRule="auto"/>
      </w:pPr>
      <w:r>
        <w:separator/>
      </w:r>
    </w:p>
  </w:footnote>
  <w:footnote w:type="continuationSeparator" w:id="0">
    <w:p w14:paraId="379FE6F6" w14:textId="77777777" w:rsidR="00B909CF" w:rsidRDefault="00B909CF" w:rsidP="00FF6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43A4" w14:textId="77777777" w:rsidR="00C656BF" w:rsidRDefault="00C65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0415" w14:textId="77777777" w:rsidR="00C656BF" w:rsidRPr="001765D9" w:rsidRDefault="00C656BF">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A904" w14:textId="77777777" w:rsidR="00C656BF" w:rsidRDefault="00C65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913"/>
    <w:multiLevelType w:val="hybridMultilevel"/>
    <w:tmpl w:val="A36E5838"/>
    <w:lvl w:ilvl="0" w:tplc="F514B622">
      <w:start w:val="2"/>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4122A7"/>
    <w:multiLevelType w:val="hybridMultilevel"/>
    <w:tmpl w:val="FFFFFFFF"/>
    <w:lvl w:ilvl="0" w:tplc="97308FEA">
      <w:numFmt w:val="bullet"/>
      <w:lvlText w:val="•"/>
      <w:lvlJc w:val="left"/>
      <w:pPr>
        <w:ind w:left="720" w:hanging="360"/>
      </w:pPr>
      <w:rPr>
        <w:rFonts w:ascii="Calibri" w:eastAsia="Times New Roman" w:hAnsi="Calibri" w:cs="Times New Roman"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690212"/>
    <w:multiLevelType w:val="hybridMultilevel"/>
    <w:tmpl w:val="F5DED09A"/>
    <w:lvl w:ilvl="0" w:tplc="CC9C248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CF626C2"/>
    <w:multiLevelType w:val="hybridMultilevel"/>
    <w:tmpl w:val="21DA17B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2855DD6"/>
    <w:multiLevelType w:val="hybridMultilevel"/>
    <w:tmpl w:val="48C8765E"/>
    <w:lvl w:ilvl="0" w:tplc="6262D92E">
      <w:start w:val="1"/>
      <w:numFmt w:val="lowerRoman"/>
      <w:lvlText w:val="(%1.)"/>
      <w:lvlJc w:val="left"/>
      <w:pPr>
        <w:ind w:left="780" w:hanging="72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5" w15:restartNumberingAfterBreak="0">
    <w:nsid w:val="55B30D0B"/>
    <w:multiLevelType w:val="hybridMultilevel"/>
    <w:tmpl w:val="9AA89410"/>
    <w:lvl w:ilvl="0" w:tplc="524ED4C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45A1B01"/>
    <w:multiLevelType w:val="hybridMultilevel"/>
    <w:tmpl w:val="FF18EB30"/>
    <w:lvl w:ilvl="0" w:tplc="A612AAF4">
      <w:start w:val="1"/>
      <w:numFmt w:val="decimal"/>
      <w:lvlText w:val="%1."/>
      <w:lvlJc w:val="left"/>
      <w:pPr>
        <w:ind w:left="720" w:hanging="360"/>
      </w:pPr>
      <w:rPr>
        <w:rFonts w:ascii="Calibri" w:hAnsi="Calibri" w:hint="default"/>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31758080">
    <w:abstractNumId w:val="6"/>
  </w:num>
  <w:num w:numId="2" w16cid:durableId="939534428">
    <w:abstractNumId w:val="1"/>
  </w:num>
  <w:num w:numId="3" w16cid:durableId="1180659309">
    <w:abstractNumId w:val="3"/>
  </w:num>
  <w:num w:numId="4" w16cid:durableId="255793097">
    <w:abstractNumId w:val="4"/>
  </w:num>
  <w:num w:numId="5" w16cid:durableId="1509906273">
    <w:abstractNumId w:val="0"/>
  </w:num>
  <w:num w:numId="6" w16cid:durableId="1472675846">
    <w:abstractNumId w:val="2"/>
  </w:num>
  <w:num w:numId="7" w16cid:durableId="943147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1E84"/>
    <w:rsid w:val="00002366"/>
    <w:rsid w:val="00011E20"/>
    <w:rsid w:val="00012A37"/>
    <w:rsid w:val="000178AE"/>
    <w:rsid w:val="00020DC2"/>
    <w:rsid w:val="000227D5"/>
    <w:rsid w:val="00024CF1"/>
    <w:rsid w:val="00025CF2"/>
    <w:rsid w:val="00035973"/>
    <w:rsid w:val="000433D4"/>
    <w:rsid w:val="00044DC7"/>
    <w:rsid w:val="00046B15"/>
    <w:rsid w:val="00046FB5"/>
    <w:rsid w:val="00047CF2"/>
    <w:rsid w:val="00050DC7"/>
    <w:rsid w:val="000547A4"/>
    <w:rsid w:val="000655E1"/>
    <w:rsid w:val="00073420"/>
    <w:rsid w:val="00073886"/>
    <w:rsid w:val="00076109"/>
    <w:rsid w:val="000772F1"/>
    <w:rsid w:val="00077C4F"/>
    <w:rsid w:val="00081F54"/>
    <w:rsid w:val="000846E1"/>
    <w:rsid w:val="0008628C"/>
    <w:rsid w:val="000904C9"/>
    <w:rsid w:val="00091749"/>
    <w:rsid w:val="00092AF7"/>
    <w:rsid w:val="000946A0"/>
    <w:rsid w:val="00095097"/>
    <w:rsid w:val="000970D6"/>
    <w:rsid w:val="000A205C"/>
    <w:rsid w:val="000A2B47"/>
    <w:rsid w:val="000A2DDE"/>
    <w:rsid w:val="000A3A33"/>
    <w:rsid w:val="000A53D5"/>
    <w:rsid w:val="000B7391"/>
    <w:rsid w:val="000D1345"/>
    <w:rsid w:val="000D2AD6"/>
    <w:rsid w:val="000D3DCB"/>
    <w:rsid w:val="000D3E29"/>
    <w:rsid w:val="000D7DD3"/>
    <w:rsid w:val="000E3426"/>
    <w:rsid w:val="000E3B3F"/>
    <w:rsid w:val="000E64C7"/>
    <w:rsid w:val="000F0274"/>
    <w:rsid w:val="000F1194"/>
    <w:rsid w:val="000F23BD"/>
    <w:rsid w:val="000F5FD8"/>
    <w:rsid w:val="000F7447"/>
    <w:rsid w:val="00110709"/>
    <w:rsid w:val="00110958"/>
    <w:rsid w:val="001167C0"/>
    <w:rsid w:val="0011793F"/>
    <w:rsid w:val="00122B3F"/>
    <w:rsid w:val="0012521E"/>
    <w:rsid w:val="00127A94"/>
    <w:rsid w:val="00132134"/>
    <w:rsid w:val="00135C2A"/>
    <w:rsid w:val="00141D1A"/>
    <w:rsid w:val="00142367"/>
    <w:rsid w:val="00142AB6"/>
    <w:rsid w:val="001431EA"/>
    <w:rsid w:val="001469DA"/>
    <w:rsid w:val="00150C6A"/>
    <w:rsid w:val="00160658"/>
    <w:rsid w:val="00160E1B"/>
    <w:rsid w:val="00161FE0"/>
    <w:rsid w:val="00162D80"/>
    <w:rsid w:val="00165F0A"/>
    <w:rsid w:val="001679D6"/>
    <w:rsid w:val="00167BD3"/>
    <w:rsid w:val="00170416"/>
    <w:rsid w:val="00170C64"/>
    <w:rsid w:val="00175091"/>
    <w:rsid w:val="001765D9"/>
    <w:rsid w:val="00177200"/>
    <w:rsid w:val="0017783D"/>
    <w:rsid w:val="00192D33"/>
    <w:rsid w:val="001930FB"/>
    <w:rsid w:val="001A2117"/>
    <w:rsid w:val="001A6249"/>
    <w:rsid w:val="001A79FE"/>
    <w:rsid w:val="001B0E0B"/>
    <w:rsid w:val="001B4784"/>
    <w:rsid w:val="001B53A8"/>
    <w:rsid w:val="001B561C"/>
    <w:rsid w:val="001C4138"/>
    <w:rsid w:val="001C7A4C"/>
    <w:rsid w:val="001D3F3D"/>
    <w:rsid w:val="001D6883"/>
    <w:rsid w:val="001E1D64"/>
    <w:rsid w:val="001E4BA1"/>
    <w:rsid w:val="001F2333"/>
    <w:rsid w:val="001F2EC6"/>
    <w:rsid w:val="001F65D0"/>
    <w:rsid w:val="0020109B"/>
    <w:rsid w:val="0021019D"/>
    <w:rsid w:val="0021170C"/>
    <w:rsid w:val="00217942"/>
    <w:rsid w:val="00217E59"/>
    <w:rsid w:val="00224F1B"/>
    <w:rsid w:val="00241A78"/>
    <w:rsid w:val="00243BAB"/>
    <w:rsid w:val="00256540"/>
    <w:rsid w:val="00261713"/>
    <w:rsid w:val="00266B9A"/>
    <w:rsid w:val="00270861"/>
    <w:rsid w:val="0027473D"/>
    <w:rsid w:val="0028048F"/>
    <w:rsid w:val="00284744"/>
    <w:rsid w:val="00284C06"/>
    <w:rsid w:val="0029072C"/>
    <w:rsid w:val="00293AE5"/>
    <w:rsid w:val="00294204"/>
    <w:rsid w:val="00297373"/>
    <w:rsid w:val="002A016E"/>
    <w:rsid w:val="002A617A"/>
    <w:rsid w:val="002C085E"/>
    <w:rsid w:val="002C1D64"/>
    <w:rsid w:val="002C20A1"/>
    <w:rsid w:val="002D0AD6"/>
    <w:rsid w:val="002D2B3D"/>
    <w:rsid w:val="002D3CDD"/>
    <w:rsid w:val="002D5AB2"/>
    <w:rsid w:val="002D7D63"/>
    <w:rsid w:val="002D7F3A"/>
    <w:rsid w:val="002E039C"/>
    <w:rsid w:val="002E094E"/>
    <w:rsid w:val="002E750B"/>
    <w:rsid w:val="002F03FA"/>
    <w:rsid w:val="002F0FA8"/>
    <w:rsid w:val="003004D2"/>
    <w:rsid w:val="00306730"/>
    <w:rsid w:val="00307235"/>
    <w:rsid w:val="003107FE"/>
    <w:rsid w:val="00312EC4"/>
    <w:rsid w:val="0031665A"/>
    <w:rsid w:val="00320A58"/>
    <w:rsid w:val="003220E7"/>
    <w:rsid w:val="00324A12"/>
    <w:rsid w:val="003310E1"/>
    <w:rsid w:val="003315D4"/>
    <w:rsid w:val="003349A3"/>
    <w:rsid w:val="00335633"/>
    <w:rsid w:val="00336D95"/>
    <w:rsid w:val="00340C7F"/>
    <w:rsid w:val="003427F2"/>
    <w:rsid w:val="0034303D"/>
    <w:rsid w:val="00346994"/>
    <w:rsid w:val="00352447"/>
    <w:rsid w:val="00354AB7"/>
    <w:rsid w:val="003556D1"/>
    <w:rsid w:val="00356146"/>
    <w:rsid w:val="00361020"/>
    <w:rsid w:val="00362867"/>
    <w:rsid w:val="003648E9"/>
    <w:rsid w:val="003668E1"/>
    <w:rsid w:val="00377967"/>
    <w:rsid w:val="00380A46"/>
    <w:rsid w:val="00381D91"/>
    <w:rsid w:val="00383E08"/>
    <w:rsid w:val="00386143"/>
    <w:rsid w:val="003940B4"/>
    <w:rsid w:val="003A5ED4"/>
    <w:rsid w:val="003B1FCC"/>
    <w:rsid w:val="003B58DC"/>
    <w:rsid w:val="003B731A"/>
    <w:rsid w:val="003C1817"/>
    <w:rsid w:val="003C2DBB"/>
    <w:rsid w:val="003C4BB0"/>
    <w:rsid w:val="003C4E4D"/>
    <w:rsid w:val="003C7E10"/>
    <w:rsid w:val="003D5D0F"/>
    <w:rsid w:val="003E141B"/>
    <w:rsid w:val="003E1A57"/>
    <w:rsid w:val="003F1AA4"/>
    <w:rsid w:val="003F60E8"/>
    <w:rsid w:val="003F632B"/>
    <w:rsid w:val="003F6352"/>
    <w:rsid w:val="003F686E"/>
    <w:rsid w:val="0040000B"/>
    <w:rsid w:val="0040006F"/>
    <w:rsid w:val="00414964"/>
    <w:rsid w:val="00414B0D"/>
    <w:rsid w:val="00415BF9"/>
    <w:rsid w:val="004177E3"/>
    <w:rsid w:val="00417E6D"/>
    <w:rsid w:val="00420C61"/>
    <w:rsid w:val="004225C4"/>
    <w:rsid w:val="00423FEE"/>
    <w:rsid w:val="004241A0"/>
    <w:rsid w:val="004318F3"/>
    <w:rsid w:val="00431BB0"/>
    <w:rsid w:val="004322D9"/>
    <w:rsid w:val="0043641E"/>
    <w:rsid w:val="0044219A"/>
    <w:rsid w:val="00442552"/>
    <w:rsid w:val="00442FBD"/>
    <w:rsid w:val="004438B4"/>
    <w:rsid w:val="004447E3"/>
    <w:rsid w:val="004451C6"/>
    <w:rsid w:val="0045425C"/>
    <w:rsid w:val="00455A1C"/>
    <w:rsid w:val="00455EA9"/>
    <w:rsid w:val="004563A1"/>
    <w:rsid w:val="0046102B"/>
    <w:rsid w:val="00464F18"/>
    <w:rsid w:val="004675B5"/>
    <w:rsid w:val="00467773"/>
    <w:rsid w:val="00470854"/>
    <w:rsid w:val="004770D6"/>
    <w:rsid w:val="00482783"/>
    <w:rsid w:val="00490EA5"/>
    <w:rsid w:val="0049246C"/>
    <w:rsid w:val="00492C63"/>
    <w:rsid w:val="004971D1"/>
    <w:rsid w:val="004A0966"/>
    <w:rsid w:val="004A7932"/>
    <w:rsid w:val="004B0150"/>
    <w:rsid w:val="004B2A58"/>
    <w:rsid w:val="004B4259"/>
    <w:rsid w:val="004C0C39"/>
    <w:rsid w:val="004C2788"/>
    <w:rsid w:val="004C6F18"/>
    <w:rsid w:val="004C7604"/>
    <w:rsid w:val="004C764C"/>
    <w:rsid w:val="004C78C6"/>
    <w:rsid w:val="004D023C"/>
    <w:rsid w:val="004D14DE"/>
    <w:rsid w:val="004D3704"/>
    <w:rsid w:val="004E599D"/>
    <w:rsid w:val="004E6D79"/>
    <w:rsid w:val="004F14C4"/>
    <w:rsid w:val="004F484E"/>
    <w:rsid w:val="004F6117"/>
    <w:rsid w:val="004F63F1"/>
    <w:rsid w:val="004F651E"/>
    <w:rsid w:val="004F6DBC"/>
    <w:rsid w:val="00504AC1"/>
    <w:rsid w:val="0050525A"/>
    <w:rsid w:val="005063CD"/>
    <w:rsid w:val="00512436"/>
    <w:rsid w:val="0051329B"/>
    <w:rsid w:val="00520C12"/>
    <w:rsid w:val="0052596B"/>
    <w:rsid w:val="00532368"/>
    <w:rsid w:val="00536785"/>
    <w:rsid w:val="005378D4"/>
    <w:rsid w:val="00546A0C"/>
    <w:rsid w:val="00550B35"/>
    <w:rsid w:val="00551B16"/>
    <w:rsid w:val="005540FF"/>
    <w:rsid w:val="00554137"/>
    <w:rsid w:val="00554D8D"/>
    <w:rsid w:val="00555A34"/>
    <w:rsid w:val="00572FAF"/>
    <w:rsid w:val="00573835"/>
    <w:rsid w:val="00581306"/>
    <w:rsid w:val="00583510"/>
    <w:rsid w:val="00584343"/>
    <w:rsid w:val="005963D9"/>
    <w:rsid w:val="005A3180"/>
    <w:rsid w:val="005A4555"/>
    <w:rsid w:val="005A50F5"/>
    <w:rsid w:val="005A5888"/>
    <w:rsid w:val="005B2B80"/>
    <w:rsid w:val="005B4935"/>
    <w:rsid w:val="005B591B"/>
    <w:rsid w:val="005C228B"/>
    <w:rsid w:val="005C3105"/>
    <w:rsid w:val="005C52C3"/>
    <w:rsid w:val="005C540B"/>
    <w:rsid w:val="005C6BEC"/>
    <w:rsid w:val="005D1512"/>
    <w:rsid w:val="005D2B28"/>
    <w:rsid w:val="005D4A7A"/>
    <w:rsid w:val="005D6F13"/>
    <w:rsid w:val="005E2DE8"/>
    <w:rsid w:val="005F73DE"/>
    <w:rsid w:val="006033EB"/>
    <w:rsid w:val="00610B76"/>
    <w:rsid w:val="006118FA"/>
    <w:rsid w:val="0061716E"/>
    <w:rsid w:val="00617797"/>
    <w:rsid w:val="00622896"/>
    <w:rsid w:val="00626C66"/>
    <w:rsid w:val="00630AE6"/>
    <w:rsid w:val="00635B4B"/>
    <w:rsid w:val="00635C50"/>
    <w:rsid w:val="00661958"/>
    <w:rsid w:val="0066330D"/>
    <w:rsid w:val="00663D19"/>
    <w:rsid w:val="00674B4F"/>
    <w:rsid w:val="00675A77"/>
    <w:rsid w:val="00677C8B"/>
    <w:rsid w:val="006804FA"/>
    <w:rsid w:val="00680B58"/>
    <w:rsid w:val="00680D88"/>
    <w:rsid w:val="006825ED"/>
    <w:rsid w:val="00691117"/>
    <w:rsid w:val="00692C2F"/>
    <w:rsid w:val="00695797"/>
    <w:rsid w:val="00696A5E"/>
    <w:rsid w:val="006976D7"/>
    <w:rsid w:val="006A195E"/>
    <w:rsid w:val="006A5994"/>
    <w:rsid w:val="006B0A33"/>
    <w:rsid w:val="006B3B69"/>
    <w:rsid w:val="006B3C40"/>
    <w:rsid w:val="006B41BE"/>
    <w:rsid w:val="006C067D"/>
    <w:rsid w:val="006C2A58"/>
    <w:rsid w:val="006C41B6"/>
    <w:rsid w:val="006C6A2E"/>
    <w:rsid w:val="006E0BBC"/>
    <w:rsid w:val="006E281E"/>
    <w:rsid w:val="006E4B8C"/>
    <w:rsid w:val="006E53F8"/>
    <w:rsid w:val="006E7F5E"/>
    <w:rsid w:val="00700092"/>
    <w:rsid w:val="00704570"/>
    <w:rsid w:val="00711FE5"/>
    <w:rsid w:val="00713AFA"/>
    <w:rsid w:val="00716068"/>
    <w:rsid w:val="00723204"/>
    <w:rsid w:val="0072370F"/>
    <w:rsid w:val="00724B2D"/>
    <w:rsid w:val="00734613"/>
    <w:rsid w:val="007415F0"/>
    <w:rsid w:val="00747FE4"/>
    <w:rsid w:val="007518EB"/>
    <w:rsid w:val="00751910"/>
    <w:rsid w:val="00751E60"/>
    <w:rsid w:val="0075288E"/>
    <w:rsid w:val="007547B5"/>
    <w:rsid w:val="0075733A"/>
    <w:rsid w:val="00761400"/>
    <w:rsid w:val="00763974"/>
    <w:rsid w:val="00763A74"/>
    <w:rsid w:val="00763CD5"/>
    <w:rsid w:val="00783DAB"/>
    <w:rsid w:val="00783E30"/>
    <w:rsid w:val="00783F2B"/>
    <w:rsid w:val="007855BA"/>
    <w:rsid w:val="00786BFA"/>
    <w:rsid w:val="00792200"/>
    <w:rsid w:val="00792F39"/>
    <w:rsid w:val="00793200"/>
    <w:rsid w:val="00795A9E"/>
    <w:rsid w:val="007A606D"/>
    <w:rsid w:val="007A7285"/>
    <w:rsid w:val="007B4E3A"/>
    <w:rsid w:val="007B646B"/>
    <w:rsid w:val="007B68A0"/>
    <w:rsid w:val="007C0F68"/>
    <w:rsid w:val="007C2214"/>
    <w:rsid w:val="007C2AC0"/>
    <w:rsid w:val="007C49EC"/>
    <w:rsid w:val="007C4DD1"/>
    <w:rsid w:val="007C6A22"/>
    <w:rsid w:val="007D0871"/>
    <w:rsid w:val="007D2BFF"/>
    <w:rsid w:val="007D3783"/>
    <w:rsid w:val="007D5F2A"/>
    <w:rsid w:val="007D607C"/>
    <w:rsid w:val="007E4A4E"/>
    <w:rsid w:val="007E504C"/>
    <w:rsid w:val="007F07A6"/>
    <w:rsid w:val="007F1825"/>
    <w:rsid w:val="007F5130"/>
    <w:rsid w:val="007F79E3"/>
    <w:rsid w:val="00807B48"/>
    <w:rsid w:val="008106F8"/>
    <w:rsid w:val="0081300B"/>
    <w:rsid w:val="008135CA"/>
    <w:rsid w:val="008147F6"/>
    <w:rsid w:val="00814F73"/>
    <w:rsid w:val="0081584F"/>
    <w:rsid w:val="00816A81"/>
    <w:rsid w:val="008214CD"/>
    <w:rsid w:val="00823D40"/>
    <w:rsid w:val="008278F4"/>
    <w:rsid w:val="0083016E"/>
    <w:rsid w:val="00834CA9"/>
    <w:rsid w:val="00840A68"/>
    <w:rsid w:val="00845646"/>
    <w:rsid w:val="0085315F"/>
    <w:rsid w:val="008539AF"/>
    <w:rsid w:val="00856002"/>
    <w:rsid w:val="008703BF"/>
    <w:rsid w:val="008725EF"/>
    <w:rsid w:val="0087313A"/>
    <w:rsid w:val="008750B3"/>
    <w:rsid w:val="00875D9D"/>
    <w:rsid w:val="0089172A"/>
    <w:rsid w:val="00891CF6"/>
    <w:rsid w:val="008925CE"/>
    <w:rsid w:val="00893D59"/>
    <w:rsid w:val="008A055A"/>
    <w:rsid w:val="008A5C62"/>
    <w:rsid w:val="008A7B77"/>
    <w:rsid w:val="008B372D"/>
    <w:rsid w:val="008B62B6"/>
    <w:rsid w:val="008C1592"/>
    <w:rsid w:val="008C4D41"/>
    <w:rsid w:val="008D3A2C"/>
    <w:rsid w:val="008D68D1"/>
    <w:rsid w:val="008D7A88"/>
    <w:rsid w:val="008E3758"/>
    <w:rsid w:val="008E4B6A"/>
    <w:rsid w:val="008E6DD9"/>
    <w:rsid w:val="008E7F74"/>
    <w:rsid w:val="008F09A0"/>
    <w:rsid w:val="00906C76"/>
    <w:rsid w:val="00913877"/>
    <w:rsid w:val="00913C0D"/>
    <w:rsid w:val="009145FA"/>
    <w:rsid w:val="00915AF9"/>
    <w:rsid w:val="009175C1"/>
    <w:rsid w:val="00921F5B"/>
    <w:rsid w:val="0092206E"/>
    <w:rsid w:val="0092299D"/>
    <w:rsid w:val="0092507F"/>
    <w:rsid w:val="00930644"/>
    <w:rsid w:val="0093149D"/>
    <w:rsid w:val="00936955"/>
    <w:rsid w:val="009440DB"/>
    <w:rsid w:val="00944BCC"/>
    <w:rsid w:val="009478A1"/>
    <w:rsid w:val="009550C8"/>
    <w:rsid w:val="00961BAE"/>
    <w:rsid w:val="00962698"/>
    <w:rsid w:val="00965558"/>
    <w:rsid w:val="00972782"/>
    <w:rsid w:val="0097301C"/>
    <w:rsid w:val="00974D9C"/>
    <w:rsid w:val="00975C4C"/>
    <w:rsid w:val="00976BE1"/>
    <w:rsid w:val="0098090B"/>
    <w:rsid w:val="009814E4"/>
    <w:rsid w:val="00981F45"/>
    <w:rsid w:val="00983377"/>
    <w:rsid w:val="00983BE4"/>
    <w:rsid w:val="0099217A"/>
    <w:rsid w:val="009923C7"/>
    <w:rsid w:val="00993A0F"/>
    <w:rsid w:val="00994165"/>
    <w:rsid w:val="00994D12"/>
    <w:rsid w:val="00994DE3"/>
    <w:rsid w:val="009A1ED6"/>
    <w:rsid w:val="009A3524"/>
    <w:rsid w:val="009A3E64"/>
    <w:rsid w:val="009A4E3E"/>
    <w:rsid w:val="009B128B"/>
    <w:rsid w:val="009B1614"/>
    <w:rsid w:val="009B1CEF"/>
    <w:rsid w:val="009B7062"/>
    <w:rsid w:val="009C0C3B"/>
    <w:rsid w:val="009D3D72"/>
    <w:rsid w:val="009D4570"/>
    <w:rsid w:val="009D5B4A"/>
    <w:rsid w:val="009D66FA"/>
    <w:rsid w:val="009E4790"/>
    <w:rsid w:val="009E59BE"/>
    <w:rsid w:val="009E6027"/>
    <w:rsid w:val="009E7A5A"/>
    <w:rsid w:val="009F4757"/>
    <w:rsid w:val="009F66FC"/>
    <w:rsid w:val="00A1172B"/>
    <w:rsid w:val="00A13B84"/>
    <w:rsid w:val="00A13C44"/>
    <w:rsid w:val="00A14C0F"/>
    <w:rsid w:val="00A16F07"/>
    <w:rsid w:val="00A2291A"/>
    <w:rsid w:val="00A229F8"/>
    <w:rsid w:val="00A2355C"/>
    <w:rsid w:val="00A26463"/>
    <w:rsid w:val="00A31A1D"/>
    <w:rsid w:val="00A34B2F"/>
    <w:rsid w:val="00A37042"/>
    <w:rsid w:val="00A479AA"/>
    <w:rsid w:val="00A53974"/>
    <w:rsid w:val="00A539DF"/>
    <w:rsid w:val="00A62C7B"/>
    <w:rsid w:val="00A661C1"/>
    <w:rsid w:val="00A70DE1"/>
    <w:rsid w:val="00A70DF3"/>
    <w:rsid w:val="00A734BE"/>
    <w:rsid w:val="00A74761"/>
    <w:rsid w:val="00A7709A"/>
    <w:rsid w:val="00A8100A"/>
    <w:rsid w:val="00A973EB"/>
    <w:rsid w:val="00AA088F"/>
    <w:rsid w:val="00AA0D0B"/>
    <w:rsid w:val="00AA2889"/>
    <w:rsid w:val="00AA2CCA"/>
    <w:rsid w:val="00AA46D0"/>
    <w:rsid w:val="00AA50F1"/>
    <w:rsid w:val="00AA5D47"/>
    <w:rsid w:val="00AB47C1"/>
    <w:rsid w:val="00AB6411"/>
    <w:rsid w:val="00AD0FCF"/>
    <w:rsid w:val="00AD2A0E"/>
    <w:rsid w:val="00AD4B8A"/>
    <w:rsid w:val="00AE02DE"/>
    <w:rsid w:val="00AE1842"/>
    <w:rsid w:val="00AE27C1"/>
    <w:rsid w:val="00AE3C7C"/>
    <w:rsid w:val="00AE5A32"/>
    <w:rsid w:val="00AE67DC"/>
    <w:rsid w:val="00AE69FB"/>
    <w:rsid w:val="00AE738A"/>
    <w:rsid w:val="00AF2FD2"/>
    <w:rsid w:val="00AF5965"/>
    <w:rsid w:val="00AF6C4B"/>
    <w:rsid w:val="00B01DB8"/>
    <w:rsid w:val="00B0321D"/>
    <w:rsid w:val="00B0542C"/>
    <w:rsid w:val="00B12A6A"/>
    <w:rsid w:val="00B13907"/>
    <w:rsid w:val="00B1707C"/>
    <w:rsid w:val="00B2313D"/>
    <w:rsid w:val="00B238DD"/>
    <w:rsid w:val="00B30B33"/>
    <w:rsid w:val="00B31306"/>
    <w:rsid w:val="00B3376F"/>
    <w:rsid w:val="00B35C08"/>
    <w:rsid w:val="00B403E4"/>
    <w:rsid w:val="00B42814"/>
    <w:rsid w:val="00B45DBF"/>
    <w:rsid w:val="00B54425"/>
    <w:rsid w:val="00B6345A"/>
    <w:rsid w:val="00B67740"/>
    <w:rsid w:val="00B732E4"/>
    <w:rsid w:val="00B734F1"/>
    <w:rsid w:val="00B77818"/>
    <w:rsid w:val="00B835B2"/>
    <w:rsid w:val="00B83936"/>
    <w:rsid w:val="00B901A5"/>
    <w:rsid w:val="00B904DE"/>
    <w:rsid w:val="00B909CF"/>
    <w:rsid w:val="00B938E9"/>
    <w:rsid w:val="00B96ADA"/>
    <w:rsid w:val="00B97302"/>
    <w:rsid w:val="00BA7A56"/>
    <w:rsid w:val="00BB190F"/>
    <w:rsid w:val="00BB21AA"/>
    <w:rsid w:val="00BB3D44"/>
    <w:rsid w:val="00BB4F12"/>
    <w:rsid w:val="00BB57CE"/>
    <w:rsid w:val="00BB734D"/>
    <w:rsid w:val="00BC07CD"/>
    <w:rsid w:val="00BC0FFA"/>
    <w:rsid w:val="00BC443D"/>
    <w:rsid w:val="00BC6785"/>
    <w:rsid w:val="00BD615C"/>
    <w:rsid w:val="00BD6EB7"/>
    <w:rsid w:val="00BE0B62"/>
    <w:rsid w:val="00BE7966"/>
    <w:rsid w:val="00BF1967"/>
    <w:rsid w:val="00BF24CA"/>
    <w:rsid w:val="00C008F1"/>
    <w:rsid w:val="00C01AC4"/>
    <w:rsid w:val="00C030C1"/>
    <w:rsid w:val="00C0522C"/>
    <w:rsid w:val="00C05C68"/>
    <w:rsid w:val="00C07F64"/>
    <w:rsid w:val="00C13465"/>
    <w:rsid w:val="00C14E7F"/>
    <w:rsid w:val="00C21725"/>
    <w:rsid w:val="00C220C9"/>
    <w:rsid w:val="00C31AC1"/>
    <w:rsid w:val="00C31BB1"/>
    <w:rsid w:val="00C35A08"/>
    <w:rsid w:val="00C365EE"/>
    <w:rsid w:val="00C37BDD"/>
    <w:rsid w:val="00C4056C"/>
    <w:rsid w:val="00C40891"/>
    <w:rsid w:val="00C42018"/>
    <w:rsid w:val="00C4409B"/>
    <w:rsid w:val="00C4492E"/>
    <w:rsid w:val="00C44E6F"/>
    <w:rsid w:val="00C51A04"/>
    <w:rsid w:val="00C52426"/>
    <w:rsid w:val="00C541BD"/>
    <w:rsid w:val="00C54C3B"/>
    <w:rsid w:val="00C54D27"/>
    <w:rsid w:val="00C553A3"/>
    <w:rsid w:val="00C561C8"/>
    <w:rsid w:val="00C57D97"/>
    <w:rsid w:val="00C61F64"/>
    <w:rsid w:val="00C621C3"/>
    <w:rsid w:val="00C6341A"/>
    <w:rsid w:val="00C6375B"/>
    <w:rsid w:val="00C656BF"/>
    <w:rsid w:val="00C70EB1"/>
    <w:rsid w:val="00C72708"/>
    <w:rsid w:val="00C731F6"/>
    <w:rsid w:val="00C76D96"/>
    <w:rsid w:val="00C76EEB"/>
    <w:rsid w:val="00C77B07"/>
    <w:rsid w:val="00C802A2"/>
    <w:rsid w:val="00C8037C"/>
    <w:rsid w:val="00C82CA0"/>
    <w:rsid w:val="00C84DD3"/>
    <w:rsid w:val="00C93AE8"/>
    <w:rsid w:val="00C954E2"/>
    <w:rsid w:val="00CA0826"/>
    <w:rsid w:val="00CA3BA7"/>
    <w:rsid w:val="00CB0C57"/>
    <w:rsid w:val="00CB3387"/>
    <w:rsid w:val="00CB57D4"/>
    <w:rsid w:val="00CC35C6"/>
    <w:rsid w:val="00CC3BA0"/>
    <w:rsid w:val="00CD0B1D"/>
    <w:rsid w:val="00CD4495"/>
    <w:rsid w:val="00CD650B"/>
    <w:rsid w:val="00CE1755"/>
    <w:rsid w:val="00CF1E68"/>
    <w:rsid w:val="00CF45AF"/>
    <w:rsid w:val="00CF50A2"/>
    <w:rsid w:val="00D01F5A"/>
    <w:rsid w:val="00D122BA"/>
    <w:rsid w:val="00D1323B"/>
    <w:rsid w:val="00D1716E"/>
    <w:rsid w:val="00D23FBA"/>
    <w:rsid w:val="00D2620F"/>
    <w:rsid w:val="00D4390F"/>
    <w:rsid w:val="00D45BE4"/>
    <w:rsid w:val="00D50790"/>
    <w:rsid w:val="00D5402C"/>
    <w:rsid w:val="00D623AB"/>
    <w:rsid w:val="00D6486F"/>
    <w:rsid w:val="00D64E05"/>
    <w:rsid w:val="00D658F0"/>
    <w:rsid w:val="00D66982"/>
    <w:rsid w:val="00D71694"/>
    <w:rsid w:val="00D747E9"/>
    <w:rsid w:val="00D75431"/>
    <w:rsid w:val="00D8010F"/>
    <w:rsid w:val="00D8126C"/>
    <w:rsid w:val="00D83339"/>
    <w:rsid w:val="00D87CBE"/>
    <w:rsid w:val="00D92FD3"/>
    <w:rsid w:val="00D947C0"/>
    <w:rsid w:val="00D96F8E"/>
    <w:rsid w:val="00DA0A6D"/>
    <w:rsid w:val="00DA2048"/>
    <w:rsid w:val="00DA3B6E"/>
    <w:rsid w:val="00DA3C60"/>
    <w:rsid w:val="00DA60CC"/>
    <w:rsid w:val="00DB2993"/>
    <w:rsid w:val="00DB7581"/>
    <w:rsid w:val="00DC54B7"/>
    <w:rsid w:val="00DC70C1"/>
    <w:rsid w:val="00DD2A81"/>
    <w:rsid w:val="00DD5C69"/>
    <w:rsid w:val="00DE33C3"/>
    <w:rsid w:val="00DE60EE"/>
    <w:rsid w:val="00DE694F"/>
    <w:rsid w:val="00DF1247"/>
    <w:rsid w:val="00DF6251"/>
    <w:rsid w:val="00DF6F5B"/>
    <w:rsid w:val="00E07583"/>
    <w:rsid w:val="00E10029"/>
    <w:rsid w:val="00E15442"/>
    <w:rsid w:val="00E223C3"/>
    <w:rsid w:val="00E2570E"/>
    <w:rsid w:val="00E30AEE"/>
    <w:rsid w:val="00E325DB"/>
    <w:rsid w:val="00E33B68"/>
    <w:rsid w:val="00E37A08"/>
    <w:rsid w:val="00E432C6"/>
    <w:rsid w:val="00E439EC"/>
    <w:rsid w:val="00E43E93"/>
    <w:rsid w:val="00E44B1D"/>
    <w:rsid w:val="00E510F1"/>
    <w:rsid w:val="00E53FC6"/>
    <w:rsid w:val="00E54090"/>
    <w:rsid w:val="00E5417F"/>
    <w:rsid w:val="00E54FD1"/>
    <w:rsid w:val="00E55307"/>
    <w:rsid w:val="00E6212E"/>
    <w:rsid w:val="00E64020"/>
    <w:rsid w:val="00E6434C"/>
    <w:rsid w:val="00E70B5E"/>
    <w:rsid w:val="00E7158A"/>
    <w:rsid w:val="00E755D8"/>
    <w:rsid w:val="00E77FC4"/>
    <w:rsid w:val="00E83C12"/>
    <w:rsid w:val="00E86284"/>
    <w:rsid w:val="00E904C8"/>
    <w:rsid w:val="00E91AB2"/>
    <w:rsid w:val="00E95CD1"/>
    <w:rsid w:val="00E9645C"/>
    <w:rsid w:val="00EA1BBF"/>
    <w:rsid w:val="00EA3686"/>
    <w:rsid w:val="00EB1FCE"/>
    <w:rsid w:val="00EB29A9"/>
    <w:rsid w:val="00EB77D2"/>
    <w:rsid w:val="00EC0109"/>
    <w:rsid w:val="00EC0B0D"/>
    <w:rsid w:val="00EC1F68"/>
    <w:rsid w:val="00EC6BC7"/>
    <w:rsid w:val="00ED2353"/>
    <w:rsid w:val="00ED2ECE"/>
    <w:rsid w:val="00ED3468"/>
    <w:rsid w:val="00ED5231"/>
    <w:rsid w:val="00ED71EC"/>
    <w:rsid w:val="00EE1689"/>
    <w:rsid w:val="00EE3640"/>
    <w:rsid w:val="00EE3E20"/>
    <w:rsid w:val="00EE508B"/>
    <w:rsid w:val="00F039EF"/>
    <w:rsid w:val="00F048EB"/>
    <w:rsid w:val="00F06399"/>
    <w:rsid w:val="00F13B0D"/>
    <w:rsid w:val="00F15D90"/>
    <w:rsid w:val="00F16752"/>
    <w:rsid w:val="00F219D1"/>
    <w:rsid w:val="00F24E55"/>
    <w:rsid w:val="00F316C8"/>
    <w:rsid w:val="00F320F5"/>
    <w:rsid w:val="00F32976"/>
    <w:rsid w:val="00F4113E"/>
    <w:rsid w:val="00F42DC4"/>
    <w:rsid w:val="00F467FF"/>
    <w:rsid w:val="00F47F51"/>
    <w:rsid w:val="00F50A07"/>
    <w:rsid w:val="00F548F2"/>
    <w:rsid w:val="00F62983"/>
    <w:rsid w:val="00F632DE"/>
    <w:rsid w:val="00F66D11"/>
    <w:rsid w:val="00F67161"/>
    <w:rsid w:val="00F70D0E"/>
    <w:rsid w:val="00F72506"/>
    <w:rsid w:val="00F735E4"/>
    <w:rsid w:val="00F77EBD"/>
    <w:rsid w:val="00F86747"/>
    <w:rsid w:val="00F868D3"/>
    <w:rsid w:val="00F93808"/>
    <w:rsid w:val="00F93B7E"/>
    <w:rsid w:val="00FA6ADB"/>
    <w:rsid w:val="00FB398C"/>
    <w:rsid w:val="00FB6894"/>
    <w:rsid w:val="00FB7545"/>
    <w:rsid w:val="00FB7834"/>
    <w:rsid w:val="00FB7C05"/>
    <w:rsid w:val="00FC019C"/>
    <w:rsid w:val="00FD4AEE"/>
    <w:rsid w:val="00FD4B6A"/>
    <w:rsid w:val="00FD64DB"/>
    <w:rsid w:val="00FE2D4C"/>
    <w:rsid w:val="00FE337C"/>
    <w:rsid w:val="00FE3DA6"/>
    <w:rsid w:val="00FE560C"/>
    <w:rsid w:val="00FE7244"/>
    <w:rsid w:val="00FF03A8"/>
    <w:rsid w:val="00FF63EA"/>
    <w:rsid w:val="00FF75A5"/>
    <w:rsid w:val="20C7D455"/>
    <w:rsid w:val="2D8EBDC1"/>
    <w:rsid w:val="3B5EBB81"/>
    <w:rsid w:val="48CF4FC2"/>
    <w:rsid w:val="675E3B77"/>
    <w:rsid w:val="72B1F54F"/>
    <w:rsid w:val="7646C1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7D4092EF-9D5C-4EB1-BE1A-26119748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C40891"/>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4A12"/>
    <w:rPr>
      <w:rFonts w:cs="Arial"/>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107FE"/>
    <w:rPr>
      <w:sz w:val="20"/>
      <w:szCs w:val="20"/>
    </w:rPr>
  </w:style>
  <w:style w:type="character" w:customStyle="1" w:styleId="FootnoteTextChar">
    <w:name w:val="Footnote Text Char"/>
    <w:link w:val="FootnoteText"/>
    <w:uiPriority w:val="99"/>
    <w:semiHidden/>
    <w:rsid w:val="003107FE"/>
    <w:rPr>
      <w:lang w:eastAsia="en-US"/>
    </w:rPr>
  </w:style>
  <w:style w:type="character" w:customStyle="1" w:styleId="BVIf1">
    <w:name w:val="BVI f1"/>
    <w:uiPriority w:val="99"/>
    <w:unhideWhenUsed/>
    <w:qFormat/>
    <w:rsid w:val="003107FE"/>
    <w:rPr>
      <w:rFonts w:ascii="Calibri" w:hAnsi="Calibri"/>
      <w:color w:val="auto"/>
      <w:sz w:val="24"/>
      <w:vertAlign w:val="superscript"/>
    </w:rPr>
  </w:style>
  <w:style w:type="character" w:styleId="FootnoteReference">
    <w:name w:val="footnote reference"/>
    <w:uiPriority w:val="99"/>
    <w:semiHidden/>
    <w:unhideWhenUsed/>
    <w:rsid w:val="003107FE"/>
    <w:rPr>
      <w:vertAlign w:val="superscript"/>
    </w:rPr>
  </w:style>
  <w:style w:type="paragraph" w:styleId="Header">
    <w:name w:val="header"/>
    <w:basedOn w:val="Normal"/>
    <w:link w:val="HeaderChar"/>
    <w:uiPriority w:val="99"/>
    <w:unhideWhenUsed/>
    <w:rsid w:val="00C656BF"/>
    <w:pPr>
      <w:tabs>
        <w:tab w:val="center" w:pos="4513"/>
        <w:tab w:val="right" w:pos="9026"/>
      </w:tabs>
    </w:pPr>
  </w:style>
  <w:style w:type="character" w:customStyle="1" w:styleId="HeaderChar">
    <w:name w:val="Header Char"/>
    <w:link w:val="Header"/>
    <w:uiPriority w:val="99"/>
    <w:rsid w:val="00C656BF"/>
    <w:rPr>
      <w:sz w:val="22"/>
      <w:szCs w:val="22"/>
      <w:lang w:eastAsia="en-US"/>
    </w:rPr>
  </w:style>
  <w:style w:type="paragraph" w:styleId="Footer">
    <w:name w:val="footer"/>
    <w:basedOn w:val="Normal"/>
    <w:link w:val="FooterChar"/>
    <w:uiPriority w:val="99"/>
    <w:unhideWhenUsed/>
    <w:rsid w:val="00C656BF"/>
    <w:pPr>
      <w:tabs>
        <w:tab w:val="center" w:pos="4513"/>
        <w:tab w:val="right" w:pos="9026"/>
      </w:tabs>
    </w:pPr>
  </w:style>
  <w:style w:type="character" w:customStyle="1" w:styleId="FooterChar">
    <w:name w:val="Footer Char"/>
    <w:link w:val="Footer"/>
    <w:uiPriority w:val="99"/>
    <w:rsid w:val="00C656BF"/>
    <w:rPr>
      <w:sz w:val="22"/>
      <w:szCs w:val="22"/>
      <w:lang w:eastAsia="en-US"/>
    </w:rPr>
  </w:style>
  <w:style w:type="paragraph" w:styleId="CommentText">
    <w:name w:val="annotation text"/>
    <w:basedOn w:val="Normal"/>
    <w:link w:val="CommentTextChar"/>
    <w:uiPriority w:val="99"/>
    <w:unhideWhenUsed/>
    <w:rsid w:val="00DF1247"/>
    <w:rPr>
      <w:sz w:val="20"/>
      <w:szCs w:val="20"/>
    </w:rPr>
  </w:style>
  <w:style w:type="character" w:customStyle="1" w:styleId="CommentTextChar">
    <w:name w:val="Comment Text Char"/>
    <w:link w:val="CommentText"/>
    <w:uiPriority w:val="99"/>
    <w:rsid w:val="00DF1247"/>
    <w:rPr>
      <w:lang w:val="en-GB" w:eastAsia="en-US"/>
    </w:rPr>
  </w:style>
  <w:style w:type="character" w:styleId="Hyperlink">
    <w:name w:val="Hyperlink"/>
    <w:uiPriority w:val="99"/>
    <w:unhideWhenUsed/>
    <w:rsid w:val="00DF1247"/>
    <w:rPr>
      <w:color w:val="0000FF"/>
      <w:u w:val="single"/>
    </w:rPr>
  </w:style>
  <w:style w:type="character" w:styleId="CommentReference">
    <w:name w:val="annotation reference"/>
    <w:uiPriority w:val="99"/>
    <w:unhideWhenUsed/>
    <w:rsid w:val="00DF1247"/>
    <w:rPr>
      <w:sz w:val="16"/>
      <w:szCs w:val="16"/>
    </w:rPr>
  </w:style>
  <w:style w:type="paragraph" w:styleId="Revision">
    <w:name w:val="Revision"/>
    <w:hidden/>
    <w:uiPriority w:val="99"/>
    <w:semiHidden/>
    <w:rsid w:val="00A53974"/>
    <w:rPr>
      <w:sz w:val="22"/>
      <w:szCs w:val="22"/>
      <w:lang w:val="en-GB" w:eastAsia="en-US"/>
    </w:rPr>
  </w:style>
  <w:style w:type="paragraph" w:styleId="CommentSubject">
    <w:name w:val="annotation subject"/>
    <w:basedOn w:val="CommentText"/>
    <w:next w:val="CommentText"/>
    <w:link w:val="CommentSubjectChar"/>
    <w:uiPriority w:val="99"/>
    <w:semiHidden/>
    <w:unhideWhenUsed/>
    <w:rsid w:val="00127A94"/>
    <w:rPr>
      <w:b/>
      <w:bCs/>
    </w:rPr>
  </w:style>
  <w:style w:type="character" w:customStyle="1" w:styleId="CommentSubjectChar">
    <w:name w:val="Comment Subject Char"/>
    <w:link w:val="CommentSubject"/>
    <w:uiPriority w:val="99"/>
    <w:semiHidden/>
    <w:rsid w:val="00127A94"/>
    <w:rPr>
      <w:b/>
      <w:bCs/>
      <w:lang w:val="en-GB" w:eastAsia="en-US"/>
    </w:rPr>
  </w:style>
  <w:style w:type="character" w:customStyle="1" w:styleId="Heading1Char">
    <w:name w:val="Heading 1 Char"/>
    <w:link w:val="Heading1"/>
    <w:uiPriority w:val="9"/>
    <w:rsid w:val="00C40891"/>
    <w:rPr>
      <w:rFonts w:ascii="Calibri Light" w:eastAsia="Times New Roman" w:hAnsi="Calibri Light" w:cs="Times New Roman"/>
      <w:b/>
      <w:bCs/>
      <w:kern w:val="32"/>
      <w:sz w:val="32"/>
      <w:szCs w:val="32"/>
      <w:lang w:val="en-GB" w:eastAsia="en-US"/>
    </w:rPr>
  </w:style>
  <w:style w:type="character" w:styleId="UnresolvedMention">
    <w:name w:val="Unresolved Mention"/>
    <w:uiPriority w:val="99"/>
    <w:semiHidden/>
    <w:unhideWhenUsed/>
    <w:rsid w:val="006B3C40"/>
    <w:rPr>
      <w:color w:val="605E5C"/>
      <w:shd w:val="clear" w:color="auto" w:fill="E1DFDD"/>
    </w:rPr>
  </w:style>
  <w:style w:type="character" w:styleId="Mention">
    <w:name w:val="Mention"/>
    <w:uiPriority w:val="99"/>
    <w:unhideWhenUsed/>
    <w:rsid w:val="003F1A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9958">
      <w:bodyDiv w:val="1"/>
      <w:marLeft w:val="0"/>
      <w:marRight w:val="0"/>
      <w:marTop w:val="0"/>
      <w:marBottom w:val="0"/>
      <w:divBdr>
        <w:top w:val="none" w:sz="0" w:space="0" w:color="auto"/>
        <w:left w:val="none" w:sz="0" w:space="0" w:color="auto"/>
        <w:bottom w:val="none" w:sz="0" w:space="0" w:color="auto"/>
        <w:right w:val="none" w:sz="0" w:space="0" w:color="auto"/>
      </w:divBdr>
    </w:div>
    <w:div w:id="743723024">
      <w:bodyDiv w:val="1"/>
      <w:marLeft w:val="0"/>
      <w:marRight w:val="0"/>
      <w:marTop w:val="0"/>
      <w:marBottom w:val="0"/>
      <w:divBdr>
        <w:top w:val="none" w:sz="0" w:space="0" w:color="auto"/>
        <w:left w:val="none" w:sz="0" w:space="0" w:color="auto"/>
        <w:bottom w:val="none" w:sz="0" w:space="0" w:color="auto"/>
        <w:right w:val="none" w:sz="0" w:space="0" w:color="auto"/>
      </w:divBdr>
    </w:div>
    <w:div w:id="108830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8f8cf2-83b8-409b-a80a-e3371e68bb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5D96CA51F0344A8A1AF43A49E47A52" ma:contentTypeVersion="13" ma:contentTypeDescription="Create a new document." ma:contentTypeScope="" ma:versionID="36c9eb1d80d95164afb0014a47c17c1d">
  <xsd:schema xmlns:xsd="http://www.w3.org/2001/XMLSchema" xmlns:xs="http://www.w3.org/2001/XMLSchema" xmlns:p="http://schemas.microsoft.com/office/2006/metadata/properties" xmlns:ns1="http://schemas.microsoft.com/sharepoint/v3" xmlns:ns2="568f8cf2-83b8-409b-a80a-e3371e68bb90" targetNamespace="http://schemas.microsoft.com/office/2006/metadata/properties" ma:root="true" ma:fieldsID="6389c9781b43fd54a9438e86cf4a3cb1" ns1:_="" ns2:_="">
    <xsd:import namespace="http://schemas.microsoft.com/sharepoint/v3"/>
    <xsd:import namespace="568f8cf2-83b8-409b-a80a-e3371e68bb90"/>
    <xsd:element name="properties">
      <xsd:complexType>
        <xsd:sequence>
          <xsd:element name="documentManagement">
            <xsd:complexType>
              <xsd:all>
                <xsd:element ref="ns1:_vti_ItemDeclaredRecor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8"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8f8cf2-83b8-409b-a80a-e3371e68bb9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C8492-3C8D-4FC5-B87F-132FCBEA2F50}">
  <ds:schemaRefs>
    <ds:schemaRef ds:uri="http://schemas.microsoft.com/office/2006/metadata/properties"/>
    <ds:schemaRef ds:uri="http://schemas.microsoft.com/office/infopath/2007/PartnerControls"/>
    <ds:schemaRef ds:uri="568f8cf2-83b8-409b-a80a-e3371e68bb90"/>
  </ds:schemaRefs>
</ds:datastoreItem>
</file>

<file path=customXml/itemProps2.xml><?xml version="1.0" encoding="utf-8"?>
<ds:datastoreItem xmlns:ds="http://schemas.openxmlformats.org/officeDocument/2006/customXml" ds:itemID="{768DDEEE-0E21-4089-B940-6562A35934E8}">
  <ds:schemaRefs>
    <ds:schemaRef ds:uri="http://schemas.microsoft.com/sharepoint/v3/contenttype/forms"/>
  </ds:schemaRefs>
</ds:datastoreItem>
</file>

<file path=customXml/itemProps3.xml><?xml version="1.0" encoding="utf-8"?>
<ds:datastoreItem xmlns:ds="http://schemas.openxmlformats.org/officeDocument/2006/customXml" ds:itemID="{B1987B99-081B-418D-A510-36A26B480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8f8cf2-83b8-409b-a80a-e3371e68bb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9E6C02-1749-4728-886C-1F68D8334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1459</Words>
  <Characters>8394</Characters>
  <Application>Microsoft Office Word</Application>
  <DocSecurity>0</DocSecurity>
  <Lines>118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FABINYOVA Ivana (COMP)</dc:creator>
  <cp:keywords/>
  <cp:lastModifiedBy>ROSSI Simona (SG)</cp:lastModifiedBy>
  <cp:revision>3</cp:revision>
  <dcterms:created xsi:type="dcterms:W3CDTF">2026-05-18T09:12:00Z</dcterms:created>
  <dcterms:modified xsi:type="dcterms:W3CDTF">2026-05-18T09:15:00Z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2026-05-05T12:27:58Z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5bf5d7e2-e90c-4c10-9a89-ad87ea544889</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EC_TX_Corporate_x0020_Body">
    <vt:lpwstr/>
  </property>
  <property fmtid="{D5CDD505-2E9C-101B-9397-08002B2CF9AE}" pid="11" name="EC_TX_All_World_Countries">
    <vt:lpwstr/>
  </property>
  <property fmtid="{D5CDD505-2E9C-101B-9397-08002B2CF9AE}" pid="12" name="MediaServiceImageTags">
    <vt:lpwstr/>
  </property>
  <property fmtid="{D5CDD505-2E9C-101B-9397-08002B2CF9AE}" pid="13" name="ContentTypeId">
    <vt:lpwstr>0x010100CD5D96CA51F0344A8A1AF43A49E47A52</vt:lpwstr>
  </property>
  <property fmtid="{D5CDD505-2E9C-101B-9397-08002B2CF9AE}" pid="14" name="EC_TX_Corporate Body">
    <vt:lpwstr/>
  </property>
  <property fmtid="{D5CDD505-2E9C-101B-9397-08002B2CF9AE}" pid="15" name="i8c8ab8b63424c5d9f8c4a8434abf670">
    <vt:lpwstr/>
  </property>
  <property fmtid="{D5CDD505-2E9C-101B-9397-08002B2CF9AE}" pid="16" name="p26229aee9004b9f888149fd0449ec68">
    <vt:lpwstr/>
  </property>
  <property fmtid="{D5CDD505-2E9C-101B-9397-08002B2CF9AE}" pid="17" name="eff2cf69f10b4279bbb27215ca009b37">
    <vt:lpwstr/>
  </property>
  <property fmtid="{D5CDD505-2E9C-101B-9397-08002B2CF9AE}" pid="18" name="EC_TX_Resource_Type">
    <vt:lpwstr/>
  </property>
  <property fmtid="{D5CDD505-2E9C-101B-9397-08002B2CF9AE}" pid="19" name="EC_TX_Policy_Area">
    <vt:lpwstr/>
  </property>
  <property fmtid="{D5CDD505-2E9C-101B-9397-08002B2CF9AE}" pid="20" name="EC_TX_EU_Member_State">
    <vt:lpwstr/>
  </property>
  <property fmtid="{D5CDD505-2E9C-101B-9397-08002B2CF9AE}" pid="21" name="j8309f8bc3e645d1a2f07391f8e5795a">
    <vt:lpwstr/>
  </property>
  <property fmtid="{D5CDD505-2E9C-101B-9397-08002B2CF9AE}" pid="22" name="g81cb4d17be94922847ce418ea81f55a">
    <vt:lpwstr/>
  </property>
  <property fmtid="{D5CDD505-2E9C-101B-9397-08002B2CF9AE}" pid="23" name="TaxCatchAll">
    <vt:lpwstr/>
  </property>
  <property fmtid="{D5CDD505-2E9C-101B-9397-08002B2CF9AE}" pid="24" name="EC_TX_Strategic_Priority">
    <vt:lpwstr/>
  </property>
  <property fmtid="{D5CDD505-2E9C-101B-9397-08002B2CF9AE}" pid="25" name="k2c54712f93b47eb83e1835ba301b6c6">
    <vt:lpwstr/>
  </property>
  <property fmtid="{D5CDD505-2E9C-101B-9397-08002B2CF9AE}" pid="26" name="EC_TX_EU_Political_Leader">
    <vt:lpwstr/>
  </property>
  <property fmtid="{D5CDD505-2E9C-101B-9397-08002B2CF9AE}" pid="27" name="p6ffe5294acd41c38db3fcc8ababb05f">
    <vt:lpwstr/>
  </property>
</Properties>
</file>