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232A0" w14:textId="77777777" w:rsidR="00077C4F" w:rsidRPr="00554137" w:rsidRDefault="00077C4F" w:rsidP="00554137">
      <w:pPr>
        <w:spacing w:after="0" w:line="240" w:lineRule="auto"/>
        <w:ind w:left="-709"/>
        <w:rPr>
          <w:rFonts w:ascii="Times New Roman" w:hAnsi="Times New Roman"/>
          <w:bCs/>
          <w:sz w:val="4"/>
          <w:szCs w:val="4"/>
        </w:rPr>
      </w:pPr>
    </w:p>
    <w:tbl>
      <w:tblPr>
        <w:tblW w:w="1024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243"/>
      </w:tblGrid>
      <w:tr w:rsidR="001C4138" w:rsidRPr="00442552" w14:paraId="7E6372DC" w14:textId="77777777" w:rsidTr="00EA4E6E">
        <w:trPr>
          <w:jc w:val="center"/>
        </w:trPr>
        <w:tc>
          <w:tcPr>
            <w:tcW w:w="10243" w:type="dxa"/>
          </w:tcPr>
          <w:p w14:paraId="3A4EDC3A" w14:textId="078F6381" w:rsidR="001C4138" w:rsidRPr="004F6117" w:rsidRDefault="00974253" w:rsidP="00FC08B7">
            <w:pPr>
              <w:widowControl w:val="0"/>
              <w:spacing w:before="120" w:after="120"/>
              <w:rPr>
                <w:rFonts w:ascii="Times New Roman" w:hAnsi="Times New Roman"/>
                <w:b/>
                <w:sz w:val="24"/>
                <w:szCs w:val="24"/>
              </w:rPr>
            </w:pPr>
            <w:r w:rsidRPr="00974253">
              <w:rPr>
                <w:rFonts w:ascii="Times New Roman" w:hAnsi="Times New Roman"/>
                <w:b/>
                <w:sz w:val="24"/>
                <w:szCs w:val="24"/>
              </w:rPr>
              <w:t>Joint White Paper for European Defence Readiness 2030</w:t>
            </w:r>
            <w:r w:rsidR="00554137">
              <w:rPr>
                <w:rFonts w:ascii="Times New Roman" w:hAnsi="Times New Roman"/>
                <w:b/>
                <w:sz w:val="24"/>
                <w:szCs w:val="24"/>
              </w:rPr>
              <w:br/>
            </w:r>
            <w:r w:rsidR="00554137" w:rsidRPr="00554137">
              <w:rPr>
                <w:rFonts w:ascii="Times New Roman" w:hAnsi="Times New Roman"/>
                <w:b/>
                <w:sz w:val="24"/>
                <w:szCs w:val="24"/>
                <w:lang w:val="en-IE"/>
              </w:rPr>
              <w:t>(</w:t>
            </w:r>
            <w:r w:rsidR="00FC08B7">
              <w:rPr>
                <w:rFonts w:ascii="Times New Roman" w:hAnsi="Times New Roman"/>
                <w:b/>
                <w:sz w:val="24"/>
                <w:szCs w:val="24"/>
                <w:lang w:val="en-IE"/>
              </w:rPr>
              <w:t xml:space="preserve">optional </w:t>
            </w:r>
            <w:r w:rsidR="00ED596F">
              <w:rPr>
                <w:rFonts w:ascii="Times New Roman" w:hAnsi="Times New Roman"/>
                <w:b/>
                <w:sz w:val="24"/>
                <w:szCs w:val="24"/>
                <w:lang w:val="en-IE"/>
              </w:rPr>
              <w:t>opinion</w:t>
            </w:r>
            <w:r w:rsidR="00554137">
              <w:rPr>
                <w:rFonts w:ascii="Times New Roman" w:hAnsi="Times New Roman"/>
                <w:b/>
                <w:sz w:val="24"/>
                <w:szCs w:val="24"/>
              </w:rPr>
              <w:t>)</w:t>
            </w:r>
            <w:r w:rsidR="001C4138" w:rsidRPr="00554137">
              <w:rPr>
                <w:rFonts w:ascii="Times New Roman" w:hAnsi="Times New Roman"/>
                <w:b/>
                <w:sz w:val="24"/>
                <w:szCs w:val="24"/>
                <w:lang w:val="en-IE"/>
              </w:rPr>
              <w:br/>
            </w:r>
            <w:r w:rsidR="00FC08B7">
              <w:rPr>
                <w:rFonts w:ascii="Times New Roman" w:hAnsi="Times New Roman"/>
                <w:b/>
                <w:sz w:val="24"/>
                <w:szCs w:val="24"/>
                <w:lang w:val="en-IE"/>
              </w:rPr>
              <w:t>JOIN</w:t>
            </w:r>
            <w:r w:rsidR="001C4138" w:rsidRPr="00554137">
              <w:rPr>
                <w:rFonts w:ascii="Times New Roman" w:hAnsi="Times New Roman"/>
                <w:b/>
                <w:sz w:val="24"/>
                <w:szCs w:val="24"/>
                <w:lang w:val="en-IE"/>
              </w:rPr>
              <w:t>(</w:t>
            </w:r>
            <w:r w:rsidR="00ED596F">
              <w:rPr>
                <w:rFonts w:ascii="Times New Roman" w:hAnsi="Times New Roman"/>
                <w:b/>
                <w:sz w:val="24"/>
                <w:szCs w:val="24"/>
                <w:lang w:val="en-IE"/>
              </w:rPr>
              <w:t>2025</w:t>
            </w:r>
            <w:r w:rsidR="001C4138" w:rsidRPr="00554137">
              <w:rPr>
                <w:rFonts w:ascii="Times New Roman" w:hAnsi="Times New Roman"/>
                <w:b/>
                <w:sz w:val="24"/>
                <w:szCs w:val="24"/>
                <w:lang w:val="en-IE"/>
              </w:rPr>
              <w:t xml:space="preserve">) </w:t>
            </w:r>
            <w:r w:rsidR="00ED596F">
              <w:rPr>
                <w:rFonts w:ascii="Times New Roman" w:hAnsi="Times New Roman"/>
                <w:b/>
                <w:sz w:val="24"/>
                <w:szCs w:val="24"/>
                <w:lang w:val="en-IE"/>
              </w:rPr>
              <w:t xml:space="preserve">120 </w:t>
            </w:r>
            <w:r w:rsidR="001C4138" w:rsidRPr="00554137">
              <w:rPr>
                <w:rFonts w:ascii="Times New Roman" w:hAnsi="Times New Roman"/>
                <w:b/>
                <w:sz w:val="24"/>
                <w:szCs w:val="24"/>
                <w:lang w:val="en-IE"/>
              </w:rPr>
              <w:t>final</w:t>
            </w:r>
            <w:r w:rsidR="001C4138" w:rsidRPr="00554137">
              <w:rPr>
                <w:rFonts w:ascii="Times New Roman" w:hAnsi="Times New Roman"/>
                <w:b/>
                <w:sz w:val="24"/>
                <w:szCs w:val="24"/>
                <w:lang w:val="en-IE"/>
              </w:rPr>
              <w:br/>
              <w:t>EESC-</w:t>
            </w:r>
            <w:r w:rsidR="001C4138" w:rsidRPr="009175C1">
              <w:rPr>
                <w:rFonts w:ascii="Times New Roman" w:hAnsi="Times New Roman"/>
                <w:b/>
                <w:sz w:val="24"/>
                <w:szCs w:val="24"/>
                <w:lang w:val="en-IE"/>
              </w:rPr>
              <w:t>202</w:t>
            </w:r>
            <w:r>
              <w:rPr>
                <w:rFonts w:ascii="Times New Roman" w:hAnsi="Times New Roman"/>
                <w:b/>
                <w:sz w:val="24"/>
                <w:szCs w:val="24"/>
                <w:lang w:val="en-IE"/>
              </w:rPr>
              <w:t>5</w:t>
            </w:r>
            <w:r w:rsidR="001C4138" w:rsidRPr="00554137">
              <w:rPr>
                <w:rFonts w:ascii="Times New Roman" w:hAnsi="Times New Roman"/>
                <w:b/>
                <w:sz w:val="24"/>
                <w:szCs w:val="24"/>
                <w:lang w:val="en-IE"/>
              </w:rPr>
              <w:t>-</w:t>
            </w:r>
            <w:r w:rsidR="00ED596F" w:rsidRPr="00ED596F">
              <w:rPr>
                <w:rFonts w:ascii="Times New Roman" w:hAnsi="Times New Roman"/>
                <w:b/>
                <w:sz w:val="24"/>
                <w:szCs w:val="24"/>
                <w:lang w:val="en-IE"/>
              </w:rPr>
              <w:t xml:space="preserve">01136 </w:t>
            </w:r>
            <w:r w:rsidR="001C4138" w:rsidRPr="00807B48">
              <w:rPr>
                <w:rFonts w:ascii="Times New Roman" w:hAnsi="Times New Roman"/>
                <w:b/>
                <w:sz w:val="24"/>
                <w:szCs w:val="24"/>
              </w:rPr>
              <w:t xml:space="preserve">‒ </w:t>
            </w:r>
            <w:r w:rsidR="001C4138" w:rsidRPr="009175C1">
              <w:rPr>
                <w:rFonts w:ascii="Times New Roman" w:hAnsi="Times New Roman"/>
                <w:b/>
                <w:sz w:val="24"/>
                <w:szCs w:val="24"/>
              </w:rPr>
              <w:t>REX/</w:t>
            </w:r>
            <w:r>
              <w:rPr>
                <w:rFonts w:ascii="Times New Roman" w:hAnsi="Times New Roman"/>
                <w:b/>
                <w:sz w:val="24"/>
                <w:szCs w:val="24"/>
              </w:rPr>
              <w:t>603</w:t>
            </w:r>
            <w:r w:rsidR="001C4138" w:rsidRPr="00807B48">
              <w:rPr>
                <w:rFonts w:ascii="Times New Roman" w:hAnsi="Times New Roman"/>
                <w:b/>
                <w:sz w:val="24"/>
                <w:szCs w:val="24"/>
              </w:rPr>
              <w:br/>
            </w:r>
            <w:r>
              <w:rPr>
                <w:rFonts w:ascii="Times New Roman" w:hAnsi="Times New Roman"/>
                <w:b/>
                <w:sz w:val="24"/>
                <w:szCs w:val="24"/>
              </w:rPr>
              <w:t>598</w:t>
            </w:r>
            <w:r w:rsidR="00ED596F" w:rsidRPr="00ED596F">
              <w:rPr>
                <w:rFonts w:ascii="Times New Roman" w:hAnsi="Times New Roman"/>
                <w:b/>
                <w:sz w:val="24"/>
                <w:szCs w:val="24"/>
                <w:vertAlign w:val="superscript"/>
              </w:rPr>
              <w:t>th</w:t>
            </w:r>
            <w:r w:rsidR="00ED596F">
              <w:rPr>
                <w:rFonts w:ascii="Times New Roman" w:hAnsi="Times New Roman"/>
                <w:b/>
                <w:sz w:val="24"/>
                <w:szCs w:val="24"/>
              </w:rPr>
              <w:t xml:space="preserve"> </w:t>
            </w:r>
            <w:r w:rsidR="001C4138" w:rsidRPr="00AE3C7C">
              <w:rPr>
                <w:rFonts w:ascii="Times New Roman" w:hAnsi="Times New Roman"/>
                <w:b/>
                <w:sz w:val="24"/>
                <w:szCs w:val="24"/>
              </w:rPr>
              <w:t>Plenary Session –</w:t>
            </w:r>
            <w:r>
              <w:rPr>
                <w:rFonts w:ascii="Times New Roman" w:hAnsi="Times New Roman"/>
                <w:b/>
                <w:sz w:val="24"/>
                <w:szCs w:val="24"/>
              </w:rPr>
              <w:t xml:space="preserve"> July 2025</w:t>
            </w:r>
            <w:r w:rsidR="001C4138" w:rsidRPr="00807B48">
              <w:rPr>
                <w:rFonts w:ascii="Times New Roman" w:hAnsi="Times New Roman"/>
                <w:b/>
                <w:sz w:val="24"/>
                <w:szCs w:val="24"/>
              </w:rPr>
              <w:br/>
              <w:t xml:space="preserve">Rapporteur: </w:t>
            </w:r>
            <w:r w:rsidRPr="00974253">
              <w:rPr>
                <w:rFonts w:ascii="Times New Roman" w:hAnsi="Times New Roman"/>
                <w:b/>
                <w:sz w:val="24"/>
                <w:szCs w:val="24"/>
              </w:rPr>
              <w:t xml:space="preserve">Marcin NOWACKI </w:t>
            </w:r>
            <w:r>
              <w:rPr>
                <w:rFonts w:ascii="Times New Roman" w:hAnsi="Times New Roman"/>
                <w:b/>
                <w:sz w:val="24"/>
                <w:szCs w:val="24"/>
              </w:rPr>
              <w:t>(PL-I)</w:t>
            </w:r>
            <w:r w:rsidR="001C4138" w:rsidRPr="00807B48">
              <w:rPr>
                <w:rFonts w:ascii="Times New Roman" w:hAnsi="Times New Roman"/>
                <w:b/>
                <w:sz w:val="24"/>
                <w:szCs w:val="24"/>
              </w:rPr>
              <w:br/>
            </w:r>
            <w:r w:rsidR="00F0249E">
              <w:rPr>
                <w:rFonts w:ascii="Times New Roman" w:hAnsi="Times New Roman"/>
                <w:b/>
                <w:sz w:val="24"/>
                <w:szCs w:val="24"/>
              </w:rPr>
              <w:t>Secretariat-Genera</w:t>
            </w:r>
            <w:r w:rsidR="00FC08B7">
              <w:rPr>
                <w:rFonts w:ascii="Times New Roman" w:hAnsi="Times New Roman"/>
                <w:b/>
                <w:sz w:val="24"/>
                <w:szCs w:val="24"/>
              </w:rPr>
              <w:t>l</w:t>
            </w:r>
            <w:r w:rsidR="00F0249E">
              <w:rPr>
                <w:rFonts w:ascii="Times New Roman" w:hAnsi="Times New Roman"/>
                <w:b/>
                <w:sz w:val="24"/>
                <w:szCs w:val="24"/>
              </w:rPr>
              <w:t xml:space="preserve"> – President </w:t>
            </w:r>
            <w:r w:rsidR="00FC08B7">
              <w:rPr>
                <w:rFonts w:ascii="Times New Roman" w:hAnsi="Times New Roman"/>
                <w:b/>
                <w:sz w:val="24"/>
                <w:szCs w:val="24"/>
              </w:rPr>
              <w:t>VON DER LEYEN</w:t>
            </w:r>
          </w:p>
        </w:tc>
      </w:tr>
      <w:tr w:rsidR="00734613" w:rsidRPr="00442552" w14:paraId="1937071F" w14:textId="77777777" w:rsidTr="00EA4E6E">
        <w:trPr>
          <w:jc w:val="center"/>
        </w:trPr>
        <w:tc>
          <w:tcPr>
            <w:tcW w:w="10243" w:type="dxa"/>
          </w:tcPr>
          <w:p w14:paraId="1E50B4DB" w14:textId="4ED0DFAF" w:rsidR="00734613" w:rsidRPr="00695797" w:rsidRDefault="004F6117" w:rsidP="00FC08B7">
            <w:pPr>
              <w:widowControl w:val="0"/>
              <w:spacing w:before="120" w:after="120"/>
              <w:jc w:val="center"/>
              <w:rPr>
                <w:rFonts w:ascii="Times New Roman" w:hAnsi="Times New Roman"/>
                <w:b/>
                <w:sz w:val="24"/>
                <w:szCs w:val="24"/>
              </w:rPr>
            </w:pPr>
            <w:r w:rsidRPr="004F6117">
              <w:rPr>
                <w:rFonts w:ascii="Times New Roman" w:hAnsi="Times New Roman"/>
                <w:b/>
                <w:sz w:val="24"/>
                <w:szCs w:val="24"/>
              </w:rPr>
              <w:t xml:space="preserve">European Commission </w:t>
            </w:r>
            <w:r w:rsidR="00ED596F">
              <w:rPr>
                <w:rFonts w:ascii="Times New Roman" w:hAnsi="Times New Roman"/>
                <w:b/>
                <w:sz w:val="24"/>
                <w:szCs w:val="24"/>
              </w:rPr>
              <w:t xml:space="preserve">and EEAS </w:t>
            </w:r>
            <w:r w:rsidRPr="004F6117">
              <w:rPr>
                <w:rFonts w:ascii="Times New Roman" w:hAnsi="Times New Roman"/>
                <w:b/>
                <w:sz w:val="24"/>
                <w:szCs w:val="24"/>
              </w:rPr>
              <w:t>position on points</w:t>
            </w:r>
            <w:r>
              <w:rPr>
                <w:rFonts w:ascii="Times New Roman" w:hAnsi="Times New Roman"/>
                <w:b/>
                <w:sz w:val="24"/>
                <w:szCs w:val="24"/>
              </w:rPr>
              <w:br/>
            </w:r>
            <w:r w:rsidRPr="004F6117">
              <w:rPr>
                <w:rFonts w:ascii="Times New Roman" w:hAnsi="Times New Roman"/>
                <w:b/>
                <w:sz w:val="24"/>
                <w:szCs w:val="24"/>
              </w:rPr>
              <w:t xml:space="preserve">of the European Economic and Social Committee </w:t>
            </w:r>
            <w:r w:rsidR="00554137">
              <w:rPr>
                <w:rFonts w:ascii="Times New Roman" w:hAnsi="Times New Roman"/>
                <w:b/>
                <w:sz w:val="24"/>
                <w:szCs w:val="24"/>
              </w:rPr>
              <w:t xml:space="preserve">(EESC) </w:t>
            </w:r>
            <w:r w:rsidRPr="004F6117">
              <w:rPr>
                <w:rFonts w:ascii="Times New Roman" w:hAnsi="Times New Roman"/>
                <w:b/>
                <w:sz w:val="24"/>
                <w:szCs w:val="24"/>
              </w:rPr>
              <w:t>opinion</w:t>
            </w:r>
            <w:r w:rsidR="00E83C12">
              <w:rPr>
                <w:rFonts w:ascii="Times New Roman" w:hAnsi="Times New Roman"/>
                <w:b/>
                <w:sz w:val="24"/>
                <w:szCs w:val="24"/>
              </w:rPr>
              <w:t xml:space="preserve"> </w:t>
            </w:r>
            <w:r w:rsidR="00E83C12" w:rsidRPr="00E83C12">
              <w:rPr>
                <w:rFonts w:ascii="Times New Roman" w:hAnsi="Times New Roman"/>
                <w:b/>
                <w:sz w:val="24"/>
                <w:szCs w:val="24"/>
              </w:rPr>
              <w:t>considered as essential</w:t>
            </w:r>
          </w:p>
        </w:tc>
      </w:tr>
      <w:tr w:rsidR="00633036" w:rsidRPr="00442552" w14:paraId="0A8FBA95" w14:textId="77777777" w:rsidTr="00EA4E6E">
        <w:trPr>
          <w:jc w:val="center"/>
        </w:trPr>
        <w:tc>
          <w:tcPr>
            <w:tcW w:w="10243" w:type="dxa"/>
          </w:tcPr>
          <w:p w14:paraId="10CD83A9" w14:textId="4974424A" w:rsidR="00C725B2" w:rsidRPr="006D7B1A" w:rsidRDefault="00C725B2" w:rsidP="00FC08B7">
            <w:pPr>
              <w:widowControl w:val="0"/>
              <w:spacing w:before="120" w:after="120"/>
              <w:jc w:val="both"/>
              <w:rPr>
                <w:rFonts w:ascii="Times New Roman" w:hAnsi="Times New Roman"/>
                <w:sz w:val="24"/>
                <w:szCs w:val="24"/>
              </w:rPr>
            </w:pPr>
            <w:r>
              <w:rPr>
                <w:rFonts w:ascii="Times New Roman" w:hAnsi="Times New Roman"/>
                <w:sz w:val="24"/>
                <w:szCs w:val="24"/>
              </w:rPr>
              <w:t>The Commission would like to thank the Committee for its opinion and wishes to elaborate on the following points:</w:t>
            </w:r>
          </w:p>
          <w:p w14:paraId="001C1DC3" w14:textId="5A7AC987"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1.1 of the opinion</w:t>
            </w:r>
            <w:r>
              <w:rPr>
                <w:rFonts w:ascii="Times New Roman" w:hAnsi="Times New Roman"/>
                <w:sz w:val="24"/>
                <w:szCs w:val="24"/>
              </w:rPr>
              <w:t>, t</w:t>
            </w:r>
            <w:r w:rsidRPr="00ED596F">
              <w:rPr>
                <w:rFonts w:ascii="Times New Roman" w:hAnsi="Times New Roman"/>
                <w:sz w:val="24"/>
                <w:szCs w:val="24"/>
              </w:rPr>
              <w:t xml:space="preserve">he Commission </w:t>
            </w:r>
            <w:r w:rsidR="0061492D">
              <w:rPr>
                <w:rFonts w:ascii="Times New Roman" w:hAnsi="Times New Roman"/>
                <w:sz w:val="24"/>
                <w:szCs w:val="24"/>
              </w:rPr>
              <w:t xml:space="preserve">and the High Representative </w:t>
            </w:r>
            <w:r w:rsidRPr="00ED596F">
              <w:rPr>
                <w:rFonts w:ascii="Times New Roman" w:hAnsi="Times New Roman"/>
                <w:sz w:val="24"/>
                <w:szCs w:val="24"/>
              </w:rPr>
              <w:t>appreciate the EESC’s support for a</w:t>
            </w:r>
            <w:r w:rsidR="00D65FCA">
              <w:rPr>
                <w:rFonts w:ascii="Times New Roman" w:hAnsi="Times New Roman"/>
                <w:sz w:val="24"/>
                <w:szCs w:val="24"/>
              </w:rPr>
              <w:t> </w:t>
            </w:r>
            <w:r w:rsidRPr="00ED596F">
              <w:rPr>
                <w:rFonts w:ascii="Times New Roman" w:hAnsi="Times New Roman"/>
                <w:sz w:val="24"/>
                <w:szCs w:val="24"/>
              </w:rPr>
              <w:t>comprehensive and inclusive European defence strategy</w:t>
            </w:r>
            <w:r>
              <w:rPr>
                <w:rFonts w:ascii="Times New Roman" w:hAnsi="Times New Roman"/>
                <w:sz w:val="24"/>
                <w:szCs w:val="24"/>
              </w:rPr>
              <w:t>.</w:t>
            </w:r>
          </w:p>
          <w:p w14:paraId="51AE667B" w14:textId="5AB06322"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1.2 of the opinion</w:t>
            </w:r>
            <w:r>
              <w:rPr>
                <w:rFonts w:ascii="Times New Roman" w:hAnsi="Times New Roman"/>
                <w:sz w:val="24"/>
                <w:szCs w:val="24"/>
              </w:rPr>
              <w:t>,</w:t>
            </w:r>
            <w:r>
              <w:t xml:space="preserve"> </w:t>
            </w:r>
            <w:r>
              <w:rPr>
                <w:rFonts w:ascii="Times New Roman" w:hAnsi="Times New Roman"/>
                <w:sz w:val="24"/>
                <w:szCs w:val="24"/>
              </w:rPr>
              <w:t>t</w:t>
            </w:r>
            <w:r w:rsidRPr="00ED596F">
              <w:rPr>
                <w:rFonts w:ascii="Times New Roman" w:hAnsi="Times New Roman"/>
                <w:sz w:val="24"/>
                <w:szCs w:val="24"/>
              </w:rPr>
              <w:t xml:space="preserve">he Commission </w:t>
            </w:r>
            <w:r w:rsidR="0061492D">
              <w:rPr>
                <w:rFonts w:ascii="Times New Roman" w:hAnsi="Times New Roman"/>
                <w:sz w:val="24"/>
                <w:szCs w:val="24"/>
              </w:rPr>
              <w:t xml:space="preserve">and the High Representative </w:t>
            </w:r>
            <w:r w:rsidRPr="00ED596F">
              <w:rPr>
                <w:rFonts w:ascii="Times New Roman" w:hAnsi="Times New Roman"/>
                <w:sz w:val="24"/>
                <w:szCs w:val="24"/>
              </w:rPr>
              <w:t xml:space="preserve">recognise the urgency of addressing both hybrid and conventional threats, reducing strategic dependencies, and strengthening Europe’s autonomy. </w:t>
            </w:r>
            <w:r w:rsidR="00FC08B7">
              <w:rPr>
                <w:rFonts w:ascii="Times New Roman" w:hAnsi="Times New Roman"/>
                <w:sz w:val="24"/>
                <w:szCs w:val="24"/>
              </w:rPr>
              <w:t xml:space="preserve">The Commission is </w:t>
            </w:r>
            <w:r w:rsidRPr="00ED596F">
              <w:rPr>
                <w:rFonts w:ascii="Times New Roman" w:hAnsi="Times New Roman"/>
                <w:sz w:val="24"/>
                <w:szCs w:val="24"/>
              </w:rPr>
              <w:t>prioritising investment in critical technologies and industrial capabilities to ensure Europe’s competitiveness and resilience in the global defence market.</w:t>
            </w:r>
          </w:p>
          <w:p w14:paraId="2A9E4FB5" w14:textId="6B6D6FE8"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1.3 of the opinion</w:t>
            </w:r>
            <w:r>
              <w:rPr>
                <w:rFonts w:ascii="Times New Roman" w:hAnsi="Times New Roman"/>
                <w:sz w:val="24"/>
                <w:szCs w:val="24"/>
              </w:rPr>
              <w:t>,</w:t>
            </w:r>
            <w:r w:rsidRPr="00ED596F">
              <w:rPr>
                <w:rFonts w:ascii="Times New Roman" w:eastAsia="Times New Roman" w:hAnsi="Times New Roman"/>
                <w:sz w:val="24"/>
                <w:lang w:eastAsia="en-GB"/>
              </w:rPr>
              <w:t xml:space="preserve"> </w:t>
            </w:r>
            <w:r w:rsidR="00BA5B1A">
              <w:rPr>
                <w:rFonts w:ascii="Times New Roman" w:eastAsia="Times New Roman" w:hAnsi="Times New Roman"/>
                <w:sz w:val="24"/>
                <w:lang w:eastAsia="en-GB"/>
              </w:rPr>
              <w:t>t</w:t>
            </w:r>
            <w:r w:rsidRPr="00ED596F">
              <w:rPr>
                <w:rFonts w:ascii="Times New Roman" w:hAnsi="Times New Roman"/>
                <w:sz w:val="24"/>
                <w:szCs w:val="24"/>
              </w:rPr>
              <w:t xml:space="preserve">he Commission acknowledges the importance of targeted support for </w:t>
            </w:r>
            <w:r w:rsidR="00FC08B7">
              <w:rPr>
                <w:rFonts w:ascii="Times New Roman" w:hAnsi="Times New Roman"/>
                <w:sz w:val="24"/>
                <w:szCs w:val="24"/>
              </w:rPr>
              <w:t>small and medium-sized enterprises</w:t>
            </w:r>
            <w:r w:rsidR="0098146F">
              <w:rPr>
                <w:rFonts w:ascii="Times New Roman" w:hAnsi="Times New Roman"/>
                <w:sz w:val="24"/>
                <w:szCs w:val="24"/>
              </w:rPr>
              <w:t> </w:t>
            </w:r>
            <w:r w:rsidR="00FC08B7">
              <w:rPr>
                <w:rFonts w:ascii="Times New Roman" w:hAnsi="Times New Roman"/>
                <w:sz w:val="24"/>
                <w:szCs w:val="24"/>
              </w:rPr>
              <w:t>(</w:t>
            </w:r>
            <w:r w:rsidRPr="00ED596F">
              <w:rPr>
                <w:rFonts w:ascii="Times New Roman" w:hAnsi="Times New Roman"/>
                <w:sz w:val="24"/>
                <w:szCs w:val="24"/>
              </w:rPr>
              <w:t>SMEs</w:t>
            </w:r>
            <w:r w:rsidR="00FC08B7">
              <w:rPr>
                <w:rFonts w:ascii="Times New Roman" w:hAnsi="Times New Roman"/>
                <w:sz w:val="24"/>
                <w:szCs w:val="24"/>
              </w:rPr>
              <w:t>)</w:t>
            </w:r>
            <w:r w:rsidRPr="00ED596F">
              <w:rPr>
                <w:rFonts w:ascii="Times New Roman" w:hAnsi="Times New Roman"/>
                <w:sz w:val="24"/>
                <w:szCs w:val="24"/>
              </w:rPr>
              <w:t xml:space="preserve"> and regional development, including through the EU Startup and Scaleup Strategy</w:t>
            </w:r>
            <w:r w:rsidR="00F313D3">
              <w:rPr>
                <w:rStyle w:val="FootnoteReference"/>
                <w:rFonts w:ascii="Times New Roman" w:hAnsi="Times New Roman"/>
                <w:sz w:val="24"/>
                <w:szCs w:val="24"/>
              </w:rPr>
              <w:footnoteReference w:id="1"/>
            </w:r>
            <w:r w:rsidR="0098146F">
              <w:rPr>
                <w:rFonts w:ascii="Times New Roman" w:hAnsi="Times New Roman"/>
                <w:sz w:val="24"/>
                <w:szCs w:val="24"/>
              </w:rPr>
              <w:t>.</w:t>
            </w:r>
            <w:r w:rsidRPr="00ED596F">
              <w:rPr>
                <w:rFonts w:ascii="Times New Roman" w:hAnsi="Times New Roman"/>
                <w:sz w:val="24"/>
                <w:szCs w:val="24"/>
              </w:rPr>
              <w:t xml:space="preserve"> </w:t>
            </w:r>
            <w:r w:rsidR="00D217D1">
              <w:rPr>
                <w:rFonts w:ascii="Times New Roman" w:hAnsi="Times New Roman"/>
                <w:sz w:val="24"/>
                <w:szCs w:val="24"/>
              </w:rPr>
              <w:t>F</w:t>
            </w:r>
            <w:r w:rsidRPr="00ED596F">
              <w:rPr>
                <w:rFonts w:ascii="Times New Roman" w:hAnsi="Times New Roman"/>
                <w:sz w:val="24"/>
                <w:szCs w:val="24"/>
              </w:rPr>
              <w:t>ollowing the mid-term review of the Cohesion Policy</w:t>
            </w:r>
            <w:r w:rsidR="008367F6">
              <w:rPr>
                <w:rStyle w:val="FootnoteReference"/>
                <w:rFonts w:ascii="Times New Roman" w:hAnsi="Times New Roman"/>
                <w:sz w:val="24"/>
                <w:szCs w:val="24"/>
              </w:rPr>
              <w:footnoteReference w:id="2"/>
            </w:r>
            <w:r w:rsidR="00D217D1">
              <w:rPr>
                <w:rFonts w:ascii="Times New Roman" w:hAnsi="Times New Roman"/>
                <w:sz w:val="24"/>
                <w:szCs w:val="24"/>
              </w:rPr>
              <w:t>,</w:t>
            </w:r>
            <w:r w:rsidR="00D217D1" w:rsidRPr="00ED596F">
              <w:rPr>
                <w:rFonts w:ascii="Times New Roman" w:hAnsi="Times New Roman"/>
                <w:sz w:val="24"/>
                <w:szCs w:val="24"/>
              </w:rPr>
              <w:t xml:space="preserve"> </w:t>
            </w:r>
            <w:r w:rsidR="00D217D1">
              <w:rPr>
                <w:rFonts w:ascii="Times New Roman" w:hAnsi="Times New Roman"/>
                <w:sz w:val="24"/>
                <w:szCs w:val="24"/>
              </w:rPr>
              <w:t>t</w:t>
            </w:r>
            <w:r w:rsidR="00D217D1" w:rsidRPr="00ED596F">
              <w:rPr>
                <w:rFonts w:ascii="Times New Roman" w:hAnsi="Times New Roman"/>
                <w:sz w:val="24"/>
                <w:szCs w:val="24"/>
              </w:rPr>
              <w:t>he Commission has proposed a Defence Readiness Omnibus</w:t>
            </w:r>
            <w:r w:rsidR="00D217D1">
              <w:rPr>
                <w:rStyle w:val="FootnoteReference"/>
                <w:rFonts w:ascii="Times New Roman" w:hAnsi="Times New Roman"/>
                <w:sz w:val="24"/>
                <w:szCs w:val="24"/>
              </w:rPr>
              <w:footnoteReference w:id="3"/>
            </w:r>
            <w:r w:rsidR="00D217D1" w:rsidRPr="00ED596F">
              <w:rPr>
                <w:rFonts w:ascii="Times New Roman" w:hAnsi="Times New Roman"/>
                <w:sz w:val="24"/>
                <w:szCs w:val="24"/>
              </w:rPr>
              <w:t xml:space="preserve"> </w:t>
            </w:r>
            <w:r w:rsidR="00D217D1">
              <w:rPr>
                <w:rFonts w:ascii="Times New Roman" w:hAnsi="Times New Roman"/>
                <w:sz w:val="24"/>
                <w:szCs w:val="24"/>
              </w:rPr>
              <w:t>(</w:t>
            </w:r>
            <w:r w:rsidR="00CC383C">
              <w:rPr>
                <w:rFonts w:ascii="Times New Roman" w:hAnsi="Times New Roman"/>
                <w:sz w:val="24"/>
                <w:szCs w:val="24"/>
              </w:rPr>
              <w:t>currently being</w:t>
            </w:r>
            <w:r w:rsidR="00D217D1">
              <w:rPr>
                <w:rFonts w:ascii="Times New Roman" w:hAnsi="Times New Roman"/>
                <w:sz w:val="24"/>
                <w:szCs w:val="24"/>
              </w:rPr>
              <w:t xml:space="preserve"> discussed by co-legislators) </w:t>
            </w:r>
            <w:r w:rsidR="00D217D1" w:rsidRPr="00ED596F">
              <w:rPr>
                <w:rFonts w:ascii="Times New Roman" w:hAnsi="Times New Roman"/>
                <w:sz w:val="24"/>
                <w:szCs w:val="24"/>
              </w:rPr>
              <w:t xml:space="preserve">and </w:t>
            </w:r>
            <w:r w:rsidR="00D217D1">
              <w:rPr>
                <w:rFonts w:ascii="Times New Roman" w:hAnsi="Times New Roman"/>
                <w:sz w:val="24"/>
                <w:szCs w:val="24"/>
              </w:rPr>
              <w:t>the</w:t>
            </w:r>
            <w:r w:rsidR="00D217D1" w:rsidRPr="00ED596F">
              <w:rPr>
                <w:rFonts w:ascii="Times New Roman" w:hAnsi="Times New Roman"/>
                <w:sz w:val="24"/>
                <w:szCs w:val="24"/>
              </w:rPr>
              <w:t xml:space="preserve"> so-called ‘</w:t>
            </w:r>
            <w:r w:rsidR="00D217D1">
              <w:rPr>
                <w:rFonts w:ascii="Times New Roman" w:hAnsi="Times New Roman"/>
                <w:sz w:val="24"/>
                <w:szCs w:val="24"/>
              </w:rPr>
              <w:t>M</w:t>
            </w:r>
            <w:r w:rsidR="00D217D1" w:rsidRPr="00ED596F">
              <w:rPr>
                <w:rFonts w:ascii="Times New Roman" w:hAnsi="Times New Roman"/>
                <w:sz w:val="24"/>
                <w:szCs w:val="24"/>
              </w:rPr>
              <w:t>ini-Omnibus’</w:t>
            </w:r>
            <w:r w:rsidR="00D217D1">
              <w:rPr>
                <w:rFonts w:ascii="Times New Roman" w:hAnsi="Times New Roman"/>
                <w:sz w:val="24"/>
                <w:szCs w:val="24"/>
              </w:rPr>
              <w:t>,</w:t>
            </w:r>
            <w:r w:rsidR="00D217D1" w:rsidRPr="00ED596F">
              <w:rPr>
                <w:rFonts w:ascii="Times New Roman" w:hAnsi="Times New Roman"/>
                <w:sz w:val="24"/>
                <w:szCs w:val="24"/>
              </w:rPr>
              <w:t xml:space="preserve"> </w:t>
            </w:r>
            <w:r w:rsidR="00D217D1">
              <w:rPr>
                <w:rFonts w:ascii="Times New Roman" w:hAnsi="Times New Roman"/>
                <w:sz w:val="24"/>
                <w:szCs w:val="24"/>
              </w:rPr>
              <w:t xml:space="preserve">which has </w:t>
            </w:r>
            <w:r w:rsidR="00CC383C">
              <w:rPr>
                <w:rFonts w:ascii="Times New Roman" w:hAnsi="Times New Roman"/>
                <w:sz w:val="24"/>
                <w:szCs w:val="24"/>
              </w:rPr>
              <w:t xml:space="preserve">now </w:t>
            </w:r>
            <w:r w:rsidR="00D217D1">
              <w:rPr>
                <w:rFonts w:ascii="Times New Roman" w:hAnsi="Times New Roman"/>
                <w:sz w:val="24"/>
                <w:szCs w:val="24"/>
              </w:rPr>
              <w:t>been adopted</w:t>
            </w:r>
            <w:r w:rsidR="00CC383C">
              <w:rPr>
                <w:rFonts w:ascii="Times New Roman" w:hAnsi="Times New Roman"/>
                <w:sz w:val="24"/>
                <w:szCs w:val="24"/>
              </w:rPr>
              <w:t xml:space="preserve"> </w:t>
            </w:r>
            <w:r w:rsidR="0098146F">
              <w:rPr>
                <w:rFonts w:ascii="Times New Roman" w:hAnsi="Times New Roman"/>
                <w:sz w:val="24"/>
                <w:szCs w:val="24"/>
              </w:rPr>
              <w:t>.</w:t>
            </w:r>
            <w:r w:rsidR="00BA5B1A">
              <w:rPr>
                <w:rFonts w:ascii="Times New Roman" w:hAnsi="Times New Roman"/>
                <w:sz w:val="24"/>
                <w:szCs w:val="24"/>
              </w:rPr>
              <w:t xml:space="preserve">These two </w:t>
            </w:r>
            <w:r w:rsidR="00CB518D">
              <w:rPr>
                <w:rFonts w:ascii="Times New Roman" w:hAnsi="Times New Roman"/>
                <w:sz w:val="24"/>
                <w:szCs w:val="24"/>
              </w:rPr>
              <w:t>initiatives</w:t>
            </w:r>
            <w:r w:rsidRPr="00ED596F">
              <w:rPr>
                <w:rFonts w:ascii="Times New Roman" w:hAnsi="Times New Roman"/>
                <w:sz w:val="24"/>
                <w:szCs w:val="24"/>
              </w:rPr>
              <w:t xml:space="preserve"> simplify procedures, ensure equitable access to funding, including by allowing the European Innovation Council(EIC) Accelerator to support actions with dual-use applications, and the EIC </w:t>
            </w:r>
            <w:r w:rsidR="008367F6">
              <w:rPr>
                <w:rFonts w:ascii="Times New Roman" w:hAnsi="Times New Roman"/>
                <w:sz w:val="24"/>
                <w:szCs w:val="24"/>
              </w:rPr>
              <w:t>Strategic Technologies for Europe Platform</w:t>
            </w:r>
            <w:r w:rsidR="0098146F">
              <w:rPr>
                <w:rFonts w:ascii="Times New Roman" w:hAnsi="Times New Roman"/>
                <w:sz w:val="24"/>
                <w:szCs w:val="24"/>
              </w:rPr>
              <w:t> </w:t>
            </w:r>
            <w:r w:rsidR="00D65FCA">
              <w:rPr>
                <w:rFonts w:ascii="Times New Roman" w:hAnsi="Times New Roman"/>
                <w:sz w:val="24"/>
                <w:szCs w:val="24"/>
              </w:rPr>
              <w:t>(</w:t>
            </w:r>
            <w:r w:rsidRPr="00ED596F">
              <w:rPr>
                <w:rFonts w:ascii="Times New Roman" w:hAnsi="Times New Roman"/>
                <w:sz w:val="24"/>
                <w:szCs w:val="24"/>
              </w:rPr>
              <w:t>STEP</w:t>
            </w:r>
            <w:r w:rsidR="00D65FCA">
              <w:rPr>
                <w:rFonts w:ascii="Times New Roman" w:hAnsi="Times New Roman"/>
                <w:sz w:val="24"/>
                <w:szCs w:val="24"/>
              </w:rPr>
              <w:t>)</w:t>
            </w:r>
            <w:r w:rsidRPr="00ED596F">
              <w:rPr>
                <w:rFonts w:ascii="Times New Roman" w:hAnsi="Times New Roman"/>
                <w:sz w:val="24"/>
                <w:szCs w:val="24"/>
              </w:rPr>
              <w:t xml:space="preserve"> Scale-Up Scheme to provide direct equity to SMEs carrying out breakthrough innovation in defence, and strengthen the integration of SMEs into defence value chains, while upholding high social, environmental, and labour standards.</w:t>
            </w:r>
            <w:r w:rsidRPr="00ED596F">
              <w:rPr>
                <w:rFonts w:ascii="Times New Roman" w:hAnsi="Times New Roman"/>
                <w:sz w:val="24"/>
                <w:szCs w:val="24"/>
                <w:lang w:val="en-IE"/>
              </w:rPr>
              <w:t xml:space="preserve"> The European Investment Bank, i</w:t>
            </w:r>
            <w:r w:rsidRPr="00ED596F">
              <w:rPr>
                <w:rFonts w:ascii="Times New Roman" w:hAnsi="Times New Roman"/>
                <w:sz w:val="24"/>
                <w:szCs w:val="24"/>
              </w:rPr>
              <w:t>n June 2025 (compared to 2024), tripled its intermediated financing for the European defence industry from EUR</w:t>
            </w:r>
            <w:r w:rsidR="0098146F">
              <w:rPr>
                <w:rFonts w:ascii="Times New Roman" w:hAnsi="Times New Roman"/>
                <w:sz w:val="24"/>
                <w:szCs w:val="24"/>
              </w:rPr>
              <w:t> </w:t>
            </w:r>
            <w:r w:rsidRPr="00ED596F">
              <w:rPr>
                <w:rFonts w:ascii="Times New Roman" w:hAnsi="Times New Roman"/>
                <w:sz w:val="24"/>
                <w:szCs w:val="24"/>
              </w:rPr>
              <w:t>1</w:t>
            </w:r>
            <w:r w:rsidR="0098146F">
              <w:rPr>
                <w:rFonts w:ascii="Times New Roman" w:hAnsi="Times New Roman"/>
                <w:sz w:val="24"/>
                <w:szCs w:val="24"/>
              </w:rPr>
              <w:t> </w:t>
            </w:r>
            <w:r w:rsidRPr="00ED596F">
              <w:rPr>
                <w:rFonts w:ascii="Times New Roman" w:hAnsi="Times New Roman"/>
                <w:sz w:val="24"/>
                <w:szCs w:val="24"/>
              </w:rPr>
              <w:t>billion to EUR</w:t>
            </w:r>
            <w:r w:rsidR="0098146F">
              <w:rPr>
                <w:rFonts w:ascii="Times New Roman" w:hAnsi="Times New Roman"/>
                <w:sz w:val="24"/>
                <w:szCs w:val="24"/>
              </w:rPr>
              <w:t> </w:t>
            </w:r>
            <w:r w:rsidRPr="00ED596F">
              <w:rPr>
                <w:rFonts w:ascii="Times New Roman" w:hAnsi="Times New Roman"/>
                <w:sz w:val="24"/>
                <w:szCs w:val="24"/>
              </w:rPr>
              <w:t>3</w:t>
            </w:r>
            <w:r w:rsidR="0098146F">
              <w:rPr>
                <w:rFonts w:ascii="Times New Roman" w:hAnsi="Times New Roman"/>
                <w:sz w:val="24"/>
                <w:szCs w:val="24"/>
              </w:rPr>
              <w:t> </w:t>
            </w:r>
            <w:r w:rsidRPr="00ED596F">
              <w:rPr>
                <w:rFonts w:ascii="Times New Roman" w:hAnsi="Times New Roman"/>
                <w:sz w:val="24"/>
                <w:szCs w:val="24"/>
              </w:rPr>
              <w:t xml:space="preserve">billion. This funding is primarily aimed at SME and </w:t>
            </w:r>
            <w:r w:rsidR="0098146F">
              <w:rPr>
                <w:rFonts w:ascii="Times New Roman" w:hAnsi="Times New Roman"/>
                <w:sz w:val="24"/>
                <w:szCs w:val="24"/>
              </w:rPr>
              <w:t>mid-capitalisation companies (</w:t>
            </w:r>
            <w:r w:rsidRPr="00ED596F">
              <w:rPr>
                <w:rFonts w:ascii="Times New Roman" w:hAnsi="Times New Roman"/>
                <w:sz w:val="24"/>
                <w:szCs w:val="24"/>
              </w:rPr>
              <w:t>Mid-Caps</w:t>
            </w:r>
            <w:r w:rsidR="0098146F">
              <w:rPr>
                <w:rFonts w:ascii="Times New Roman" w:hAnsi="Times New Roman"/>
                <w:sz w:val="24"/>
                <w:szCs w:val="24"/>
              </w:rPr>
              <w:t>)</w:t>
            </w:r>
            <w:r w:rsidRPr="00ED596F">
              <w:rPr>
                <w:rFonts w:ascii="Times New Roman" w:hAnsi="Times New Roman"/>
                <w:sz w:val="24"/>
                <w:szCs w:val="24"/>
              </w:rPr>
              <w:t xml:space="preserve"> that are part of the defence supply chains.</w:t>
            </w:r>
          </w:p>
          <w:p w14:paraId="16649E82" w14:textId="3AD73F54"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1.4 of the opinion</w:t>
            </w:r>
            <w:r>
              <w:rPr>
                <w:rFonts w:ascii="Times New Roman" w:hAnsi="Times New Roman"/>
                <w:sz w:val="24"/>
                <w:szCs w:val="24"/>
              </w:rPr>
              <w:t>,</w:t>
            </w:r>
            <w:r w:rsidRPr="00ED596F">
              <w:rPr>
                <w:rFonts w:ascii="Times New Roman" w:eastAsia="Times New Roman" w:hAnsi="Times New Roman"/>
                <w:sz w:val="24"/>
                <w:szCs w:val="20"/>
                <w:lang w:val="en-IE" w:eastAsia="en-GB"/>
              </w:rPr>
              <w:t xml:space="preserve"> </w:t>
            </w:r>
            <w:r w:rsidR="00BA5B1A">
              <w:rPr>
                <w:rFonts w:ascii="Times New Roman" w:eastAsia="Times New Roman" w:hAnsi="Times New Roman"/>
                <w:sz w:val="24"/>
                <w:szCs w:val="20"/>
                <w:lang w:val="en-IE" w:eastAsia="en-GB"/>
              </w:rPr>
              <w:t>t</w:t>
            </w:r>
            <w:r w:rsidRPr="00ED596F">
              <w:rPr>
                <w:rFonts w:ascii="Times New Roman" w:hAnsi="Times New Roman"/>
                <w:sz w:val="24"/>
                <w:szCs w:val="24"/>
                <w:lang w:val="en-IE"/>
              </w:rPr>
              <w:t xml:space="preserve">he Commission </w:t>
            </w:r>
            <w:r w:rsidR="0061492D">
              <w:rPr>
                <w:rFonts w:ascii="Times New Roman" w:hAnsi="Times New Roman"/>
                <w:sz w:val="24"/>
                <w:szCs w:val="24"/>
                <w:lang w:val="en-IE"/>
              </w:rPr>
              <w:t xml:space="preserve">and the High Representative </w:t>
            </w:r>
            <w:r w:rsidRPr="00ED596F">
              <w:rPr>
                <w:rFonts w:ascii="Times New Roman" w:hAnsi="Times New Roman"/>
                <w:sz w:val="24"/>
                <w:szCs w:val="24"/>
                <w:lang w:val="en-IE"/>
              </w:rPr>
              <w:t xml:space="preserve">agree that defence investment must encompass civil infrastructure, education, and dual-use technologies, including military medicine and cybersecurity. The Commission agrees that Europe’s defence readiness also depends on harnessing the full potential of the EU’s innovation ecosystem, connecting traditional defence actors with Europe’s wider research and innovation community, including innovative startups, scaleups, and deep tech companies. The European Investment Bank has significantly expanded its role in supporting the European defence sector. The Commission </w:t>
            </w:r>
            <w:r w:rsidR="0061492D">
              <w:rPr>
                <w:rFonts w:ascii="Times New Roman" w:hAnsi="Times New Roman"/>
                <w:sz w:val="24"/>
                <w:szCs w:val="24"/>
                <w:lang w:val="en-IE"/>
              </w:rPr>
              <w:t xml:space="preserve">and the High Representative are </w:t>
            </w:r>
            <w:r w:rsidRPr="00ED596F">
              <w:rPr>
                <w:rFonts w:ascii="Times New Roman" w:hAnsi="Times New Roman"/>
                <w:sz w:val="24"/>
                <w:szCs w:val="24"/>
                <w:lang w:val="en-IE"/>
              </w:rPr>
              <w:lastRenderedPageBreak/>
              <w:t>supporting strategic foresight, workforce training, and research and development to maintain Europe’s technological edge and long-term defence capacity</w:t>
            </w:r>
            <w:r>
              <w:rPr>
                <w:rFonts w:ascii="Times New Roman" w:hAnsi="Times New Roman"/>
                <w:sz w:val="24"/>
                <w:szCs w:val="24"/>
                <w:lang w:val="en-IE"/>
              </w:rPr>
              <w:t>.</w:t>
            </w:r>
          </w:p>
          <w:p w14:paraId="62387472" w14:textId="01BC822F"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1.6 of the opinion</w:t>
            </w:r>
            <w:r>
              <w:rPr>
                <w:rFonts w:ascii="Times New Roman" w:hAnsi="Times New Roman"/>
                <w:sz w:val="24"/>
                <w:szCs w:val="24"/>
              </w:rPr>
              <w:t>,</w:t>
            </w:r>
            <w:r w:rsidRPr="00ED596F">
              <w:rPr>
                <w:rFonts w:ascii="Times New Roman" w:eastAsia="Times New Roman" w:hAnsi="Times New Roman"/>
                <w:sz w:val="24"/>
                <w:lang w:eastAsia="en-GB"/>
              </w:rPr>
              <w:t xml:space="preserve"> </w:t>
            </w:r>
            <w:r w:rsidR="00BA5B1A">
              <w:rPr>
                <w:rFonts w:ascii="Times New Roman" w:eastAsia="Times New Roman" w:hAnsi="Times New Roman"/>
                <w:sz w:val="24"/>
                <w:lang w:eastAsia="en-GB"/>
              </w:rPr>
              <w:t>t</w:t>
            </w:r>
            <w:r w:rsidRPr="00ED596F">
              <w:rPr>
                <w:rFonts w:ascii="Times New Roman" w:hAnsi="Times New Roman"/>
                <w:sz w:val="24"/>
                <w:szCs w:val="24"/>
              </w:rPr>
              <w:t xml:space="preserve">he Commission </w:t>
            </w:r>
            <w:r w:rsidR="0061492D">
              <w:rPr>
                <w:rFonts w:ascii="Times New Roman" w:hAnsi="Times New Roman"/>
                <w:sz w:val="24"/>
                <w:szCs w:val="24"/>
              </w:rPr>
              <w:t xml:space="preserve">and the High Representative </w:t>
            </w:r>
            <w:r w:rsidRPr="00ED596F">
              <w:rPr>
                <w:rFonts w:ascii="Times New Roman" w:hAnsi="Times New Roman"/>
                <w:sz w:val="24"/>
                <w:szCs w:val="24"/>
              </w:rPr>
              <w:t>appreciate the EESC’s positive assessment of proposed financing mechanisms and notes the EESC’s support for exploring a</w:t>
            </w:r>
            <w:r w:rsidR="000D7322">
              <w:rPr>
                <w:rFonts w:ascii="Times New Roman" w:hAnsi="Times New Roman"/>
                <w:sz w:val="24"/>
                <w:szCs w:val="24"/>
              </w:rPr>
              <w:t> </w:t>
            </w:r>
            <w:r w:rsidRPr="00ED596F">
              <w:rPr>
                <w:rFonts w:ascii="Times New Roman" w:hAnsi="Times New Roman"/>
                <w:sz w:val="24"/>
                <w:szCs w:val="24"/>
              </w:rPr>
              <w:t xml:space="preserve">permanent defence financing mechanism. The Commission has included the possibility of intergovernmental agreements and involvement of non-EU countries in the </w:t>
            </w:r>
            <w:r w:rsidR="00D65FCA" w:rsidRPr="00D65FCA">
              <w:rPr>
                <w:rFonts w:ascii="Times New Roman" w:hAnsi="Times New Roman"/>
                <w:sz w:val="24"/>
                <w:szCs w:val="24"/>
              </w:rPr>
              <w:t>Security Action for Europe</w:t>
            </w:r>
            <w:r w:rsidR="00FA76A8">
              <w:rPr>
                <w:rFonts w:ascii="Times New Roman" w:hAnsi="Times New Roman"/>
                <w:sz w:val="24"/>
                <w:szCs w:val="24"/>
              </w:rPr>
              <w:t> </w:t>
            </w:r>
            <w:r w:rsidR="00D65FCA">
              <w:rPr>
                <w:rFonts w:ascii="Times New Roman" w:hAnsi="Times New Roman"/>
                <w:sz w:val="24"/>
                <w:szCs w:val="24"/>
              </w:rPr>
              <w:t>(</w:t>
            </w:r>
            <w:r w:rsidRPr="00ED596F">
              <w:rPr>
                <w:rFonts w:ascii="Times New Roman" w:hAnsi="Times New Roman"/>
                <w:sz w:val="24"/>
                <w:szCs w:val="24"/>
              </w:rPr>
              <w:t>SAFE</w:t>
            </w:r>
            <w:r w:rsidR="00D65FCA">
              <w:rPr>
                <w:rFonts w:ascii="Times New Roman" w:hAnsi="Times New Roman"/>
                <w:sz w:val="24"/>
                <w:szCs w:val="24"/>
              </w:rPr>
              <w:t>)</w:t>
            </w:r>
            <w:r w:rsidRPr="00ED596F">
              <w:rPr>
                <w:rFonts w:ascii="Times New Roman" w:hAnsi="Times New Roman"/>
                <w:sz w:val="24"/>
                <w:szCs w:val="24"/>
              </w:rPr>
              <w:t xml:space="preserve"> instrument.</w:t>
            </w:r>
            <w:r w:rsidR="00BA5B1A">
              <w:rPr>
                <w:rFonts w:ascii="Times New Roman" w:hAnsi="Times New Roman"/>
                <w:sz w:val="24"/>
                <w:szCs w:val="24"/>
              </w:rPr>
              <w:t xml:space="preserve"> </w:t>
            </w:r>
            <w:r w:rsidR="00C725B2">
              <w:rPr>
                <w:rFonts w:ascii="Times New Roman" w:hAnsi="Times New Roman"/>
                <w:sz w:val="24"/>
                <w:szCs w:val="24"/>
              </w:rPr>
              <w:t xml:space="preserve">The </w:t>
            </w:r>
            <w:r w:rsidRPr="00ED596F">
              <w:rPr>
                <w:rFonts w:ascii="Times New Roman" w:hAnsi="Times New Roman"/>
                <w:sz w:val="24"/>
                <w:szCs w:val="24"/>
              </w:rPr>
              <w:t>Co-legislators have included in the final EDIP</w:t>
            </w:r>
            <w:r w:rsidR="006D7B1A">
              <w:rPr>
                <w:rFonts w:ascii="Times New Roman" w:hAnsi="Times New Roman"/>
                <w:sz w:val="24"/>
                <w:szCs w:val="24"/>
              </w:rPr>
              <w:t xml:space="preserve"> </w:t>
            </w:r>
            <w:r w:rsidR="008E78CA">
              <w:rPr>
                <w:rFonts w:ascii="Times New Roman" w:hAnsi="Times New Roman"/>
                <w:sz w:val="24"/>
                <w:szCs w:val="24"/>
              </w:rPr>
              <w:t>(</w:t>
            </w:r>
            <w:r w:rsidR="008E78CA" w:rsidRPr="008E78CA">
              <w:rPr>
                <w:rFonts w:ascii="Times New Roman" w:hAnsi="Times New Roman"/>
                <w:sz w:val="24"/>
                <w:szCs w:val="24"/>
              </w:rPr>
              <w:t>European Defence Industry Programme</w:t>
            </w:r>
            <w:r w:rsidR="008E78CA">
              <w:rPr>
                <w:rFonts w:ascii="Times New Roman" w:hAnsi="Times New Roman"/>
                <w:sz w:val="24"/>
                <w:szCs w:val="24"/>
              </w:rPr>
              <w:t>)</w:t>
            </w:r>
            <w:r w:rsidRPr="00ED596F">
              <w:rPr>
                <w:rFonts w:ascii="Times New Roman" w:hAnsi="Times New Roman"/>
                <w:sz w:val="24"/>
                <w:szCs w:val="24"/>
              </w:rPr>
              <w:t xml:space="preserve"> Regulation</w:t>
            </w:r>
            <w:r w:rsidR="00D65FCA">
              <w:rPr>
                <w:rStyle w:val="FootnoteReference"/>
                <w:rFonts w:ascii="Times New Roman" w:hAnsi="Times New Roman"/>
                <w:sz w:val="24"/>
                <w:szCs w:val="24"/>
              </w:rPr>
              <w:footnoteReference w:id="4"/>
            </w:r>
            <w:r w:rsidRPr="00ED596F">
              <w:rPr>
                <w:rFonts w:ascii="Times New Roman" w:hAnsi="Times New Roman"/>
                <w:sz w:val="24"/>
                <w:szCs w:val="24"/>
              </w:rPr>
              <w:t xml:space="preserve"> three Joint Declarations calling for additional funding (on top off the current EUR</w:t>
            </w:r>
            <w:r w:rsidR="00FA76A8">
              <w:rPr>
                <w:rFonts w:ascii="Times New Roman" w:hAnsi="Times New Roman"/>
                <w:sz w:val="24"/>
                <w:szCs w:val="24"/>
              </w:rPr>
              <w:t> </w:t>
            </w:r>
            <w:r w:rsidRPr="00ED596F">
              <w:rPr>
                <w:rFonts w:ascii="Times New Roman" w:hAnsi="Times New Roman"/>
                <w:sz w:val="24"/>
                <w:szCs w:val="24"/>
              </w:rPr>
              <w:t>1.5</w:t>
            </w:r>
            <w:r w:rsidR="00FA76A8">
              <w:rPr>
                <w:rFonts w:ascii="Times New Roman" w:hAnsi="Times New Roman"/>
                <w:sz w:val="24"/>
                <w:szCs w:val="24"/>
              </w:rPr>
              <w:t> </w:t>
            </w:r>
            <w:r w:rsidR="00A018A6">
              <w:rPr>
                <w:rFonts w:ascii="Times New Roman" w:hAnsi="Times New Roman"/>
                <w:sz w:val="24"/>
                <w:szCs w:val="24"/>
              </w:rPr>
              <w:t>billion</w:t>
            </w:r>
            <w:r w:rsidRPr="00ED596F">
              <w:rPr>
                <w:rFonts w:ascii="Times New Roman" w:hAnsi="Times New Roman"/>
                <w:sz w:val="24"/>
                <w:szCs w:val="24"/>
              </w:rPr>
              <w:t xml:space="preserve"> budget) for EDIP and the Ukraine Support Instrument. The Commission has proposed to significantly increase the indicative budget in support </w:t>
            </w:r>
            <w:r w:rsidR="00C725B2">
              <w:rPr>
                <w:rFonts w:ascii="Times New Roman" w:hAnsi="Times New Roman"/>
                <w:sz w:val="24"/>
                <w:szCs w:val="24"/>
              </w:rPr>
              <w:t>of</w:t>
            </w:r>
            <w:r w:rsidR="00C725B2" w:rsidRPr="00ED596F">
              <w:rPr>
                <w:rFonts w:ascii="Times New Roman" w:hAnsi="Times New Roman"/>
                <w:sz w:val="24"/>
                <w:szCs w:val="24"/>
              </w:rPr>
              <w:t xml:space="preserve"> </w:t>
            </w:r>
            <w:r w:rsidRPr="00ED596F">
              <w:rPr>
                <w:rFonts w:ascii="Times New Roman" w:hAnsi="Times New Roman"/>
                <w:sz w:val="24"/>
                <w:szCs w:val="24"/>
              </w:rPr>
              <w:t>the EU defence industry, in particular through the European Competitiveness Fund</w:t>
            </w:r>
            <w:r w:rsidR="00FA76A8">
              <w:rPr>
                <w:rFonts w:ascii="Times New Roman" w:hAnsi="Times New Roman"/>
                <w:sz w:val="24"/>
                <w:szCs w:val="24"/>
              </w:rPr>
              <w:t> </w:t>
            </w:r>
            <w:r w:rsidR="000B0467">
              <w:rPr>
                <w:rFonts w:ascii="Times New Roman" w:hAnsi="Times New Roman"/>
                <w:sz w:val="24"/>
                <w:szCs w:val="24"/>
              </w:rPr>
              <w:t>(ECF)</w:t>
            </w:r>
            <w:r w:rsidRPr="00ED596F">
              <w:rPr>
                <w:rFonts w:ascii="Times New Roman" w:hAnsi="Times New Roman"/>
                <w:sz w:val="24"/>
                <w:szCs w:val="24"/>
              </w:rPr>
              <w:t xml:space="preserve">, in the next </w:t>
            </w:r>
            <w:r w:rsidR="00FA76A8">
              <w:rPr>
                <w:rFonts w:ascii="Times New Roman" w:hAnsi="Times New Roman"/>
                <w:sz w:val="24"/>
                <w:szCs w:val="24"/>
              </w:rPr>
              <w:t>m</w:t>
            </w:r>
            <w:r w:rsidRPr="00ED596F">
              <w:rPr>
                <w:rFonts w:ascii="Times New Roman" w:hAnsi="Times New Roman"/>
                <w:sz w:val="24"/>
                <w:szCs w:val="24"/>
              </w:rPr>
              <w:t xml:space="preserve">ultiannual </w:t>
            </w:r>
            <w:r w:rsidR="00FA76A8">
              <w:rPr>
                <w:rFonts w:ascii="Times New Roman" w:hAnsi="Times New Roman"/>
                <w:sz w:val="24"/>
                <w:szCs w:val="24"/>
              </w:rPr>
              <w:t>f</w:t>
            </w:r>
            <w:r w:rsidRPr="00ED596F">
              <w:rPr>
                <w:rFonts w:ascii="Times New Roman" w:hAnsi="Times New Roman"/>
                <w:sz w:val="24"/>
                <w:szCs w:val="24"/>
              </w:rPr>
              <w:t xml:space="preserve">inancial </w:t>
            </w:r>
            <w:r w:rsidR="00FA76A8">
              <w:rPr>
                <w:rFonts w:ascii="Times New Roman" w:hAnsi="Times New Roman"/>
                <w:sz w:val="24"/>
                <w:szCs w:val="24"/>
              </w:rPr>
              <w:t>f</w:t>
            </w:r>
            <w:r w:rsidRPr="00ED596F">
              <w:rPr>
                <w:rFonts w:ascii="Times New Roman" w:hAnsi="Times New Roman"/>
                <w:sz w:val="24"/>
                <w:szCs w:val="24"/>
              </w:rPr>
              <w:t>ramework (MFF) to ensure financial stability and predictability. The Commission has also put forward the proposal for the next Horizon Europe Framework Programme</w:t>
            </w:r>
            <w:r w:rsidR="00FA76A8">
              <w:rPr>
                <w:rFonts w:ascii="Times New Roman" w:hAnsi="Times New Roman"/>
                <w:sz w:val="24"/>
                <w:szCs w:val="24"/>
              </w:rPr>
              <w:t> </w:t>
            </w:r>
            <w:r w:rsidRPr="00ED596F">
              <w:rPr>
                <w:rFonts w:ascii="Times New Roman" w:hAnsi="Times New Roman"/>
                <w:sz w:val="24"/>
                <w:szCs w:val="24"/>
              </w:rPr>
              <w:t>(2028-2034)</w:t>
            </w:r>
            <w:r w:rsidR="00CB518D">
              <w:rPr>
                <w:rFonts w:ascii="Times New Roman" w:hAnsi="Times New Roman"/>
                <w:sz w:val="24"/>
                <w:szCs w:val="24"/>
              </w:rPr>
              <w:t>, under which t</w:t>
            </w:r>
            <w:r w:rsidRPr="00ED596F">
              <w:rPr>
                <w:rFonts w:ascii="Times New Roman" w:hAnsi="Times New Roman"/>
                <w:sz w:val="24"/>
                <w:szCs w:val="24"/>
              </w:rPr>
              <w:t xml:space="preserve">he </w:t>
            </w:r>
            <w:r w:rsidR="00A018A6">
              <w:rPr>
                <w:rFonts w:ascii="Times New Roman" w:hAnsi="Times New Roman"/>
                <w:sz w:val="24"/>
                <w:szCs w:val="24"/>
              </w:rPr>
              <w:t>EUR</w:t>
            </w:r>
            <w:r w:rsidR="00FA76A8">
              <w:rPr>
                <w:rFonts w:ascii="Times New Roman" w:hAnsi="Times New Roman"/>
                <w:sz w:val="24"/>
                <w:szCs w:val="24"/>
              </w:rPr>
              <w:t> </w:t>
            </w:r>
            <w:r w:rsidRPr="00ED596F">
              <w:rPr>
                <w:rFonts w:ascii="Times New Roman" w:hAnsi="Times New Roman"/>
                <w:sz w:val="24"/>
                <w:szCs w:val="24"/>
              </w:rPr>
              <w:t>175</w:t>
            </w:r>
            <w:r w:rsidR="00FA76A8">
              <w:rPr>
                <w:rFonts w:ascii="Times New Roman" w:hAnsi="Times New Roman"/>
                <w:sz w:val="24"/>
                <w:szCs w:val="24"/>
              </w:rPr>
              <w:t> </w:t>
            </w:r>
            <w:r w:rsidR="00A018A6">
              <w:rPr>
                <w:rFonts w:ascii="Times New Roman" w:hAnsi="Times New Roman"/>
                <w:sz w:val="24"/>
                <w:szCs w:val="24"/>
              </w:rPr>
              <w:t>billion</w:t>
            </w:r>
            <w:r w:rsidRPr="00ED596F">
              <w:rPr>
                <w:rFonts w:ascii="Times New Roman" w:hAnsi="Times New Roman"/>
                <w:sz w:val="24"/>
                <w:szCs w:val="24"/>
              </w:rPr>
              <w:t xml:space="preserve"> budget programme may support dual-use actions.</w:t>
            </w:r>
          </w:p>
          <w:p w14:paraId="2AD8356C" w14:textId="2CD6A489"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1.8 of the opinion</w:t>
            </w:r>
            <w:r>
              <w:rPr>
                <w:rFonts w:ascii="Times New Roman" w:hAnsi="Times New Roman"/>
                <w:sz w:val="24"/>
                <w:szCs w:val="24"/>
              </w:rPr>
              <w:t>,</w:t>
            </w:r>
            <w:r w:rsidRPr="00ED596F">
              <w:rPr>
                <w:rFonts w:ascii="Times New Roman" w:eastAsia="Times New Roman" w:hAnsi="Times New Roman"/>
                <w:sz w:val="24"/>
                <w:lang w:eastAsia="en-GB"/>
              </w:rPr>
              <w:t xml:space="preserve"> </w:t>
            </w:r>
            <w:r w:rsidR="00BA5B1A">
              <w:rPr>
                <w:rFonts w:ascii="Times New Roman" w:eastAsia="Times New Roman" w:hAnsi="Times New Roman"/>
                <w:sz w:val="24"/>
                <w:lang w:eastAsia="en-GB"/>
              </w:rPr>
              <w:t>t</w:t>
            </w:r>
            <w:r w:rsidRPr="00ED596F">
              <w:rPr>
                <w:rFonts w:ascii="Times New Roman" w:hAnsi="Times New Roman"/>
                <w:sz w:val="24"/>
                <w:szCs w:val="24"/>
              </w:rPr>
              <w:t>he Commission recalls that the recent reform of the economic governance framework already includes measures to promote public investment. Member States have a</w:t>
            </w:r>
            <w:r w:rsidR="00D65FCA">
              <w:rPr>
                <w:rFonts w:ascii="Times New Roman" w:hAnsi="Times New Roman"/>
                <w:sz w:val="24"/>
                <w:szCs w:val="24"/>
              </w:rPr>
              <w:t> </w:t>
            </w:r>
            <w:r w:rsidRPr="00ED596F">
              <w:rPr>
                <w:rFonts w:ascii="Times New Roman" w:hAnsi="Times New Roman"/>
                <w:sz w:val="24"/>
                <w:szCs w:val="24"/>
              </w:rPr>
              <w:t>stronger ownership in terms of management of public expenditure, and they can pursue the objective of sustainable public finances in a more flexible way if they commit to meaningful reforms and investment. In this context, national escape clauses are meant to be a temporary instrument, and the Commission has maintained that permanently higher levels of defence expenditure will – ceteris paribus – require a</w:t>
            </w:r>
            <w:r w:rsidR="00FA76A8">
              <w:rPr>
                <w:rFonts w:ascii="Times New Roman" w:hAnsi="Times New Roman"/>
                <w:sz w:val="24"/>
                <w:szCs w:val="24"/>
              </w:rPr>
              <w:t> </w:t>
            </w:r>
            <w:r w:rsidRPr="00ED596F">
              <w:rPr>
                <w:rFonts w:ascii="Times New Roman" w:hAnsi="Times New Roman"/>
                <w:sz w:val="24"/>
                <w:szCs w:val="24"/>
              </w:rPr>
              <w:t>reprioritisation of expenditure. Finally, Mario Draghi’s report on the Future of European Competitiveness shows that investment in strategic sectors like defence, especially through innovation and SME</w:t>
            </w:r>
            <w:r w:rsidR="000B0467">
              <w:rPr>
                <w:rFonts w:ascii="Times New Roman" w:hAnsi="Times New Roman"/>
                <w:sz w:val="24"/>
                <w:szCs w:val="24"/>
              </w:rPr>
              <w:t>s</w:t>
            </w:r>
            <w:r w:rsidRPr="00ED596F">
              <w:rPr>
                <w:rFonts w:ascii="Times New Roman" w:hAnsi="Times New Roman"/>
                <w:sz w:val="24"/>
                <w:szCs w:val="24"/>
              </w:rPr>
              <w:t xml:space="preserve"> support, can boost resilience, create jobs, and enhance competitiveness. The use of regional cohesion funds for defence expenditure (in the specified region) can have the same effect.</w:t>
            </w:r>
          </w:p>
          <w:p w14:paraId="0F9E460E" w14:textId="27088DCB"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1.9 of the opinion</w:t>
            </w:r>
            <w:r>
              <w:rPr>
                <w:rFonts w:ascii="Times New Roman" w:hAnsi="Times New Roman"/>
                <w:sz w:val="24"/>
                <w:szCs w:val="24"/>
              </w:rPr>
              <w:t>,</w:t>
            </w:r>
            <w:r w:rsidRPr="00ED596F">
              <w:rPr>
                <w:rFonts w:ascii="Times New Roman" w:eastAsia="Times New Roman" w:hAnsi="Times New Roman"/>
                <w:sz w:val="24"/>
                <w:lang w:eastAsia="en-GB"/>
              </w:rPr>
              <w:t xml:space="preserve"> </w:t>
            </w:r>
            <w:r w:rsidR="00BA5B1A">
              <w:rPr>
                <w:rFonts w:ascii="Times New Roman" w:hAnsi="Times New Roman"/>
                <w:sz w:val="24"/>
                <w:szCs w:val="24"/>
              </w:rPr>
              <w:t>t</w:t>
            </w:r>
            <w:r w:rsidRPr="00ED596F">
              <w:rPr>
                <w:rFonts w:ascii="Times New Roman" w:hAnsi="Times New Roman"/>
                <w:sz w:val="24"/>
                <w:szCs w:val="24"/>
              </w:rPr>
              <w:t xml:space="preserve">he Commission </w:t>
            </w:r>
            <w:r w:rsidR="0061492D">
              <w:rPr>
                <w:rFonts w:ascii="Times New Roman" w:hAnsi="Times New Roman"/>
                <w:sz w:val="24"/>
                <w:szCs w:val="24"/>
              </w:rPr>
              <w:t xml:space="preserve">and the High Representative </w:t>
            </w:r>
            <w:r w:rsidRPr="00ED596F">
              <w:rPr>
                <w:rFonts w:ascii="Times New Roman" w:hAnsi="Times New Roman"/>
                <w:sz w:val="24"/>
                <w:szCs w:val="24"/>
              </w:rPr>
              <w:t xml:space="preserve">share the EESC’s view on the strategic importance of Europe’s Eastern flank. The </w:t>
            </w:r>
            <w:r w:rsidR="0061492D">
              <w:rPr>
                <w:rFonts w:ascii="Times New Roman" w:hAnsi="Times New Roman"/>
                <w:sz w:val="24"/>
                <w:szCs w:val="24"/>
              </w:rPr>
              <w:t>EU</w:t>
            </w:r>
            <w:r w:rsidRPr="00ED596F">
              <w:rPr>
                <w:rFonts w:ascii="Times New Roman" w:hAnsi="Times New Roman"/>
                <w:sz w:val="24"/>
                <w:szCs w:val="24"/>
              </w:rPr>
              <w:t xml:space="preserve"> is committed to strengthening cooperation with frontline states. New initiatives such as an ’Eastern Flank Watch’ and a ‘European Drone Defence Initiative’ are being explored and will be vital for bolstering security in the region.</w:t>
            </w:r>
            <w:r w:rsidR="00BA5B1A">
              <w:rPr>
                <w:rFonts w:ascii="Times New Roman" w:hAnsi="Times New Roman"/>
                <w:sz w:val="24"/>
                <w:szCs w:val="24"/>
              </w:rPr>
              <w:t xml:space="preserve"> </w:t>
            </w:r>
            <w:r w:rsidRPr="00ED596F">
              <w:rPr>
                <w:rFonts w:ascii="Times New Roman" w:hAnsi="Times New Roman"/>
                <w:sz w:val="24"/>
                <w:szCs w:val="24"/>
              </w:rPr>
              <w:t>The Commission</w:t>
            </w:r>
            <w:r w:rsidR="0061492D">
              <w:rPr>
                <w:rFonts w:ascii="Times New Roman" w:hAnsi="Times New Roman"/>
                <w:sz w:val="24"/>
                <w:szCs w:val="24"/>
              </w:rPr>
              <w:t xml:space="preserve"> and the High Representative</w:t>
            </w:r>
            <w:r w:rsidRPr="00ED596F">
              <w:rPr>
                <w:rFonts w:ascii="Times New Roman" w:hAnsi="Times New Roman"/>
                <w:sz w:val="24"/>
                <w:szCs w:val="24"/>
              </w:rPr>
              <w:t xml:space="preserve"> fully agree that close cooperation with NATO, third countries, and key partners such as Ukraine is indispensable. The EU has opened the Ukraine Defence Innovation Office in Kyiv and has negotiat</w:t>
            </w:r>
            <w:r w:rsidR="00CC383C">
              <w:rPr>
                <w:rFonts w:ascii="Times New Roman" w:hAnsi="Times New Roman"/>
                <w:sz w:val="24"/>
                <w:szCs w:val="24"/>
              </w:rPr>
              <w:t>ed</w:t>
            </w:r>
            <w:r w:rsidRPr="00ED596F">
              <w:rPr>
                <w:rFonts w:ascii="Times New Roman" w:hAnsi="Times New Roman"/>
                <w:sz w:val="24"/>
                <w:szCs w:val="24"/>
              </w:rPr>
              <w:t xml:space="preserve"> with the UK and Canada for the association of their defence industry to </w:t>
            </w:r>
            <w:r w:rsidR="00FA76A8" w:rsidRPr="006D7B1A">
              <w:rPr>
                <w:rFonts w:ascii="Times New Roman" w:hAnsi="Times New Roman"/>
                <w:sz w:val="24"/>
                <w:szCs w:val="24"/>
              </w:rPr>
              <w:t>Security Action for Europe (</w:t>
            </w:r>
            <w:r w:rsidRPr="00ED596F">
              <w:rPr>
                <w:rFonts w:ascii="Times New Roman" w:hAnsi="Times New Roman"/>
                <w:sz w:val="24"/>
                <w:szCs w:val="24"/>
              </w:rPr>
              <w:t>SAFE</w:t>
            </w:r>
            <w:r w:rsidR="00FA76A8">
              <w:rPr>
                <w:rFonts w:ascii="Times New Roman" w:hAnsi="Times New Roman"/>
                <w:sz w:val="24"/>
                <w:szCs w:val="24"/>
              </w:rPr>
              <w:t>)</w:t>
            </w:r>
            <w:r w:rsidRPr="00ED596F">
              <w:rPr>
                <w:rFonts w:ascii="Times New Roman" w:hAnsi="Times New Roman"/>
                <w:sz w:val="24"/>
                <w:szCs w:val="24"/>
              </w:rPr>
              <w:t xml:space="preserve">. </w:t>
            </w:r>
            <w:r w:rsidR="00CC383C">
              <w:rPr>
                <w:rFonts w:ascii="Times New Roman" w:hAnsi="Times New Roman"/>
                <w:sz w:val="24"/>
                <w:szCs w:val="24"/>
              </w:rPr>
              <w:t xml:space="preserve">An agreement was signed with Canada </w:t>
            </w:r>
            <w:r w:rsidR="00802A1D">
              <w:rPr>
                <w:rFonts w:ascii="Times New Roman" w:hAnsi="Times New Roman"/>
                <w:sz w:val="24"/>
                <w:szCs w:val="24"/>
              </w:rPr>
              <w:t xml:space="preserve">on 14 </w:t>
            </w:r>
            <w:r w:rsidR="00CC383C">
              <w:rPr>
                <w:rFonts w:ascii="Times New Roman" w:hAnsi="Times New Roman"/>
                <w:sz w:val="24"/>
                <w:szCs w:val="24"/>
              </w:rPr>
              <w:t xml:space="preserve">February. </w:t>
            </w:r>
            <w:r w:rsidRPr="00ED596F">
              <w:rPr>
                <w:rFonts w:ascii="Times New Roman" w:hAnsi="Times New Roman"/>
                <w:sz w:val="24"/>
                <w:szCs w:val="24"/>
              </w:rPr>
              <w:t xml:space="preserve">The Commission </w:t>
            </w:r>
            <w:r w:rsidR="0061492D">
              <w:rPr>
                <w:rFonts w:ascii="Times New Roman" w:hAnsi="Times New Roman"/>
                <w:sz w:val="24"/>
                <w:szCs w:val="24"/>
              </w:rPr>
              <w:t xml:space="preserve">and the High Representative are </w:t>
            </w:r>
            <w:r w:rsidR="00CC383C">
              <w:rPr>
                <w:rFonts w:ascii="Times New Roman" w:hAnsi="Times New Roman"/>
                <w:sz w:val="24"/>
                <w:szCs w:val="24"/>
              </w:rPr>
              <w:t>working to</w:t>
            </w:r>
            <w:r w:rsidRPr="00ED596F">
              <w:rPr>
                <w:rFonts w:ascii="Times New Roman" w:hAnsi="Times New Roman"/>
                <w:sz w:val="24"/>
                <w:szCs w:val="24"/>
              </w:rPr>
              <w:t xml:space="preserve"> establish a ‘Drone Alliance’ with Ukraine to foster innovation and enhance collaboration on defence capabilities. Finally, the EU maintains close relations with NATO through the EU-NATO Structured Dialogue on Emerging and Disruptive Technologies and the EU-NATO Structure Dialogue on Military Mobility.</w:t>
            </w:r>
          </w:p>
          <w:p w14:paraId="45F24055" w14:textId="0005B7F7"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2.1 of the opinion</w:t>
            </w:r>
            <w:r w:rsidRPr="006D7B1A">
              <w:rPr>
                <w:rFonts w:ascii="Times New Roman" w:hAnsi="Times New Roman"/>
                <w:sz w:val="24"/>
                <w:szCs w:val="24"/>
                <w:u w:val="single"/>
              </w:rPr>
              <w:t>,</w:t>
            </w:r>
            <w:r w:rsidRPr="00ED596F">
              <w:rPr>
                <w:rFonts w:ascii="Times New Roman" w:eastAsia="Times New Roman" w:hAnsi="Times New Roman"/>
                <w:sz w:val="24"/>
                <w:lang w:eastAsia="en-GB"/>
              </w:rPr>
              <w:t xml:space="preserve"> </w:t>
            </w:r>
            <w:r w:rsidR="00BA5B1A">
              <w:rPr>
                <w:rFonts w:ascii="Times New Roman" w:eastAsia="Times New Roman" w:hAnsi="Times New Roman"/>
                <w:sz w:val="24"/>
                <w:lang w:eastAsia="en-GB"/>
              </w:rPr>
              <w:t>t</w:t>
            </w:r>
            <w:r w:rsidRPr="00ED596F">
              <w:rPr>
                <w:rFonts w:ascii="Times New Roman" w:hAnsi="Times New Roman"/>
                <w:sz w:val="24"/>
                <w:szCs w:val="24"/>
              </w:rPr>
              <w:t xml:space="preserve">he Commission </w:t>
            </w:r>
            <w:r w:rsidR="0061492D">
              <w:rPr>
                <w:rFonts w:ascii="Times New Roman" w:hAnsi="Times New Roman"/>
                <w:sz w:val="24"/>
                <w:szCs w:val="24"/>
              </w:rPr>
              <w:t xml:space="preserve">and the High Representative </w:t>
            </w:r>
            <w:r w:rsidRPr="00ED596F">
              <w:rPr>
                <w:rFonts w:ascii="Times New Roman" w:hAnsi="Times New Roman"/>
                <w:sz w:val="24"/>
                <w:szCs w:val="24"/>
              </w:rPr>
              <w:t xml:space="preserve">appreciate the EESC’s emphasis on complementing the EU’s security strategy with a broader peace strategy. Lasting peace requires addressing the root causes of conflict, promoting human dignity, equality, and social progress, </w:t>
            </w:r>
            <w:r w:rsidRPr="00ED596F">
              <w:rPr>
                <w:rFonts w:ascii="Times New Roman" w:hAnsi="Times New Roman"/>
                <w:sz w:val="24"/>
                <w:szCs w:val="24"/>
              </w:rPr>
              <w:lastRenderedPageBreak/>
              <w:t xml:space="preserve">and upholding the UN Charter and international law in all </w:t>
            </w:r>
            <w:r w:rsidR="008E78CA">
              <w:rPr>
                <w:rFonts w:ascii="Times New Roman" w:hAnsi="Times New Roman"/>
                <w:sz w:val="24"/>
                <w:szCs w:val="24"/>
              </w:rPr>
              <w:t>the EU’s</w:t>
            </w:r>
            <w:r w:rsidR="008E78CA" w:rsidRPr="00ED596F">
              <w:rPr>
                <w:rFonts w:ascii="Times New Roman" w:hAnsi="Times New Roman"/>
                <w:sz w:val="24"/>
                <w:szCs w:val="24"/>
              </w:rPr>
              <w:t xml:space="preserve"> </w:t>
            </w:r>
            <w:r w:rsidRPr="00ED596F">
              <w:rPr>
                <w:rFonts w:ascii="Times New Roman" w:hAnsi="Times New Roman"/>
                <w:sz w:val="24"/>
                <w:szCs w:val="24"/>
              </w:rPr>
              <w:t>actions.</w:t>
            </w:r>
          </w:p>
          <w:p w14:paraId="799ACE06" w14:textId="20E6B36C"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2.7 of the opinion</w:t>
            </w:r>
            <w:r>
              <w:rPr>
                <w:rFonts w:ascii="Times New Roman" w:hAnsi="Times New Roman"/>
                <w:sz w:val="24"/>
                <w:szCs w:val="24"/>
              </w:rPr>
              <w:t>,</w:t>
            </w:r>
            <w:r w:rsidRPr="00ED596F">
              <w:rPr>
                <w:rFonts w:ascii="Times New Roman" w:eastAsia="Times New Roman" w:hAnsi="Times New Roman"/>
                <w:sz w:val="24"/>
                <w:lang w:eastAsia="en-GB"/>
              </w:rPr>
              <w:t xml:space="preserve"> </w:t>
            </w:r>
            <w:r w:rsidR="00BA5B1A">
              <w:rPr>
                <w:rFonts w:ascii="Times New Roman" w:hAnsi="Times New Roman"/>
                <w:sz w:val="24"/>
                <w:szCs w:val="24"/>
              </w:rPr>
              <w:t>t</w:t>
            </w:r>
            <w:r w:rsidRPr="00ED596F">
              <w:rPr>
                <w:rFonts w:ascii="Times New Roman" w:hAnsi="Times New Roman"/>
                <w:sz w:val="24"/>
                <w:szCs w:val="24"/>
              </w:rPr>
              <w:t xml:space="preserve">he Commission </w:t>
            </w:r>
            <w:r w:rsidR="0061492D">
              <w:rPr>
                <w:rFonts w:ascii="Times New Roman" w:hAnsi="Times New Roman"/>
                <w:sz w:val="24"/>
                <w:szCs w:val="24"/>
              </w:rPr>
              <w:t xml:space="preserve">and the High Representative </w:t>
            </w:r>
            <w:r w:rsidRPr="00ED596F">
              <w:rPr>
                <w:rFonts w:ascii="Times New Roman" w:hAnsi="Times New Roman"/>
                <w:sz w:val="24"/>
                <w:szCs w:val="24"/>
              </w:rPr>
              <w:t>agree that greater collaboration is needed to overcome inefficiencies and fragmentation in defence capability development. Through SAFE and EDIP the Commission intends to promote common procurement to support Member States to spend better</w:t>
            </w:r>
            <w:r w:rsidR="00EE2B81">
              <w:rPr>
                <w:rFonts w:ascii="Times New Roman" w:hAnsi="Times New Roman"/>
                <w:sz w:val="24"/>
                <w:szCs w:val="24"/>
              </w:rPr>
              <w:t>,</w:t>
            </w:r>
            <w:r w:rsidRPr="00ED596F">
              <w:rPr>
                <w:rFonts w:ascii="Times New Roman" w:hAnsi="Times New Roman"/>
                <w:sz w:val="24"/>
                <w:szCs w:val="24"/>
              </w:rPr>
              <w:t xml:space="preserve"> together</w:t>
            </w:r>
            <w:r w:rsidR="00EE2B81">
              <w:rPr>
                <w:rFonts w:ascii="Times New Roman" w:hAnsi="Times New Roman"/>
                <w:sz w:val="24"/>
                <w:szCs w:val="24"/>
              </w:rPr>
              <w:t xml:space="preserve"> </w:t>
            </w:r>
            <w:r w:rsidRPr="00ED596F">
              <w:rPr>
                <w:rFonts w:ascii="Times New Roman" w:hAnsi="Times New Roman"/>
                <w:sz w:val="24"/>
                <w:szCs w:val="24"/>
              </w:rPr>
              <w:t xml:space="preserve">and more European. </w:t>
            </w:r>
            <w:r w:rsidR="00CC383C">
              <w:rPr>
                <w:rFonts w:ascii="Times New Roman" w:hAnsi="Times New Roman"/>
                <w:sz w:val="24"/>
                <w:szCs w:val="24"/>
              </w:rPr>
              <w:t xml:space="preserve">Under SAFE, 16 </w:t>
            </w:r>
            <w:r w:rsidR="00802A1D">
              <w:rPr>
                <w:rFonts w:ascii="Times New Roman" w:hAnsi="Times New Roman"/>
                <w:sz w:val="24"/>
                <w:szCs w:val="24"/>
              </w:rPr>
              <w:t xml:space="preserve">out of 19 </w:t>
            </w:r>
            <w:r w:rsidR="00CC383C">
              <w:rPr>
                <w:rFonts w:ascii="Times New Roman" w:hAnsi="Times New Roman"/>
                <w:sz w:val="24"/>
                <w:szCs w:val="24"/>
              </w:rPr>
              <w:t xml:space="preserve">National plans have already been </w:t>
            </w:r>
            <w:r w:rsidR="00802A1D">
              <w:rPr>
                <w:rFonts w:ascii="Times New Roman" w:hAnsi="Times New Roman"/>
                <w:sz w:val="24"/>
                <w:szCs w:val="24"/>
              </w:rPr>
              <w:t xml:space="preserve">positively assessed, representing more than EUR 105 billion. More than 65% of proposed projects are joint procurement. </w:t>
            </w:r>
            <w:r w:rsidRPr="00ED596F">
              <w:rPr>
                <w:rFonts w:ascii="Times New Roman" w:hAnsi="Times New Roman"/>
                <w:sz w:val="24"/>
                <w:szCs w:val="24"/>
              </w:rPr>
              <w:t xml:space="preserve">Targeted support, including through the EIC Accelerator, </w:t>
            </w:r>
            <w:r w:rsidR="00802A1D">
              <w:rPr>
                <w:rFonts w:ascii="Times New Roman" w:hAnsi="Times New Roman"/>
                <w:sz w:val="24"/>
                <w:szCs w:val="24"/>
              </w:rPr>
              <w:t>after</w:t>
            </w:r>
            <w:r w:rsidRPr="00ED596F">
              <w:rPr>
                <w:rFonts w:ascii="Times New Roman" w:hAnsi="Times New Roman"/>
                <w:sz w:val="24"/>
                <w:szCs w:val="24"/>
              </w:rPr>
              <w:t xml:space="preserve"> the adoption of the defence </w:t>
            </w:r>
            <w:r w:rsidR="000B0467">
              <w:rPr>
                <w:rFonts w:ascii="Times New Roman" w:hAnsi="Times New Roman"/>
                <w:sz w:val="24"/>
                <w:szCs w:val="24"/>
              </w:rPr>
              <w:t>M</w:t>
            </w:r>
            <w:r w:rsidRPr="00ED596F">
              <w:rPr>
                <w:rFonts w:ascii="Times New Roman" w:hAnsi="Times New Roman"/>
                <w:sz w:val="24"/>
                <w:szCs w:val="24"/>
              </w:rPr>
              <w:t>ini-</w:t>
            </w:r>
            <w:r w:rsidR="000B0467">
              <w:rPr>
                <w:rFonts w:ascii="Times New Roman" w:hAnsi="Times New Roman"/>
                <w:sz w:val="24"/>
                <w:szCs w:val="24"/>
              </w:rPr>
              <w:t>O</w:t>
            </w:r>
            <w:r w:rsidRPr="00ED596F">
              <w:rPr>
                <w:rFonts w:ascii="Times New Roman" w:hAnsi="Times New Roman"/>
                <w:sz w:val="24"/>
                <w:szCs w:val="24"/>
              </w:rPr>
              <w:t>mnibus, can accelerate progress in disruptive technologies critical for Europe’s defence future.</w:t>
            </w:r>
            <w:r w:rsidRPr="00ED596F">
              <w:rPr>
                <w:rFonts w:ascii="Times New Roman" w:eastAsia="Times New Roman" w:hAnsi="Times New Roman"/>
                <w:sz w:val="24"/>
                <w:lang w:eastAsia="en-GB"/>
              </w:rPr>
              <w:t xml:space="preserve"> </w:t>
            </w:r>
            <w:r w:rsidRPr="00ED596F">
              <w:rPr>
                <w:rFonts w:ascii="Times New Roman" w:hAnsi="Times New Roman"/>
                <w:sz w:val="24"/>
                <w:szCs w:val="24"/>
              </w:rPr>
              <w:t>The proposal for the next Horizon Europe Framework Programme</w:t>
            </w:r>
            <w:r w:rsidR="00080E29">
              <w:rPr>
                <w:rStyle w:val="FootnoteReference"/>
                <w:rFonts w:ascii="Times New Roman" w:hAnsi="Times New Roman"/>
                <w:sz w:val="24"/>
                <w:szCs w:val="24"/>
              </w:rPr>
              <w:footnoteReference w:id="5"/>
            </w:r>
            <w:r w:rsidRPr="00ED596F">
              <w:rPr>
                <w:rFonts w:ascii="Times New Roman" w:hAnsi="Times New Roman"/>
                <w:sz w:val="24"/>
                <w:szCs w:val="24"/>
              </w:rPr>
              <w:t xml:space="preserve"> may</w:t>
            </w:r>
            <w:r w:rsidR="009202D7">
              <w:rPr>
                <w:rFonts w:ascii="Times New Roman" w:hAnsi="Times New Roman"/>
                <w:sz w:val="24"/>
                <w:szCs w:val="24"/>
              </w:rPr>
              <w:t xml:space="preserve"> also</w:t>
            </w:r>
            <w:r w:rsidRPr="00ED596F">
              <w:rPr>
                <w:rFonts w:ascii="Times New Roman" w:hAnsi="Times New Roman"/>
                <w:sz w:val="24"/>
                <w:szCs w:val="24"/>
              </w:rPr>
              <w:t xml:space="preserve"> help address hindered progress in emerging disruptive technologies that are critical for Europe’s defence.</w:t>
            </w:r>
          </w:p>
          <w:p w14:paraId="42DEB184" w14:textId="5814945E"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2.9 of the opinion</w:t>
            </w:r>
            <w:r>
              <w:rPr>
                <w:rFonts w:ascii="Times New Roman" w:hAnsi="Times New Roman"/>
                <w:sz w:val="24"/>
                <w:szCs w:val="24"/>
              </w:rPr>
              <w:t>,</w:t>
            </w:r>
            <w:r w:rsidRPr="00ED596F">
              <w:rPr>
                <w:rFonts w:ascii="Times New Roman" w:eastAsia="Times New Roman" w:hAnsi="Times New Roman"/>
                <w:sz w:val="24"/>
                <w:lang w:eastAsia="en-GB"/>
              </w:rPr>
              <w:t xml:space="preserve"> </w:t>
            </w:r>
            <w:r w:rsidR="00BA5B1A">
              <w:rPr>
                <w:rFonts w:ascii="Times New Roman" w:eastAsia="Times New Roman" w:hAnsi="Times New Roman"/>
                <w:sz w:val="24"/>
                <w:lang w:eastAsia="en-GB"/>
              </w:rPr>
              <w:t>t</w:t>
            </w:r>
            <w:r w:rsidRPr="00ED596F">
              <w:rPr>
                <w:rFonts w:ascii="Times New Roman" w:hAnsi="Times New Roman"/>
                <w:sz w:val="24"/>
                <w:szCs w:val="24"/>
              </w:rPr>
              <w:t xml:space="preserve">he Commission recognises the importance of supporting innovation, SMEs, and research institutions to reduce reliance on external suppliers and safeguard strategic autonomy. </w:t>
            </w:r>
            <w:r w:rsidR="00794A91">
              <w:rPr>
                <w:rFonts w:ascii="Times New Roman" w:hAnsi="Times New Roman"/>
                <w:sz w:val="24"/>
                <w:szCs w:val="24"/>
              </w:rPr>
              <w:t>T</w:t>
            </w:r>
            <w:r w:rsidR="00794A91" w:rsidRPr="00ED596F">
              <w:rPr>
                <w:rFonts w:ascii="Times New Roman" w:hAnsi="Times New Roman"/>
                <w:sz w:val="24"/>
                <w:szCs w:val="24"/>
              </w:rPr>
              <w:t xml:space="preserve">he Commission </w:t>
            </w:r>
            <w:r w:rsidR="00794A91">
              <w:rPr>
                <w:rFonts w:ascii="Times New Roman" w:hAnsi="Times New Roman"/>
                <w:sz w:val="24"/>
                <w:szCs w:val="24"/>
              </w:rPr>
              <w:t xml:space="preserve">is </w:t>
            </w:r>
            <w:r w:rsidRPr="00ED596F">
              <w:rPr>
                <w:rFonts w:ascii="Times New Roman" w:hAnsi="Times New Roman"/>
                <w:sz w:val="24"/>
                <w:szCs w:val="24"/>
              </w:rPr>
              <w:t xml:space="preserve">working with industry to enhance support for SMEs and foster closer collaboration with the research community. </w:t>
            </w:r>
            <w:r w:rsidR="00802A1D">
              <w:rPr>
                <w:rFonts w:ascii="Times New Roman" w:hAnsi="Times New Roman"/>
                <w:sz w:val="24"/>
                <w:szCs w:val="24"/>
              </w:rPr>
              <w:t>The</w:t>
            </w:r>
            <w:r w:rsidRPr="00ED596F">
              <w:rPr>
                <w:rFonts w:ascii="Times New Roman" w:hAnsi="Times New Roman"/>
                <w:sz w:val="24"/>
                <w:szCs w:val="24"/>
              </w:rPr>
              <w:t xml:space="preserve"> Defence Industry Transformation Roadmap </w:t>
            </w:r>
            <w:r w:rsidR="00802A1D">
              <w:rPr>
                <w:rFonts w:ascii="Times New Roman" w:hAnsi="Times New Roman"/>
                <w:sz w:val="24"/>
                <w:szCs w:val="24"/>
              </w:rPr>
              <w:t>is a</w:t>
            </w:r>
            <w:r w:rsidR="00FD67F4">
              <w:rPr>
                <w:rFonts w:ascii="Times New Roman" w:hAnsi="Times New Roman"/>
                <w:sz w:val="24"/>
                <w:szCs w:val="24"/>
              </w:rPr>
              <w:t> </w:t>
            </w:r>
            <w:r w:rsidR="00802A1D">
              <w:rPr>
                <w:rFonts w:ascii="Times New Roman" w:hAnsi="Times New Roman"/>
                <w:sz w:val="24"/>
                <w:szCs w:val="24"/>
              </w:rPr>
              <w:t xml:space="preserve">key initiative </w:t>
            </w:r>
            <w:r w:rsidRPr="00ED596F">
              <w:rPr>
                <w:rFonts w:ascii="Times New Roman" w:hAnsi="Times New Roman"/>
                <w:sz w:val="24"/>
                <w:szCs w:val="24"/>
              </w:rPr>
              <w:t>aim</w:t>
            </w:r>
            <w:r w:rsidR="00802A1D">
              <w:rPr>
                <w:rFonts w:ascii="Times New Roman" w:hAnsi="Times New Roman"/>
                <w:sz w:val="24"/>
                <w:szCs w:val="24"/>
              </w:rPr>
              <w:t>ing</w:t>
            </w:r>
            <w:r w:rsidRPr="00ED596F">
              <w:rPr>
                <w:rFonts w:ascii="Times New Roman" w:hAnsi="Times New Roman"/>
                <w:sz w:val="24"/>
                <w:szCs w:val="24"/>
              </w:rPr>
              <w:t xml:space="preserve"> at mainstreaming and tapping the power of innovation in defence technology from the entire EU innovation ecosystem, including both traditional and non-traditional defence actors.</w:t>
            </w:r>
          </w:p>
          <w:p w14:paraId="744D002C" w14:textId="03E1AD4F"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3.4 of the opinion</w:t>
            </w:r>
            <w:r>
              <w:rPr>
                <w:rFonts w:ascii="Times New Roman" w:hAnsi="Times New Roman"/>
                <w:sz w:val="24"/>
                <w:szCs w:val="24"/>
              </w:rPr>
              <w:t>,</w:t>
            </w:r>
            <w:r w:rsidRPr="00ED596F">
              <w:rPr>
                <w:rFonts w:ascii="Times New Roman" w:eastAsia="Times New Roman" w:hAnsi="Times New Roman"/>
                <w:sz w:val="24"/>
                <w:lang w:eastAsia="en-GB"/>
              </w:rPr>
              <w:t xml:space="preserve"> </w:t>
            </w:r>
            <w:r w:rsidR="00BA5B1A">
              <w:rPr>
                <w:rFonts w:ascii="Times New Roman" w:hAnsi="Times New Roman"/>
                <w:sz w:val="24"/>
                <w:szCs w:val="24"/>
              </w:rPr>
              <w:t>t</w:t>
            </w:r>
            <w:r w:rsidRPr="00ED596F">
              <w:rPr>
                <w:rFonts w:ascii="Times New Roman" w:hAnsi="Times New Roman"/>
                <w:sz w:val="24"/>
                <w:szCs w:val="24"/>
              </w:rPr>
              <w:t>he President</w:t>
            </w:r>
            <w:r w:rsidR="00794A91">
              <w:rPr>
                <w:rFonts w:ascii="Times New Roman" w:hAnsi="Times New Roman"/>
                <w:sz w:val="24"/>
                <w:szCs w:val="24"/>
              </w:rPr>
              <w:t xml:space="preserve"> von der Leyen</w:t>
            </w:r>
            <w:r w:rsidRPr="00ED596F">
              <w:rPr>
                <w:rFonts w:ascii="Times New Roman" w:hAnsi="Times New Roman"/>
                <w:sz w:val="24"/>
                <w:szCs w:val="24"/>
              </w:rPr>
              <w:t xml:space="preserve">, in her State of the European Union speech, launched the notion of an Eastern Flank Watch </w:t>
            </w:r>
            <w:r w:rsidR="00794A91">
              <w:rPr>
                <w:rFonts w:ascii="Times New Roman" w:hAnsi="Times New Roman"/>
                <w:sz w:val="24"/>
                <w:szCs w:val="24"/>
              </w:rPr>
              <w:t>t</w:t>
            </w:r>
            <w:r w:rsidRPr="00ED596F">
              <w:rPr>
                <w:rFonts w:ascii="Times New Roman" w:hAnsi="Times New Roman"/>
                <w:sz w:val="24"/>
                <w:szCs w:val="24"/>
              </w:rPr>
              <w:t>o be developed as a</w:t>
            </w:r>
            <w:r w:rsidR="00386BC9">
              <w:rPr>
                <w:rFonts w:ascii="Times New Roman" w:hAnsi="Times New Roman"/>
                <w:sz w:val="24"/>
                <w:szCs w:val="24"/>
              </w:rPr>
              <w:t> </w:t>
            </w:r>
            <w:r w:rsidR="00E71965">
              <w:rPr>
                <w:rFonts w:ascii="Times New Roman" w:hAnsi="Times New Roman"/>
                <w:sz w:val="24"/>
                <w:szCs w:val="24"/>
              </w:rPr>
              <w:t>f</w:t>
            </w:r>
            <w:r w:rsidRPr="00ED596F">
              <w:rPr>
                <w:rFonts w:ascii="Times New Roman" w:hAnsi="Times New Roman"/>
                <w:sz w:val="24"/>
                <w:szCs w:val="24"/>
              </w:rPr>
              <w:t xml:space="preserve">lagship project to achieve Defence Readiness in 2030. </w:t>
            </w:r>
            <w:r w:rsidR="00802A1D">
              <w:rPr>
                <w:rFonts w:ascii="Times New Roman" w:hAnsi="Times New Roman"/>
                <w:sz w:val="24"/>
                <w:szCs w:val="24"/>
              </w:rPr>
              <w:t>According to leading Member States, t</w:t>
            </w:r>
            <w:r w:rsidRPr="00ED596F">
              <w:rPr>
                <w:rFonts w:ascii="Times New Roman" w:hAnsi="Times New Roman"/>
                <w:sz w:val="24"/>
                <w:szCs w:val="24"/>
              </w:rPr>
              <w:t>his project will be based on an</w:t>
            </w:r>
            <w:r w:rsidR="000D7322">
              <w:rPr>
                <w:rFonts w:ascii="Times New Roman" w:hAnsi="Times New Roman"/>
                <w:sz w:val="24"/>
                <w:szCs w:val="24"/>
              </w:rPr>
              <w:t> </w:t>
            </w:r>
            <w:r w:rsidRPr="00ED596F">
              <w:rPr>
                <w:rFonts w:ascii="Times New Roman" w:hAnsi="Times New Roman"/>
                <w:sz w:val="24"/>
                <w:szCs w:val="24"/>
              </w:rPr>
              <w:t>integrated border security strategy and will comprise both a ‘ground’ component (‘Ground Wall’) and an ‘air’ component (‘European Drone Defence Initiative’).</w:t>
            </w:r>
          </w:p>
          <w:p w14:paraId="490C956A" w14:textId="32D0620E"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3.10 of the opinion</w:t>
            </w:r>
            <w:r>
              <w:rPr>
                <w:rFonts w:ascii="Times New Roman" w:hAnsi="Times New Roman"/>
                <w:sz w:val="24"/>
                <w:szCs w:val="24"/>
              </w:rPr>
              <w:t>,</w:t>
            </w:r>
            <w:r w:rsidRPr="00ED596F">
              <w:rPr>
                <w:rFonts w:ascii="Times New Roman" w:eastAsia="Times New Roman" w:hAnsi="Times New Roman"/>
                <w:sz w:val="24"/>
                <w:lang w:eastAsia="en-GB"/>
              </w:rPr>
              <w:t xml:space="preserve"> </w:t>
            </w:r>
            <w:r w:rsidR="00BA5B1A">
              <w:rPr>
                <w:rFonts w:ascii="Times New Roman" w:hAnsi="Times New Roman"/>
                <w:sz w:val="24"/>
                <w:szCs w:val="24"/>
              </w:rPr>
              <w:t>t</w:t>
            </w:r>
            <w:r w:rsidRPr="00ED596F">
              <w:rPr>
                <w:rFonts w:ascii="Times New Roman" w:hAnsi="Times New Roman"/>
                <w:sz w:val="24"/>
                <w:szCs w:val="24"/>
              </w:rPr>
              <w:t>he Commission appreciates the support of the EESC for the SAFE instrument. The Commission concurs with the EESC on the importance of a ‘stable funding mechanism to ensure long-term consistency’. For this purpose, the Commission has proposed to include in the next MFF a</w:t>
            </w:r>
            <w:r w:rsidR="00E71965">
              <w:rPr>
                <w:rFonts w:ascii="Times New Roman" w:hAnsi="Times New Roman"/>
                <w:sz w:val="24"/>
                <w:szCs w:val="24"/>
              </w:rPr>
              <w:t> </w:t>
            </w:r>
            <w:r w:rsidR="000B0467">
              <w:rPr>
                <w:rFonts w:ascii="Times New Roman" w:hAnsi="Times New Roman"/>
                <w:sz w:val="24"/>
                <w:szCs w:val="24"/>
              </w:rPr>
              <w:t xml:space="preserve">ECF </w:t>
            </w:r>
            <w:r w:rsidRPr="00ED596F">
              <w:rPr>
                <w:rFonts w:ascii="Times New Roman" w:hAnsi="Times New Roman"/>
                <w:sz w:val="24"/>
                <w:szCs w:val="24"/>
              </w:rPr>
              <w:t>with a dedicated ‘resilience and security, defence industry and space’ policy window with an indicative envelop of EUR</w:t>
            </w:r>
            <w:r w:rsidR="00E71965">
              <w:t> </w:t>
            </w:r>
            <w:r w:rsidRPr="00ED596F">
              <w:rPr>
                <w:rFonts w:ascii="Times New Roman" w:hAnsi="Times New Roman"/>
                <w:sz w:val="24"/>
                <w:szCs w:val="24"/>
              </w:rPr>
              <w:t>131</w:t>
            </w:r>
            <w:r w:rsidR="00E71965">
              <w:rPr>
                <w:rFonts w:ascii="Times New Roman" w:hAnsi="Times New Roman"/>
                <w:sz w:val="24"/>
                <w:szCs w:val="24"/>
              </w:rPr>
              <w:t> </w:t>
            </w:r>
            <w:r w:rsidR="009202D7">
              <w:rPr>
                <w:rFonts w:ascii="Times New Roman" w:hAnsi="Times New Roman"/>
                <w:sz w:val="24"/>
                <w:szCs w:val="24"/>
              </w:rPr>
              <w:t>billion</w:t>
            </w:r>
            <w:r w:rsidRPr="00ED596F">
              <w:rPr>
                <w:rFonts w:ascii="Times New Roman" w:hAnsi="Times New Roman"/>
                <w:sz w:val="24"/>
                <w:szCs w:val="24"/>
              </w:rPr>
              <w:t xml:space="preserve">. As part of the next MFF, the Commission also proposed to open the next Horizon Europe Framework Programme 2028-2034 to dual-use actions. This Framework Programme will be closely connected to the </w:t>
            </w:r>
            <w:r w:rsidR="000B0467">
              <w:rPr>
                <w:rFonts w:ascii="Times New Roman" w:hAnsi="Times New Roman"/>
                <w:sz w:val="24"/>
                <w:szCs w:val="24"/>
              </w:rPr>
              <w:t>ECF.</w:t>
            </w:r>
          </w:p>
          <w:p w14:paraId="02CCE00C" w14:textId="4AC2A477"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3.12 of the opinion</w:t>
            </w:r>
            <w:r>
              <w:rPr>
                <w:rFonts w:ascii="Times New Roman" w:hAnsi="Times New Roman"/>
                <w:sz w:val="24"/>
                <w:szCs w:val="24"/>
              </w:rPr>
              <w:t>,</w:t>
            </w:r>
            <w:r w:rsidRPr="00ED596F">
              <w:rPr>
                <w:rFonts w:ascii="Times New Roman" w:eastAsia="Times New Roman" w:hAnsi="Times New Roman"/>
                <w:sz w:val="24"/>
                <w:lang w:eastAsia="en-GB"/>
              </w:rPr>
              <w:t xml:space="preserve"> </w:t>
            </w:r>
            <w:r w:rsidR="00BA5B1A">
              <w:rPr>
                <w:rFonts w:ascii="Times New Roman" w:eastAsia="Times New Roman" w:hAnsi="Times New Roman"/>
                <w:sz w:val="24"/>
                <w:lang w:eastAsia="en-GB"/>
              </w:rPr>
              <w:t>t</w:t>
            </w:r>
            <w:r w:rsidRPr="00ED596F">
              <w:rPr>
                <w:rFonts w:ascii="Times New Roman" w:hAnsi="Times New Roman"/>
                <w:sz w:val="24"/>
                <w:szCs w:val="24"/>
              </w:rPr>
              <w:t xml:space="preserve">he Commission </w:t>
            </w:r>
            <w:r w:rsidR="0061492D">
              <w:rPr>
                <w:rFonts w:ascii="Times New Roman" w:hAnsi="Times New Roman"/>
                <w:sz w:val="24"/>
                <w:szCs w:val="24"/>
              </w:rPr>
              <w:t xml:space="preserve">and the High Representative </w:t>
            </w:r>
            <w:r w:rsidRPr="00ED596F">
              <w:rPr>
                <w:rFonts w:ascii="Times New Roman" w:hAnsi="Times New Roman"/>
                <w:sz w:val="24"/>
                <w:szCs w:val="24"/>
              </w:rPr>
              <w:t>recognise the importance of a long-term vision for defence investment and the relation with civil preparedness and societal resilience. The implementation of the White Paper for European Defence is, for that matter, closely coordinated with the implementation of the Preparedness Union Strategy.</w:t>
            </w:r>
          </w:p>
          <w:p w14:paraId="08BBEC5A" w14:textId="3E3ECE86"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3.13 of the opinion</w:t>
            </w:r>
            <w:r>
              <w:rPr>
                <w:rFonts w:ascii="Times New Roman" w:hAnsi="Times New Roman"/>
                <w:sz w:val="24"/>
                <w:szCs w:val="24"/>
              </w:rPr>
              <w:t>,</w:t>
            </w:r>
            <w:r w:rsidRPr="004467B1">
              <w:rPr>
                <w:rFonts w:ascii="Times New Roman" w:eastAsia="Times New Roman" w:hAnsi="Times New Roman"/>
                <w:sz w:val="24"/>
                <w:lang w:eastAsia="en-GB"/>
              </w:rPr>
              <w:t xml:space="preserve"> </w:t>
            </w:r>
            <w:r w:rsidR="00BA5B1A">
              <w:rPr>
                <w:rFonts w:ascii="Times New Roman" w:eastAsia="Times New Roman" w:hAnsi="Times New Roman"/>
                <w:sz w:val="24"/>
                <w:lang w:eastAsia="en-GB"/>
              </w:rPr>
              <w:t>t</w:t>
            </w:r>
            <w:r w:rsidRPr="004467B1">
              <w:rPr>
                <w:rFonts w:ascii="Times New Roman" w:hAnsi="Times New Roman"/>
                <w:sz w:val="24"/>
                <w:szCs w:val="24"/>
              </w:rPr>
              <w:t>he Commission shares concerns about high energy prices and is working on measures to diversify energy supply, increase domestic production, and strengthen the competitiveness of Europe’s defence industry.</w:t>
            </w:r>
          </w:p>
          <w:p w14:paraId="043174A3" w14:textId="04028BF4"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3.14 of the opinion</w:t>
            </w:r>
            <w:r>
              <w:rPr>
                <w:rFonts w:ascii="Times New Roman" w:hAnsi="Times New Roman"/>
                <w:sz w:val="24"/>
                <w:szCs w:val="24"/>
              </w:rPr>
              <w:t>,</w:t>
            </w:r>
            <w:r w:rsidRPr="00ED596F">
              <w:rPr>
                <w:rFonts w:ascii="Times New Roman" w:eastAsia="Times New Roman" w:hAnsi="Times New Roman"/>
                <w:sz w:val="24"/>
                <w:lang w:eastAsia="en-GB"/>
              </w:rPr>
              <w:t xml:space="preserve"> </w:t>
            </w:r>
            <w:r w:rsidR="00BA5B1A">
              <w:rPr>
                <w:rFonts w:ascii="Times New Roman" w:eastAsia="Times New Roman" w:hAnsi="Times New Roman"/>
                <w:sz w:val="24"/>
                <w:lang w:eastAsia="en-GB"/>
              </w:rPr>
              <w:t>t</w:t>
            </w:r>
            <w:r w:rsidRPr="00ED596F">
              <w:rPr>
                <w:rFonts w:ascii="Times New Roman" w:hAnsi="Times New Roman"/>
                <w:sz w:val="24"/>
                <w:szCs w:val="24"/>
              </w:rPr>
              <w:t xml:space="preserve">he Commission will further develop its policy on critical supply </w:t>
            </w:r>
            <w:r w:rsidRPr="00ED596F">
              <w:rPr>
                <w:rFonts w:ascii="Times New Roman" w:hAnsi="Times New Roman"/>
                <w:sz w:val="24"/>
                <w:szCs w:val="24"/>
              </w:rPr>
              <w:lastRenderedPageBreak/>
              <w:t>chains, with particular attention to securing essential raw materials and inputs to prevent production bottlenecks. The Critical Raw Materials Act</w:t>
            </w:r>
            <w:r w:rsidR="00E71965">
              <w:rPr>
                <w:rFonts w:ascii="Times New Roman" w:hAnsi="Times New Roman"/>
                <w:sz w:val="24"/>
                <w:szCs w:val="24"/>
              </w:rPr>
              <w:t> </w:t>
            </w:r>
            <w:r w:rsidR="005053E9">
              <w:rPr>
                <w:rFonts w:ascii="Times New Roman" w:hAnsi="Times New Roman"/>
                <w:sz w:val="24"/>
                <w:szCs w:val="24"/>
              </w:rPr>
              <w:t>(CRMA)</w:t>
            </w:r>
            <w:r w:rsidR="005053E9">
              <w:rPr>
                <w:rStyle w:val="FootnoteReference"/>
                <w:rFonts w:ascii="Times New Roman" w:hAnsi="Times New Roman"/>
                <w:sz w:val="24"/>
                <w:szCs w:val="24"/>
              </w:rPr>
              <w:footnoteReference w:id="6"/>
            </w:r>
            <w:r w:rsidRPr="00ED596F">
              <w:rPr>
                <w:rFonts w:ascii="Times New Roman" w:hAnsi="Times New Roman"/>
                <w:sz w:val="24"/>
                <w:szCs w:val="24"/>
              </w:rPr>
              <w:t xml:space="preserve"> emphasizes supply chain resilience as a central objective.</w:t>
            </w:r>
            <w:r w:rsidRPr="00ED596F">
              <w:rPr>
                <w:rFonts w:ascii="Times New Roman" w:hAnsi="Times New Roman"/>
                <w:sz w:val="24"/>
                <w:szCs w:val="24"/>
                <w:lang w:val="en-IE"/>
              </w:rPr>
              <w:t xml:space="preserve"> </w:t>
            </w:r>
            <w:r w:rsidRPr="00ED596F">
              <w:rPr>
                <w:rFonts w:ascii="Times New Roman" w:hAnsi="Times New Roman"/>
                <w:sz w:val="24"/>
                <w:szCs w:val="24"/>
              </w:rPr>
              <w:t>The CRMA aims to reinforce the EU’s ability to extract, process, and recycle critical raw materials domestically, reducing reliance on imports from single third countries. The Act introduces stress tests and monitoring mechanisms to assess vulnerabilities and anticipate disruptions in supply chains; promotes the build-up of strategic stockpiles and the diversification of international partnerships. The upcoming Advanced Materials Act will also support the strategic autonomy of EU industry, including through access to advanced materials needed for production processes and the manufacturing of technologies.</w:t>
            </w:r>
            <w:r w:rsidR="00BA5B1A">
              <w:rPr>
                <w:rFonts w:ascii="Times New Roman" w:hAnsi="Times New Roman"/>
                <w:sz w:val="24"/>
                <w:szCs w:val="24"/>
              </w:rPr>
              <w:t xml:space="preserve"> </w:t>
            </w:r>
            <w:r w:rsidRPr="00ED596F">
              <w:rPr>
                <w:rFonts w:ascii="Times New Roman" w:hAnsi="Times New Roman"/>
                <w:sz w:val="24"/>
                <w:szCs w:val="24"/>
              </w:rPr>
              <w:t xml:space="preserve">Furthermore, EDIP proposes the set-up of an EU Security of Supply regime, with mechanisms </w:t>
            </w:r>
            <w:r w:rsidRPr="00EE2B81">
              <w:rPr>
                <w:rFonts w:ascii="Times New Roman" w:hAnsi="Times New Roman"/>
                <w:sz w:val="24"/>
                <w:szCs w:val="24"/>
                <w:lang w:val="en-IE"/>
              </w:rPr>
              <w:t>to ensure timely and reliable access to defence products and components during crises</w:t>
            </w:r>
            <w:r w:rsidRPr="00ED596F">
              <w:rPr>
                <w:rFonts w:ascii="Times New Roman" w:hAnsi="Times New Roman"/>
                <w:sz w:val="24"/>
                <w:szCs w:val="24"/>
                <w:lang w:val="en-IE"/>
              </w:rPr>
              <w:t>.</w:t>
            </w:r>
          </w:p>
          <w:p w14:paraId="785438F6" w14:textId="0ED4FCD6"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3.15 of the opinion</w:t>
            </w:r>
            <w:r>
              <w:rPr>
                <w:rFonts w:ascii="Times New Roman" w:hAnsi="Times New Roman"/>
                <w:sz w:val="24"/>
                <w:szCs w:val="24"/>
              </w:rPr>
              <w:t>,</w:t>
            </w:r>
            <w:r w:rsidRPr="00ED596F">
              <w:rPr>
                <w:rFonts w:ascii="Times New Roman" w:eastAsia="Times New Roman" w:hAnsi="Times New Roman"/>
                <w:sz w:val="24"/>
                <w:lang w:eastAsia="en-GB"/>
              </w:rPr>
              <w:t xml:space="preserve"> </w:t>
            </w:r>
            <w:r w:rsidR="00BA5B1A">
              <w:rPr>
                <w:rFonts w:ascii="Times New Roman" w:eastAsia="Times New Roman" w:hAnsi="Times New Roman"/>
                <w:sz w:val="24"/>
                <w:lang w:eastAsia="en-GB"/>
              </w:rPr>
              <w:t>t</w:t>
            </w:r>
            <w:r w:rsidRPr="00ED596F">
              <w:rPr>
                <w:rFonts w:ascii="Times New Roman" w:hAnsi="Times New Roman"/>
                <w:sz w:val="24"/>
                <w:szCs w:val="24"/>
              </w:rPr>
              <w:t>he Commission remains committed to the structural involvement of social partners and to consult social partners through enhanced consultation mechanisms in defence policy, in line with the Pact for European Social Dialogue</w:t>
            </w:r>
            <w:r w:rsidR="005053E9">
              <w:rPr>
                <w:rStyle w:val="FootnoteReference"/>
                <w:rFonts w:ascii="Times New Roman" w:hAnsi="Times New Roman"/>
                <w:sz w:val="24"/>
                <w:szCs w:val="24"/>
              </w:rPr>
              <w:footnoteReference w:id="7"/>
            </w:r>
            <w:r w:rsidRPr="00ED596F">
              <w:rPr>
                <w:rFonts w:ascii="Times New Roman" w:hAnsi="Times New Roman"/>
                <w:sz w:val="24"/>
                <w:szCs w:val="24"/>
              </w:rPr>
              <w:t>.</w:t>
            </w:r>
            <w:r w:rsidRPr="00ED596F">
              <w:rPr>
                <w:rFonts w:ascii="Times New Roman" w:hAnsi="Times New Roman"/>
                <w:sz w:val="24"/>
                <w:szCs w:val="24"/>
                <w:lang w:val="en-IE"/>
              </w:rPr>
              <w:t xml:space="preserve"> The EU includes Social Partners in its defence initiatives primarily through structured consultation and engagement mechanisms. T</w:t>
            </w:r>
            <w:r w:rsidRPr="00ED596F">
              <w:rPr>
                <w:rFonts w:ascii="Times New Roman" w:hAnsi="Times New Roman"/>
                <w:sz w:val="24"/>
                <w:szCs w:val="24"/>
              </w:rPr>
              <w:t xml:space="preserve">he </w:t>
            </w:r>
            <w:r w:rsidRPr="00EA4E6E">
              <w:rPr>
                <w:rFonts w:ascii="Times New Roman" w:hAnsi="Times New Roman"/>
                <w:sz w:val="24"/>
                <w:szCs w:val="24"/>
              </w:rPr>
              <w:t>European Defence Industrial Strategy</w:t>
            </w:r>
            <w:r w:rsidR="00E71965" w:rsidRPr="00EA4E6E">
              <w:rPr>
                <w:rFonts w:ascii="Times New Roman" w:hAnsi="Times New Roman"/>
                <w:sz w:val="24"/>
                <w:szCs w:val="24"/>
              </w:rPr>
              <w:t> </w:t>
            </w:r>
            <w:r w:rsidRPr="00EA4E6E">
              <w:rPr>
                <w:rFonts w:ascii="Times New Roman" w:hAnsi="Times New Roman"/>
                <w:sz w:val="24"/>
                <w:szCs w:val="24"/>
              </w:rPr>
              <w:t>(EDIS)</w:t>
            </w:r>
            <w:r w:rsidR="00EA4E6E" w:rsidRPr="00EA4E6E">
              <w:rPr>
                <w:rStyle w:val="FootnoteReference"/>
                <w:rFonts w:ascii="Times New Roman" w:hAnsi="Times New Roman"/>
                <w:sz w:val="24"/>
                <w:szCs w:val="24"/>
              </w:rPr>
              <w:footnoteReference w:id="8"/>
            </w:r>
            <w:r w:rsidR="005053E9" w:rsidRPr="00EA4E6E">
              <w:rPr>
                <w:rFonts w:ascii="Times New Roman" w:hAnsi="Times New Roman"/>
                <w:sz w:val="24"/>
                <w:szCs w:val="24"/>
              </w:rPr>
              <w:t>,</w:t>
            </w:r>
            <w:r w:rsidRPr="00EA4E6E">
              <w:rPr>
                <w:rFonts w:ascii="Times New Roman" w:hAnsi="Times New Roman"/>
                <w:sz w:val="24"/>
                <w:szCs w:val="24"/>
              </w:rPr>
              <w:t xml:space="preserve"> for example</w:t>
            </w:r>
            <w:r w:rsidR="005053E9" w:rsidRPr="00EA4E6E">
              <w:rPr>
                <w:rFonts w:ascii="Times New Roman" w:hAnsi="Times New Roman"/>
                <w:sz w:val="24"/>
                <w:szCs w:val="24"/>
              </w:rPr>
              <w:t xml:space="preserve">, </w:t>
            </w:r>
            <w:r w:rsidRPr="00EA4E6E">
              <w:rPr>
                <w:rFonts w:ascii="Times New Roman" w:hAnsi="Times New Roman"/>
                <w:sz w:val="24"/>
                <w:szCs w:val="24"/>
              </w:rPr>
              <w:t>was developed following a</w:t>
            </w:r>
            <w:r w:rsidR="00386BC9">
              <w:rPr>
                <w:rFonts w:ascii="Times New Roman" w:hAnsi="Times New Roman"/>
                <w:sz w:val="24"/>
                <w:szCs w:val="24"/>
              </w:rPr>
              <w:t> </w:t>
            </w:r>
            <w:r w:rsidRPr="00EA4E6E">
              <w:rPr>
                <w:rFonts w:ascii="Times New Roman" w:hAnsi="Times New Roman"/>
                <w:sz w:val="24"/>
                <w:szCs w:val="24"/>
              </w:rPr>
              <w:t>comprehen</w:t>
            </w:r>
            <w:r w:rsidRPr="00ED596F">
              <w:rPr>
                <w:rFonts w:ascii="Times New Roman" w:hAnsi="Times New Roman"/>
                <w:sz w:val="24"/>
                <w:szCs w:val="24"/>
              </w:rPr>
              <w:t>sive stakeholder consultation process, which included Social Partners, alongside industry representatives, Member States, and EU institutions.</w:t>
            </w:r>
          </w:p>
          <w:p w14:paraId="521A3036" w14:textId="5AA8113D"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3.17 of the opinion</w:t>
            </w:r>
            <w:r>
              <w:rPr>
                <w:rFonts w:ascii="Times New Roman" w:hAnsi="Times New Roman"/>
                <w:i/>
                <w:iCs/>
                <w:sz w:val="24"/>
                <w:szCs w:val="24"/>
              </w:rPr>
              <w:t xml:space="preserve">, </w:t>
            </w:r>
            <w:r w:rsidR="00BA5B1A">
              <w:rPr>
                <w:rFonts w:ascii="Times New Roman" w:hAnsi="Times New Roman"/>
                <w:sz w:val="24"/>
                <w:szCs w:val="24"/>
              </w:rPr>
              <w:t>i</w:t>
            </w:r>
            <w:r w:rsidRPr="00ED596F">
              <w:rPr>
                <w:rFonts w:ascii="Times New Roman" w:hAnsi="Times New Roman"/>
                <w:sz w:val="24"/>
                <w:szCs w:val="24"/>
              </w:rPr>
              <w:t>nvesting in skills, education, and strategic workforce planning is a</w:t>
            </w:r>
            <w:r w:rsidR="00D65FCA">
              <w:rPr>
                <w:rFonts w:ascii="Times New Roman" w:hAnsi="Times New Roman"/>
                <w:sz w:val="24"/>
                <w:szCs w:val="24"/>
              </w:rPr>
              <w:t> </w:t>
            </w:r>
            <w:r w:rsidRPr="00ED596F">
              <w:rPr>
                <w:rFonts w:ascii="Times New Roman" w:hAnsi="Times New Roman"/>
                <w:sz w:val="24"/>
                <w:szCs w:val="24"/>
              </w:rPr>
              <w:t xml:space="preserve">priority. The Commission </w:t>
            </w:r>
            <w:r w:rsidR="0061492D">
              <w:rPr>
                <w:rFonts w:ascii="Times New Roman" w:hAnsi="Times New Roman"/>
                <w:sz w:val="24"/>
                <w:szCs w:val="24"/>
              </w:rPr>
              <w:t xml:space="preserve">and the High Representative </w:t>
            </w:r>
            <w:r w:rsidRPr="00ED596F">
              <w:rPr>
                <w:rFonts w:ascii="Times New Roman" w:hAnsi="Times New Roman"/>
                <w:sz w:val="24"/>
                <w:szCs w:val="24"/>
              </w:rPr>
              <w:t>will support initiatives for both civilian and military training, with a focus on technological and medical innovation.</w:t>
            </w:r>
            <w:r w:rsidRPr="00ED596F">
              <w:rPr>
                <w:rFonts w:ascii="Times New Roman" w:hAnsi="Times New Roman"/>
                <w:sz w:val="24"/>
                <w:szCs w:val="24"/>
                <w:lang w:val="en-IE"/>
              </w:rPr>
              <w:t xml:space="preserve"> A comprehensive strategy has been presented with the Union of Skills strategy</w:t>
            </w:r>
            <w:r w:rsidR="005053E9">
              <w:rPr>
                <w:rStyle w:val="FootnoteReference"/>
                <w:rFonts w:ascii="Times New Roman" w:hAnsi="Times New Roman"/>
                <w:sz w:val="24"/>
                <w:szCs w:val="24"/>
                <w:lang w:val="en-IE"/>
              </w:rPr>
              <w:footnoteReference w:id="9"/>
            </w:r>
            <w:r w:rsidR="0061076F">
              <w:rPr>
                <w:rFonts w:ascii="Times New Roman" w:hAnsi="Times New Roman"/>
                <w:sz w:val="24"/>
                <w:szCs w:val="24"/>
                <w:lang w:val="en-IE"/>
              </w:rPr>
              <w:t>.</w:t>
            </w:r>
            <w:r w:rsidRPr="00ED596F">
              <w:rPr>
                <w:rFonts w:ascii="Times New Roman" w:hAnsi="Times New Roman"/>
                <w:sz w:val="24"/>
                <w:szCs w:val="24"/>
                <w:lang w:val="en-IE"/>
              </w:rPr>
              <w:t xml:space="preserve"> </w:t>
            </w:r>
            <w:r w:rsidRPr="00ED596F">
              <w:rPr>
                <w:rFonts w:ascii="Times New Roman" w:hAnsi="Times New Roman"/>
                <w:sz w:val="24"/>
                <w:szCs w:val="24"/>
              </w:rPr>
              <w:t>The Preserving Peace - Defence Readiness Roadmap 2030</w:t>
            </w:r>
            <w:r w:rsidR="005053E9">
              <w:rPr>
                <w:rStyle w:val="FootnoteReference"/>
                <w:rFonts w:ascii="Times New Roman" w:hAnsi="Times New Roman"/>
                <w:sz w:val="24"/>
                <w:szCs w:val="24"/>
              </w:rPr>
              <w:footnoteReference w:id="10"/>
            </w:r>
            <w:r w:rsidRPr="00ED596F">
              <w:rPr>
                <w:rFonts w:ascii="Times New Roman" w:hAnsi="Times New Roman"/>
                <w:sz w:val="24"/>
                <w:szCs w:val="24"/>
              </w:rPr>
              <w:t xml:space="preserve"> explicitly refers to skills in relation to the defence industry. It highlights the need to develop and retain a skilled workforce across the defence sector to support increased production capacity and innovation. It proposes mechanisms to track industrial capacity, including workforce availability, to ensure readiness and scalability of defence manufacturing. It supports SMEs and calls for investment in talent pipelines, particularly in strategic areas like drone technology, space defence, and cyber capabilities.</w:t>
            </w:r>
          </w:p>
          <w:p w14:paraId="51B86CFF" w14:textId="24898398" w:rsidR="00633036" w:rsidRPr="004467B1"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3.18 and 3.19 of the opinion</w:t>
            </w:r>
            <w:r>
              <w:rPr>
                <w:rFonts w:ascii="Times New Roman" w:hAnsi="Times New Roman"/>
                <w:i/>
                <w:iCs/>
                <w:sz w:val="24"/>
                <w:szCs w:val="24"/>
              </w:rPr>
              <w:t>,</w:t>
            </w:r>
            <w:r>
              <w:rPr>
                <w:rFonts w:ascii="Times New Roman" w:hAnsi="Times New Roman"/>
                <w:sz w:val="24"/>
                <w:szCs w:val="24"/>
              </w:rPr>
              <w:t xml:space="preserve"> </w:t>
            </w:r>
            <w:r w:rsidR="00BA5B1A">
              <w:rPr>
                <w:rFonts w:ascii="Times New Roman" w:hAnsi="Times New Roman"/>
                <w:sz w:val="24"/>
                <w:szCs w:val="24"/>
              </w:rPr>
              <w:t>t</w:t>
            </w:r>
            <w:r w:rsidRPr="00ED596F">
              <w:rPr>
                <w:rFonts w:ascii="Times New Roman" w:hAnsi="Times New Roman"/>
                <w:sz w:val="24"/>
                <w:szCs w:val="24"/>
              </w:rPr>
              <w:t>he Commission recognises the vital importance of social cohesion and poverty reduction as foundations for European security. Public communication on the need for increased defence spending and its positive spillover effects on the wider economy, as well as the role of the armed forces will be strengthened.</w:t>
            </w:r>
          </w:p>
          <w:p w14:paraId="753325E5" w14:textId="48E843DA" w:rsidR="00633036"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3.20 of the opinion</w:t>
            </w:r>
            <w:r>
              <w:rPr>
                <w:rFonts w:ascii="Times New Roman" w:hAnsi="Times New Roman"/>
                <w:i/>
                <w:iCs/>
                <w:sz w:val="24"/>
                <w:szCs w:val="24"/>
              </w:rPr>
              <w:t>,</w:t>
            </w:r>
            <w:r>
              <w:rPr>
                <w:rFonts w:ascii="Times New Roman" w:hAnsi="Times New Roman"/>
                <w:sz w:val="24"/>
                <w:szCs w:val="24"/>
              </w:rPr>
              <w:t xml:space="preserve"> </w:t>
            </w:r>
            <w:r w:rsidR="00BA5B1A">
              <w:rPr>
                <w:rFonts w:ascii="Times New Roman" w:hAnsi="Times New Roman"/>
                <w:sz w:val="24"/>
                <w:szCs w:val="24"/>
              </w:rPr>
              <w:t>t</w:t>
            </w:r>
            <w:r w:rsidRPr="00ED596F">
              <w:rPr>
                <w:rFonts w:ascii="Times New Roman" w:hAnsi="Times New Roman"/>
                <w:sz w:val="24"/>
                <w:szCs w:val="24"/>
              </w:rPr>
              <w:t xml:space="preserve">he Commission is working on targeted support measures for SMEs and Mid-Caps, including improved access to funding, simplified procedures, and promotion of public-private partnerships, while maintaining transparency and sustainability. The aforementioned Defence Industry Transformation Roadmap addresses the specific issue of improving the availability of </w:t>
            </w:r>
            <w:r w:rsidRPr="00ED596F">
              <w:rPr>
                <w:rFonts w:ascii="Times New Roman" w:hAnsi="Times New Roman"/>
                <w:sz w:val="24"/>
                <w:szCs w:val="24"/>
              </w:rPr>
              <w:lastRenderedPageBreak/>
              <w:t>and accessibility of SMEs and Mid-Caps to risk capital, including through the EIC and the next Horizon Europe Framework Programme proposal</w:t>
            </w:r>
            <w:r w:rsidR="00080E29">
              <w:rPr>
                <w:rStyle w:val="FootnoteReference"/>
                <w:rFonts w:ascii="Times New Roman" w:hAnsi="Times New Roman"/>
                <w:sz w:val="24"/>
                <w:szCs w:val="24"/>
              </w:rPr>
              <w:footnoteReference w:id="11"/>
            </w:r>
            <w:r w:rsidRPr="00ED596F">
              <w:rPr>
                <w:rFonts w:ascii="Times New Roman" w:hAnsi="Times New Roman"/>
                <w:sz w:val="24"/>
                <w:szCs w:val="24"/>
              </w:rPr>
              <w:t>.</w:t>
            </w:r>
            <w:r w:rsidR="00BA5B1A">
              <w:rPr>
                <w:rFonts w:ascii="Times New Roman" w:hAnsi="Times New Roman"/>
                <w:sz w:val="24"/>
                <w:szCs w:val="24"/>
              </w:rPr>
              <w:t xml:space="preserve"> </w:t>
            </w:r>
            <w:r w:rsidRPr="00ED596F">
              <w:rPr>
                <w:rFonts w:ascii="Times New Roman" w:hAnsi="Times New Roman"/>
                <w:sz w:val="24"/>
                <w:szCs w:val="24"/>
              </w:rPr>
              <w:t xml:space="preserve">Furthermore, EDIP </w:t>
            </w:r>
            <w:r w:rsidR="00402277">
              <w:rPr>
                <w:rFonts w:ascii="Times New Roman" w:hAnsi="Times New Roman"/>
                <w:sz w:val="24"/>
                <w:szCs w:val="24"/>
              </w:rPr>
              <w:t>set up</w:t>
            </w:r>
            <w:r w:rsidRPr="00ED596F">
              <w:rPr>
                <w:rFonts w:ascii="Times New Roman" w:hAnsi="Times New Roman"/>
                <w:sz w:val="24"/>
                <w:szCs w:val="24"/>
              </w:rPr>
              <w:t xml:space="preserve"> a Fund to Accelerate defence Supply chain Transformation to mobilise dedicated private equity and/or debt funding in support of defence SMEs, start-ups, and scale-ups, helping them overcome a</w:t>
            </w:r>
            <w:r w:rsidR="00EA4E6E">
              <w:rPr>
                <w:rFonts w:ascii="Times New Roman" w:hAnsi="Times New Roman"/>
                <w:sz w:val="24"/>
                <w:szCs w:val="24"/>
              </w:rPr>
              <w:t> </w:t>
            </w:r>
            <w:r w:rsidRPr="00ED596F">
              <w:rPr>
                <w:rFonts w:ascii="Times New Roman" w:hAnsi="Times New Roman"/>
                <w:sz w:val="24"/>
                <w:szCs w:val="24"/>
              </w:rPr>
              <w:t>persistent financing gap.</w:t>
            </w:r>
          </w:p>
          <w:p w14:paraId="52A477AB" w14:textId="21B3E4CC" w:rsidR="00633036" w:rsidRPr="00633036" w:rsidRDefault="00633036" w:rsidP="00FC08B7">
            <w:pPr>
              <w:widowControl w:val="0"/>
              <w:spacing w:before="120" w:after="120"/>
              <w:jc w:val="both"/>
              <w:rPr>
                <w:rFonts w:ascii="Times New Roman" w:hAnsi="Times New Roman"/>
                <w:sz w:val="24"/>
                <w:szCs w:val="24"/>
              </w:rPr>
            </w:pPr>
            <w:r w:rsidRPr="006D7B1A">
              <w:rPr>
                <w:rFonts w:ascii="Times New Roman" w:hAnsi="Times New Roman"/>
                <w:i/>
                <w:iCs/>
                <w:sz w:val="24"/>
                <w:szCs w:val="24"/>
                <w:u w:val="single"/>
              </w:rPr>
              <w:t>Regarding point 3.25 of the opinion</w:t>
            </w:r>
            <w:r w:rsidRPr="00633036">
              <w:rPr>
                <w:rFonts w:ascii="Times New Roman" w:hAnsi="Times New Roman"/>
                <w:i/>
                <w:iCs/>
                <w:sz w:val="24"/>
                <w:szCs w:val="24"/>
              </w:rPr>
              <w:t>,</w:t>
            </w:r>
            <w:r w:rsidRPr="00633036">
              <w:rPr>
                <w:rFonts w:ascii="Times New Roman" w:hAnsi="Times New Roman"/>
                <w:sz w:val="24"/>
                <w:szCs w:val="24"/>
              </w:rPr>
              <w:t xml:space="preserve"> </w:t>
            </w:r>
            <w:r w:rsidR="00BA5B1A">
              <w:rPr>
                <w:rFonts w:ascii="Times New Roman" w:hAnsi="Times New Roman"/>
                <w:sz w:val="24"/>
                <w:szCs w:val="24"/>
              </w:rPr>
              <w:t>t</w:t>
            </w:r>
            <w:r w:rsidRPr="00633036">
              <w:rPr>
                <w:rFonts w:ascii="Times New Roman" w:hAnsi="Times New Roman"/>
                <w:sz w:val="24"/>
                <w:szCs w:val="24"/>
              </w:rPr>
              <w:t>he Commission aims for a fair distribution of defence funds, with attention to less-developed industries and the inclusion of social conditions such as employment, labour rights, and regional balance. Establishing a well</w:t>
            </w:r>
            <w:r w:rsidR="00BA5B1A">
              <w:rPr>
                <w:rFonts w:ascii="Times New Roman" w:hAnsi="Times New Roman"/>
                <w:sz w:val="24"/>
                <w:szCs w:val="24"/>
              </w:rPr>
              <w:t>-</w:t>
            </w:r>
            <w:r w:rsidRPr="00633036">
              <w:rPr>
                <w:rFonts w:ascii="Times New Roman" w:hAnsi="Times New Roman"/>
                <w:sz w:val="24"/>
                <w:szCs w:val="24"/>
              </w:rPr>
              <w:t>functioning Single Market for defence contributes to the frictionless transfer of defence products within the EU, the integration of supply chains across the EU whilst preserving company locations</w:t>
            </w:r>
            <w:r>
              <w:rPr>
                <w:rFonts w:ascii="Times New Roman" w:hAnsi="Times New Roman"/>
                <w:sz w:val="24"/>
                <w:szCs w:val="24"/>
              </w:rPr>
              <w:t>.</w:t>
            </w:r>
          </w:p>
        </w:tc>
      </w:tr>
    </w:tbl>
    <w:p w14:paraId="6FBB1359" w14:textId="751653B8" w:rsidR="00633036" w:rsidRPr="00D65FCA" w:rsidRDefault="00633036">
      <w:pPr>
        <w:rPr>
          <w:rFonts w:ascii="Times New Roman" w:hAnsi="Times New Roman"/>
          <w:sz w:val="2"/>
          <w:szCs w:val="2"/>
        </w:rPr>
      </w:pPr>
    </w:p>
    <w:sectPr w:rsidR="00633036" w:rsidRPr="00D65FC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AFD5D" w14:textId="77777777" w:rsidR="00683928" w:rsidRDefault="00683928" w:rsidP="00FF63EA">
      <w:pPr>
        <w:spacing w:after="0" w:line="240" w:lineRule="auto"/>
      </w:pPr>
      <w:r>
        <w:separator/>
      </w:r>
    </w:p>
  </w:endnote>
  <w:endnote w:type="continuationSeparator" w:id="0">
    <w:p w14:paraId="2483EBEA" w14:textId="77777777" w:rsidR="00683928" w:rsidRDefault="00683928" w:rsidP="00FF6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070B8" w14:textId="77777777" w:rsidR="001F7ECB" w:rsidRDefault="001F7E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D82D4" w14:textId="77777777" w:rsidR="001F7ECB" w:rsidRDefault="001F7E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7F38C" w14:textId="77777777" w:rsidR="001F7ECB" w:rsidRDefault="001F7E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04FC2" w14:textId="77777777" w:rsidR="00683928" w:rsidRDefault="00683928" w:rsidP="00FF63EA">
      <w:pPr>
        <w:spacing w:after="0" w:line="240" w:lineRule="auto"/>
      </w:pPr>
      <w:r>
        <w:separator/>
      </w:r>
    </w:p>
  </w:footnote>
  <w:footnote w:type="continuationSeparator" w:id="0">
    <w:p w14:paraId="64378FB1" w14:textId="77777777" w:rsidR="00683928" w:rsidRDefault="00683928" w:rsidP="00FF63EA">
      <w:pPr>
        <w:spacing w:after="0" w:line="240" w:lineRule="auto"/>
      </w:pPr>
      <w:r>
        <w:continuationSeparator/>
      </w:r>
    </w:p>
  </w:footnote>
  <w:footnote w:id="1">
    <w:p w14:paraId="7CD45B5E" w14:textId="1206599E" w:rsidR="00F313D3" w:rsidRPr="006D7B1A" w:rsidRDefault="00F313D3" w:rsidP="006D7B1A">
      <w:pPr>
        <w:pStyle w:val="FootnoteText"/>
        <w:widowControl w:val="0"/>
        <w:spacing w:after="0" w:line="240" w:lineRule="auto"/>
        <w:ind w:left="-142" w:right="-426" w:hanging="284"/>
        <w:jc w:val="both"/>
        <w:rPr>
          <w:rFonts w:ascii="Times New Roman" w:hAnsi="Times New Roman"/>
          <w:lang w:val="fr-BE"/>
        </w:rPr>
      </w:pPr>
      <w:r w:rsidRPr="006D7B1A">
        <w:rPr>
          <w:rStyle w:val="FootnoteReference"/>
          <w:rFonts w:ascii="Times New Roman" w:hAnsi="Times New Roman"/>
        </w:rPr>
        <w:footnoteRef/>
      </w:r>
      <w:r w:rsidRPr="006D7B1A">
        <w:rPr>
          <w:rFonts w:ascii="Times New Roman" w:hAnsi="Times New Roman"/>
          <w:lang w:val="fr-BE"/>
        </w:rPr>
        <w:t xml:space="preserve"> </w:t>
      </w:r>
      <w:r w:rsidRPr="006D7B1A">
        <w:rPr>
          <w:rFonts w:ascii="Times New Roman" w:hAnsi="Times New Roman"/>
          <w:lang w:val="fr-BE"/>
        </w:rPr>
        <w:tab/>
      </w:r>
      <w:r w:rsidR="00FA76A8" w:rsidRPr="006D7B1A">
        <w:rPr>
          <w:rFonts w:ascii="Times New Roman" w:hAnsi="Times New Roman"/>
          <w:lang w:val="fr-BE"/>
        </w:rPr>
        <w:t>COM(2025) 270 final (</w:t>
      </w:r>
      <w:hyperlink r:id="rId1" w:history="1">
        <w:r w:rsidR="00FA76A8" w:rsidRPr="006D7B1A">
          <w:rPr>
            <w:rStyle w:val="Hyperlink"/>
            <w:rFonts w:ascii="Times New Roman" w:hAnsi="Times New Roman"/>
            <w:lang w:val="fr-BE"/>
          </w:rPr>
          <w:t>EUR-Lex - 52025DC0270 - EN - EUR-Lex</w:t>
        </w:r>
      </w:hyperlink>
      <w:r w:rsidR="00FA76A8" w:rsidRPr="006D7B1A">
        <w:rPr>
          <w:rFonts w:ascii="Times New Roman" w:hAnsi="Times New Roman"/>
          <w:lang w:val="fr-BE"/>
        </w:rPr>
        <w:t>)</w:t>
      </w:r>
      <w:r w:rsidRPr="006D7B1A">
        <w:rPr>
          <w:rFonts w:ascii="Times New Roman" w:hAnsi="Times New Roman"/>
          <w:lang w:val="fr-BE"/>
        </w:rPr>
        <w:t>.</w:t>
      </w:r>
    </w:p>
  </w:footnote>
  <w:footnote w:id="2">
    <w:p w14:paraId="59B45E8F" w14:textId="7FF3CB15" w:rsidR="008367F6" w:rsidRPr="006D7B1A" w:rsidRDefault="008367F6" w:rsidP="006D7B1A">
      <w:pPr>
        <w:pStyle w:val="FootnoteText"/>
        <w:widowControl w:val="0"/>
        <w:spacing w:after="0" w:line="240" w:lineRule="auto"/>
        <w:ind w:left="-142" w:right="-426" w:hanging="284"/>
        <w:jc w:val="both"/>
        <w:rPr>
          <w:rFonts w:ascii="Times New Roman" w:hAnsi="Times New Roman"/>
          <w:lang w:val="fr-BE"/>
        </w:rPr>
      </w:pPr>
      <w:r w:rsidRPr="006D7B1A">
        <w:rPr>
          <w:rStyle w:val="FootnoteReference"/>
          <w:rFonts w:ascii="Times New Roman" w:hAnsi="Times New Roman"/>
        </w:rPr>
        <w:footnoteRef/>
      </w:r>
      <w:r w:rsidRPr="006D7B1A">
        <w:rPr>
          <w:rFonts w:ascii="Times New Roman" w:hAnsi="Times New Roman"/>
          <w:lang w:val="fr-BE"/>
        </w:rPr>
        <w:t xml:space="preserve"> </w:t>
      </w:r>
      <w:r w:rsidRPr="006D7B1A">
        <w:rPr>
          <w:rFonts w:ascii="Times New Roman" w:hAnsi="Times New Roman"/>
          <w:lang w:val="fr-BE"/>
        </w:rPr>
        <w:tab/>
        <w:t>COM(2025)</w:t>
      </w:r>
      <w:r w:rsidR="00FA76A8" w:rsidRPr="00794A91">
        <w:rPr>
          <w:rFonts w:ascii="Times New Roman" w:hAnsi="Times New Roman"/>
          <w:lang w:val="fr-BE"/>
        </w:rPr>
        <w:t xml:space="preserve"> </w:t>
      </w:r>
      <w:r w:rsidRPr="006D7B1A">
        <w:rPr>
          <w:rFonts w:ascii="Times New Roman" w:hAnsi="Times New Roman"/>
          <w:lang w:val="fr-BE"/>
        </w:rPr>
        <w:t>163 final (</w:t>
      </w:r>
      <w:hyperlink r:id="rId2" w:history="1">
        <w:r w:rsidRPr="006D7B1A">
          <w:rPr>
            <w:rStyle w:val="Hyperlink"/>
            <w:rFonts w:ascii="Times New Roman" w:hAnsi="Times New Roman"/>
            <w:lang w:val="fr-BE"/>
          </w:rPr>
          <w:t>EUR-Lex - 52025DC0163 - EN - EUR-Lex</w:t>
        </w:r>
      </w:hyperlink>
      <w:r w:rsidRPr="006D7B1A">
        <w:rPr>
          <w:rFonts w:ascii="Times New Roman" w:hAnsi="Times New Roman"/>
          <w:lang w:val="fr-BE"/>
        </w:rPr>
        <w:t>).</w:t>
      </w:r>
    </w:p>
  </w:footnote>
  <w:footnote w:id="3">
    <w:p w14:paraId="2C8DBD1F" w14:textId="77777777" w:rsidR="00D217D1" w:rsidRPr="006D7B1A" w:rsidRDefault="00D217D1" w:rsidP="00D217D1">
      <w:pPr>
        <w:pStyle w:val="FootnoteText"/>
        <w:widowControl w:val="0"/>
        <w:spacing w:after="0" w:line="240" w:lineRule="auto"/>
        <w:ind w:left="-142" w:right="-426" w:hanging="284"/>
        <w:jc w:val="both"/>
        <w:rPr>
          <w:rFonts w:ascii="Times New Roman" w:hAnsi="Times New Roman"/>
          <w:lang w:val="fr-BE"/>
        </w:rPr>
      </w:pPr>
      <w:r w:rsidRPr="006D7B1A">
        <w:rPr>
          <w:rStyle w:val="FootnoteReference"/>
          <w:rFonts w:ascii="Times New Roman" w:hAnsi="Times New Roman"/>
        </w:rPr>
        <w:footnoteRef/>
      </w:r>
      <w:r w:rsidRPr="006D7B1A">
        <w:rPr>
          <w:rFonts w:ascii="Times New Roman" w:hAnsi="Times New Roman"/>
          <w:lang w:val="fr-BE"/>
        </w:rPr>
        <w:t xml:space="preserve"> </w:t>
      </w:r>
      <w:r w:rsidRPr="006D7B1A">
        <w:rPr>
          <w:rFonts w:ascii="Times New Roman" w:hAnsi="Times New Roman"/>
          <w:lang w:val="fr-BE"/>
        </w:rPr>
        <w:tab/>
        <w:t>COM(2025) 820 final (</w:t>
      </w:r>
      <w:hyperlink r:id="rId3" w:history="1">
        <w:r w:rsidRPr="006D7B1A">
          <w:rPr>
            <w:rStyle w:val="Hyperlink"/>
            <w:rFonts w:ascii="Times New Roman" w:hAnsi="Times New Roman"/>
            <w:lang w:val="fr-BE"/>
          </w:rPr>
          <w:t>EUR-Lex - 52025DC0820 - EN - EUR-Lex</w:t>
        </w:r>
      </w:hyperlink>
      <w:r w:rsidRPr="006D7B1A">
        <w:rPr>
          <w:rFonts w:ascii="Times New Roman" w:hAnsi="Times New Roman"/>
          <w:lang w:val="fr-BE"/>
        </w:rPr>
        <w:t>).</w:t>
      </w:r>
    </w:p>
  </w:footnote>
  <w:footnote w:id="4">
    <w:p w14:paraId="19571348" w14:textId="18A8AA6A" w:rsidR="00D65FCA" w:rsidRPr="006D7B1A" w:rsidRDefault="00D65FCA" w:rsidP="00386BC9">
      <w:pPr>
        <w:pStyle w:val="FootnoteText"/>
        <w:widowControl w:val="0"/>
        <w:spacing w:after="0" w:line="240" w:lineRule="auto"/>
        <w:ind w:left="-142" w:right="-426" w:hanging="284"/>
        <w:jc w:val="both"/>
        <w:rPr>
          <w:rFonts w:ascii="Times New Roman" w:hAnsi="Times New Roman"/>
          <w:lang w:val="en-IE"/>
        </w:rPr>
      </w:pPr>
      <w:r w:rsidRPr="003B4867">
        <w:rPr>
          <w:rStyle w:val="FootnoteReference"/>
          <w:rFonts w:ascii="Times New Roman" w:hAnsi="Times New Roman"/>
        </w:rPr>
        <w:footnoteRef/>
      </w:r>
      <w:r w:rsidRPr="006D7B1A">
        <w:rPr>
          <w:rFonts w:ascii="Times New Roman" w:hAnsi="Times New Roman"/>
          <w:lang w:val="en-IE"/>
        </w:rPr>
        <w:t xml:space="preserve"> </w:t>
      </w:r>
      <w:r w:rsidRPr="006D7B1A">
        <w:rPr>
          <w:rFonts w:ascii="Times New Roman" w:hAnsi="Times New Roman"/>
          <w:lang w:val="en-IE"/>
        </w:rPr>
        <w:tab/>
      </w:r>
      <w:r w:rsidRPr="006D7B1A">
        <w:rPr>
          <w:rFonts w:ascii="Times New Roman" w:hAnsi="Times New Roman"/>
        </w:rPr>
        <w:t>Council Regulation (EU) 2025/1106 of 27 May 2025 establishing the Security Action for Europe (SAFE) through the Reinforcement of the European Defence Industry Instrument</w:t>
      </w:r>
      <w:r w:rsidRPr="003B4867">
        <w:rPr>
          <w:rFonts w:ascii="Times New Roman" w:hAnsi="Times New Roman"/>
          <w:lang w:val="en-IE"/>
        </w:rPr>
        <w:t xml:space="preserve"> </w:t>
      </w:r>
      <w:r w:rsidRPr="006D7B1A">
        <w:rPr>
          <w:rFonts w:ascii="Times New Roman" w:hAnsi="Times New Roman"/>
          <w:lang w:val="en-IE"/>
        </w:rPr>
        <w:t>(</w:t>
      </w:r>
      <w:hyperlink r:id="rId4" w:history="1">
        <w:r w:rsidRPr="006D7B1A">
          <w:rPr>
            <w:rStyle w:val="Hyperlink"/>
            <w:rFonts w:ascii="Times New Roman" w:hAnsi="Times New Roman"/>
            <w:lang w:val="en-IE"/>
          </w:rPr>
          <w:t>http://data.europa.eu/eli/reg/2025/1106/oj</w:t>
        </w:r>
      </w:hyperlink>
      <w:r w:rsidRPr="006D7B1A">
        <w:rPr>
          <w:rFonts w:ascii="Times New Roman" w:hAnsi="Times New Roman"/>
          <w:lang w:val="en-IE"/>
        </w:rPr>
        <w:t>).</w:t>
      </w:r>
    </w:p>
  </w:footnote>
  <w:footnote w:id="5">
    <w:p w14:paraId="3543F17C" w14:textId="199E57D6" w:rsidR="00080E29" w:rsidRPr="006D7B1A" w:rsidRDefault="00080E29" w:rsidP="006D7B1A">
      <w:pPr>
        <w:pStyle w:val="FootnoteText"/>
        <w:widowControl w:val="0"/>
        <w:spacing w:after="0" w:line="240" w:lineRule="auto"/>
        <w:ind w:left="-142" w:right="-426" w:hanging="283"/>
        <w:jc w:val="both"/>
        <w:rPr>
          <w:rFonts w:ascii="Times New Roman" w:hAnsi="Times New Roman"/>
          <w:lang w:val="pt-PT"/>
        </w:rPr>
      </w:pPr>
      <w:r w:rsidRPr="006D7B1A">
        <w:rPr>
          <w:rStyle w:val="FootnoteReference"/>
          <w:rFonts w:ascii="Times New Roman" w:hAnsi="Times New Roman"/>
        </w:rPr>
        <w:footnoteRef/>
      </w:r>
      <w:r w:rsidRPr="006D7B1A">
        <w:rPr>
          <w:rFonts w:ascii="Times New Roman" w:hAnsi="Times New Roman"/>
          <w:lang w:val="pt-PT"/>
        </w:rPr>
        <w:t xml:space="preserve"> </w:t>
      </w:r>
      <w:r w:rsidRPr="006D7B1A">
        <w:rPr>
          <w:rFonts w:ascii="Times New Roman" w:hAnsi="Times New Roman"/>
          <w:lang w:val="pt-PT"/>
        </w:rPr>
        <w:tab/>
        <w:t>COM(2025)543 final (</w:t>
      </w:r>
      <w:hyperlink r:id="rId5" w:history="1">
        <w:r w:rsidR="00386BC9" w:rsidRPr="006D7B1A">
          <w:rPr>
            <w:rStyle w:val="Hyperlink"/>
            <w:rFonts w:ascii="Times New Roman" w:hAnsi="Times New Roman"/>
            <w:lang w:val="pt-PT"/>
          </w:rPr>
          <w:t>https://eur-lex.europa.eu/legal-content/EN/TXT/?uri=celex:52025PC0543</w:t>
        </w:r>
      </w:hyperlink>
      <w:r w:rsidR="00386BC9" w:rsidRPr="00386BC9">
        <w:rPr>
          <w:rFonts w:ascii="Times New Roman" w:hAnsi="Times New Roman"/>
          <w:lang w:val="pt-PT"/>
        </w:rPr>
        <w:t>)</w:t>
      </w:r>
      <w:r w:rsidRPr="006D7B1A">
        <w:rPr>
          <w:rFonts w:ascii="Times New Roman" w:hAnsi="Times New Roman"/>
          <w:lang w:val="pt-PT"/>
        </w:rPr>
        <w:t>.</w:t>
      </w:r>
    </w:p>
  </w:footnote>
  <w:footnote w:id="6">
    <w:p w14:paraId="148A3083" w14:textId="6A9C707A" w:rsidR="005053E9" w:rsidRPr="006D7B1A" w:rsidRDefault="005053E9" w:rsidP="006D7B1A">
      <w:pPr>
        <w:pStyle w:val="FootnoteText"/>
        <w:widowControl w:val="0"/>
        <w:spacing w:after="0" w:line="240" w:lineRule="auto"/>
        <w:ind w:left="-142" w:right="-426" w:hanging="283"/>
        <w:jc w:val="both"/>
        <w:rPr>
          <w:rFonts w:ascii="Times New Roman" w:hAnsi="Times New Roman"/>
          <w:lang w:val="en-IE"/>
        </w:rPr>
      </w:pPr>
      <w:r w:rsidRPr="00386BC9">
        <w:rPr>
          <w:rStyle w:val="FootnoteReference"/>
          <w:rFonts w:ascii="Times New Roman" w:hAnsi="Times New Roman"/>
        </w:rPr>
        <w:footnoteRef/>
      </w:r>
      <w:r w:rsidRPr="00386BC9">
        <w:rPr>
          <w:rFonts w:ascii="Times New Roman" w:hAnsi="Times New Roman"/>
        </w:rPr>
        <w:t xml:space="preserve"> </w:t>
      </w:r>
      <w:r w:rsidRPr="006D7B1A">
        <w:rPr>
          <w:rFonts w:ascii="Times New Roman" w:hAnsi="Times New Roman"/>
          <w:lang w:val="en-IE"/>
        </w:rPr>
        <w:tab/>
      </w:r>
      <w:r w:rsidRPr="00386BC9">
        <w:rPr>
          <w:rFonts w:ascii="Times New Roman" w:hAnsi="Times New Roman"/>
        </w:rPr>
        <w:t>Regulation (EU) 2024/1252 o</w:t>
      </w:r>
      <w:r w:rsidRPr="006D7B1A">
        <w:rPr>
          <w:rFonts w:ascii="Times New Roman" w:hAnsi="Times New Roman"/>
        </w:rPr>
        <w:t>f the European Parliament and of the Council of 11 April 2024 establishing a framework for ensuring a secure and sustainable supply of critical raw materials and amending Regulations (EU) No 168/2013, (EU)</w:t>
      </w:r>
      <w:r w:rsidR="00386BC9">
        <w:rPr>
          <w:rFonts w:ascii="Times New Roman" w:hAnsi="Times New Roman"/>
        </w:rPr>
        <w:t> </w:t>
      </w:r>
      <w:r w:rsidRPr="006D7B1A">
        <w:rPr>
          <w:rFonts w:ascii="Times New Roman" w:hAnsi="Times New Roman"/>
        </w:rPr>
        <w:t>2018/858, (EU) 2018/1724 and (EU) 2019/1020</w:t>
      </w:r>
      <w:r w:rsidRPr="00386BC9">
        <w:rPr>
          <w:rFonts w:ascii="Times New Roman" w:hAnsi="Times New Roman"/>
        </w:rPr>
        <w:t xml:space="preserve"> (</w:t>
      </w:r>
      <w:hyperlink r:id="rId6" w:tooltip="Gives access to this document through its ELI URI." w:history="1">
        <w:r w:rsidRPr="00386BC9">
          <w:rPr>
            <w:rStyle w:val="Hyperlink"/>
            <w:rFonts w:ascii="Times New Roman" w:hAnsi="Times New Roman"/>
          </w:rPr>
          <w:t>http://data.europa.eu/eli/reg/2024/1252/oj</w:t>
        </w:r>
      </w:hyperlink>
      <w:r w:rsidRPr="00386BC9">
        <w:rPr>
          <w:rFonts w:ascii="Times New Roman" w:hAnsi="Times New Roman"/>
        </w:rPr>
        <w:t>).</w:t>
      </w:r>
    </w:p>
  </w:footnote>
  <w:footnote w:id="7">
    <w:p w14:paraId="0EC33FF5" w14:textId="5878B98E" w:rsidR="005053E9" w:rsidRPr="006D7B1A" w:rsidRDefault="005053E9" w:rsidP="006D7B1A">
      <w:pPr>
        <w:pStyle w:val="FootnoteText"/>
        <w:widowControl w:val="0"/>
        <w:spacing w:after="0" w:line="240" w:lineRule="auto"/>
        <w:ind w:left="-142" w:right="-426" w:hanging="283"/>
        <w:jc w:val="both"/>
        <w:rPr>
          <w:rFonts w:ascii="Times New Roman" w:hAnsi="Times New Roman"/>
          <w:lang w:val="es-AR"/>
        </w:rPr>
      </w:pPr>
      <w:r w:rsidRPr="00386BC9">
        <w:rPr>
          <w:rStyle w:val="FootnoteReference"/>
          <w:rFonts w:ascii="Times New Roman" w:hAnsi="Times New Roman"/>
        </w:rPr>
        <w:footnoteRef/>
      </w:r>
      <w:r w:rsidRPr="006D7B1A">
        <w:rPr>
          <w:rFonts w:ascii="Times New Roman" w:hAnsi="Times New Roman"/>
          <w:lang w:val="es-AR"/>
        </w:rPr>
        <w:t xml:space="preserve"> </w:t>
      </w:r>
      <w:r w:rsidRPr="006D7B1A">
        <w:rPr>
          <w:rFonts w:ascii="Times New Roman" w:hAnsi="Times New Roman"/>
          <w:lang w:val="es-AR"/>
        </w:rPr>
        <w:tab/>
      </w:r>
      <w:hyperlink r:id="rId7" w:history="1">
        <w:r w:rsidRPr="006D7B1A">
          <w:rPr>
            <w:rStyle w:val="Hyperlink"/>
            <w:rFonts w:ascii="Times New Roman" w:hAnsi="Times New Roman"/>
            <w:lang w:val="es-AR"/>
          </w:rPr>
          <w:t>93c513bd-9faa-4ba7-a4c7-9a06505790fc_en</w:t>
        </w:r>
      </w:hyperlink>
      <w:r w:rsidRPr="006D7B1A">
        <w:rPr>
          <w:rFonts w:ascii="Times New Roman" w:hAnsi="Times New Roman"/>
          <w:lang w:val="es-AR"/>
        </w:rPr>
        <w:t>.</w:t>
      </w:r>
    </w:p>
  </w:footnote>
  <w:footnote w:id="8">
    <w:p w14:paraId="0E3DE0BD" w14:textId="0FA2F3B8" w:rsidR="00EA4E6E" w:rsidRPr="006D7B1A" w:rsidRDefault="00EA4E6E" w:rsidP="006D7B1A">
      <w:pPr>
        <w:pStyle w:val="FootnoteText"/>
        <w:widowControl w:val="0"/>
        <w:spacing w:after="0" w:line="240" w:lineRule="auto"/>
        <w:ind w:left="-142" w:right="-426" w:hanging="284"/>
        <w:jc w:val="both"/>
        <w:rPr>
          <w:rFonts w:ascii="Times New Roman" w:hAnsi="Times New Roman"/>
          <w:lang w:val="es-AR"/>
        </w:rPr>
      </w:pPr>
      <w:r w:rsidRPr="006D7B1A">
        <w:rPr>
          <w:rStyle w:val="FootnoteReference"/>
          <w:rFonts w:ascii="Times New Roman" w:hAnsi="Times New Roman"/>
        </w:rPr>
        <w:footnoteRef/>
      </w:r>
      <w:r w:rsidRPr="006D7B1A">
        <w:rPr>
          <w:rFonts w:ascii="Times New Roman" w:hAnsi="Times New Roman"/>
          <w:lang w:val="es-AR"/>
        </w:rPr>
        <w:t xml:space="preserve"> </w:t>
      </w:r>
      <w:r w:rsidRPr="006D7B1A">
        <w:rPr>
          <w:rFonts w:ascii="Times New Roman" w:hAnsi="Times New Roman"/>
          <w:lang w:val="es-AR"/>
        </w:rPr>
        <w:tab/>
      </w:r>
      <w:hyperlink r:id="rId8" w:history="1">
        <w:r w:rsidR="00386BC9" w:rsidRPr="006D7B1A">
          <w:rPr>
            <w:rStyle w:val="Hyperlink"/>
            <w:rFonts w:ascii="Times New Roman" w:hAnsi="Times New Roman"/>
            <w:lang w:val="es-AR"/>
          </w:rPr>
          <w:t>https://defence-industry-space.ec.europa.eu/eu-defence-industry/edis-our-common-defence-industrial-strategy_en</w:t>
        </w:r>
      </w:hyperlink>
      <w:r w:rsidRPr="006D7B1A">
        <w:rPr>
          <w:rFonts w:ascii="Times New Roman" w:hAnsi="Times New Roman"/>
          <w:lang w:val="es-AR"/>
        </w:rPr>
        <w:t>.</w:t>
      </w:r>
    </w:p>
  </w:footnote>
  <w:footnote w:id="9">
    <w:p w14:paraId="1E41C5AB" w14:textId="557760B1" w:rsidR="005053E9" w:rsidRPr="006D7B1A" w:rsidRDefault="005053E9" w:rsidP="006D7B1A">
      <w:pPr>
        <w:pStyle w:val="FootnoteText"/>
        <w:widowControl w:val="0"/>
        <w:spacing w:after="0" w:line="240" w:lineRule="auto"/>
        <w:ind w:left="-142" w:right="-426" w:hanging="283"/>
        <w:jc w:val="both"/>
        <w:rPr>
          <w:rFonts w:ascii="Times New Roman" w:hAnsi="Times New Roman"/>
          <w:lang w:val="fr-BE"/>
        </w:rPr>
      </w:pPr>
      <w:r w:rsidRPr="00386BC9">
        <w:rPr>
          <w:rStyle w:val="FootnoteReference"/>
          <w:rFonts w:ascii="Times New Roman" w:hAnsi="Times New Roman"/>
        </w:rPr>
        <w:footnoteRef/>
      </w:r>
      <w:r w:rsidRPr="006D7B1A">
        <w:rPr>
          <w:rFonts w:ascii="Times New Roman" w:hAnsi="Times New Roman"/>
          <w:lang w:val="fr-BE"/>
        </w:rPr>
        <w:t xml:space="preserve"> </w:t>
      </w:r>
      <w:r w:rsidRPr="00386BC9">
        <w:rPr>
          <w:rFonts w:ascii="Times New Roman" w:hAnsi="Times New Roman"/>
          <w:lang w:val="fr-BE"/>
        </w:rPr>
        <w:tab/>
      </w:r>
      <w:r w:rsidRPr="006D7B1A">
        <w:rPr>
          <w:rFonts w:ascii="Times New Roman" w:hAnsi="Times New Roman"/>
          <w:lang w:val="fr-BE"/>
        </w:rPr>
        <w:t>COM(2025) 90 final (</w:t>
      </w:r>
      <w:hyperlink r:id="rId9" w:history="1">
        <w:r w:rsidRPr="006D7B1A">
          <w:rPr>
            <w:rStyle w:val="Hyperlink"/>
            <w:rFonts w:ascii="Times New Roman" w:hAnsi="Times New Roman"/>
            <w:lang w:val="fr-BE"/>
          </w:rPr>
          <w:t>EUR-Lex - 52025DC0090 - EN - EUR-Lex</w:t>
        </w:r>
      </w:hyperlink>
      <w:r w:rsidRPr="006D7B1A">
        <w:rPr>
          <w:rFonts w:ascii="Times New Roman" w:hAnsi="Times New Roman"/>
          <w:lang w:val="fr-BE"/>
        </w:rPr>
        <w:t>)</w:t>
      </w:r>
      <w:r w:rsidRPr="00386BC9">
        <w:rPr>
          <w:rFonts w:ascii="Times New Roman" w:hAnsi="Times New Roman"/>
          <w:lang w:val="fr-BE"/>
        </w:rPr>
        <w:t>.</w:t>
      </w:r>
    </w:p>
  </w:footnote>
  <w:footnote w:id="10">
    <w:p w14:paraId="191CD1ED" w14:textId="272FCDEC" w:rsidR="005053E9" w:rsidRPr="006D7B1A" w:rsidRDefault="005053E9" w:rsidP="006D7B1A">
      <w:pPr>
        <w:pStyle w:val="FootnoteText"/>
        <w:widowControl w:val="0"/>
        <w:spacing w:after="0" w:line="240" w:lineRule="auto"/>
        <w:ind w:left="-142" w:right="-426" w:hanging="283"/>
        <w:jc w:val="both"/>
        <w:rPr>
          <w:rFonts w:ascii="Times New Roman" w:hAnsi="Times New Roman"/>
          <w:lang w:val="fr-BE"/>
        </w:rPr>
      </w:pPr>
      <w:r w:rsidRPr="00386BC9">
        <w:rPr>
          <w:rStyle w:val="FootnoteReference"/>
          <w:rFonts w:ascii="Times New Roman" w:hAnsi="Times New Roman"/>
        </w:rPr>
        <w:footnoteRef/>
      </w:r>
      <w:r w:rsidRPr="006D7B1A">
        <w:rPr>
          <w:rFonts w:ascii="Times New Roman" w:hAnsi="Times New Roman"/>
          <w:lang w:val="fr-BE"/>
        </w:rPr>
        <w:t xml:space="preserve"> </w:t>
      </w:r>
      <w:r w:rsidRPr="00386BC9">
        <w:rPr>
          <w:rFonts w:ascii="Times New Roman" w:hAnsi="Times New Roman"/>
          <w:lang w:val="fr-BE"/>
        </w:rPr>
        <w:tab/>
        <w:t>JOIN(2025)</w:t>
      </w:r>
      <w:r w:rsidR="00E61ACB">
        <w:rPr>
          <w:rFonts w:ascii="Times New Roman" w:hAnsi="Times New Roman"/>
          <w:lang w:val="fr-BE"/>
        </w:rPr>
        <w:t>27</w:t>
      </w:r>
      <w:r w:rsidRPr="00386BC9">
        <w:rPr>
          <w:rFonts w:ascii="Times New Roman" w:hAnsi="Times New Roman"/>
          <w:lang w:val="fr-BE"/>
        </w:rPr>
        <w:t xml:space="preserve"> final (</w:t>
      </w:r>
      <w:hyperlink r:id="rId10" w:history="1">
        <w:r w:rsidR="00E61ACB" w:rsidRPr="00E61ACB">
          <w:rPr>
            <w:rStyle w:val="Hyperlink"/>
            <w:rFonts w:ascii="Times New Roman" w:hAnsi="Times New Roman"/>
            <w:lang w:val="fr-FR"/>
          </w:rPr>
          <w:t>EUR-Lex - 52025JC0027 - EN - EUR-Lex</w:t>
        </w:r>
      </w:hyperlink>
      <w:r w:rsidRPr="00386BC9">
        <w:rPr>
          <w:rFonts w:ascii="Times New Roman" w:hAnsi="Times New Roman"/>
          <w:lang w:val="fr-BE"/>
        </w:rPr>
        <w:t>).</w:t>
      </w:r>
    </w:p>
  </w:footnote>
  <w:footnote w:id="11">
    <w:p w14:paraId="05DBC524" w14:textId="73B9078E" w:rsidR="00080E29" w:rsidRPr="006D7B1A" w:rsidRDefault="00080E29" w:rsidP="006D7B1A">
      <w:pPr>
        <w:pStyle w:val="FootnoteText"/>
        <w:widowControl w:val="0"/>
        <w:spacing w:after="0" w:line="240" w:lineRule="auto"/>
        <w:ind w:left="-142" w:right="-426" w:hanging="283"/>
        <w:jc w:val="both"/>
        <w:rPr>
          <w:rFonts w:ascii="Times New Roman" w:hAnsi="Times New Roman"/>
          <w:lang w:val="pt-PT"/>
        </w:rPr>
      </w:pPr>
      <w:r w:rsidRPr="006D7B1A">
        <w:rPr>
          <w:rStyle w:val="FootnoteReference"/>
          <w:rFonts w:ascii="Times New Roman" w:hAnsi="Times New Roman"/>
        </w:rPr>
        <w:footnoteRef/>
      </w:r>
      <w:r w:rsidRPr="006D7B1A">
        <w:rPr>
          <w:rFonts w:ascii="Times New Roman" w:hAnsi="Times New Roman"/>
          <w:lang w:val="pt-PT"/>
        </w:rPr>
        <w:t xml:space="preserve"> </w:t>
      </w:r>
      <w:r w:rsidRPr="006D7B1A">
        <w:rPr>
          <w:rFonts w:ascii="Times New Roman" w:hAnsi="Times New Roman"/>
          <w:lang w:val="pt-PT"/>
        </w:rPr>
        <w:tab/>
        <w:t>COM(2018)435 final (</w:t>
      </w:r>
      <w:hyperlink r:id="rId11" w:history="1">
        <w:r w:rsidR="00AC7CE1" w:rsidRPr="00AC7CE1">
          <w:rPr>
            <w:rStyle w:val="Hyperlink"/>
            <w:rFonts w:ascii="Times New Roman" w:hAnsi="Times New Roman"/>
          </w:rPr>
          <w:t>EUR-Lex - 52018PC0435 - EN - EUR-Lex</w:t>
        </w:r>
      </w:hyperlink>
      <w:r w:rsidR="00386BC9" w:rsidRPr="00386BC9">
        <w:rPr>
          <w:rFonts w:ascii="Times New Roman" w:hAnsi="Times New Roman"/>
          <w:lang w:val="pt-PT"/>
        </w:rPr>
        <w:t>)</w:t>
      </w:r>
      <w:r w:rsidRPr="006D7B1A">
        <w:rPr>
          <w:rFonts w:ascii="Times New Roman" w:hAnsi="Times New Roman"/>
          <w:lang w:val="pt-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81BDB" w14:textId="77777777" w:rsidR="001F7ECB" w:rsidRDefault="001F7E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33F09" w14:textId="77777777" w:rsidR="001F7ECB" w:rsidRDefault="001F7E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2EEB0" w14:textId="77777777" w:rsidR="001F7ECB" w:rsidRDefault="001F7E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trackRevisions/>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NORMAL"/>
  </w:docVars>
  <w:rsids>
    <w:rsidRoot w:val="00077C4F"/>
    <w:rsid w:val="00012A37"/>
    <w:rsid w:val="0003065F"/>
    <w:rsid w:val="00046B15"/>
    <w:rsid w:val="00050DC7"/>
    <w:rsid w:val="00076109"/>
    <w:rsid w:val="00077C4F"/>
    <w:rsid w:val="00080E29"/>
    <w:rsid w:val="000B0467"/>
    <w:rsid w:val="000D7322"/>
    <w:rsid w:val="000E11C8"/>
    <w:rsid w:val="000F0274"/>
    <w:rsid w:val="000F0885"/>
    <w:rsid w:val="000F5FD8"/>
    <w:rsid w:val="001167C0"/>
    <w:rsid w:val="00132CB3"/>
    <w:rsid w:val="00135C2A"/>
    <w:rsid w:val="001B0E0B"/>
    <w:rsid w:val="001C4138"/>
    <w:rsid w:val="001F2EC6"/>
    <w:rsid w:val="001F65D0"/>
    <w:rsid w:val="001F7ECB"/>
    <w:rsid w:val="00217E59"/>
    <w:rsid w:val="0025644A"/>
    <w:rsid w:val="002F03FA"/>
    <w:rsid w:val="003004D2"/>
    <w:rsid w:val="003220E7"/>
    <w:rsid w:val="003349A3"/>
    <w:rsid w:val="00377967"/>
    <w:rsid w:val="00381767"/>
    <w:rsid w:val="00384B18"/>
    <w:rsid w:val="00386143"/>
    <w:rsid w:val="00386BC9"/>
    <w:rsid w:val="003B4867"/>
    <w:rsid w:val="003B58DC"/>
    <w:rsid w:val="003F686E"/>
    <w:rsid w:val="00402277"/>
    <w:rsid w:val="00442552"/>
    <w:rsid w:val="004467B1"/>
    <w:rsid w:val="00455A1C"/>
    <w:rsid w:val="00462F8F"/>
    <w:rsid w:val="004675B5"/>
    <w:rsid w:val="004770D6"/>
    <w:rsid w:val="0049246C"/>
    <w:rsid w:val="004A7932"/>
    <w:rsid w:val="004B27D8"/>
    <w:rsid w:val="004C22EA"/>
    <w:rsid w:val="004C7604"/>
    <w:rsid w:val="004F6117"/>
    <w:rsid w:val="004F63F1"/>
    <w:rsid w:val="004F651E"/>
    <w:rsid w:val="005053E9"/>
    <w:rsid w:val="0052596B"/>
    <w:rsid w:val="00554137"/>
    <w:rsid w:val="00554D8D"/>
    <w:rsid w:val="005607F7"/>
    <w:rsid w:val="00573835"/>
    <w:rsid w:val="00573BFF"/>
    <w:rsid w:val="00581306"/>
    <w:rsid w:val="00595AAE"/>
    <w:rsid w:val="005C3105"/>
    <w:rsid w:val="005D2D40"/>
    <w:rsid w:val="0061076F"/>
    <w:rsid w:val="00611E50"/>
    <w:rsid w:val="0061492D"/>
    <w:rsid w:val="00633036"/>
    <w:rsid w:val="00634140"/>
    <w:rsid w:val="00683928"/>
    <w:rsid w:val="00692C2F"/>
    <w:rsid w:val="00695797"/>
    <w:rsid w:val="00696A5E"/>
    <w:rsid w:val="006B0282"/>
    <w:rsid w:val="006B3B69"/>
    <w:rsid w:val="006B62E6"/>
    <w:rsid w:val="006B770B"/>
    <w:rsid w:val="006D7B1A"/>
    <w:rsid w:val="006E207F"/>
    <w:rsid w:val="00701675"/>
    <w:rsid w:val="00734613"/>
    <w:rsid w:val="00751910"/>
    <w:rsid w:val="00751E60"/>
    <w:rsid w:val="007547B5"/>
    <w:rsid w:val="00794A91"/>
    <w:rsid w:val="00795A9E"/>
    <w:rsid w:val="007A606D"/>
    <w:rsid w:val="007C2214"/>
    <w:rsid w:val="00802A1D"/>
    <w:rsid w:val="00807B48"/>
    <w:rsid w:val="008135CA"/>
    <w:rsid w:val="0081584F"/>
    <w:rsid w:val="008367F6"/>
    <w:rsid w:val="008703BF"/>
    <w:rsid w:val="008750B3"/>
    <w:rsid w:val="008925CE"/>
    <w:rsid w:val="008C4D41"/>
    <w:rsid w:val="008E78CA"/>
    <w:rsid w:val="009175C1"/>
    <w:rsid w:val="009202D7"/>
    <w:rsid w:val="00974253"/>
    <w:rsid w:val="0098146F"/>
    <w:rsid w:val="00981F45"/>
    <w:rsid w:val="00994D12"/>
    <w:rsid w:val="009A3524"/>
    <w:rsid w:val="009B128B"/>
    <w:rsid w:val="009D12C6"/>
    <w:rsid w:val="00A018A6"/>
    <w:rsid w:val="00A148EB"/>
    <w:rsid w:val="00A16F07"/>
    <w:rsid w:val="00A62C7B"/>
    <w:rsid w:val="00A7709A"/>
    <w:rsid w:val="00A7727D"/>
    <w:rsid w:val="00AA0D0B"/>
    <w:rsid w:val="00AC1173"/>
    <w:rsid w:val="00AC7CE1"/>
    <w:rsid w:val="00AE1842"/>
    <w:rsid w:val="00AE3C7C"/>
    <w:rsid w:val="00B31306"/>
    <w:rsid w:val="00B42814"/>
    <w:rsid w:val="00B83936"/>
    <w:rsid w:val="00B85FD8"/>
    <w:rsid w:val="00BA48EC"/>
    <w:rsid w:val="00BA5B1A"/>
    <w:rsid w:val="00BD6EB7"/>
    <w:rsid w:val="00C37BDD"/>
    <w:rsid w:val="00C54D27"/>
    <w:rsid w:val="00C646EE"/>
    <w:rsid w:val="00C725B2"/>
    <w:rsid w:val="00C76EEB"/>
    <w:rsid w:val="00C87402"/>
    <w:rsid w:val="00CB518D"/>
    <w:rsid w:val="00CC35F3"/>
    <w:rsid w:val="00CC383C"/>
    <w:rsid w:val="00CC4898"/>
    <w:rsid w:val="00D01F5A"/>
    <w:rsid w:val="00D1323B"/>
    <w:rsid w:val="00D1716E"/>
    <w:rsid w:val="00D217D1"/>
    <w:rsid w:val="00D6285F"/>
    <w:rsid w:val="00D64E05"/>
    <w:rsid w:val="00D65FCA"/>
    <w:rsid w:val="00D83435"/>
    <w:rsid w:val="00D92FD3"/>
    <w:rsid w:val="00DA3B6E"/>
    <w:rsid w:val="00DB7581"/>
    <w:rsid w:val="00DC70C1"/>
    <w:rsid w:val="00E60B1C"/>
    <w:rsid w:val="00E61ACB"/>
    <w:rsid w:val="00E71965"/>
    <w:rsid w:val="00E755D8"/>
    <w:rsid w:val="00E83C12"/>
    <w:rsid w:val="00E901EF"/>
    <w:rsid w:val="00E904C8"/>
    <w:rsid w:val="00EA1BBF"/>
    <w:rsid w:val="00EA4E6E"/>
    <w:rsid w:val="00EB1851"/>
    <w:rsid w:val="00EB29A9"/>
    <w:rsid w:val="00EB77D2"/>
    <w:rsid w:val="00ED596F"/>
    <w:rsid w:val="00EE2B81"/>
    <w:rsid w:val="00EF4DF0"/>
    <w:rsid w:val="00F0249E"/>
    <w:rsid w:val="00F255F7"/>
    <w:rsid w:val="00F313D3"/>
    <w:rsid w:val="00F316C8"/>
    <w:rsid w:val="00F47203"/>
    <w:rsid w:val="00F632DE"/>
    <w:rsid w:val="00F735E4"/>
    <w:rsid w:val="00F8463E"/>
    <w:rsid w:val="00FA5953"/>
    <w:rsid w:val="00FA76A8"/>
    <w:rsid w:val="00FB7834"/>
    <w:rsid w:val="00FC08B7"/>
    <w:rsid w:val="00FD4B6A"/>
    <w:rsid w:val="00FD67F4"/>
    <w:rsid w:val="00FF03A8"/>
    <w:rsid w:val="00FF6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DBE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ED596F"/>
    <w:rPr>
      <w:sz w:val="16"/>
      <w:szCs w:val="16"/>
    </w:rPr>
  </w:style>
  <w:style w:type="paragraph" w:styleId="CommentText">
    <w:name w:val="annotation text"/>
    <w:basedOn w:val="Normal"/>
    <w:link w:val="CommentTextChar"/>
    <w:uiPriority w:val="99"/>
    <w:unhideWhenUsed/>
    <w:rsid w:val="00ED596F"/>
    <w:rPr>
      <w:sz w:val="20"/>
      <w:szCs w:val="20"/>
    </w:rPr>
  </w:style>
  <w:style w:type="character" w:customStyle="1" w:styleId="CommentTextChar">
    <w:name w:val="Comment Text Char"/>
    <w:link w:val="CommentText"/>
    <w:uiPriority w:val="99"/>
    <w:rsid w:val="00ED596F"/>
    <w:rPr>
      <w:lang w:eastAsia="en-US"/>
    </w:rPr>
  </w:style>
  <w:style w:type="paragraph" w:styleId="CommentSubject">
    <w:name w:val="annotation subject"/>
    <w:basedOn w:val="CommentText"/>
    <w:next w:val="CommentText"/>
    <w:link w:val="CommentSubjectChar"/>
    <w:uiPriority w:val="99"/>
    <w:semiHidden/>
    <w:unhideWhenUsed/>
    <w:rsid w:val="00ED596F"/>
    <w:rPr>
      <w:b/>
      <w:bCs/>
    </w:rPr>
  </w:style>
  <w:style w:type="character" w:customStyle="1" w:styleId="CommentSubjectChar">
    <w:name w:val="Comment Subject Char"/>
    <w:link w:val="CommentSubject"/>
    <w:uiPriority w:val="99"/>
    <w:semiHidden/>
    <w:rsid w:val="00ED596F"/>
    <w:rPr>
      <w:b/>
      <w:bCs/>
      <w:lang w:eastAsia="en-US"/>
    </w:rPr>
  </w:style>
  <w:style w:type="paragraph" w:styleId="Revision">
    <w:name w:val="Revision"/>
    <w:hidden/>
    <w:uiPriority w:val="99"/>
    <w:semiHidden/>
    <w:rsid w:val="00BA5B1A"/>
    <w:rPr>
      <w:sz w:val="22"/>
      <w:szCs w:val="22"/>
      <w:lang w:val="en-GB" w:eastAsia="en-US"/>
    </w:rPr>
  </w:style>
  <w:style w:type="paragraph" w:styleId="FootnoteText">
    <w:name w:val="footnote text"/>
    <w:basedOn w:val="Normal"/>
    <w:link w:val="FootnoteTextChar"/>
    <w:uiPriority w:val="99"/>
    <w:semiHidden/>
    <w:unhideWhenUsed/>
    <w:rsid w:val="00F313D3"/>
    <w:rPr>
      <w:sz w:val="20"/>
      <w:szCs w:val="20"/>
    </w:rPr>
  </w:style>
  <w:style w:type="character" w:customStyle="1" w:styleId="FootnoteTextChar">
    <w:name w:val="Footnote Text Char"/>
    <w:link w:val="FootnoteText"/>
    <w:uiPriority w:val="99"/>
    <w:semiHidden/>
    <w:rsid w:val="00F313D3"/>
    <w:rPr>
      <w:lang w:eastAsia="en-US"/>
    </w:rPr>
  </w:style>
  <w:style w:type="character" w:styleId="FootnoteReference">
    <w:name w:val="footnote reference"/>
    <w:uiPriority w:val="99"/>
    <w:semiHidden/>
    <w:unhideWhenUsed/>
    <w:rsid w:val="00F313D3"/>
    <w:rPr>
      <w:vertAlign w:val="superscript"/>
    </w:rPr>
  </w:style>
  <w:style w:type="character" w:styleId="Hyperlink">
    <w:name w:val="Hyperlink"/>
    <w:uiPriority w:val="99"/>
    <w:unhideWhenUsed/>
    <w:rsid w:val="00F313D3"/>
    <w:rPr>
      <w:color w:val="0563C1"/>
      <w:u w:val="single"/>
    </w:rPr>
  </w:style>
  <w:style w:type="character" w:styleId="UnresolvedMention">
    <w:name w:val="Unresolved Mention"/>
    <w:uiPriority w:val="99"/>
    <w:semiHidden/>
    <w:unhideWhenUsed/>
    <w:rsid w:val="00F313D3"/>
    <w:rPr>
      <w:color w:val="605E5C"/>
      <w:shd w:val="clear" w:color="auto" w:fill="E1DFDD"/>
    </w:rPr>
  </w:style>
  <w:style w:type="character" w:styleId="FollowedHyperlink">
    <w:name w:val="FollowedHyperlink"/>
    <w:uiPriority w:val="99"/>
    <w:semiHidden/>
    <w:unhideWhenUsed/>
    <w:rsid w:val="003B4867"/>
    <w:rPr>
      <w:color w:val="954F72"/>
      <w:u w:val="single"/>
    </w:rPr>
  </w:style>
  <w:style w:type="paragraph" w:styleId="Header">
    <w:name w:val="header"/>
    <w:basedOn w:val="Normal"/>
    <w:link w:val="HeaderChar"/>
    <w:uiPriority w:val="99"/>
    <w:unhideWhenUsed/>
    <w:rsid w:val="001F7ECB"/>
    <w:pPr>
      <w:tabs>
        <w:tab w:val="center" w:pos="4513"/>
        <w:tab w:val="right" w:pos="9026"/>
      </w:tabs>
    </w:pPr>
  </w:style>
  <w:style w:type="character" w:customStyle="1" w:styleId="HeaderChar">
    <w:name w:val="Header Char"/>
    <w:link w:val="Header"/>
    <w:uiPriority w:val="99"/>
    <w:rsid w:val="001F7ECB"/>
    <w:rPr>
      <w:sz w:val="22"/>
      <w:szCs w:val="22"/>
      <w:lang w:eastAsia="en-US"/>
    </w:rPr>
  </w:style>
  <w:style w:type="paragraph" w:styleId="Footer">
    <w:name w:val="footer"/>
    <w:basedOn w:val="Normal"/>
    <w:link w:val="FooterChar"/>
    <w:uiPriority w:val="99"/>
    <w:unhideWhenUsed/>
    <w:rsid w:val="001F7ECB"/>
    <w:pPr>
      <w:tabs>
        <w:tab w:val="center" w:pos="4513"/>
        <w:tab w:val="right" w:pos="9026"/>
      </w:tabs>
    </w:pPr>
  </w:style>
  <w:style w:type="character" w:customStyle="1" w:styleId="FooterChar">
    <w:name w:val="Footer Char"/>
    <w:link w:val="Footer"/>
    <w:uiPriority w:val="99"/>
    <w:rsid w:val="001F7EC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efence-industry-space.ec.europa.eu/eu-defence-industry/edis-our-common-defence-industrial-strategy_en" TargetMode="External"/><Relationship Id="rId3" Type="http://schemas.openxmlformats.org/officeDocument/2006/relationships/hyperlink" Target="https://eur-lex.europa.eu/legal-content/EN/TXT/?uri=celex:52025DC0820" TargetMode="External"/><Relationship Id="rId7" Type="http://schemas.openxmlformats.org/officeDocument/2006/relationships/hyperlink" Target="https://employment-social-affairs.ec.europa.eu/document/download/93c513bd-9faa-4ba7-a4c7-9a06505790fc_en?filename=Pact%20for%20European%20Social%20Dialogue_signed%20version.pdf" TargetMode="External"/><Relationship Id="rId2" Type="http://schemas.openxmlformats.org/officeDocument/2006/relationships/hyperlink" Target="https://eur-lex.europa.eu/legal-content/EN/TXT/?uri=CELEX%3A52025DC0163" TargetMode="External"/><Relationship Id="rId1" Type="http://schemas.openxmlformats.org/officeDocument/2006/relationships/hyperlink" Target="https://eur-lex.europa.eu/legal-content/EN/TXT/?uri=celex:52025DC0270" TargetMode="External"/><Relationship Id="rId6" Type="http://schemas.openxmlformats.org/officeDocument/2006/relationships/hyperlink" Target="http://data.europa.eu/eli/reg/2024/1252/oj" TargetMode="External"/><Relationship Id="rId11" Type="http://schemas.openxmlformats.org/officeDocument/2006/relationships/hyperlink" Target="https://eur-lex.europa.eu/legal-content/EN/TXT/?uri=CELEX:52018PC0435" TargetMode="External"/><Relationship Id="rId5" Type="http://schemas.openxmlformats.org/officeDocument/2006/relationships/hyperlink" Target="https://eur-lex.europa.eu/legal-content/EN/TXT/?uri=celex:52025PC0543" TargetMode="External"/><Relationship Id="rId10" Type="http://schemas.openxmlformats.org/officeDocument/2006/relationships/hyperlink" Target="https://eur-lex.europa.eu/legal-content/EN/TXT/?uri=celex:52025JC0027" TargetMode="External"/><Relationship Id="rId4" Type="http://schemas.openxmlformats.org/officeDocument/2006/relationships/hyperlink" Target="http://data.europa.eu/eli/reg/2025/1106/oj" TargetMode="External"/><Relationship Id="rId9" Type="http://schemas.openxmlformats.org/officeDocument/2006/relationships/hyperlink" Target="https://eur-lex.europa.eu/legal-content/EN/TXT/?uri=celex:52025DC00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A4BEB-4B51-4190-AFCD-24E6CFD38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2027</Words>
  <Characters>12207</Characters>
  <Application>Microsoft Office Word</Application>
  <DocSecurity>0</DocSecurity>
  <Lines>160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2026-04-13T07:14:00Z</dcterms:created>
  <dcterms:modified xsi:type="dcterms:W3CDTF">2026-04-13T07:16:00Z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2026-02-26T16:48:53Z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f6556cb2-201f-435c-85cd-c3849458c348</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