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F61259" w14:paraId="7E6372DC" w14:textId="77777777" w:rsidTr="52B87E98">
        <w:trPr>
          <w:jc w:val="center"/>
        </w:trPr>
        <w:tc>
          <w:tcPr>
            <w:tcW w:w="9711" w:type="dxa"/>
          </w:tcPr>
          <w:p w14:paraId="3A4EDC3A" w14:textId="616DB0DA" w:rsidR="001C4138" w:rsidRPr="00F61259" w:rsidRDefault="00611D45" w:rsidP="00D4793C">
            <w:pPr>
              <w:widowControl w:val="0"/>
              <w:spacing w:before="120" w:after="120"/>
              <w:rPr>
                <w:rFonts w:ascii="Times New Roman" w:hAnsi="Times New Roman"/>
                <w:b/>
                <w:sz w:val="24"/>
                <w:szCs w:val="24"/>
                <w:lang w:val="en-GB"/>
              </w:rPr>
            </w:pPr>
            <w:r w:rsidRPr="00F61259">
              <w:rPr>
                <w:rFonts w:ascii="Times New Roman" w:hAnsi="Times New Roman"/>
                <w:b/>
                <w:sz w:val="24"/>
                <w:szCs w:val="24"/>
                <w:lang w:val="en-GB"/>
              </w:rPr>
              <w:t>Commercial determinants of health</w:t>
            </w:r>
            <w:r w:rsidR="00D4793C">
              <w:rPr>
                <w:rFonts w:ascii="Times New Roman" w:hAnsi="Times New Roman"/>
                <w:b/>
                <w:sz w:val="24"/>
                <w:szCs w:val="24"/>
                <w:lang w:val="en-GB"/>
              </w:rPr>
              <w:br/>
            </w:r>
            <w:r w:rsidRPr="00F61259">
              <w:rPr>
                <w:rFonts w:ascii="Times New Roman" w:hAnsi="Times New Roman"/>
                <w:b/>
                <w:sz w:val="24"/>
                <w:szCs w:val="24"/>
                <w:lang w:val="en-GB"/>
              </w:rPr>
              <w:t>(own-initiative opinion)</w:t>
            </w:r>
            <w:r w:rsidR="001C4138" w:rsidRPr="00F61259">
              <w:rPr>
                <w:rFonts w:ascii="Times New Roman" w:hAnsi="Times New Roman"/>
                <w:b/>
                <w:sz w:val="24"/>
                <w:szCs w:val="24"/>
                <w:lang w:val="en-GB"/>
              </w:rPr>
              <w:br/>
              <w:t>EESC-202</w:t>
            </w:r>
            <w:r w:rsidRPr="00F61259">
              <w:rPr>
                <w:rFonts w:ascii="Times New Roman" w:hAnsi="Times New Roman"/>
                <w:b/>
                <w:sz w:val="24"/>
                <w:szCs w:val="24"/>
                <w:lang w:val="en-GB"/>
              </w:rPr>
              <w:t>5-00420</w:t>
            </w:r>
            <w:r w:rsidR="001C4138" w:rsidRPr="00F61259">
              <w:rPr>
                <w:rFonts w:ascii="Times New Roman" w:hAnsi="Times New Roman"/>
                <w:b/>
                <w:sz w:val="24"/>
                <w:szCs w:val="24"/>
                <w:lang w:val="en-GB"/>
              </w:rPr>
              <w:t xml:space="preserve"> ‒ </w:t>
            </w:r>
            <w:r w:rsidRPr="00F61259">
              <w:rPr>
                <w:rFonts w:ascii="Times New Roman" w:hAnsi="Times New Roman"/>
                <w:b/>
                <w:sz w:val="24"/>
                <w:szCs w:val="24"/>
                <w:lang w:val="en-GB"/>
              </w:rPr>
              <w:t>INT/1080</w:t>
            </w:r>
            <w:r w:rsidR="001C4138" w:rsidRPr="00F61259">
              <w:rPr>
                <w:rFonts w:ascii="Times New Roman" w:hAnsi="Times New Roman"/>
                <w:b/>
                <w:sz w:val="24"/>
                <w:szCs w:val="24"/>
                <w:lang w:val="en-GB"/>
              </w:rPr>
              <w:br/>
            </w:r>
            <w:r w:rsidRPr="00F61259">
              <w:rPr>
                <w:rFonts w:ascii="Times New Roman" w:hAnsi="Times New Roman"/>
                <w:b/>
                <w:sz w:val="24"/>
                <w:szCs w:val="24"/>
                <w:lang w:val="en-GB"/>
              </w:rPr>
              <w:t>599</w:t>
            </w:r>
            <w:r w:rsidRPr="00411DF9">
              <w:rPr>
                <w:rFonts w:ascii="Times New Roman" w:hAnsi="Times New Roman"/>
                <w:b/>
                <w:sz w:val="24"/>
                <w:szCs w:val="24"/>
                <w:vertAlign w:val="superscript"/>
                <w:lang w:val="en-GB"/>
              </w:rPr>
              <w:t>th</w:t>
            </w:r>
            <w:r w:rsidR="001C4138" w:rsidRPr="00F61259">
              <w:rPr>
                <w:b/>
                <w:lang w:val="en-GB"/>
              </w:rPr>
              <w:t xml:space="preserve"> </w:t>
            </w:r>
            <w:r w:rsidR="001C4138" w:rsidRPr="00F61259">
              <w:rPr>
                <w:rFonts w:ascii="Times New Roman" w:hAnsi="Times New Roman"/>
                <w:b/>
                <w:sz w:val="24"/>
                <w:szCs w:val="24"/>
                <w:lang w:val="en-GB"/>
              </w:rPr>
              <w:t xml:space="preserve">Plenary Session – </w:t>
            </w:r>
            <w:r w:rsidRPr="00F61259">
              <w:rPr>
                <w:rFonts w:ascii="Times New Roman" w:hAnsi="Times New Roman"/>
                <w:b/>
                <w:sz w:val="24"/>
                <w:szCs w:val="24"/>
                <w:lang w:val="en-GB"/>
              </w:rPr>
              <w:t>September 2025</w:t>
            </w:r>
            <w:r w:rsidR="001C4138" w:rsidRPr="00F61259">
              <w:rPr>
                <w:rFonts w:ascii="Times New Roman" w:hAnsi="Times New Roman"/>
                <w:b/>
                <w:sz w:val="24"/>
                <w:szCs w:val="24"/>
                <w:lang w:val="en-GB"/>
              </w:rPr>
              <w:br/>
              <w:t xml:space="preserve">Rapporteur: </w:t>
            </w:r>
            <w:r w:rsidRPr="00F61259">
              <w:rPr>
                <w:rFonts w:ascii="Times New Roman" w:hAnsi="Times New Roman"/>
                <w:b/>
                <w:sz w:val="24"/>
                <w:szCs w:val="24"/>
                <w:lang w:val="en-GB"/>
              </w:rPr>
              <w:t xml:space="preserve">Alain COHEUR (BE-III) </w:t>
            </w:r>
            <w:r w:rsidR="00D4793C">
              <w:rPr>
                <w:rFonts w:ascii="Times New Roman" w:hAnsi="Times New Roman"/>
                <w:b/>
                <w:sz w:val="24"/>
                <w:szCs w:val="24"/>
                <w:lang w:val="en-GB"/>
              </w:rPr>
              <w:br/>
            </w:r>
            <w:r w:rsidRPr="00F61259">
              <w:rPr>
                <w:rFonts w:ascii="Times New Roman" w:hAnsi="Times New Roman"/>
                <w:b/>
                <w:sz w:val="24"/>
                <w:szCs w:val="24"/>
                <w:lang w:val="en-GB"/>
              </w:rPr>
              <w:t>Co-Rapporteur: Christophe LEFÈVRE (FR-II)</w:t>
            </w:r>
            <w:r w:rsidR="001C4138" w:rsidRPr="00F61259">
              <w:rPr>
                <w:rFonts w:ascii="Times New Roman" w:hAnsi="Times New Roman"/>
                <w:b/>
                <w:sz w:val="24"/>
                <w:szCs w:val="24"/>
                <w:lang w:val="en-GB"/>
              </w:rPr>
              <w:br/>
              <w:t xml:space="preserve">DG </w:t>
            </w:r>
            <w:r w:rsidRPr="00F61259">
              <w:rPr>
                <w:rFonts w:ascii="Times New Roman" w:hAnsi="Times New Roman"/>
                <w:b/>
                <w:sz w:val="24"/>
                <w:szCs w:val="24"/>
                <w:lang w:val="en-GB"/>
              </w:rPr>
              <w:t>SANTE</w:t>
            </w:r>
            <w:r w:rsidR="001C4138" w:rsidRPr="00F61259">
              <w:rPr>
                <w:rFonts w:ascii="Times New Roman" w:hAnsi="Times New Roman"/>
                <w:b/>
                <w:sz w:val="24"/>
                <w:szCs w:val="24"/>
                <w:lang w:val="en-GB"/>
              </w:rPr>
              <w:t xml:space="preserve">– Commissioner </w:t>
            </w:r>
            <w:r w:rsidR="00265BDA" w:rsidRPr="00F61259">
              <w:rPr>
                <w:rFonts w:ascii="Times New Roman" w:hAnsi="Times New Roman"/>
                <w:b/>
                <w:sz w:val="24"/>
                <w:szCs w:val="24"/>
                <w:lang w:val="en-GB"/>
              </w:rPr>
              <w:t xml:space="preserve">VÁRHELYI </w:t>
            </w:r>
          </w:p>
        </w:tc>
      </w:tr>
      <w:tr w:rsidR="00734613" w:rsidRPr="00F61259" w14:paraId="1937071F" w14:textId="77777777" w:rsidTr="52B87E98">
        <w:trPr>
          <w:jc w:val="center"/>
        </w:trPr>
        <w:tc>
          <w:tcPr>
            <w:tcW w:w="9711" w:type="dxa"/>
          </w:tcPr>
          <w:p w14:paraId="1E50B4DB" w14:textId="41FE4E78" w:rsidR="00734613" w:rsidRPr="00F61259" w:rsidRDefault="004F6117" w:rsidP="00D4793C">
            <w:pPr>
              <w:widowControl w:val="0"/>
              <w:spacing w:before="120" w:after="120"/>
              <w:jc w:val="center"/>
              <w:rPr>
                <w:rFonts w:ascii="Times New Roman" w:hAnsi="Times New Roman"/>
                <w:b/>
                <w:sz w:val="24"/>
                <w:szCs w:val="24"/>
                <w:lang w:val="en-GB"/>
              </w:rPr>
            </w:pPr>
            <w:r w:rsidRPr="00F61259">
              <w:rPr>
                <w:rFonts w:ascii="Times New Roman" w:hAnsi="Times New Roman"/>
                <w:b/>
                <w:sz w:val="24"/>
                <w:szCs w:val="24"/>
                <w:lang w:val="en-GB"/>
              </w:rPr>
              <w:t xml:space="preserve">European Commission position on points </w:t>
            </w:r>
            <w:r w:rsidRPr="00F61259">
              <w:rPr>
                <w:rFonts w:ascii="Times New Roman" w:hAnsi="Times New Roman"/>
                <w:b/>
                <w:sz w:val="24"/>
                <w:szCs w:val="24"/>
                <w:lang w:val="en-GB"/>
              </w:rPr>
              <w:br/>
              <w:t xml:space="preserve">of the European Economic and Social Committee </w:t>
            </w:r>
            <w:r w:rsidR="00265BDA">
              <w:rPr>
                <w:rFonts w:ascii="Times New Roman" w:hAnsi="Times New Roman"/>
                <w:b/>
                <w:sz w:val="24"/>
                <w:szCs w:val="24"/>
              </w:rPr>
              <w:t>(EESC)</w:t>
            </w:r>
            <w:r w:rsidR="00265BDA" w:rsidRPr="004F6117">
              <w:rPr>
                <w:rFonts w:ascii="Times New Roman" w:hAnsi="Times New Roman"/>
                <w:b/>
                <w:sz w:val="24"/>
                <w:szCs w:val="24"/>
              </w:rPr>
              <w:t xml:space="preserve"> </w:t>
            </w:r>
            <w:r w:rsidRPr="00F61259">
              <w:rPr>
                <w:rFonts w:ascii="Times New Roman" w:hAnsi="Times New Roman"/>
                <w:b/>
                <w:sz w:val="24"/>
                <w:szCs w:val="24"/>
                <w:lang w:val="en-GB"/>
              </w:rPr>
              <w:t>opinion</w:t>
            </w:r>
            <w:r w:rsidR="00E83C12" w:rsidRPr="00F61259">
              <w:rPr>
                <w:rFonts w:ascii="Times New Roman" w:hAnsi="Times New Roman"/>
                <w:b/>
                <w:sz w:val="24"/>
                <w:szCs w:val="24"/>
                <w:lang w:val="en-GB"/>
              </w:rPr>
              <w:t xml:space="preserve"> considered as essential</w:t>
            </w:r>
          </w:p>
        </w:tc>
      </w:tr>
      <w:tr w:rsidR="00F61259" w:rsidRPr="00D55AD1" w14:paraId="673DDC1B" w14:textId="77777777" w:rsidTr="52B87E98">
        <w:trPr>
          <w:jc w:val="center"/>
        </w:trPr>
        <w:tc>
          <w:tcPr>
            <w:tcW w:w="9711" w:type="dxa"/>
          </w:tcPr>
          <w:p w14:paraId="7CEB418B" w14:textId="2BF2A16D" w:rsidR="00ED2286" w:rsidRPr="00FC01BA" w:rsidRDefault="0058663C"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 xml:space="preserve">There is no international consensus on the use </w:t>
            </w:r>
            <w:r w:rsidR="0034731D" w:rsidRPr="00FC01BA">
              <w:rPr>
                <w:rFonts w:ascii="Times New Roman" w:hAnsi="Times New Roman"/>
                <w:sz w:val="24"/>
                <w:szCs w:val="24"/>
                <w:lang w:val="en-GB"/>
              </w:rPr>
              <w:t>of ‘</w:t>
            </w:r>
            <w:r w:rsidRPr="00FC01BA">
              <w:rPr>
                <w:rFonts w:ascii="Times New Roman" w:hAnsi="Times New Roman"/>
                <w:sz w:val="24"/>
                <w:szCs w:val="24"/>
                <w:lang w:val="en-GB"/>
              </w:rPr>
              <w:t>commercial determinants</w:t>
            </w:r>
            <w:r w:rsidR="00222CF0" w:rsidRPr="00FC01BA">
              <w:rPr>
                <w:rFonts w:ascii="Times New Roman" w:hAnsi="Times New Roman"/>
                <w:sz w:val="24"/>
                <w:szCs w:val="24"/>
                <w:lang w:val="en-GB"/>
              </w:rPr>
              <w:t>’</w:t>
            </w:r>
            <w:r w:rsidR="00265BDA" w:rsidRPr="00FC01BA">
              <w:rPr>
                <w:rFonts w:ascii="Times New Roman" w:hAnsi="Times New Roman"/>
                <w:sz w:val="24"/>
                <w:szCs w:val="24"/>
                <w:lang w:val="en-GB"/>
              </w:rPr>
              <w:t>; rather, the i</w:t>
            </w:r>
            <w:r w:rsidRPr="00FC01BA">
              <w:rPr>
                <w:rFonts w:ascii="Times New Roman" w:hAnsi="Times New Roman"/>
                <w:sz w:val="24"/>
                <w:szCs w:val="24"/>
                <w:lang w:val="en-GB"/>
              </w:rPr>
              <w:t xml:space="preserve">nternational consensus is to use ‘commercial </w:t>
            </w:r>
            <w:proofErr w:type="gramStart"/>
            <w:r w:rsidRPr="00FC01BA">
              <w:rPr>
                <w:rFonts w:ascii="Times New Roman" w:hAnsi="Times New Roman"/>
                <w:sz w:val="24"/>
                <w:szCs w:val="24"/>
                <w:lang w:val="en-GB"/>
              </w:rPr>
              <w:t>factors’</w:t>
            </w:r>
            <w:proofErr w:type="gramEnd"/>
            <w:r w:rsidRPr="00FC01BA">
              <w:rPr>
                <w:rFonts w:ascii="Times New Roman" w:hAnsi="Times New Roman"/>
                <w:sz w:val="24"/>
                <w:szCs w:val="24"/>
                <w:lang w:val="en-GB"/>
              </w:rPr>
              <w:t>. This is for example the case in the current program</w:t>
            </w:r>
            <w:r w:rsidR="00F743D8" w:rsidRPr="00FC01BA">
              <w:rPr>
                <w:rFonts w:ascii="Times New Roman" w:hAnsi="Times New Roman"/>
                <w:sz w:val="24"/>
                <w:szCs w:val="24"/>
                <w:lang w:val="en-GB"/>
              </w:rPr>
              <w:t>me</w:t>
            </w:r>
            <w:r w:rsidRPr="00FC01BA">
              <w:rPr>
                <w:rFonts w:ascii="Times New Roman" w:hAnsi="Times New Roman"/>
                <w:sz w:val="24"/>
                <w:szCs w:val="24"/>
                <w:lang w:val="en-GB"/>
              </w:rPr>
              <w:t xml:space="preserve"> of work of the</w:t>
            </w:r>
            <w:r w:rsidR="00143C67">
              <w:rPr>
                <w:rFonts w:ascii="Times New Roman" w:hAnsi="Times New Roman"/>
                <w:sz w:val="24"/>
                <w:szCs w:val="24"/>
                <w:lang w:val="en-GB"/>
              </w:rPr>
              <w:t xml:space="preserve"> World Health Organi</w:t>
            </w:r>
            <w:r w:rsidR="008332AE">
              <w:rPr>
                <w:rFonts w:ascii="Times New Roman" w:hAnsi="Times New Roman"/>
                <w:sz w:val="24"/>
                <w:szCs w:val="24"/>
                <w:lang w:val="en-GB"/>
              </w:rPr>
              <w:t>z</w:t>
            </w:r>
            <w:r w:rsidR="00143C67">
              <w:rPr>
                <w:rFonts w:ascii="Times New Roman" w:hAnsi="Times New Roman"/>
                <w:sz w:val="24"/>
                <w:szCs w:val="24"/>
                <w:lang w:val="en-GB"/>
              </w:rPr>
              <w:t>ation</w:t>
            </w:r>
            <w:r w:rsidRPr="00FC01BA">
              <w:rPr>
                <w:rFonts w:ascii="Times New Roman" w:hAnsi="Times New Roman"/>
                <w:sz w:val="24"/>
                <w:szCs w:val="24"/>
                <w:lang w:val="en-GB"/>
              </w:rPr>
              <w:t xml:space="preserve"> </w:t>
            </w:r>
            <w:r w:rsidR="00143C67">
              <w:rPr>
                <w:rFonts w:ascii="Times New Roman" w:hAnsi="Times New Roman"/>
                <w:sz w:val="24"/>
                <w:szCs w:val="24"/>
                <w:lang w:val="en-GB"/>
              </w:rPr>
              <w:t>(</w:t>
            </w:r>
            <w:r w:rsidRPr="00FC01BA">
              <w:rPr>
                <w:rFonts w:ascii="Times New Roman" w:hAnsi="Times New Roman"/>
                <w:sz w:val="24"/>
                <w:szCs w:val="24"/>
                <w:lang w:val="en-GB"/>
              </w:rPr>
              <w:t>WHO</w:t>
            </w:r>
            <w:r w:rsidR="00143C67">
              <w:rPr>
                <w:rFonts w:ascii="Times New Roman" w:hAnsi="Times New Roman"/>
                <w:sz w:val="24"/>
                <w:szCs w:val="24"/>
                <w:lang w:val="en-GB"/>
              </w:rPr>
              <w:t>)</w:t>
            </w:r>
            <w:r w:rsidRPr="00FC01BA">
              <w:rPr>
                <w:rFonts w:ascii="Times New Roman" w:hAnsi="Times New Roman"/>
                <w:sz w:val="24"/>
                <w:szCs w:val="24"/>
                <w:lang w:val="en-GB"/>
              </w:rPr>
              <w:t xml:space="preserve"> Europe region</w:t>
            </w:r>
            <w:r w:rsidR="00ED2286" w:rsidRPr="00FC01BA">
              <w:rPr>
                <w:rFonts w:ascii="Times New Roman" w:hAnsi="Times New Roman"/>
                <w:sz w:val="24"/>
                <w:szCs w:val="24"/>
                <w:lang w:val="en-GB"/>
              </w:rPr>
              <w:t xml:space="preserve">. </w:t>
            </w:r>
            <w:r w:rsidRPr="00FC01BA">
              <w:rPr>
                <w:rFonts w:ascii="Times New Roman" w:hAnsi="Times New Roman"/>
                <w:sz w:val="24"/>
                <w:szCs w:val="24"/>
                <w:lang w:val="en-GB"/>
              </w:rPr>
              <w:t xml:space="preserve">This is </w:t>
            </w:r>
            <w:r w:rsidR="00ED2286" w:rsidRPr="00FC01BA">
              <w:rPr>
                <w:rFonts w:ascii="Times New Roman" w:hAnsi="Times New Roman"/>
                <w:sz w:val="24"/>
                <w:szCs w:val="24"/>
                <w:lang w:val="en-GB"/>
              </w:rPr>
              <w:t xml:space="preserve">also </w:t>
            </w:r>
            <w:r w:rsidRPr="00FC01BA">
              <w:rPr>
                <w:rFonts w:ascii="Times New Roman" w:hAnsi="Times New Roman"/>
                <w:sz w:val="24"/>
                <w:szCs w:val="24"/>
                <w:lang w:val="en-GB"/>
              </w:rPr>
              <w:t xml:space="preserve">the consensus in the UN General Assembly discussion on </w:t>
            </w:r>
            <w:r w:rsidR="00A27E88">
              <w:rPr>
                <w:rFonts w:ascii="Times New Roman" w:hAnsi="Times New Roman"/>
                <w:sz w:val="24"/>
                <w:szCs w:val="24"/>
                <w:lang w:val="en-GB"/>
              </w:rPr>
              <w:t>non-communicable diseases (</w:t>
            </w:r>
            <w:r w:rsidRPr="00FC01BA">
              <w:rPr>
                <w:rFonts w:ascii="Times New Roman" w:hAnsi="Times New Roman"/>
                <w:sz w:val="24"/>
                <w:szCs w:val="24"/>
                <w:lang w:val="en-GB"/>
              </w:rPr>
              <w:t>NCDs</w:t>
            </w:r>
            <w:r w:rsidR="00A27E88">
              <w:rPr>
                <w:rFonts w:ascii="Times New Roman" w:hAnsi="Times New Roman"/>
                <w:sz w:val="24"/>
                <w:szCs w:val="24"/>
                <w:lang w:val="en-GB"/>
              </w:rPr>
              <w:t>)</w:t>
            </w:r>
            <w:r w:rsidR="002C40B8">
              <w:rPr>
                <w:rFonts w:ascii="Times New Roman" w:hAnsi="Times New Roman"/>
                <w:sz w:val="24"/>
                <w:szCs w:val="24"/>
                <w:lang w:val="en-GB"/>
              </w:rPr>
              <w:t xml:space="preserve">. </w:t>
            </w:r>
          </w:p>
          <w:p w14:paraId="1203383F" w14:textId="6B030415" w:rsidR="009C28CB" w:rsidRPr="00FC01BA" w:rsidRDefault="009C28CB" w:rsidP="00D4793C">
            <w:pPr>
              <w:widowControl w:val="0"/>
              <w:spacing w:before="120" w:after="120"/>
              <w:jc w:val="both"/>
              <w:rPr>
                <w:rFonts w:ascii="Times New Roman" w:hAnsi="Times New Roman"/>
                <w:b/>
                <w:bCs/>
                <w:sz w:val="24"/>
                <w:szCs w:val="24"/>
                <w:lang w:val="en-GB"/>
              </w:rPr>
            </w:pPr>
            <w:r w:rsidRPr="00FC01BA">
              <w:rPr>
                <w:rFonts w:ascii="Times New Roman" w:hAnsi="Times New Roman"/>
                <w:b/>
                <w:bCs/>
                <w:sz w:val="24"/>
                <w:szCs w:val="24"/>
                <w:lang w:val="en-GB"/>
              </w:rPr>
              <w:t xml:space="preserve">Points 1.12, </w:t>
            </w:r>
            <w:r w:rsidR="006B5C4E" w:rsidRPr="00FC01BA">
              <w:rPr>
                <w:rFonts w:ascii="Times New Roman" w:hAnsi="Times New Roman"/>
                <w:b/>
                <w:bCs/>
                <w:sz w:val="24"/>
                <w:szCs w:val="24"/>
                <w:lang w:val="en-GB"/>
              </w:rPr>
              <w:t>2.5</w:t>
            </w:r>
            <w:r w:rsidR="00F17841" w:rsidRPr="00FC01BA">
              <w:rPr>
                <w:rFonts w:ascii="Times New Roman" w:hAnsi="Times New Roman"/>
                <w:b/>
                <w:bCs/>
                <w:sz w:val="24"/>
                <w:szCs w:val="24"/>
                <w:lang w:val="en-GB"/>
              </w:rPr>
              <w:t xml:space="preserve">, 2.6, </w:t>
            </w:r>
            <w:r w:rsidRPr="00FC01BA">
              <w:rPr>
                <w:rFonts w:ascii="Times New Roman" w:hAnsi="Times New Roman"/>
                <w:b/>
                <w:bCs/>
                <w:sz w:val="24"/>
                <w:szCs w:val="24"/>
                <w:lang w:val="en-GB"/>
              </w:rPr>
              <w:t>4.8</w:t>
            </w:r>
            <w:r w:rsidR="00265BDA" w:rsidRPr="00FC01BA">
              <w:rPr>
                <w:rFonts w:ascii="Times New Roman" w:hAnsi="Times New Roman"/>
                <w:b/>
                <w:bCs/>
                <w:sz w:val="24"/>
                <w:szCs w:val="24"/>
                <w:lang w:val="en-GB"/>
              </w:rPr>
              <w:t>:</w:t>
            </w:r>
          </w:p>
          <w:p w14:paraId="650DAE8E" w14:textId="06B1B8D1" w:rsidR="00B32A9C" w:rsidRPr="000B4327" w:rsidRDefault="009C28CB" w:rsidP="00D4793C">
            <w:pPr>
              <w:widowControl w:val="0"/>
              <w:spacing w:before="120" w:after="120"/>
              <w:jc w:val="both"/>
              <w:rPr>
                <w:rFonts w:ascii="Times New Roman" w:eastAsia="Times New Roman" w:hAnsi="Times New Roman"/>
                <w:sz w:val="24"/>
                <w:szCs w:val="24"/>
                <w:lang w:val="en-GB"/>
              </w:rPr>
            </w:pPr>
            <w:r w:rsidRPr="00FC01BA">
              <w:rPr>
                <w:rFonts w:ascii="Times New Roman" w:eastAsia="Times New Roman" w:hAnsi="Times New Roman"/>
                <w:sz w:val="24"/>
                <w:szCs w:val="24"/>
                <w:lang w:val="en-GB"/>
              </w:rPr>
              <w:t xml:space="preserve">While Member States are responsible for organising and </w:t>
            </w:r>
            <w:r w:rsidR="004A1B1B" w:rsidRPr="00FC01BA">
              <w:rPr>
                <w:rFonts w:ascii="Times New Roman" w:eastAsia="Times New Roman" w:hAnsi="Times New Roman"/>
                <w:sz w:val="24"/>
                <w:szCs w:val="24"/>
                <w:lang w:val="en-GB"/>
              </w:rPr>
              <w:t xml:space="preserve">financing </w:t>
            </w:r>
            <w:r w:rsidRPr="00FC01BA">
              <w:rPr>
                <w:rFonts w:ascii="Times New Roman" w:eastAsia="Times New Roman" w:hAnsi="Times New Roman"/>
                <w:sz w:val="24"/>
                <w:szCs w:val="24"/>
                <w:lang w:val="en-GB"/>
              </w:rPr>
              <w:t>health services and medical care, the Commission support</w:t>
            </w:r>
            <w:r w:rsidR="00D7174B" w:rsidRPr="00FC01BA">
              <w:rPr>
                <w:rFonts w:ascii="Times New Roman" w:eastAsia="Times New Roman" w:hAnsi="Times New Roman"/>
                <w:sz w:val="24"/>
                <w:szCs w:val="24"/>
                <w:lang w:val="en-GB"/>
              </w:rPr>
              <w:t>s</w:t>
            </w:r>
            <w:r w:rsidRPr="00FC01BA">
              <w:rPr>
                <w:rFonts w:ascii="Times New Roman" w:eastAsia="Times New Roman" w:hAnsi="Times New Roman"/>
                <w:sz w:val="24"/>
                <w:szCs w:val="24"/>
                <w:lang w:val="en-GB"/>
              </w:rPr>
              <w:t xml:space="preserve"> them in reaching the Sustainable Development Goals</w:t>
            </w:r>
            <w:r w:rsidR="00A8795F" w:rsidRPr="00FC01BA">
              <w:rPr>
                <w:rFonts w:ascii="Times New Roman" w:eastAsia="Times New Roman" w:hAnsi="Times New Roman"/>
                <w:sz w:val="24"/>
                <w:szCs w:val="24"/>
                <w:lang w:val="en-GB"/>
              </w:rPr>
              <w:t xml:space="preserve"> (SDGs)</w:t>
            </w:r>
            <w:r w:rsidRPr="00FC01BA">
              <w:rPr>
                <w:rFonts w:ascii="Times New Roman" w:eastAsia="Times New Roman" w:hAnsi="Times New Roman"/>
                <w:sz w:val="24"/>
                <w:szCs w:val="24"/>
                <w:lang w:val="en-GB"/>
              </w:rPr>
              <w:t xml:space="preserve"> and particularly</w:t>
            </w:r>
            <w:r w:rsidR="00143C67">
              <w:rPr>
                <w:rFonts w:ascii="Times New Roman" w:eastAsia="Times New Roman" w:hAnsi="Times New Roman"/>
                <w:sz w:val="24"/>
                <w:szCs w:val="24"/>
                <w:lang w:val="en-GB"/>
              </w:rPr>
              <w:t xml:space="preserve"> the</w:t>
            </w:r>
            <w:r w:rsidRPr="00FC01BA">
              <w:rPr>
                <w:rFonts w:ascii="Times New Roman" w:eastAsia="Times New Roman" w:hAnsi="Times New Roman"/>
                <w:sz w:val="24"/>
                <w:szCs w:val="24"/>
                <w:lang w:val="en-GB"/>
              </w:rPr>
              <w:t xml:space="preserve"> </w:t>
            </w:r>
            <w:r w:rsidR="00DB3ADA" w:rsidRPr="00FC01BA">
              <w:rPr>
                <w:rFonts w:ascii="Times New Roman" w:eastAsia="Times New Roman" w:hAnsi="Times New Roman"/>
                <w:sz w:val="24"/>
                <w:szCs w:val="24"/>
                <w:lang w:val="en-GB"/>
              </w:rPr>
              <w:t>Sustainable Development Goals (</w:t>
            </w:r>
            <w:r w:rsidRPr="00FC01BA">
              <w:rPr>
                <w:rFonts w:ascii="Times New Roman" w:eastAsia="Times New Roman" w:hAnsi="Times New Roman"/>
                <w:sz w:val="24"/>
                <w:szCs w:val="24"/>
                <w:lang w:val="en-GB"/>
              </w:rPr>
              <w:t>SDG</w:t>
            </w:r>
            <w:r w:rsidR="00DB3ADA" w:rsidRPr="00FC01BA">
              <w:rPr>
                <w:rFonts w:ascii="Times New Roman" w:eastAsia="Times New Roman" w:hAnsi="Times New Roman"/>
                <w:sz w:val="24"/>
                <w:szCs w:val="24"/>
                <w:lang w:val="en-GB"/>
              </w:rPr>
              <w:t>)</w:t>
            </w:r>
            <w:r w:rsidRPr="00FC01BA">
              <w:rPr>
                <w:rFonts w:ascii="Times New Roman" w:eastAsia="Times New Roman" w:hAnsi="Times New Roman"/>
                <w:sz w:val="24"/>
                <w:szCs w:val="24"/>
                <w:lang w:val="en-GB"/>
              </w:rPr>
              <w:t xml:space="preserve"> target 3.4</w:t>
            </w:r>
            <w:r w:rsidRPr="00FC01BA">
              <w:rPr>
                <w:rFonts w:ascii="Times New Roman" w:eastAsia="Times New Roman" w:hAnsi="Times New Roman"/>
                <w:sz w:val="24"/>
                <w:szCs w:val="24"/>
                <w:vertAlign w:val="superscript"/>
                <w:lang w:val="en-GB"/>
              </w:rPr>
              <w:footnoteReference w:id="2"/>
            </w:r>
            <w:r w:rsidRPr="00FC01BA">
              <w:rPr>
                <w:rFonts w:ascii="Times New Roman" w:eastAsia="Times New Roman" w:hAnsi="Times New Roman"/>
                <w:sz w:val="24"/>
                <w:szCs w:val="24"/>
                <w:lang w:val="en-GB"/>
              </w:rPr>
              <w:t xml:space="preserve">, </w:t>
            </w:r>
            <w:r w:rsidR="004A1B1B" w:rsidRPr="00FC01BA">
              <w:rPr>
                <w:rFonts w:ascii="Times New Roman" w:eastAsia="Times New Roman" w:hAnsi="Times New Roman"/>
                <w:sz w:val="24"/>
                <w:szCs w:val="24"/>
                <w:lang w:val="en-GB"/>
              </w:rPr>
              <w:t xml:space="preserve">to </w:t>
            </w:r>
            <w:r w:rsidRPr="00FC01BA">
              <w:rPr>
                <w:rFonts w:ascii="Times New Roman" w:eastAsia="Times New Roman" w:hAnsi="Times New Roman"/>
                <w:sz w:val="24"/>
                <w:szCs w:val="24"/>
                <w:lang w:val="en-GB"/>
              </w:rPr>
              <w:t>reduc</w:t>
            </w:r>
            <w:r w:rsidR="004A1B1B" w:rsidRPr="00FC01BA">
              <w:rPr>
                <w:rFonts w:ascii="Times New Roman" w:eastAsia="Times New Roman" w:hAnsi="Times New Roman"/>
                <w:sz w:val="24"/>
                <w:szCs w:val="24"/>
                <w:lang w:val="en-GB"/>
              </w:rPr>
              <w:t xml:space="preserve">e </w:t>
            </w:r>
            <w:r w:rsidRPr="00FC01BA">
              <w:rPr>
                <w:rFonts w:ascii="Times New Roman" w:eastAsia="Times New Roman" w:hAnsi="Times New Roman"/>
                <w:sz w:val="24"/>
                <w:szCs w:val="24"/>
                <w:lang w:val="en-GB"/>
              </w:rPr>
              <w:t xml:space="preserve">the burden of </w:t>
            </w:r>
            <w:r w:rsidR="00D7174B" w:rsidRPr="00FC01BA">
              <w:rPr>
                <w:rFonts w:ascii="Times New Roman" w:eastAsia="Times New Roman" w:hAnsi="Times New Roman"/>
                <w:sz w:val="24"/>
                <w:szCs w:val="24"/>
                <w:lang w:val="en-GB"/>
              </w:rPr>
              <w:t>NCDs.</w:t>
            </w:r>
          </w:p>
          <w:p w14:paraId="6105B7EE" w14:textId="0509F3F1" w:rsidR="009C28CB" w:rsidRPr="00FC01BA" w:rsidRDefault="009C28CB"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The framework for this support include</w:t>
            </w:r>
            <w:r w:rsidR="000C365F" w:rsidRPr="00FC01BA">
              <w:rPr>
                <w:rFonts w:ascii="Times New Roman" w:hAnsi="Times New Roman"/>
                <w:sz w:val="24"/>
                <w:szCs w:val="24"/>
                <w:lang w:val="en-GB"/>
              </w:rPr>
              <w:t>s</w:t>
            </w:r>
            <w:r w:rsidRPr="00FC01BA">
              <w:rPr>
                <w:rFonts w:ascii="Times New Roman" w:hAnsi="Times New Roman"/>
                <w:sz w:val="24"/>
                <w:szCs w:val="24"/>
                <w:lang w:val="en-GB"/>
              </w:rPr>
              <w:t xml:space="preserve"> the ‘Healthier Together’ EU </w:t>
            </w:r>
            <w:r w:rsidR="000D2B95" w:rsidRPr="00FC01BA">
              <w:rPr>
                <w:rFonts w:ascii="Times New Roman" w:hAnsi="Times New Roman"/>
                <w:sz w:val="24"/>
                <w:szCs w:val="24"/>
                <w:lang w:val="en-GB"/>
              </w:rPr>
              <w:t>NCD</w:t>
            </w:r>
            <w:r w:rsidRPr="00FC01BA">
              <w:rPr>
                <w:rFonts w:ascii="Times New Roman" w:hAnsi="Times New Roman"/>
                <w:sz w:val="24"/>
                <w:szCs w:val="24"/>
                <w:lang w:val="en-GB"/>
              </w:rPr>
              <w:t xml:space="preserve"> initiative, Europe’s Beating Cancer Plan</w:t>
            </w:r>
            <w:r w:rsidRPr="00FC01BA">
              <w:rPr>
                <w:rFonts w:ascii="Times New Roman" w:hAnsi="Times New Roman"/>
                <w:sz w:val="24"/>
                <w:szCs w:val="24"/>
                <w:vertAlign w:val="superscript"/>
                <w:lang w:val="en-GB"/>
              </w:rPr>
              <w:footnoteReference w:id="3"/>
            </w:r>
            <w:r w:rsidR="00A8795F" w:rsidRPr="00FC01BA">
              <w:rPr>
                <w:rFonts w:ascii="Times New Roman" w:hAnsi="Times New Roman"/>
                <w:sz w:val="24"/>
                <w:szCs w:val="24"/>
                <w:lang w:val="en-GB"/>
              </w:rPr>
              <w:t>,</w:t>
            </w:r>
            <w:r w:rsidRPr="00FC01BA">
              <w:rPr>
                <w:rFonts w:ascii="Times New Roman" w:hAnsi="Times New Roman"/>
                <w:sz w:val="24"/>
                <w:szCs w:val="24"/>
                <w:lang w:val="en-GB"/>
              </w:rPr>
              <w:t xml:space="preserve"> and the Communication on a comprehensive approach to mental health</w:t>
            </w:r>
            <w:r w:rsidR="00721A25" w:rsidRPr="00FC01BA">
              <w:rPr>
                <w:rStyle w:val="FootnoteReference"/>
                <w:rFonts w:ascii="Times New Roman" w:hAnsi="Times New Roman"/>
                <w:sz w:val="24"/>
                <w:szCs w:val="24"/>
                <w:lang w:val="en-GB"/>
              </w:rPr>
              <w:footnoteReference w:id="4"/>
            </w:r>
            <w:r w:rsidRPr="00FC01BA">
              <w:rPr>
                <w:rFonts w:ascii="Times New Roman" w:hAnsi="Times New Roman"/>
                <w:sz w:val="24"/>
                <w:szCs w:val="24"/>
                <w:lang w:val="en-GB"/>
              </w:rPr>
              <w:t>. Through th</w:t>
            </w:r>
            <w:r w:rsidR="004A1B1B" w:rsidRPr="00FC01BA">
              <w:rPr>
                <w:rFonts w:ascii="Times New Roman" w:hAnsi="Times New Roman"/>
                <w:sz w:val="24"/>
                <w:szCs w:val="24"/>
                <w:lang w:val="en-GB"/>
              </w:rPr>
              <w:t>ese</w:t>
            </w:r>
            <w:r w:rsidRPr="00FC01BA">
              <w:rPr>
                <w:rFonts w:ascii="Times New Roman" w:hAnsi="Times New Roman"/>
                <w:sz w:val="24"/>
                <w:szCs w:val="24"/>
                <w:lang w:val="en-GB"/>
              </w:rPr>
              <w:t xml:space="preserve"> </w:t>
            </w:r>
            <w:r w:rsidR="004A1B1B" w:rsidRPr="00FC01BA">
              <w:rPr>
                <w:rFonts w:ascii="Times New Roman" w:hAnsi="Times New Roman"/>
                <w:sz w:val="24"/>
                <w:szCs w:val="24"/>
                <w:lang w:val="en-GB"/>
              </w:rPr>
              <w:t>initiatives</w:t>
            </w:r>
            <w:r w:rsidR="00524973" w:rsidRPr="00FC01BA">
              <w:rPr>
                <w:rFonts w:ascii="Times New Roman" w:hAnsi="Times New Roman"/>
                <w:sz w:val="24"/>
                <w:szCs w:val="24"/>
                <w:lang w:val="en-GB"/>
              </w:rPr>
              <w:t>,</w:t>
            </w:r>
            <w:r w:rsidRPr="00FC01BA">
              <w:rPr>
                <w:rFonts w:ascii="Times New Roman" w:hAnsi="Times New Roman"/>
                <w:sz w:val="24"/>
                <w:szCs w:val="24"/>
                <w:lang w:val="en-GB"/>
              </w:rPr>
              <w:t xml:space="preserve"> the Commission promotes a comprehensive, multistakeholder, cross-sectoral, lifelong and prevention-oriented approach to addressing the burden of NCDs and </w:t>
            </w:r>
            <w:r w:rsidR="004A1B1B" w:rsidRPr="00FC01BA">
              <w:rPr>
                <w:rFonts w:ascii="Times New Roman" w:hAnsi="Times New Roman"/>
                <w:sz w:val="24"/>
                <w:szCs w:val="24"/>
                <w:lang w:val="en-GB"/>
              </w:rPr>
              <w:t xml:space="preserve">related </w:t>
            </w:r>
            <w:r w:rsidRPr="00FC01BA">
              <w:rPr>
                <w:rFonts w:ascii="Times New Roman" w:hAnsi="Times New Roman"/>
                <w:sz w:val="24"/>
                <w:szCs w:val="24"/>
                <w:lang w:val="en-GB"/>
              </w:rPr>
              <w:t xml:space="preserve">risk factors. </w:t>
            </w:r>
            <w:r w:rsidR="00D653B6" w:rsidRPr="00FC01BA">
              <w:rPr>
                <w:rFonts w:ascii="Times New Roman" w:hAnsi="Times New Roman"/>
                <w:sz w:val="24"/>
                <w:szCs w:val="24"/>
                <w:lang w:val="en-GB"/>
              </w:rPr>
              <w:t>Th</w:t>
            </w:r>
            <w:r w:rsidR="00B327A6" w:rsidRPr="00FC01BA">
              <w:rPr>
                <w:rFonts w:ascii="Times New Roman" w:hAnsi="Times New Roman"/>
                <w:sz w:val="24"/>
                <w:szCs w:val="24"/>
                <w:lang w:val="en-GB"/>
              </w:rPr>
              <w:t>e</w:t>
            </w:r>
            <w:r w:rsidR="00524973" w:rsidRPr="00FC01BA">
              <w:rPr>
                <w:rFonts w:ascii="Times New Roman" w:hAnsi="Times New Roman"/>
                <w:sz w:val="24"/>
                <w:szCs w:val="24"/>
                <w:lang w:val="en-GB"/>
              </w:rPr>
              <w:t xml:space="preserve"> </w:t>
            </w:r>
            <w:r w:rsidR="0047037D" w:rsidRPr="00FC01BA">
              <w:rPr>
                <w:rFonts w:ascii="Times New Roman" w:hAnsi="Times New Roman"/>
                <w:sz w:val="24"/>
                <w:szCs w:val="24"/>
                <w:lang w:val="en-GB"/>
              </w:rPr>
              <w:t>‘</w:t>
            </w:r>
            <w:r w:rsidR="00524973" w:rsidRPr="00FC01BA">
              <w:rPr>
                <w:rFonts w:ascii="Times New Roman" w:hAnsi="Times New Roman"/>
                <w:sz w:val="24"/>
                <w:szCs w:val="24"/>
                <w:lang w:val="en-GB"/>
              </w:rPr>
              <w:t>Healthier Together</w:t>
            </w:r>
            <w:r w:rsidR="0047037D" w:rsidRPr="00FC01BA">
              <w:rPr>
                <w:rFonts w:ascii="Times New Roman" w:hAnsi="Times New Roman"/>
                <w:sz w:val="24"/>
                <w:szCs w:val="24"/>
                <w:lang w:val="en-GB"/>
              </w:rPr>
              <w:t>’</w:t>
            </w:r>
            <w:r w:rsidR="00524973" w:rsidRPr="00FC01BA">
              <w:rPr>
                <w:rFonts w:ascii="Times New Roman" w:hAnsi="Times New Roman"/>
                <w:sz w:val="24"/>
                <w:szCs w:val="24"/>
                <w:lang w:val="en-GB"/>
              </w:rPr>
              <w:t xml:space="preserve"> </w:t>
            </w:r>
            <w:r w:rsidR="00B327A6" w:rsidRPr="00FC01BA">
              <w:rPr>
                <w:rFonts w:ascii="Times New Roman" w:hAnsi="Times New Roman"/>
                <w:sz w:val="24"/>
                <w:szCs w:val="24"/>
                <w:lang w:val="en-GB"/>
              </w:rPr>
              <w:t>initiative</w:t>
            </w:r>
            <w:r w:rsidR="00524973" w:rsidRPr="00FC01BA">
              <w:rPr>
                <w:rFonts w:ascii="Times New Roman" w:hAnsi="Times New Roman"/>
                <w:sz w:val="24"/>
                <w:szCs w:val="24"/>
                <w:lang w:val="en-GB"/>
              </w:rPr>
              <w:t xml:space="preserve"> was </w:t>
            </w:r>
            <w:r w:rsidR="00B327A6" w:rsidRPr="00FC01BA">
              <w:rPr>
                <w:rFonts w:ascii="Times New Roman" w:hAnsi="Times New Roman"/>
                <w:sz w:val="24"/>
                <w:szCs w:val="24"/>
                <w:lang w:val="en-GB"/>
              </w:rPr>
              <w:t xml:space="preserve">created </w:t>
            </w:r>
            <w:r w:rsidR="40E321B6" w:rsidRPr="00FC01BA">
              <w:rPr>
                <w:rFonts w:ascii="Times New Roman" w:hAnsi="Times New Roman"/>
                <w:sz w:val="24"/>
                <w:szCs w:val="24"/>
                <w:lang w:val="en-GB"/>
              </w:rPr>
              <w:t xml:space="preserve">in collaboration </w:t>
            </w:r>
            <w:r w:rsidR="00B327A6" w:rsidRPr="00FC01BA">
              <w:rPr>
                <w:rFonts w:ascii="Times New Roman" w:hAnsi="Times New Roman"/>
                <w:sz w:val="24"/>
                <w:szCs w:val="24"/>
                <w:lang w:val="en-GB"/>
              </w:rPr>
              <w:t xml:space="preserve">with </w:t>
            </w:r>
            <w:r w:rsidR="00367F21" w:rsidRPr="00FC01BA">
              <w:rPr>
                <w:rFonts w:ascii="Times New Roman" w:hAnsi="Times New Roman"/>
                <w:sz w:val="24"/>
                <w:szCs w:val="24"/>
                <w:lang w:val="en-GB"/>
              </w:rPr>
              <w:t>Member States</w:t>
            </w:r>
            <w:r w:rsidR="00B327A6" w:rsidRPr="00FC01BA">
              <w:rPr>
                <w:rFonts w:ascii="Times New Roman" w:hAnsi="Times New Roman"/>
                <w:sz w:val="24"/>
                <w:szCs w:val="24"/>
                <w:lang w:val="en-GB"/>
              </w:rPr>
              <w:t xml:space="preserve"> and </w:t>
            </w:r>
            <w:r w:rsidR="00367F21" w:rsidRPr="00FC01BA">
              <w:rPr>
                <w:rFonts w:ascii="Times New Roman" w:hAnsi="Times New Roman"/>
                <w:sz w:val="24"/>
                <w:szCs w:val="24"/>
                <w:lang w:val="en-GB"/>
              </w:rPr>
              <w:t>stakeholders</w:t>
            </w:r>
            <w:r w:rsidR="00B327A6" w:rsidRPr="00FC01BA">
              <w:rPr>
                <w:rFonts w:ascii="Times New Roman" w:hAnsi="Times New Roman"/>
                <w:sz w:val="24"/>
                <w:szCs w:val="24"/>
                <w:lang w:val="en-GB"/>
              </w:rPr>
              <w:t xml:space="preserve">, </w:t>
            </w:r>
            <w:r w:rsidR="007E7D75" w:rsidRPr="00FC01BA">
              <w:rPr>
                <w:rFonts w:ascii="Times New Roman" w:hAnsi="Times New Roman"/>
                <w:sz w:val="24"/>
                <w:szCs w:val="24"/>
                <w:lang w:val="en-GB"/>
              </w:rPr>
              <w:t xml:space="preserve">including civil society </w:t>
            </w:r>
            <w:r w:rsidR="000A4A2C" w:rsidRPr="00FC01BA">
              <w:rPr>
                <w:rFonts w:ascii="Times New Roman" w:hAnsi="Times New Roman"/>
                <w:sz w:val="24"/>
                <w:szCs w:val="24"/>
                <w:lang w:val="en-GB"/>
              </w:rPr>
              <w:t>and patient organisations</w:t>
            </w:r>
            <w:r w:rsidR="007E7D75" w:rsidRPr="00FC01BA">
              <w:rPr>
                <w:rFonts w:ascii="Times New Roman" w:hAnsi="Times New Roman"/>
                <w:sz w:val="24"/>
                <w:szCs w:val="24"/>
                <w:lang w:val="en-GB"/>
              </w:rPr>
              <w:t xml:space="preserve">, </w:t>
            </w:r>
            <w:r w:rsidR="00B327A6" w:rsidRPr="00FC01BA">
              <w:rPr>
                <w:rFonts w:ascii="Times New Roman" w:hAnsi="Times New Roman"/>
                <w:sz w:val="24"/>
                <w:szCs w:val="24"/>
                <w:lang w:val="en-GB"/>
              </w:rPr>
              <w:t xml:space="preserve">in consultation with citizens. </w:t>
            </w:r>
            <w:r w:rsidR="003C2875" w:rsidRPr="00FC01BA">
              <w:rPr>
                <w:rFonts w:ascii="Times New Roman" w:eastAsia="Times New Roman" w:hAnsi="Times New Roman"/>
                <w:sz w:val="24"/>
                <w:szCs w:val="24"/>
                <w:lang w:val="en-GB"/>
              </w:rPr>
              <w:t xml:space="preserve">The Commission </w:t>
            </w:r>
            <w:r w:rsidR="00C96E5B">
              <w:rPr>
                <w:rFonts w:ascii="Times New Roman" w:eastAsia="Times New Roman" w:hAnsi="Times New Roman"/>
                <w:sz w:val="24"/>
                <w:szCs w:val="24"/>
                <w:lang w:val="en-GB"/>
              </w:rPr>
              <w:t>presented the</w:t>
            </w:r>
            <w:r w:rsidR="003C2875" w:rsidRPr="00FC01BA">
              <w:rPr>
                <w:rFonts w:ascii="Times New Roman" w:eastAsia="Times New Roman" w:hAnsi="Times New Roman"/>
                <w:sz w:val="24"/>
                <w:szCs w:val="24"/>
                <w:lang w:val="en-GB"/>
              </w:rPr>
              <w:t xml:space="preserve"> EU cardiovascular health plan</w:t>
            </w:r>
            <w:r w:rsidR="00C96E5B">
              <w:rPr>
                <w:rFonts w:ascii="Times New Roman" w:eastAsia="Times New Roman" w:hAnsi="Times New Roman"/>
                <w:sz w:val="24"/>
                <w:szCs w:val="24"/>
                <w:lang w:val="en-GB"/>
              </w:rPr>
              <w:t>, the Safe Hearts Plan</w:t>
            </w:r>
            <w:r w:rsidR="00E132A8" w:rsidRPr="00FC01BA">
              <w:rPr>
                <w:rStyle w:val="FootnoteReference"/>
                <w:rFonts w:ascii="Times New Roman" w:eastAsia="Times New Roman" w:hAnsi="Times New Roman"/>
                <w:sz w:val="24"/>
                <w:szCs w:val="24"/>
                <w:lang w:val="en-GB"/>
              </w:rPr>
              <w:footnoteReference w:id="5"/>
            </w:r>
            <w:r w:rsidR="003C2875" w:rsidRPr="00FC01BA">
              <w:rPr>
                <w:rFonts w:ascii="Times New Roman" w:eastAsia="Times New Roman" w:hAnsi="Times New Roman"/>
                <w:sz w:val="24"/>
                <w:szCs w:val="24"/>
                <w:lang w:val="en-GB"/>
              </w:rPr>
              <w:t xml:space="preserve">. As part of this </w:t>
            </w:r>
            <w:r w:rsidRPr="00FC01BA">
              <w:rPr>
                <w:rFonts w:ascii="Times New Roman" w:eastAsia="Times New Roman" w:hAnsi="Times New Roman"/>
                <w:sz w:val="24"/>
                <w:szCs w:val="24"/>
                <w:lang w:val="en-GB"/>
              </w:rPr>
              <w:t xml:space="preserve">process, the Commission </w:t>
            </w:r>
            <w:r w:rsidR="003C2875" w:rsidRPr="00FC01BA">
              <w:rPr>
                <w:rFonts w:ascii="Times New Roman" w:eastAsia="Times New Roman" w:hAnsi="Times New Roman"/>
                <w:sz w:val="24"/>
                <w:szCs w:val="24"/>
                <w:lang w:val="en-GB"/>
              </w:rPr>
              <w:t>ensures</w:t>
            </w:r>
            <w:r w:rsidRPr="00FC01BA">
              <w:rPr>
                <w:rFonts w:ascii="Times New Roman" w:eastAsia="Times New Roman" w:hAnsi="Times New Roman"/>
                <w:sz w:val="24"/>
                <w:szCs w:val="24"/>
                <w:lang w:val="en-GB"/>
              </w:rPr>
              <w:t xml:space="preserve"> </w:t>
            </w:r>
            <w:r w:rsidR="003C2875" w:rsidRPr="00FC01BA">
              <w:rPr>
                <w:rFonts w:ascii="Times New Roman" w:eastAsia="Times New Roman" w:hAnsi="Times New Roman"/>
                <w:sz w:val="24"/>
                <w:szCs w:val="24"/>
                <w:lang w:val="en-GB"/>
              </w:rPr>
              <w:t>the</w:t>
            </w:r>
            <w:r w:rsidRPr="00FC01BA">
              <w:rPr>
                <w:rFonts w:ascii="Times New Roman" w:eastAsia="Times New Roman" w:hAnsi="Times New Roman"/>
                <w:sz w:val="24"/>
                <w:szCs w:val="24"/>
                <w:lang w:val="en-GB"/>
              </w:rPr>
              <w:t xml:space="preserve"> involvement of civil society and patient organisations through consultations, such as dedicated webinars</w:t>
            </w:r>
            <w:r w:rsidRPr="00FC01BA">
              <w:rPr>
                <w:rFonts w:ascii="Times New Roman" w:eastAsia="Times New Roman" w:hAnsi="Times New Roman"/>
                <w:sz w:val="24"/>
                <w:szCs w:val="24"/>
                <w:vertAlign w:val="superscript"/>
                <w:lang w:val="en-GB"/>
              </w:rPr>
              <w:footnoteReference w:id="6"/>
            </w:r>
            <w:r w:rsidRPr="00FC01BA">
              <w:rPr>
                <w:rFonts w:ascii="Times New Roman" w:eastAsia="Times New Roman" w:hAnsi="Times New Roman"/>
                <w:sz w:val="24"/>
                <w:szCs w:val="24"/>
                <w:vertAlign w:val="superscript"/>
                <w:lang w:val="en-GB"/>
              </w:rPr>
              <w:t>,</w:t>
            </w:r>
            <w:r w:rsidRPr="00FC01BA">
              <w:rPr>
                <w:rFonts w:ascii="Times New Roman" w:eastAsia="Times New Roman" w:hAnsi="Times New Roman"/>
                <w:sz w:val="24"/>
                <w:szCs w:val="24"/>
                <w:vertAlign w:val="superscript"/>
                <w:lang w:val="en-GB"/>
              </w:rPr>
              <w:footnoteReference w:id="7"/>
            </w:r>
            <w:r w:rsidRPr="00FC01BA">
              <w:rPr>
                <w:rFonts w:ascii="Times New Roman" w:hAnsi="Times New Roman"/>
                <w:b/>
                <w:bCs/>
                <w:sz w:val="24"/>
                <w:szCs w:val="24"/>
                <w:lang w:val="en-GB"/>
              </w:rPr>
              <w:t xml:space="preserve"> </w:t>
            </w:r>
            <w:r w:rsidRPr="00FC01BA">
              <w:rPr>
                <w:rFonts w:ascii="Times New Roman" w:hAnsi="Times New Roman"/>
                <w:sz w:val="24"/>
                <w:szCs w:val="24"/>
                <w:lang w:val="en-GB"/>
              </w:rPr>
              <w:t>and a call for evidence</w:t>
            </w:r>
            <w:r w:rsidRPr="00FC01BA">
              <w:rPr>
                <w:rFonts w:ascii="Times New Roman" w:hAnsi="Times New Roman"/>
                <w:sz w:val="24"/>
                <w:szCs w:val="24"/>
                <w:vertAlign w:val="superscript"/>
                <w:lang w:val="en-GB"/>
              </w:rPr>
              <w:footnoteReference w:id="8"/>
            </w:r>
            <w:r w:rsidRPr="00FC01BA">
              <w:rPr>
                <w:rFonts w:ascii="Times New Roman" w:hAnsi="Times New Roman"/>
                <w:sz w:val="24"/>
                <w:szCs w:val="24"/>
                <w:lang w:val="en-GB"/>
              </w:rPr>
              <w:t>.</w:t>
            </w:r>
            <w:r w:rsidR="00C96E5B">
              <w:rPr>
                <w:rFonts w:ascii="Times New Roman" w:hAnsi="Times New Roman"/>
                <w:sz w:val="24"/>
                <w:szCs w:val="24"/>
                <w:lang w:val="en-GB"/>
              </w:rPr>
              <w:t xml:space="preserve"> </w:t>
            </w:r>
          </w:p>
          <w:p w14:paraId="6B54C755" w14:textId="6DC096D5" w:rsidR="000640E2" w:rsidRPr="00FC01BA" w:rsidRDefault="1F86F6C6" w:rsidP="00D4793C">
            <w:pPr>
              <w:widowControl w:val="0"/>
              <w:spacing w:before="120" w:after="120"/>
              <w:jc w:val="both"/>
              <w:rPr>
                <w:rFonts w:ascii="Times New Roman" w:hAnsi="Times New Roman"/>
                <w:b/>
                <w:bCs/>
                <w:sz w:val="24"/>
                <w:szCs w:val="24"/>
                <w:lang w:val="en-GB"/>
              </w:rPr>
            </w:pPr>
            <w:r w:rsidRPr="00FC01BA">
              <w:rPr>
                <w:rFonts w:ascii="Times New Roman" w:hAnsi="Times New Roman"/>
                <w:b/>
                <w:bCs/>
                <w:sz w:val="24"/>
                <w:szCs w:val="24"/>
                <w:lang w:val="en-GB"/>
              </w:rPr>
              <w:t xml:space="preserve">Points </w:t>
            </w:r>
            <w:r w:rsidR="00EE4F2D" w:rsidRPr="00FC01BA">
              <w:rPr>
                <w:rFonts w:ascii="Times New Roman" w:hAnsi="Times New Roman"/>
                <w:b/>
                <w:bCs/>
                <w:sz w:val="24"/>
                <w:szCs w:val="24"/>
                <w:lang w:val="en-GB"/>
              </w:rPr>
              <w:t xml:space="preserve">1.6, </w:t>
            </w:r>
            <w:r w:rsidRPr="00FC01BA">
              <w:rPr>
                <w:rFonts w:ascii="Times New Roman" w:hAnsi="Times New Roman"/>
                <w:b/>
                <w:bCs/>
                <w:sz w:val="24"/>
                <w:szCs w:val="24"/>
                <w:lang w:val="en-GB"/>
              </w:rPr>
              <w:t>2.1</w:t>
            </w:r>
            <w:r w:rsidR="003132F9" w:rsidRPr="00FC01BA">
              <w:rPr>
                <w:rFonts w:ascii="Times New Roman" w:hAnsi="Times New Roman"/>
                <w:b/>
                <w:bCs/>
                <w:sz w:val="24"/>
                <w:szCs w:val="24"/>
                <w:lang w:val="en-GB"/>
              </w:rPr>
              <w:t>,</w:t>
            </w:r>
            <w:r w:rsidR="0CBFEBA6" w:rsidRPr="00FC01BA">
              <w:rPr>
                <w:rFonts w:ascii="Times New Roman" w:hAnsi="Times New Roman"/>
                <w:b/>
                <w:bCs/>
                <w:sz w:val="24"/>
                <w:szCs w:val="24"/>
                <w:lang w:val="en-GB"/>
              </w:rPr>
              <w:t xml:space="preserve"> 1.13</w:t>
            </w:r>
            <w:r w:rsidR="00A13AF3" w:rsidRPr="00FC01BA">
              <w:rPr>
                <w:rFonts w:ascii="Times New Roman" w:hAnsi="Times New Roman"/>
                <w:b/>
                <w:bCs/>
                <w:sz w:val="24"/>
                <w:szCs w:val="24"/>
                <w:lang w:val="en-GB"/>
              </w:rPr>
              <w:t>,</w:t>
            </w:r>
            <w:r w:rsidR="003132F9" w:rsidRPr="00FC01BA">
              <w:rPr>
                <w:rFonts w:ascii="Times New Roman" w:hAnsi="Times New Roman"/>
                <w:b/>
                <w:bCs/>
                <w:sz w:val="24"/>
                <w:szCs w:val="24"/>
                <w:lang w:val="en-GB"/>
              </w:rPr>
              <w:t xml:space="preserve"> </w:t>
            </w:r>
            <w:r w:rsidR="004E077F" w:rsidRPr="00FC01BA">
              <w:rPr>
                <w:rFonts w:ascii="Times New Roman" w:hAnsi="Times New Roman"/>
                <w:b/>
                <w:bCs/>
                <w:sz w:val="24"/>
                <w:szCs w:val="24"/>
                <w:lang w:val="en-GB"/>
              </w:rPr>
              <w:t>3.1</w:t>
            </w:r>
            <w:r w:rsidR="000640E2" w:rsidRPr="00FC01BA">
              <w:rPr>
                <w:rFonts w:ascii="Times New Roman" w:hAnsi="Times New Roman"/>
                <w:b/>
                <w:bCs/>
                <w:sz w:val="24"/>
                <w:szCs w:val="24"/>
                <w:lang w:val="en-GB"/>
              </w:rPr>
              <w:t>, 5.1, 5.2</w:t>
            </w:r>
            <w:r w:rsidR="00FD7427" w:rsidRPr="00FC01BA">
              <w:rPr>
                <w:rFonts w:ascii="Times New Roman" w:hAnsi="Times New Roman"/>
                <w:b/>
                <w:bCs/>
                <w:sz w:val="24"/>
                <w:szCs w:val="24"/>
                <w:lang w:val="en-GB"/>
              </w:rPr>
              <w:t>, 6.2</w:t>
            </w:r>
            <w:r w:rsidR="004E077F" w:rsidRPr="00FC01BA">
              <w:rPr>
                <w:rFonts w:ascii="Times New Roman" w:hAnsi="Times New Roman"/>
                <w:b/>
                <w:bCs/>
                <w:sz w:val="24"/>
                <w:szCs w:val="24"/>
                <w:lang w:val="en-GB"/>
              </w:rPr>
              <w:t xml:space="preserve"> </w:t>
            </w:r>
            <w:r w:rsidR="003132F9" w:rsidRPr="00FC01BA">
              <w:rPr>
                <w:rFonts w:ascii="Times New Roman" w:hAnsi="Times New Roman"/>
                <w:b/>
                <w:bCs/>
                <w:sz w:val="24"/>
                <w:szCs w:val="24"/>
                <w:lang w:val="en-GB"/>
              </w:rPr>
              <w:t>and 6.</w:t>
            </w:r>
            <w:r w:rsidR="00FD7427" w:rsidRPr="00FC01BA">
              <w:rPr>
                <w:rFonts w:ascii="Times New Roman" w:hAnsi="Times New Roman"/>
                <w:b/>
                <w:bCs/>
                <w:sz w:val="24"/>
                <w:szCs w:val="24"/>
                <w:lang w:val="en-GB"/>
              </w:rPr>
              <w:t>6</w:t>
            </w:r>
            <w:r w:rsidR="00265BDA" w:rsidRPr="00FC01BA">
              <w:rPr>
                <w:rFonts w:ascii="Times New Roman" w:hAnsi="Times New Roman"/>
                <w:b/>
                <w:bCs/>
                <w:sz w:val="24"/>
                <w:szCs w:val="24"/>
                <w:lang w:val="en-GB"/>
              </w:rPr>
              <w:t>:</w:t>
            </w:r>
          </w:p>
          <w:p w14:paraId="492D998A" w14:textId="102FDF51" w:rsidR="00AE0F76" w:rsidRPr="00FC01BA" w:rsidRDefault="00AE0F76"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The Healthier Together initiative</w:t>
            </w:r>
            <w:r w:rsidR="00A70317" w:rsidRPr="00FC01BA">
              <w:rPr>
                <w:rFonts w:ascii="Times New Roman" w:hAnsi="Times New Roman"/>
                <w:sz w:val="24"/>
                <w:szCs w:val="24"/>
                <w:lang w:val="en-GB"/>
              </w:rPr>
              <w:t xml:space="preserve"> </w:t>
            </w:r>
            <w:r w:rsidR="0036662A" w:rsidRPr="00FC01BA">
              <w:rPr>
                <w:rFonts w:ascii="Times New Roman" w:hAnsi="Times New Roman"/>
                <w:sz w:val="24"/>
                <w:szCs w:val="24"/>
                <w:lang w:val="en-GB"/>
              </w:rPr>
              <w:t xml:space="preserve">aims to </w:t>
            </w:r>
            <w:r w:rsidR="00450086" w:rsidRPr="00FC01BA">
              <w:rPr>
                <w:rFonts w:ascii="Times New Roman" w:hAnsi="Times New Roman"/>
                <w:sz w:val="24"/>
                <w:szCs w:val="24"/>
                <w:lang w:val="en-GB"/>
              </w:rPr>
              <w:t xml:space="preserve">support Member States in </w:t>
            </w:r>
            <w:r w:rsidR="0036662A" w:rsidRPr="00FC01BA">
              <w:rPr>
                <w:rFonts w:ascii="Times New Roman" w:hAnsi="Times New Roman"/>
                <w:sz w:val="24"/>
                <w:szCs w:val="24"/>
                <w:lang w:val="en-GB"/>
              </w:rPr>
              <w:t>address</w:t>
            </w:r>
            <w:r w:rsidR="00450086" w:rsidRPr="00FC01BA">
              <w:rPr>
                <w:rFonts w:ascii="Times New Roman" w:hAnsi="Times New Roman"/>
                <w:sz w:val="24"/>
                <w:szCs w:val="24"/>
                <w:lang w:val="en-GB"/>
              </w:rPr>
              <w:t>ing</w:t>
            </w:r>
            <w:r w:rsidR="0036662A" w:rsidRPr="00FC01BA">
              <w:rPr>
                <w:rFonts w:ascii="Times New Roman" w:hAnsi="Times New Roman"/>
                <w:sz w:val="24"/>
                <w:szCs w:val="24"/>
                <w:lang w:val="en-GB"/>
              </w:rPr>
              <w:t xml:space="preserve"> NCDs </w:t>
            </w:r>
            <w:r w:rsidR="00E132A8" w:rsidRPr="00FC01BA">
              <w:rPr>
                <w:rFonts w:ascii="Times New Roman" w:hAnsi="Times New Roman"/>
                <w:sz w:val="24"/>
                <w:szCs w:val="24"/>
                <w:lang w:val="en-GB"/>
              </w:rPr>
              <w:t>and</w:t>
            </w:r>
            <w:r w:rsidR="00A003D6" w:rsidRPr="00FC01BA">
              <w:rPr>
                <w:rFonts w:ascii="Times New Roman" w:hAnsi="Times New Roman"/>
                <w:sz w:val="24"/>
                <w:szCs w:val="24"/>
                <w:lang w:val="en-GB"/>
              </w:rPr>
              <w:t xml:space="preserve"> to reduce health inequalities</w:t>
            </w:r>
            <w:r w:rsidR="009A50D8" w:rsidRPr="00FC01BA">
              <w:rPr>
                <w:rFonts w:ascii="Times New Roman" w:hAnsi="Times New Roman"/>
                <w:sz w:val="24"/>
                <w:szCs w:val="24"/>
                <w:lang w:val="en-GB"/>
              </w:rPr>
              <w:t>.</w:t>
            </w:r>
            <w:r w:rsidR="00EC5580" w:rsidRPr="00FC01BA">
              <w:rPr>
                <w:rFonts w:ascii="Times New Roman" w:hAnsi="Times New Roman"/>
                <w:sz w:val="24"/>
                <w:szCs w:val="24"/>
                <w:lang w:val="en-GB"/>
              </w:rPr>
              <w:t xml:space="preserve"> </w:t>
            </w:r>
            <w:r w:rsidR="00F65A85" w:rsidRPr="00FC01BA">
              <w:rPr>
                <w:rFonts w:ascii="Times New Roman" w:hAnsi="Times New Roman"/>
                <w:sz w:val="24"/>
                <w:szCs w:val="24"/>
                <w:lang w:val="en-GB"/>
              </w:rPr>
              <w:t xml:space="preserve">The Commission has allocated more than EUR 280 million from the EU4Health </w:t>
            </w:r>
            <w:r w:rsidR="2B933CE4" w:rsidRPr="00FC01BA">
              <w:rPr>
                <w:rFonts w:ascii="Times New Roman" w:hAnsi="Times New Roman"/>
                <w:sz w:val="24"/>
                <w:szCs w:val="24"/>
                <w:lang w:val="en-GB"/>
              </w:rPr>
              <w:t>P</w:t>
            </w:r>
            <w:r w:rsidR="00F65A85" w:rsidRPr="00FC01BA">
              <w:rPr>
                <w:rFonts w:ascii="Times New Roman" w:hAnsi="Times New Roman"/>
                <w:sz w:val="24"/>
                <w:szCs w:val="24"/>
                <w:lang w:val="en-GB"/>
              </w:rPr>
              <w:t>rogramme for actions under the Healthier Together initiative, such as the joint action</w:t>
            </w:r>
            <w:r w:rsidR="006D59B7" w:rsidRPr="00FC01BA">
              <w:rPr>
                <w:rFonts w:ascii="Times New Roman" w:hAnsi="Times New Roman"/>
                <w:sz w:val="24"/>
                <w:szCs w:val="24"/>
                <w:lang w:val="en-GB"/>
              </w:rPr>
              <w:t>s</w:t>
            </w:r>
            <w:r w:rsidR="00F65A85" w:rsidRPr="00FC01BA">
              <w:rPr>
                <w:rFonts w:ascii="Times New Roman" w:hAnsi="Times New Roman"/>
                <w:sz w:val="24"/>
                <w:szCs w:val="24"/>
                <w:lang w:val="en-GB"/>
              </w:rPr>
              <w:t xml:space="preserve"> </w:t>
            </w:r>
            <w:proofErr w:type="spellStart"/>
            <w:r w:rsidR="00F65A85" w:rsidRPr="00FC01BA">
              <w:rPr>
                <w:rFonts w:ascii="Times New Roman" w:hAnsi="Times New Roman"/>
                <w:sz w:val="24"/>
                <w:szCs w:val="24"/>
                <w:lang w:val="en-GB"/>
              </w:rPr>
              <w:t>PreventNCD</w:t>
            </w:r>
            <w:proofErr w:type="spellEnd"/>
            <w:r w:rsidR="0015165D" w:rsidRPr="00FC01BA">
              <w:rPr>
                <w:rStyle w:val="FootnoteReference"/>
                <w:rFonts w:ascii="Times New Roman" w:hAnsi="Times New Roman"/>
                <w:sz w:val="24"/>
                <w:szCs w:val="24"/>
                <w:lang w:val="en-GB"/>
              </w:rPr>
              <w:footnoteReference w:id="9"/>
            </w:r>
            <w:r w:rsidR="00A2174A" w:rsidRPr="00FC01BA">
              <w:rPr>
                <w:rFonts w:ascii="Times New Roman" w:hAnsi="Times New Roman"/>
                <w:sz w:val="24"/>
                <w:szCs w:val="24"/>
                <w:lang w:val="en-GB"/>
              </w:rPr>
              <w:t xml:space="preserve"> on </w:t>
            </w:r>
            <w:r w:rsidR="004A1B1B" w:rsidRPr="00FC01BA">
              <w:rPr>
                <w:rFonts w:ascii="Times New Roman" w:hAnsi="Times New Roman"/>
                <w:sz w:val="24"/>
                <w:szCs w:val="24"/>
                <w:lang w:val="en-GB"/>
              </w:rPr>
              <w:t xml:space="preserve">addressing </w:t>
            </w:r>
            <w:r w:rsidR="00A2174A" w:rsidRPr="00FC01BA">
              <w:rPr>
                <w:rFonts w:ascii="Times New Roman" w:hAnsi="Times New Roman"/>
                <w:sz w:val="24"/>
                <w:szCs w:val="24"/>
                <w:lang w:val="en-GB"/>
              </w:rPr>
              <w:t>health determinants</w:t>
            </w:r>
            <w:r w:rsidR="00F65A85" w:rsidRPr="00FC01BA">
              <w:rPr>
                <w:rFonts w:ascii="Times New Roman" w:hAnsi="Times New Roman"/>
                <w:sz w:val="24"/>
                <w:szCs w:val="24"/>
                <w:lang w:val="en-GB"/>
              </w:rPr>
              <w:t xml:space="preserve"> (EUR 76 million)</w:t>
            </w:r>
            <w:r w:rsidR="009E5A68" w:rsidRPr="00FC01BA">
              <w:rPr>
                <w:rFonts w:ascii="Times New Roman" w:hAnsi="Times New Roman"/>
                <w:sz w:val="24"/>
                <w:szCs w:val="24"/>
                <w:lang w:val="en-GB"/>
              </w:rPr>
              <w:t xml:space="preserve"> and </w:t>
            </w:r>
            <w:r w:rsidR="00F65A85" w:rsidRPr="00FC01BA">
              <w:rPr>
                <w:rFonts w:ascii="Times New Roman" w:hAnsi="Times New Roman"/>
                <w:sz w:val="24"/>
                <w:szCs w:val="24"/>
                <w:lang w:val="en-GB"/>
              </w:rPr>
              <w:t>JACARDI</w:t>
            </w:r>
            <w:r w:rsidR="0015165D" w:rsidRPr="00FC01BA">
              <w:rPr>
                <w:rStyle w:val="FootnoteReference"/>
                <w:rFonts w:ascii="Times New Roman" w:hAnsi="Times New Roman"/>
                <w:sz w:val="24"/>
                <w:szCs w:val="24"/>
                <w:lang w:val="en-GB"/>
              </w:rPr>
              <w:footnoteReference w:id="10"/>
            </w:r>
            <w:r w:rsidR="00F65A85" w:rsidRPr="00FC01BA">
              <w:rPr>
                <w:rFonts w:ascii="Times New Roman" w:hAnsi="Times New Roman"/>
                <w:sz w:val="24"/>
                <w:szCs w:val="24"/>
                <w:lang w:val="en-GB"/>
              </w:rPr>
              <w:t xml:space="preserve"> </w:t>
            </w:r>
            <w:r w:rsidR="00A2174A" w:rsidRPr="00FC01BA">
              <w:rPr>
                <w:rFonts w:ascii="Times New Roman" w:hAnsi="Times New Roman"/>
                <w:sz w:val="24"/>
                <w:szCs w:val="24"/>
                <w:lang w:val="en-GB"/>
              </w:rPr>
              <w:t xml:space="preserve">on </w:t>
            </w:r>
            <w:r w:rsidR="00A2174A" w:rsidRPr="00FC01BA">
              <w:rPr>
                <w:rFonts w:ascii="Times New Roman" w:hAnsi="Times New Roman"/>
                <w:sz w:val="24"/>
                <w:szCs w:val="24"/>
                <w:lang w:val="en-GB"/>
              </w:rPr>
              <w:lastRenderedPageBreak/>
              <w:t>cardiovascular diseases</w:t>
            </w:r>
            <w:r w:rsidR="004A1B1B" w:rsidRPr="00FC01BA">
              <w:rPr>
                <w:rFonts w:ascii="Times New Roman" w:hAnsi="Times New Roman"/>
                <w:sz w:val="24"/>
                <w:szCs w:val="24"/>
                <w:lang w:val="en-GB"/>
              </w:rPr>
              <w:t xml:space="preserve"> and diabetes</w:t>
            </w:r>
            <w:r w:rsidR="00A2174A" w:rsidRPr="00FC01BA">
              <w:rPr>
                <w:rFonts w:ascii="Times New Roman" w:hAnsi="Times New Roman"/>
                <w:sz w:val="24"/>
                <w:szCs w:val="24"/>
                <w:lang w:val="en-GB"/>
              </w:rPr>
              <w:t xml:space="preserve"> </w:t>
            </w:r>
            <w:r w:rsidR="00F65A85" w:rsidRPr="00FC01BA">
              <w:rPr>
                <w:rFonts w:ascii="Times New Roman" w:hAnsi="Times New Roman"/>
                <w:sz w:val="24"/>
                <w:szCs w:val="24"/>
                <w:lang w:val="en-GB"/>
              </w:rPr>
              <w:t>(EUR 53 million)</w:t>
            </w:r>
            <w:r w:rsidR="009E5A68" w:rsidRPr="00FC01BA">
              <w:rPr>
                <w:rFonts w:ascii="Times New Roman" w:hAnsi="Times New Roman"/>
                <w:sz w:val="24"/>
                <w:szCs w:val="24"/>
                <w:lang w:val="en-GB"/>
              </w:rPr>
              <w:t>,</w:t>
            </w:r>
            <w:r w:rsidR="00F65A85" w:rsidRPr="00FC01BA">
              <w:rPr>
                <w:rFonts w:ascii="Times New Roman" w:hAnsi="Times New Roman"/>
                <w:sz w:val="24"/>
                <w:szCs w:val="24"/>
                <w:lang w:val="en-GB"/>
              </w:rPr>
              <w:t xml:space="preserve"> </w:t>
            </w:r>
            <w:r w:rsidR="00B24B26" w:rsidRPr="00FC01BA">
              <w:rPr>
                <w:rFonts w:ascii="Times New Roman" w:hAnsi="Times New Roman"/>
                <w:sz w:val="24"/>
                <w:szCs w:val="24"/>
                <w:lang w:val="en-GB"/>
              </w:rPr>
              <w:t>and related stakeholder-led projects</w:t>
            </w:r>
            <w:r w:rsidR="005F0488" w:rsidRPr="00FC01BA">
              <w:rPr>
                <w:rStyle w:val="FootnoteReference"/>
                <w:rFonts w:ascii="Times New Roman" w:hAnsi="Times New Roman"/>
                <w:sz w:val="24"/>
                <w:szCs w:val="24"/>
                <w:lang w:val="en-GB"/>
              </w:rPr>
              <w:footnoteReference w:id="11"/>
            </w:r>
            <w:r w:rsidR="00B24B26" w:rsidRPr="00FC01BA">
              <w:rPr>
                <w:rFonts w:ascii="Times New Roman" w:hAnsi="Times New Roman"/>
                <w:sz w:val="24"/>
                <w:szCs w:val="24"/>
                <w:lang w:val="en-GB"/>
              </w:rPr>
              <w:t>.</w:t>
            </w:r>
          </w:p>
          <w:p w14:paraId="2E74680D" w14:textId="6EC29316" w:rsidR="00FD7427" w:rsidRPr="00FC01BA" w:rsidRDefault="00735342"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UNICEF</w:t>
            </w:r>
            <w:r w:rsidR="00646F91" w:rsidRPr="00FC01BA">
              <w:rPr>
                <w:rStyle w:val="FootnoteReference"/>
                <w:rFonts w:ascii="Times New Roman" w:hAnsi="Times New Roman"/>
                <w:sz w:val="24"/>
                <w:szCs w:val="24"/>
                <w:lang w:val="en-GB"/>
              </w:rPr>
              <w:footnoteReference w:id="12"/>
            </w:r>
            <w:r w:rsidR="00750F34" w:rsidRPr="00FC01BA">
              <w:rPr>
                <w:rFonts w:ascii="Times New Roman" w:hAnsi="Times New Roman"/>
                <w:sz w:val="24"/>
                <w:szCs w:val="24"/>
                <w:lang w:val="en-GB"/>
              </w:rPr>
              <w:t xml:space="preserve">, </w:t>
            </w:r>
            <w:r w:rsidR="004A1B1B" w:rsidRPr="00FC01BA">
              <w:rPr>
                <w:rFonts w:ascii="Times New Roman" w:hAnsi="Times New Roman"/>
                <w:sz w:val="24"/>
                <w:szCs w:val="24"/>
                <w:lang w:val="en-GB"/>
              </w:rPr>
              <w:t xml:space="preserve">in partnership with the Commission, </w:t>
            </w:r>
            <w:r w:rsidR="00750F34" w:rsidRPr="00FC01BA">
              <w:rPr>
                <w:rFonts w:ascii="Times New Roman" w:hAnsi="Times New Roman"/>
                <w:sz w:val="24"/>
                <w:szCs w:val="24"/>
                <w:lang w:val="en-GB"/>
              </w:rPr>
              <w:t xml:space="preserve">is developing a prevention toolkit to support policymakers in </w:t>
            </w:r>
            <w:r w:rsidR="00303B82" w:rsidRPr="00FC01BA">
              <w:rPr>
                <w:rFonts w:ascii="Times New Roman" w:hAnsi="Times New Roman"/>
                <w:sz w:val="24"/>
                <w:szCs w:val="24"/>
                <w:lang w:val="en-GB"/>
              </w:rPr>
              <w:t>strengthening</w:t>
            </w:r>
            <w:r w:rsidR="00463A43" w:rsidRPr="00FC01BA" w:rsidDel="00A71407">
              <w:rPr>
                <w:rFonts w:ascii="Times New Roman" w:hAnsi="Times New Roman"/>
                <w:sz w:val="24"/>
                <w:szCs w:val="24"/>
                <w:lang w:val="en-GB"/>
              </w:rPr>
              <w:t xml:space="preserve"> health polices for children and adolescents. The toolkit will focus on the promotion of healthy lifestyles and the protection of children from</w:t>
            </w:r>
            <w:r w:rsidR="00143C67">
              <w:rPr>
                <w:rFonts w:ascii="Times New Roman" w:hAnsi="Times New Roman"/>
                <w:sz w:val="24"/>
                <w:szCs w:val="24"/>
                <w:lang w:val="en-GB"/>
              </w:rPr>
              <w:t xml:space="preserve"> the</w:t>
            </w:r>
            <w:r w:rsidR="00463A43" w:rsidRPr="00FC01BA" w:rsidDel="00A71407">
              <w:rPr>
                <w:rFonts w:ascii="Times New Roman" w:hAnsi="Times New Roman"/>
                <w:sz w:val="24"/>
                <w:szCs w:val="24"/>
                <w:lang w:val="en-GB"/>
              </w:rPr>
              <w:t xml:space="preserve"> aggressive promotion of harmful products,</w:t>
            </w:r>
            <w:r w:rsidR="00463A43" w:rsidRPr="00FC01BA">
              <w:rPr>
                <w:rFonts w:ascii="Times New Roman" w:hAnsi="Times New Roman"/>
                <w:sz w:val="24"/>
                <w:szCs w:val="24"/>
                <w:lang w:val="en-GB"/>
              </w:rPr>
              <w:t xml:space="preserve"> as well as the promotion of mental health. </w:t>
            </w:r>
            <w:r w:rsidR="00FD7427" w:rsidRPr="00FC01BA">
              <w:rPr>
                <w:rFonts w:ascii="Times New Roman" w:hAnsi="Times New Roman"/>
                <w:sz w:val="24"/>
                <w:szCs w:val="24"/>
                <w:lang w:val="en-GB"/>
              </w:rPr>
              <w:t>Moreover, the OECD</w:t>
            </w:r>
            <w:r w:rsidR="009E5A68" w:rsidRPr="00FC01BA">
              <w:rPr>
                <w:rFonts w:ascii="Times New Roman" w:hAnsi="Times New Roman"/>
                <w:sz w:val="24"/>
                <w:szCs w:val="24"/>
                <w:lang w:val="en-GB"/>
              </w:rPr>
              <w:t>,</w:t>
            </w:r>
            <w:r w:rsidR="00FD7427" w:rsidRPr="00FC01BA">
              <w:rPr>
                <w:rFonts w:ascii="Times New Roman" w:hAnsi="Times New Roman"/>
                <w:sz w:val="24"/>
                <w:szCs w:val="24"/>
                <w:lang w:val="en-GB"/>
              </w:rPr>
              <w:t xml:space="preserve"> through a</w:t>
            </w:r>
            <w:r w:rsidR="00A17B82">
              <w:rPr>
                <w:rFonts w:ascii="Times New Roman" w:hAnsi="Times New Roman"/>
                <w:sz w:val="24"/>
                <w:szCs w:val="24"/>
                <w:lang w:val="en-GB"/>
              </w:rPr>
              <w:t> </w:t>
            </w:r>
            <w:r w:rsidR="00FD7427" w:rsidRPr="00FC01BA">
              <w:rPr>
                <w:rFonts w:ascii="Times New Roman" w:hAnsi="Times New Roman"/>
                <w:sz w:val="24"/>
                <w:szCs w:val="24"/>
                <w:lang w:val="en-GB"/>
              </w:rPr>
              <w:t xml:space="preserve">contribution agreement with the Commission, </w:t>
            </w:r>
            <w:r w:rsidR="009E5A68" w:rsidRPr="00FC01BA">
              <w:rPr>
                <w:rFonts w:ascii="Times New Roman" w:hAnsi="Times New Roman"/>
                <w:sz w:val="24"/>
                <w:szCs w:val="24"/>
                <w:lang w:val="en-GB"/>
              </w:rPr>
              <w:t xml:space="preserve">is preparing </w:t>
            </w:r>
            <w:r w:rsidR="00FD7427" w:rsidRPr="00FC01BA" w:rsidDel="00222CF0">
              <w:rPr>
                <w:rFonts w:ascii="Times New Roman" w:hAnsi="Times New Roman"/>
                <w:sz w:val="24"/>
                <w:szCs w:val="24"/>
                <w:lang w:val="en-GB"/>
              </w:rPr>
              <w:t>a policy brief on the impact of the digital sphere on lifestyles and health-related behaviours and how marketing on digital and social media influences mental wellbeing of children and young people.</w:t>
            </w:r>
          </w:p>
          <w:p w14:paraId="2DFAB2D7" w14:textId="2389C4B4" w:rsidR="00FD7427" w:rsidRPr="00FC01BA" w:rsidDel="00AC552A" w:rsidRDefault="00C96E5B" w:rsidP="00D4793C">
            <w:pPr>
              <w:widowControl w:val="0"/>
              <w:spacing w:before="120" w:after="120"/>
              <w:jc w:val="both"/>
              <w:rPr>
                <w:rFonts w:ascii="Times New Roman" w:hAnsi="Times New Roman"/>
                <w:sz w:val="24"/>
                <w:szCs w:val="24"/>
                <w:lang w:val="en-GB"/>
              </w:rPr>
            </w:pPr>
            <w:r w:rsidRPr="00C96E5B">
              <w:rPr>
                <w:rFonts w:ascii="Times New Roman" w:hAnsi="Times New Roman"/>
                <w:sz w:val="24"/>
                <w:szCs w:val="24"/>
                <w:lang w:val="en-GB"/>
              </w:rPr>
              <w:t>On 16 December 2025, the Commission adopted the first EU cardiovascular health plan (Safe Hearts Plan) which includes a flagship initiative to propose a revision of the tobacco legislative framework in 2026. The Commission recognises the challenges posed by e-cigarettes. These challenges are being carefully considered as part of the ongoing evaluation of the EU legislative framework on tobacco control</w:t>
            </w:r>
            <w:r w:rsidR="00660267">
              <w:rPr>
                <w:rFonts w:ascii="Times New Roman" w:hAnsi="Times New Roman"/>
                <w:sz w:val="24"/>
                <w:szCs w:val="24"/>
                <w:lang w:val="en-GB"/>
              </w:rPr>
              <w:t xml:space="preserve">. </w:t>
            </w:r>
            <w:r w:rsidRPr="00C96E5B">
              <w:rPr>
                <w:rFonts w:ascii="Times New Roman" w:hAnsi="Times New Roman"/>
                <w:sz w:val="24"/>
                <w:szCs w:val="24"/>
                <w:lang w:val="en-GB"/>
              </w:rPr>
              <w:t>The findings of the evaluation will inform the next steps in the decision-making process.</w:t>
            </w:r>
            <w:r>
              <w:rPr>
                <w:rFonts w:ascii="Times New Roman" w:hAnsi="Times New Roman"/>
                <w:sz w:val="24"/>
                <w:szCs w:val="24"/>
                <w:lang w:val="en-GB"/>
              </w:rPr>
              <w:t xml:space="preserve"> </w:t>
            </w:r>
            <w:r w:rsidR="7A666125" w:rsidRPr="00FC01BA">
              <w:rPr>
                <w:rFonts w:ascii="Times New Roman" w:hAnsi="Times New Roman"/>
                <w:sz w:val="24"/>
                <w:szCs w:val="24"/>
                <w:lang w:val="en-GB"/>
              </w:rPr>
              <w:t>The Recommendation on smoke</w:t>
            </w:r>
            <w:r w:rsidR="38111CC2" w:rsidRPr="00FC01BA">
              <w:rPr>
                <w:rFonts w:ascii="Times New Roman" w:hAnsi="Times New Roman"/>
                <w:sz w:val="24"/>
                <w:szCs w:val="24"/>
                <w:lang w:val="en-GB"/>
              </w:rPr>
              <w:t xml:space="preserve"> </w:t>
            </w:r>
            <w:r w:rsidR="7A666125" w:rsidRPr="00FC01BA">
              <w:rPr>
                <w:rFonts w:ascii="Times New Roman" w:hAnsi="Times New Roman"/>
                <w:sz w:val="24"/>
                <w:szCs w:val="24"/>
                <w:lang w:val="en-GB"/>
              </w:rPr>
              <w:t>- and aerosol-free environments was adopted by the Council</w:t>
            </w:r>
            <w:r w:rsidR="00FD7427" w:rsidRPr="00FC01BA">
              <w:rPr>
                <w:rFonts w:ascii="Times New Roman" w:hAnsi="Times New Roman"/>
                <w:sz w:val="24"/>
                <w:szCs w:val="24"/>
                <w:vertAlign w:val="superscript"/>
                <w:lang w:val="en-GB"/>
              </w:rPr>
              <w:footnoteReference w:id="13"/>
            </w:r>
            <w:r w:rsidR="7A666125" w:rsidRPr="00FC01BA">
              <w:rPr>
                <w:rFonts w:ascii="Times New Roman" w:hAnsi="Times New Roman"/>
                <w:sz w:val="24"/>
                <w:szCs w:val="24"/>
                <w:lang w:val="en-GB"/>
              </w:rPr>
              <w:t>. The Recommendation aims to better protect people in the EU from exposure to second-hand smoke and aerosols, especially among children and more vulnerable people, in both indoor and certain outdoor spaces. The Commission support</w:t>
            </w:r>
            <w:r w:rsidR="33563D4D" w:rsidRPr="00FC01BA">
              <w:rPr>
                <w:rFonts w:ascii="Times New Roman" w:hAnsi="Times New Roman"/>
                <w:sz w:val="24"/>
                <w:szCs w:val="24"/>
                <w:lang w:val="en-GB"/>
              </w:rPr>
              <w:t>s</w:t>
            </w:r>
            <w:r w:rsidR="7A666125" w:rsidRPr="00FC01BA">
              <w:rPr>
                <w:rFonts w:ascii="Times New Roman" w:hAnsi="Times New Roman"/>
                <w:sz w:val="24"/>
                <w:szCs w:val="24"/>
                <w:lang w:val="en-GB"/>
              </w:rPr>
              <w:t xml:space="preserve"> Member States in implementing the Recommendation through funding from the EU4Health </w:t>
            </w:r>
            <w:r w:rsidR="1B8FFEE9" w:rsidRPr="00FC01BA">
              <w:rPr>
                <w:rFonts w:ascii="Times New Roman" w:hAnsi="Times New Roman"/>
                <w:sz w:val="24"/>
                <w:szCs w:val="24"/>
                <w:lang w:val="en-GB"/>
              </w:rPr>
              <w:t>P</w:t>
            </w:r>
            <w:r w:rsidR="7A666125" w:rsidRPr="00FC01BA">
              <w:rPr>
                <w:rFonts w:ascii="Times New Roman" w:hAnsi="Times New Roman"/>
                <w:sz w:val="24"/>
                <w:szCs w:val="24"/>
                <w:lang w:val="en-GB"/>
              </w:rPr>
              <w:t>rogramme</w:t>
            </w:r>
            <w:r w:rsidR="00683B9C" w:rsidRPr="00FC01BA">
              <w:rPr>
                <w:rStyle w:val="FootnoteReference"/>
                <w:rFonts w:ascii="Times New Roman" w:hAnsi="Times New Roman"/>
                <w:sz w:val="24"/>
                <w:szCs w:val="24"/>
                <w:lang w:val="en-GB"/>
              </w:rPr>
              <w:footnoteReference w:id="14"/>
            </w:r>
            <w:r w:rsidR="7A666125" w:rsidRPr="00FC01BA">
              <w:rPr>
                <w:rFonts w:ascii="Times New Roman" w:hAnsi="Times New Roman"/>
                <w:sz w:val="24"/>
                <w:szCs w:val="24"/>
                <w:lang w:val="en-GB"/>
              </w:rPr>
              <w:t xml:space="preserve">. Additionally, the Commission will </w:t>
            </w:r>
            <w:r w:rsidR="345A2A92" w:rsidRPr="00FC01BA">
              <w:rPr>
                <w:rFonts w:ascii="Times New Roman" w:hAnsi="Times New Roman"/>
                <w:sz w:val="24"/>
                <w:szCs w:val="24"/>
                <w:lang w:val="en-GB"/>
              </w:rPr>
              <w:t xml:space="preserve">consider </w:t>
            </w:r>
            <w:r w:rsidR="7A666125" w:rsidRPr="00FC01BA">
              <w:rPr>
                <w:rFonts w:ascii="Times New Roman" w:hAnsi="Times New Roman"/>
                <w:sz w:val="24"/>
                <w:szCs w:val="24"/>
                <w:lang w:val="en-GB"/>
              </w:rPr>
              <w:t>support</w:t>
            </w:r>
            <w:r w:rsidR="3C05E969" w:rsidRPr="00FC01BA">
              <w:rPr>
                <w:rFonts w:ascii="Times New Roman" w:hAnsi="Times New Roman"/>
                <w:sz w:val="24"/>
                <w:szCs w:val="24"/>
                <w:lang w:val="en-GB"/>
              </w:rPr>
              <w:t>ing</w:t>
            </w:r>
            <w:r w:rsidR="7A666125" w:rsidRPr="00FC01BA">
              <w:rPr>
                <w:rFonts w:ascii="Times New Roman" w:hAnsi="Times New Roman"/>
                <w:sz w:val="24"/>
                <w:szCs w:val="24"/>
                <w:lang w:val="en-GB"/>
              </w:rPr>
              <w:t xml:space="preserve"> research in tobacco and nicotine control under the Horizon Programme</w:t>
            </w:r>
            <w:r w:rsidR="00160F53" w:rsidRPr="00FC01BA">
              <w:rPr>
                <w:rStyle w:val="FootnoteReference"/>
                <w:rFonts w:ascii="Times New Roman" w:hAnsi="Times New Roman"/>
                <w:sz w:val="24"/>
                <w:szCs w:val="24"/>
                <w:lang w:val="en-GB"/>
              </w:rPr>
              <w:footnoteReference w:id="15"/>
            </w:r>
            <w:r w:rsidR="7A666125" w:rsidRPr="00FC01BA">
              <w:rPr>
                <w:rFonts w:ascii="Times New Roman" w:hAnsi="Times New Roman"/>
                <w:sz w:val="24"/>
                <w:szCs w:val="24"/>
                <w:lang w:val="en-GB"/>
              </w:rPr>
              <w:t>.</w:t>
            </w:r>
          </w:p>
          <w:p w14:paraId="3CC5CAF7" w14:textId="3AFC74BA" w:rsidR="004041E9" w:rsidRPr="00FC01BA" w:rsidRDefault="003F72B3"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 xml:space="preserve">The Commission notes that </w:t>
            </w:r>
            <w:r w:rsidR="00F743D8" w:rsidRPr="00FC01BA">
              <w:rPr>
                <w:rFonts w:ascii="Times New Roman" w:hAnsi="Times New Roman"/>
                <w:sz w:val="24"/>
                <w:szCs w:val="24"/>
                <w:lang w:val="en-GB"/>
              </w:rPr>
              <w:t xml:space="preserve">EU </w:t>
            </w:r>
            <w:r w:rsidR="004041E9" w:rsidRPr="00FC01BA">
              <w:rPr>
                <w:rFonts w:ascii="Times New Roman" w:hAnsi="Times New Roman"/>
                <w:sz w:val="24"/>
                <w:szCs w:val="24"/>
                <w:lang w:val="en-GB"/>
              </w:rPr>
              <w:t xml:space="preserve">Member States </w:t>
            </w:r>
            <w:r w:rsidRPr="00FC01BA">
              <w:rPr>
                <w:rFonts w:ascii="Times New Roman" w:hAnsi="Times New Roman"/>
                <w:sz w:val="24"/>
                <w:szCs w:val="24"/>
                <w:lang w:val="en-GB"/>
              </w:rPr>
              <w:t xml:space="preserve">during the discussions leading to </w:t>
            </w:r>
            <w:r w:rsidR="004041E9" w:rsidRPr="00FC01BA">
              <w:rPr>
                <w:rFonts w:ascii="Times New Roman" w:hAnsi="Times New Roman"/>
                <w:sz w:val="24"/>
                <w:szCs w:val="24"/>
                <w:lang w:val="en-GB"/>
              </w:rPr>
              <w:t xml:space="preserve">the United Nations High-Level meeting on the prevention and control </w:t>
            </w:r>
            <w:r w:rsidR="00BA52D4" w:rsidRPr="00FC01BA">
              <w:rPr>
                <w:rFonts w:ascii="Times New Roman" w:hAnsi="Times New Roman"/>
                <w:sz w:val="24"/>
                <w:szCs w:val="24"/>
                <w:lang w:val="en-GB"/>
              </w:rPr>
              <w:t xml:space="preserve">of </w:t>
            </w:r>
            <w:r w:rsidR="004041E9" w:rsidRPr="00FC01BA">
              <w:rPr>
                <w:rFonts w:ascii="Times New Roman" w:hAnsi="Times New Roman"/>
                <w:sz w:val="24"/>
                <w:szCs w:val="24"/>
                <w:lang w:val="en-GB"/>
              </w:rPr>
              <w:t>NCDs and the promotion of mental health</w:t>
            </w:r>
            <w:r w:rsidR="004041E9" w:rsidRPr="00FC01BA">
              <w:rPr>
                <w:rFonts w:ascii="Times New Roman" w:hAnsi="Times New Roman"/>
                <w:sz w:val="24"/>
                <w:szCs w:val="24"/>
                <w:vertAlign w:val="superscript"/>
                <w:lang w:val="en-GB"/>
              </w:rPr>
              <w:footnoteReference w:id="16"/>
            </w:r>
            <w:r w:rsidR="004041E9" w:rsidRPr="00FC01BA">
              <w:rPr>
                <w:rFonts w:ascii="Times New Roman" w:hAnsi="Times New Roman"/>
                <w:sz w:val="24"/>
                <w:szCs w:val="24"/>
                <w:lang w:val="en-GB"/>
              </w:rPr>
              <w:t xml:space="preserve"> </w:t>
            </w:r>
            <w:r w:rsidR="0047037D" w:rsidRPr="00FC01BA">
              <w:rPr>
                <w:rFonts w:ascii="Times New Roman" w:hAnsi="Times New Roman"/>
                <w:sz w:val="24"/>
                <w:szCs w:val="24"/>
                <w:lang w:val="en-GB"/>
              </w:rPr>
              <w:t xml:space="preserve">considered that </w:t>
            </w:r>
            <w:r w:rsidR="00BA52D4" w:rsidRPr="00FC01BA">
              <w:rPr>
                <w:rFonts w:ascii="Times New Roman" w:hAnsi="Times New Roman"/>
                <w:sz w:val="24"/>
                <w:szCs w:val="24"/>
                <w:lang w:val="en-GB"/>
              </w:rPr>
              <w:t xml:space="preserve">the terminology ‘commercial and market factors’ </w:t>
            </w:r>
            <w:r w:rsidR="0047037D" w:rsidRPr="00FC01BA">
              <w:rPr>
                <w:rFonts w:ascii="Times New Roman" w:hAnsi="Times New Roman"/>
                <w:sz w:val="24"/>
                <w:szCs w:val="24"/>
                <w:lang w:val="en-GB"/>
              </w:rPr>
              <w:t>is appropriate</w:t>
            </w:r>
            <w:r w:rsidR="00ED2286" w:rsidRPr="00FC01BA">
              <w:rPr>
                <w:rFonts w:ascii="Times New Roman" w:hAnsi="Times New Roman"/>
                <w:sz w:val="24"/>
                <w:szCs w:val="24"/>
                <w:lang w:val="en-GB"/>
              </w:rPr>
              <w:t>, rather</w:t>
            </w:r>
            <w:r w:rsidR="0047037D" w:rsidRPr="00FC01BA">
              <w:rPr>
                <w:rFonts w:ascii="Times New Roman" w:hAnsi="Times New Roman"/>
                <w:sz w:val="24"/>
                <w:szCs w:val="24"/>
                <w:lang w:val="en-GB"/>
              </w:rPr>
              <w:t xml:space="preserve"> </w:t>
            </w:r>
            <w:r w:rsidR="00BA52D4" w:rsidRPr="00FC01BA">
              <w:rPr>
                <w:rFonts w:ascii="Times New Roman" w:hAnsi="Times New Roman"/>
                <w:sz w:val="24"/>
                <w:szCs w:val="24"/>
                <w:lang w:val="en-GB"/>
              </w:rPr>
              <w:t>than ‘determinants’ which is reserved for social, economic and environmental determinants of NCDs.</w:t>
            </w:r>
          </w:p>
          <w:p w14:paraId="2EA8CD16" w14:textId="7ADF7372" w:rsidR="294BB3EA" w:rsidRPr="00FC01BA" w:rsidRDefault="294BB3EA" w:rsidP="00D4793C">
            <w:pPr>
              <w:widowControl w:val="0"/>
              <w:spacing w:before="120" w:after="120"/>
              <w:jc w:val="both"/>
              <w:rPr>
                <w:rFonts w:ascii="Times New Roman" w:hAnsi="Times New Roman"/>
                <w:b/>
                <w:bCs/>
                <w:sz w:val="24"/>
                <w:szCs w:val="24"/>
                <w:lang w:val="en-GB"/>
              </w:rPr>
            </w:pPr>
            <w:r w:rsidRPr="00FC01BA">
              <w:rPr>
                <w:rFonts w:ascii="Times New Roman" w:hAnsi="Times New Roman"/>
                <w:b/>
                <w:bCs/>
                <w:sz w:val="24"/>
                <w:szCs w:val="24"/>
                <w:lang w:val="en-GB"/>
              </w:rPr>
              <w:t>Point</w:t>
            </w:r>
            <w:r w:rsidR="0295072F" w:rsidRPr="00FC01BA">
              <w:rPr>
                <w:rFonts w:ascii="Times New Roman" w:hAnsi="Times New Roman"/>
                <w:b/>
                <w:bCs/>
                <w:sz w:val="24"/>
                <w:szCs w:val="24"/>
                <w:lang w:val="en-GB"/>
              </w:rPr>
              <w:t>s</w:t>
            </w:r>
            <w:r w:rsidRPr="00FC01BA">
              <w:rPr>
                <w:rFonts w:ascii="Times New Roman" w:hAnsi="Times New Roman"/>
                <w:b/>
                <w:bCs/>
                <w:sz w:val="24"/>
                <w:szCs w:val="24"/>
                <w:lang w:val="en-GB"/>
              </w:rPr>
              <w:t xml:space="preserve"> 1.5</w:t>
            </w:r>
            <w:r w:rsidR="42858BCC" w:rsidRPr="00FC01BA">
              <w:rPr>
                <w:rFonts w:ascii="Times New Roman" w:hAnsi="Times New Roman"/>
                <w:b/>
                <w:bCs/>
                <w:sz w:val="24"/>
                <w:szCs w:val="24"/>
                <w:lang w:val="en-GB"/>
              </w:rPr>
              <w:t xml:space="preserve"> and</w:t>
            </w:r>
            <w:r w:rsidR="007F623F" w:rsidRPr="00FC01BA">
              <w:rPr>
                <w:rFonts w:ascii="Times New Roman" w:hAnsi="Times New Roman"/>
                <w:b/>
                <w:bCs/>
                <w:sz w:val="24"/>
                <w:szCs w:val="24"/>
                <w:lang w:val="en-GB"/>
              </w:rPr>
              <w:t xml:space="preserve"> 3.3</w:t>
            </w:r>
            <w:r w:rsidR="00265BDA" w:rsidRPr="00FC01BA">
              <w:rPr>
                <w:rFonts w:ascii="Times New Roman" w:hAnsi="Times New Roman"/>
                <w:b/>
                <w:bCs/>
                <w:sz w:val="24"/>
                <w:szCs w:val="24"/>
                <w:lang w:val="en-GB"/>
              </w:rPr>
              <w:t>:</w:t>
            </w:r>
          </w:p>
          <w:p w14:paraId="306A1D67" w14:textId="0216C67C" w:rsidR="00374F29" w:rsidRPr="00FC01BA" w:rsidRDefault="00DB3ADA"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 xml:space="preserve">The </w:t>
            </w:r>
            <w:r w:rsidR="00374F29" w:rsidRPr="00FC01BA">
              <w:rPr>
                <w:rFonts w:ascii="Times New Roman" w:hAnsi="Times New Roman"/>
                <w:sz w:val="24"/>
                <w:szCs w:val="24"/>
                <w:lang w:val="en-GB"/>
              </w:rPr>
              <w:t>Framework Directive</w:t>
            </w:r>
            <w:r w:rsidRPr="00FC01BA">
              <w:rPr>
                <w:rFonts w:ascii="Times New Roman" w:hAnsi="Times New Roman"/>
                <w:sz w:val="24"/>
                <w:szCs w:val="24"/>
                <w:lang w:val="en-GB"/>
              </w:rPr>
              <w:t xml:space="preserve"> </w:t>
            </w:r>
            <w:r w:rsidRPr="00411DF9">
              <w:rPr>
                <w:rFonts w:ascii="Times New Roman" w:hAnsi="Times New Roman"/>
                <w:sz w:val="24"/>
                <w:szCs w:val="24"/>
                <w:lang w:val="en-GB"/>
              </w:rPr>
              <w:t>on the introduction of measures to encourage improvements in the safety and health of workers at work</w:t>
            </w:r>
            <w:r w:rsidRPr="00411DF9">
              <w:t xml:space="preserve"> </w:t>
            </w:r>
            <w:r w:rsidR="00C607C0" w:rsidRPr="00FC01BA">
              <w:rPr>
                <w:rStyle w:val="FootnoteReference"/>
                <w:rFonts w:ascii="Times New Roman" w:hAnsi="Times New Roman"/>
                <w:sz w:val="24"/>
                <w:szCs w:val="24"/>
                <w:lang w:val="en-GB"/>
              </w:rPr>
              <w:footnoteReference w:id="17"/>
            </w:r>
            <w:r w:rsidR="00374F29" w:rsidRPr="00FC01BA">
              <w:rPr>
                <w:rFonts w:ascii="Times New Roman" w:hAnsi="Times New Roman"/>
                <w:sz w:val="24"/>
                <w:szCs w:val="24"/>
                <w:lang w:val="en-GB"/>
              </w:rPr>
              <w:t xml:space="preserve"> and related directives provide a robust legal framework to protect workers from occupational safety and health (OSH) risks and lay down the main principles of prevention and protection against such risks. The EU Strategic Framework on Health and Safety at Work 2021 - 2027</w:t>
            </w:r>
            <w:r w:rsidR="00AD04FE" w:rsidRPr="00FC01BA">
              <w:rPr>
                <w:rStyle w:val="FootnoteReference"/>
                <w:rFonts w:ascii="Times New Roman" w:hAnsi="Times New Roman"/>
                <w:sz w:val="24"/>
                <w:szCs w:val="24"/>
                <w:lang w:val="en-GB"/>
              </w:rPr>
              <w:footnoteReference w:id="18"/>
            </w:r>
            <w:r w:rsidR="00374F29" w:rsidRPr="00FC01BA">
              <w:rPr>
                <w:rFonts w:ascii="Times New Roman" w:hAnsi="Times New Roman"/>
                <w:sz w:val="24"/>
                <w:szCs w:val="24"/>
                <w:lang w:val="en-GB"/>
              </w:rPr>
              <w:t xml:space="preserve"> includes key actions to improve the protection of workers.</w:t>
            </w:r>
          </w:p>
          <w:p w14:paraId="18479701" w14:textId="62CF50EC" w:rsidR="00B23C73" w:rsidRPr="00FC01BA" w:rsidRDefault="77D813AD" w:rsidP="00D4793C">
            <w:pPr>
              <w:widowControl w:val="0"/>
              <w:spacing w:before="120" w:after="120"/>
              <w:jc w:val="both"/>
              <w:rPr>
                <w:rFonts w:ascii="Times New Roman" w:hAnsi="Times New Roman"/>
                <w:b/>
                <w:bCs/>
                <w:sz w:val="24"/>
                <w:szCs w:val="24"/>
                <w:lang w:val="en-GB"/>
              </w:rPr>
            </w:pPr>
            <w:r w:rsidRPr="00FC01BA">
              <w:rPr>
                <w:rFonts w:ascii="Times New Roman" w:hAnsi="Times New Roman"/>
                <w:b/>
                <w:bCs/>
                <w:sz w:val="24"/>
                <w:szCs w:val="24"/>
                <w:lang w:val="en-GB"/>
              </w:rPr>
              <w:t>Point 1.8 and 6.3</w:t>
            </w:r>
            <w:r w:rsidR="00265BDA" w:rsidRPr="00FC01BA">
              <w:rPr>
                <w:rFonts w:ascii="Times New Roman" w:hAnsi="Times New Roman"/>
                <w:b/>
                <w:bCs/>
                <w:sz w:val="24"/>
                <w:szCs w:val="24"/>
                <w:lang w:val="en-GB"/>
              </w:rPr>
              <w:t>:</w:t>
            </w:r>
          </w:p>
          <w:p w14:paraId="0D827311" w14:textId="34D9770D" w:rsidR="00303B82" w:rsidRPr="00FC01BA" w:rsidRDefault="00303B82"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lastRenderedPageBreak/>
              <w:t xml:space="preserve">The </w:t>
            </w:r>
            <w:r w:rsidR="009C141D" w:rsidRPr="00FC01BA">
              <w:rPr>
                <w:rFonts w:ascii="Times New Roman" w:hAnsi="Times New Roman"/>
                <w:sz w:val="24"/>
                <w:szCs w:val="24"/>
                <w:lang w:val="en-GB"/>
              </w:rPr>
              <w:t>Commission points</w:t>
            </w:r>
            <w:r w:rsidR="00F743D8" w:rsidRPr="00FC01BA">
              <w:rPr>
                <w:rFonts w:ascii="Times New Roman" w:hAnsi="Times New Roman"/>
                <w:sz w:val="24"/>
                <w:szCs w:val="24"/>
                <w:lang w:val="en-GB"/>
              </w:rPr>
              <w:t xml:space="preserve"> out that </w:t>
            </w:r>
            <w:r w:rsidRPr="00FC01BA">
              <w:rPr>
                <w:rFonts w:ascii="Times New Roman" w:hAnsi="Times New Roman"/>
                <w:sz w:val="24"/>
                <w:szCs w:val="24"/>
                <w:lang w:val="en-GB"/>
              </w:rPr>
              <w:t>the monitoring of determinants of NCD</w:t>
            </w:r>
            <w:r w:rsidR="00F743D8" w:rsidRPr="00FC01BA">
              <w:rPr>
                <w:rFonts w:ascii="Times New Roman" w:hAnsi="Times New Roman"/>
                <w:sz w:val="24"/>
                <w:szCs w:val="24"/>
                <w:lang w:val="en-GB"/>
              </w:rPr>
              <w:t>s</w:t>
            </w:r>
            <w:r w:rsidR="004D652C" w:rsidRPr="00FC01BA">
              <w:rPr>
                <w:rFonts w:ascii="Times New Roman" w:hAnsi="Times New Roman"/>
                <w:sz w:val="24"/>
                <w:szCs w:val="24"/>
                <w:lang w:val="en-GB"/>
              </w:rPr>
              <w:t xml:space="preserve">, is being done by other </w:t>
            </w:r>
            <w:r w:rsidRPr="00FC01BA">
              <w:rPr>
                <w:rFonts w:ascii="Times New Roman" w:hAnsi="Times New Roman"/>
                <w:sz w:val="24"/>
                <w:szCs w:val="24"/>
                <w:lang w:val="en-GB"/>
              </w:rPr>
              <w:t xml:space="preserve">EU </w:t>
            </w:r>
            <w:r w:rsidR="0002535E" w:rsidRPr="00FC01BA">
              <w:rPr>
                <w:rFonts w:ascii="Times New Roman" w:hAnsi="Times New Roman"/>
                <w:sz w:val="24"/>
                <w:szCs w:val="24"/>
                <w:lang w:val="en-GB"/>
              </w:rPr>
              <w:t>bodies and agencies</w:t>
            </w:r>
            <w:r w:rsidRPr="00FC01BA">
              <w:rPr>
                <w:rFonts w:ascii="Times New Roman" w:hAnsi="Times New Roman"/>
                <w:sz w:val="24"/>
                <w:szCs w:val="24"/>
                <w:lang w:val="en-GB"/>
              </w:rPr>
              <w:t>: the European Agency for Safety and Health at Work</w:t>
            </w:r>
            <w:r w:rsidRPr="00FC01BA">
              <w:rPr>
                <w:rStyle w:val="FootnoteReference"/>
                <w:rFonts w:ascii="Times New Roman" w:hAnsi="Times New Roman"/>
                <w:sz w:val="24"/>
                <w:szCs w:val="24"/>
                <w:lang w:val="en-GB"/>
              </w:rPr>
              <w:footnoteReference w:id="19"/>
            </w:r>
            <w:r w:rsidRPr="00FC01BA">
              <w:rPr>
                <w:rFonts w:ascii="Times New Roman" w:hAnsi="Times New Roman"/>
                <w:sz w:val="24"/>
                <w:szCs w:val="24"/>
                <w:lang w:val="en-GB"/>
              </w:rPr>
              <w:t xml:space="preserve"> (EU-OSHA), the European Chemicals Agency</w:t>
            </w:r>
            <w:r w:rsidRPr="00FC01BA">
              <w:rPr>
                <w:rStyle w:val="FootnoteReference"/>
                <w:rFonts w:ascii="Times New Roman" w:hAnsi="Times New Roman"/>
                <w:sz w:val="24"/>
                <w:szCs w:val="24"/>
                <w:lang w:val="en-GB"/>
              </w:rPr>
              <w:footnoteReference w:id="20"/>
            </w:r>
            <w:r w:rsidRPr="00FC01BA">
              <w:rPr>
                <w:rFonts w:ascii="Times New Roman" w:hAnsi="Times New Roman"/>
                <w:sz w:val="24"/>
                <w:szCs w:val="24"/>
                <w:lang w:val="en-GB"/>
              </w:rPr>
              <w:t xml:space="preserve"> (ECHA), the European Environment Agency</w:t>
            </w:r>
            <w:r w:rsidRPr="00FC01BA">
              <w:rPr>
                <w:rStyle w:val="FootnoteReference"/>
                <w:rFonts w:ascii="Times New Roman" w:hAnsi="Times New Roman"/>
                <w:sz w:val="24"/>
                <w:szCs w:val="24"/>
                <w:lang w:val="en-GB"/>
              </w:rPr>
              <w:footnoteReference w:id="21"/>
            </w:r>
            <w:r w:rsidRPr="00FC01BA">
              <w:rPr>
                <w:rFonts w:ascii="Times New Roman" w:hAnsi="Times New Roman"/>
                <w:sz w:val="24"/>
                <w:szCs w:val="24"/>
                <w:lang w:val="en-GB"/>
              </w:rPr>
              <w:t xml:space="preserve"> (EEA), the European Food Safety Authority</w:t>
            </w:r>
            <w:r w:rsidRPr="00FC01BA">
              <w:rPr>
                <w:rStyle w:val="FootnoteReference"/>
                <w:rFonts w:ascii="Times New Roman" w:hAnsi="Times New Roman"/>
                <w:sz w:val="24"/>
                <w:szCs w:val="24"/>
                <w:lang w:val="en-GB"/>
              </w:rPr>
              <w:footnoteReference w:id="22"/>
            </w:r>
            <w:r w:rsidRPr="00FC01BA">
              <w:rPr>
                <w:rFonts w:ascii="Times New Roman" w:hAnsi="Times New Roman"/>
                <w:sz w:val="24"/>
                <w:szCs w:val="24"/>
                <w:lang w:val="en-GB"/>
              </w:rPr>
              <w:t xml:space="preserve"> (EFSA), the European Institute for Gender Equality</w:t>
            </w:r>
            <w:r w:rsidRPr="00FC01BA">
              <w:rPr>
                <w:rStyle w:val="FootnoteReference"/>
                <w:rFonts w:ascii="Times New Roman" w:hAnsi="Times New Roman"/>
                <w:sz w:val="24"/>
                <w:szCs w:val="24"/>
                <w:lang w:val="en-GB"/>
              </w:rPr>
              <w:footnoteReference w:id="23"/>
            </w:r>
            <w:r w:rsidRPr="00FC01BA">
              <w:rPr>
                <w:rFonts w:ascii="Times New Roman" w:hAnsi="Times New Roman"/>
                <w:sz w:val="24"/>
                <w:szCs w:val="24"/>
                <w:lang w:val="en-GB"/>
              </w:rPr>
              <w:t xml:space="preserve"> (EIGE), the European Union Drugs Agency</w:t>
            </w:r>
            <w:r w:rsidRPr="00FC01BA">
              <w:rPr>
                <w:rStyle w:val="FootnoteReference"/>
                <w:rFonts w:ascii="Times New Roman" w:hAnsi="Times New Roman"/>
                <w:sz w:val="24"/>
                <w:szCs w:val="24"/>
                <w:lang w:val="en-GB"/>
              </w:rPr>
              <w:footnoteReference w:id="24"/>
            </w:r>
            <w:r w:rsidRPr="00FC01BA">
              <w:rPr>
                <w:rFonts w:ascii="Times New Roman" w:hAnsi="Times New Roman"/>
                <w:sz w:val="24"/>
                <w:szCs w:val="24"/>
                <w:lang w:val="en-GB"/>
              </w:rPr>
              <w:t xml:space="preserve"> (EUDA), and the European Statistical Office</w:t>
            </w:r>
            <w:r w:rsidRPr="00FC01BA">
              <w:rPr>
                <w:rStyle w:val="FootnoteReference"/>
                <w:rFonts w:ascii="Times New Roman" w:hAnsi="Times New Roman"/>
                <w:sz w:val="24"/>
                <w:szCs w:val="24"/>
                <w:lang w:val="en-GB"/>
              </w:rPr>
              <w:footnoteReference w:id="25"/>
            </w:r>
            <w:r w:rsidRPr="00FC01BA">
              <w:rPr>
                <w:rFonts w:ascii="Times New Roman" w:hAnsi="Times New Roman"/>
                <w:sz w:val="24"/>
                <w:szCs w:val="24"/>
                <w:lang w:val="en-GB"/>
              </w:rPr>
              <w:t xml:space="preserve"> (EUROSTAT).</w:t>
            </w:r>
          </w:p>
          <w:p w14:paraId="6085024E" w14:textId="3991A93B" w:rsidR="00303B82" w:rsidRPr="00FC01BA" w:rsidRDefault="00303B82"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 xml:space="preserve">The Commission is evaluating the performance of </w:t>
            </w:r>
            <w:r w:rsidR="00FC01BA" w:rsidRPr="00FC01BA">
              <w:rPr>
                <w:rFonts w:ascii="Times New Roman" w:hAnsi="Times New Roman"/>
                <w:sz w:val="24"/>
                <w:szCs w:val="24"/>
                <w:lang w:val="en-GB"/>
              </w:rPr>
              <w:t xml:space="preserve">the </w:t>
            </w:r>
            <w:r w:rsidR="00FC01BA" w:rsidRPr="00411DF9">
              <w:rPr>
                <w:rFonts w:ascii="Times New Roman" w:hAnsi="Times New Roman"/>
                <w:sz w:val="24"/>
                <w:szCs w:val="24"/>
              </w:rPr>
              <w:t xml:space="preserve">European </w:t>
            </w:r>
            <w:r w:rsidR="00CD0B01">
              <w:rPr>
                <w:rFonts w:ascii="Times New Roman" w:hAnsi="Times New Roman"/>
                <w:sz w:val="24"/>
                <w:szCs w:val="24"/>
              </w:rPr>
              <w:t>C</w:t>
            </w:r>
            <w:r w:rsidR="00FC01BA" w:rsidRPr="00411DF9">
              <w:rPr>
                <w:rFonts w:ascii="Times New Roman" w:hAnsi="Times New Roman"/>
                <w:sz w:val="24"/>
                <w:szCs w:val="24"/>
              </w:rPr>
              <w:t xml:space="preserve">entre for </w:t>
            </w:r>
            <w:r w:rsidR="00CD0B01">
              <w:rPr>
                <w:rFonts w:ascii="Times New Roman" w:hAnsi="Times New Roman"/>
                <w:sz w:val="24"/>
                <w:szCs w:val="24"/>
              </w:rPr>
              <w:t>D</w:t>
            </w:r>
            <w:r w:rsidR="00FC01BA" w:rsidRPr="00411DF9">
              <w:rPr>
                <w:rFonts w:ascii="Times New Roman" w:hAnsi="Times New Roman"/>
                <w:sz w:val="24"/>
                <w:szCs w:val="24"/>
              </w:rPr>
              <w:t xml:space="preserve">isease </w:t>
            </w:r>
            <w:r w:rsidR="00CD0B01">
              <w:rPr>
                <w:rFonts w:ascii="Times New Roman" w:hAnsi="Times New Roman"/>
                <w:sz w:val="24"/>
                <w:szCs w:val="24"/>
              </w:rPr>
              <w:t>P</w:t>
            </w:r>
            <w:r w:rsidR="00FC01BA" w:rsidRPr="00411DF9">
              <w:rPr>
                <w:rFonts w:ascii="Times New Roman" w:hAnsi="Times New Roman"/>
                <w:sz w:val="24"/>
                <w:szCs w:val="24"/>
              </w:rPr>
              <w:t xml:space="preserve">revention and </w:t>
            </w:r>
            <w:r w:rsidR="00CD0B01">
              <w:rPr>
                <w:rFonts w:ascii="Times New Roman" w:hAnsi="Times New Roman"/>
                <w:sz w:val="24"/>
                <w:szCs w:val="24"/>
              </w:rPr>
              <w:t>C</w:t>
            </w:r>
            <w:r w:rsidR="00FC01BA" w:rsidRPr="00411DF9">
              <w:rPr>
                <w:rFonts w:ascii="Times New Roman" w:hAnsi="Times New Roman"/>
                <w:sz w:val="24"/>
                <w:szCs w:val="24"/>
              </w:rPr>
              <w:t>ontrol</w:t>
            </w:r>
            <w:r w:rsidR="00FC01BA" w:rsidRPr="00FC01BA" w:rsidDel="00FC01BA">
              <w:rPr>
                <w:rFonts w:ascii="Times New Roman" w:hAnsi="Times New Roman"/>
                <w:sz w:val="24"/>
                <w:szCs w:val="24"/>
              </w:rPr>
              <w:t xml:space="preserve"> </w:t>
            </w:r>
            <w:r w:rsidR="00FC01BA" w:rsidRPr="00FC01BA">
              <w:rPr>
                <w:rFonts w:ascii="Times New Roman" w:hAnsi="Times New Roman"/>
                <w:sz w:val="24"/>
                <w:szCs w:val="24"/>
              </w:rPr>
              <w:t>(</w:t>
            </w:r>
            <w:r w:rsidRPr="00FC01BA">
              <w:rPr>
                <w:rFonts w:ascii="Times New Roman" w:hAnsi="Times New Roman"/>
                <w:sz w:val="24"/>
                <w:szCs w:val="24"/>
                <w:lang w:val="en-GB"/>
              </w:rPr>
              <w:t>ECDC</w:t>
            </w:r>
            <w:r w:rsidR="00FC01BA" w:rsidRPr="00FC01BA">
              <w:rPr>
                <w:rFonts w:ascii="Times New Roman" w:hAnsi="Times New Roman"/>
                <w:sz w:val="24"/>
                <w:szCs w:val="24"/>
                <w:lang w:val="en-GB"/>
              </w:rPr>
              <w:t>)</w:t>
            </w:r>
            <w:r w:rsidRPr="00FC01BA">
              <w:rPr>
                <w:rFonts w:ascii="Times New Roman" w:hAnsi="Times New Roman"/>
                <w:sz w:val="24"/>
                <w:szCs w:val="24"/>
                <w:lang w:val="en-GB"/>
              </w:rPr>
              <w:t xml:space="preserve"> under its new mandate</w:t>
            </w:r>
            <w:r w:rsidRPr="00FC01BA">
              <w:rPr>
                <w:rStyle w:val="FootnoteReference"/>
                <w:rFonts w:ascii="Times New Roman" w:hAnsi="Times New Roman"/>
                <w:sz w:val="24"/>
                <w:szCs w:val="24"/>
                <w:lang w:val="en-GB"/>
              </w:rPr>
              <w:footnoteReference w:id="26"/>
            </w:r>
            <w:r w:rsidRPr="00FC01BA">
              <w:rPr>
                <w:rFonts w:ascii="Times New Roman" w:hAnsi="Times New Roman"/>
                <w:sz w:val="24"/>
                <w:szCs w:val="24"/>
                <w:lang w:val="en-GB"/>
              </w:rPr>
              <w:t xml:space="preserve">. This includes an independent external evaluation of the Centre’s performance in relation to its objectives, mandate, tasks and procedures. This external evaluation also addresses, in </w:t>
            </w:r>
            <w:r w:rsidR="2F2055A0" w:rsidRPr="00FC01BA">
              <w:rPr>
                <w:rFonts w:ascii="Times New Roman" w:hAnsi="Times New Roman"/>
                <w:sz w:val="24"/>
                <w:szCs w:val="24"/>
                <w:lang w:val="en-GB"/>
              </w:rPr>
              <w:t xml:space="preserve">accordance with Article 31(2) of </w:t>
            </w:r>
            <w:r w:rsidR="00DB3ADA" w:rsidRPr="00FC01BA">
              <w:rPr>
                <w:rFonts w:ascii="Times New Roman" w:hAnsi="Times New Roman"/>
                <w:sz w:val="24"/>
                <w:szCs w:val="24"/>
                <w:lang w:val="en-GB"/>
              </w:rPr>
              <w:t xml:space="preserve">the </w:t>
            </w:r>
            <w:r w:rsidRPr="00FC01BA">
              <w:rPr>
                <w:rFonts w:ascii="Times New Roman" w:hAnsi="Times New Roman"/>
                <w:sz w:val="24"/>
                <w:szCs w:val="24"/>
                <w:lang w:val="en-GB"/>
              </w:rPr>
              <w:t>Regulation</w:t>
            </w:r>
            <w:r w:rsidR="00CD0B01">
              <w:rPr>
                <w:rFonts w:ascii="Times New Roman" w:hAnsi="Times New Roman"/>
                <w:sz w:val="24"/>
                <w:szCs w:val="24"/>
                <w:lang w:val="en-GB"/>
              </w:rPr>
              <w:t xml:space="preserve"> </w:t>
            </w:r>
            <w:r w:rsidR="00FC01BA" w:rsidRPr="00FC01BA">
              <w:rPr>
                <w:rFonts w:ascii="Times New Roman" w:hAnsi="Times New Roman"/>
                <w:sz w:val="24"/>
                <w:szCs w:val="24"/>
                <w:lang w:val="en-GB"/>
              </w:rPr>
              <w:t>establishing a</w:t>
            </w:r>
            <w:r w:rsidR="00A17B82">
              <w:rPr>
                <w:rFonts w:ascii="Times New Roman" w:hAnsi="Times New Roman"/>
                <w:sz w:val="24"/>
                <w:szCs w:val="24"/>
                <w:lang w:val="en-GB"/>
              </w:rPr>
              <w:t> </w:t>
            </w:r>
            <w:r w:rsidR="00FC01BA" w:rsidRPr="00FC01BA">
              <w:rPr>
                <w:rFonts w:ascii="Times New Roman" w:hAnsi="Times New Roman"/>
                <w:sz w:val="24"/>
                <w:szCs w:val="24"/>
                <w:lang w:val="en-GB"/>
              </w:rPr>
              <w:t xml:space="preserve">European </w:t>
            </w:r>
            <w:r w:rsidR="00CD0B01">
              <w:rPr>
                <w:rFonts w:ascii="Times New Roman" w:hAnsi="Times New Roman"/>
                <w:sz w:val="24"/>
                <w:szCs w:val="24"/>
                <w:lang w:val="en-GB"/>
              </w:rPr>
              <w:t>C</w:t>
            </w:r>
            <w:r w:rsidR="00FC01BA" w:rsidRPr="00FC01BA">
              <w:rPr>
                <w:rFonts w:ascii="Times New Roman" w:hAnsi="Times New Roman"/>
                <w:sz w:val="24"/>
                <w:szCs w:val="24"/>
                <w:lang w:val="en-GB"/>
              </w:rPr>
              <w:t xml:space="preserve">entre for </w:t>
            </w:r>
            <w:r w:rsidR="00CD0B01">
              <w:rPr>
                <w:rFonts w:ascii="Times New Roman" w:hAnsi="Times New Roman"/>
                <w:sz w:val="24"/>
                <w:szCs w:val="24"/>
                <w:lang w:val="en-GB"/>
              </w:rPr>
              <w:t>D</w:t>
            </w:r>
            <w:r w:rsidR="00FC01BA" w:rsidRPr="00FC01BA">
              <w:rPr>
                <w:rFonts w:ascii="Times New Roman" w:hAnsi="Times New Roman"/>
                <w:sz w:val="24"/>
                <w:szCs w:val="24"/>
                <w:lang w:val="en-GB"/>
              </w:rPr>
              <w:t xml:space="preserve">isease </w:t>
            </w:r>
            <w:r w:rsidR="00CD0B01">
              <w:rPr>
                <w:rFonts w:ascii="Times New Roman" w:hAnsi="Times New Roman"/>
                <w:sz w:val="24"/>
                <w:szCs w:val="24"/>
                <w:lang w:val="en-GB"/>
              </w:rPr>
              <w:t>P</w:t>
            </w:r>
            <w:r w:rsidR="00FC01BA" w:rsidRPr="00FC01BA">
              <w:rPr>
                <w:rFonts w:ascii="Times New Roman" w:hAnsi="Times New Roman"/>
                <w:sz w:val="24"/>
                <w:szCs w:val="24"/>
                <w:lang w:val="en-GB"/>
              </w:rPr>
              <w:t xml:space="preserve">revention and </w:t>
            </w:r>
            <w:r w:rsidR="00CD0B01">
              <w:rPr>
                <w:rFonts w:ascii="Times New Roman" w:hAnsi="Times New Roman"/>
                <w:sz w:val="24"/>
                <w:szCs w:val="24"/>
                <w:lang w:val="en-GB"/>
              </w:rPr>
              <w:t>C</w:t>
            </w:r>
            <w:r w:rsidR="00FC01BA" w:rsidRPr="00FC01BA">
              <w:rPr>
                <w:rFonts w:ascii="Times New Roman" w:hAnsi="Times New Roman"/>
                <w:sz w:val="24"/>
                <w:szCs w:val="24"/>
                <w:lang w:val="en-GB"/>
              </w:rPr>
              <w:t xml:space="preserve">ontrol </w:t>
            </w:r>
            <w:r w:rsidRPr="00FC01BA">
              <w:rPr>
                <w:rFonts w:ascii="Times New Roman" w:hAnsi="Times New Roman"/>
                <w:sz w:val="24"/>
                <w:szCs w:val="24"/>
                <w:vertAlign w:val="superscript"/>
                <w:lang w:val="en-GB"/>
              </w:rPr>
              <w:footnoteReference w:id="27"/>
            </w:r>
            <w:r w:rsidRPr="00FC01BA">
              <w:rPr>
                <w:rFonts w:ascii="Times New Roman" w:hAnsi="Times New Roman"/>
                <w:sz w:val="24"/>
                <w:szCs w:val="24"/>
                <w:vertAlign w:val="superscript"/>
                <w:lang w:val="en-GB"/>
              </w:rPr>
              <w:t>,</w:t>
            </w:r>
            <w:r w:rsidRPr="00FC01BA">
              <w:rPr>
                <w:rFonts w:ascii="Times New Roman" w:hAnsi="Times New Roman"/>
                <w:sz w:val="24"/>
                <w:szCs w:val="24"/>
                <w:lang w:val="en-GB"/>
              </w:rPr>
              <w:t xml:space="preserve"> the possible need to amend the mandate of the Centre and the financial implications of such amendment to address the impact of cross-border threats to health on non-communicable diseases.</w:t>
            </w:r>
          </w:p>
          <w:p w14:paraId="7C06B075" w14:textId="0A3BD7FB" w:rsidR="00303B82" w:rsidRPr="00FC01BA" w:rsidRDefault="00303B82"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 xml:space="preserve">Under </w:t>
            </w:r>
            <w:r w:rsidR="00FC01BA" w:rsidRPr="00FC01BA">
              <w:rPr>
                <w:rFonts w:ascii="Times New Roman" w:hAnsi="Times New Roman"/>
                <w:sz w:val="24"/>
                <w:szCs w:val="24"/>
                <w:lang w:val="en-GB"/>
              </w:rPr>
              <w:t xml:space="preserve">the </w:t>
            </w:r>
            <w:r w:rsidRPr="00FC01BA">
              <w:rPr>
                <w:rFonts w:ascii="Times New Roman" w:hAnsi="Times New Roman"/>
                <w:sz w:val="24"/>
                <w:szCs w:val="24"/>
                <w:lang w:val="en-GB"/>
              </w:rPr>
              <w:t xml:space="preserve">Regulation on </w:t>
            </w:r>
            <w:r w:rsidR="3E3ED8CA" w:rsidRPr="00FC01BA">
              <w:rPr>
                <w:rFonts w:ascii="Times New Roman" w:hAnsi="Times New Roman"/>
                <w:sz w:val="24"/>
                <w:szCs w:val="24"/>
                <w:lang w:val="en-GB"/>
              </w:rPr>
              <w:t>s</w:t>
            </w:r>
            <w:r w:rsidRPr="00FC01BA">
              <w:rPr>
                <w:rFonts w:ascii="Times New Roman" w:hAnsi="Times New Roman"/>
                <w:sz w:val="24"/>
                <w:szCs w:val="24"/>
                <w:lang w:val="en-GB"/>
              </w:rPr>
              <w:t xml:space="preserve">erious </w:t>
            </w:r>
            <w:r w:rsidR="3F234418" w:rsidRPr="00FC01BA">
              <w:rPr>
                <w:rFonts w:ascii="Times New Roman" w:hAnsi="Times New Roman"/>
                <w:sz w:val="24"/>
                <w:szCs w:val="24"/>
                <w:lang w:val="en-GB"/>
              </w:rPr>
              <w:t>c</w:t>
            </w:r>
            <w:r w:rsidRPr="00FC01BA">
              <w:rPr>
                <w:rFonts w:ascii="Times New Roman" w:hAnsi="Times New Roman"/>
                <w:sz w:val="24"/>
                <w:szCs w:val="24"/>
                <w:lang w:val="en-GB"/>
              </w:rPr>
              <w:t>ross-border threats to health</w:t>
            </w:r>
            <w:r w:rsidRPr="00FC01BA">
              <w:rPr>
                <w:rStyle w:val="FootnoteReference"/>
                <w:rFonts w:ascii="Times New Roman" w:hAnsi="Times New Roman"/>
                <w:sz w:val="24"/>
                <w:szCs w:val="24"/>
                <w:lang w:val="en-GB"/>
              </w:rPr>
              <w:footnoteReference w:id="28"/>
            </w:r>
            <w:r w:rsidRPr="00FC01BA">
              <w:rPr>
                <w:rFonts w:ascii="Times New Roman" w:hAnsi="Times New Roman"/>
                <w:sz w:val="24"/>
                <w:szCs w:val="24"/>
                <w:lang w:val="en-GB"/>
              </w:rPr>
              <w:t xml:space="preserve"> (Art</w:t>
            </w:r>
            <w:r w:rsidR="00F743D8" w:rsidRPr="00FC01BA">
              <w:rPr>
                <w:rFonts w:ascii="Times New Roman" w:hAnsi="Times New Roman"/>
                <w:sz w:val="24"/>
                <w:szCs w:val="24"/>
                <w:lang w:val="en-GB"/>
              </w:rPr>
              <w:t>icle</w:t>
            </w:r>
            <w:r w:rsidRPr="00FC01BA">
              <w:rPr>
                <w:rFonts w:ascii="Times New Roman" w:hAnsi="Times New Roman"/>
                <w:sz w:val="24"/>
                <w:szCs w:val="24"/>
                <w:lang w:val="en-GB"/>
              </w:rPr>
              <w:t xml:space="preserve"> 20), the ECDC </w:t>
            </w:r>
            <w:r w:rsidR="6326A41C" w:rsidRPr="00FC01BA">
              <w:rPr>
                <w:rFonts w:ascii="Times New Roman" w:hAnsi="Times New Roman"/>
                <w:sz w:val="24"/>
                <w:szCs w:val="24"/>
                <w:lang w:val="en-GB"/>
              </w:rPr>
              <w:t xml:space="preserve">and/or </w:t>
            </w:r>
            <w:r w:rsidRPr="00FC01BA">
              <w:rPr>
                <w:rFonts w:ascii="Times New Roman" w:hAnsi="Times New Roman"/>
                <w:sz w:val="24"/>
                <w:szCs w:val="24"/>
                <w:lang w:val="en-GB"/>
              </w:rPr>
              <w:t xml:space="preserve">other EU </w:t>
            </w:r>
            <w:r w:rsidR="6B9A24D6" w:rsidRPr="00FC01BA">
              <w:rPr>
                <w:rFonts w:ascii="Times New Roman" w:hAnsi="Times New Roman"/>
                <w:sz w:val="24"/>
                <w:szCs w:val="24"/>
                <w:lang w:val="en-GB"/>
              </w:rPr>
              <w:t>a</w:t>
            </w:r>
            <w:r w:rsidRPr="00FC01BA">
              <w:rPr>
                <w:rFonts w:ascii="Times New Roman" w:hAnsi="Times New Roman"/>
                <w:sz w:val="24"/>
                <w:szCs w:val="24"/>
                <w:lang w:val="en-GB"/>
              </w:rPr>
              <w:t xml:space="preserve">gencies </w:t>
            </w:r>
            <w:r w:rsidR="581BB08E" w:rsidRPr="00FC01BA">
              <w:rPr>
                <w:rFonts w:ascii="Times New Roman" w:hAnsi="Times New Roman"/>
                <w:sz w:val="24"/>
                <w:szCs w:val="24"/>
                <w:lang w:val="en-GB"/>
              </w:rPr>
              <w:t xml:space="preserve">or bodies carry out </w:t>
            </w:r>
            <w:r w:rsidR="3F472851" w:rsidRPr="00FC01BA">
              <w:rPr>
                <w:rFonts w:ascii="Times New Roman" w:hAnsi="Times New Roman"/>
                <w:sz w:val="24"/>
                <w:szCs w:val="24"/>
                <w:lang w:val="en-GB"/>
              </w:rPr>
              <w:t xml:space="preserve">a </w:t>
            </w:r>
            <w:r w:rsidRPr="00FC01BA">
              <w:rPr>
                <w:rFonts w:ascii="Times New Roman" w:hAnsi="Times New Roman"/>
                <w:sz w:val="24"/>
                <w:szCs w:val="24"/>
                <w:lang w:val="en-GB"/>
              </w:rPr>
              <w:t xml:space="preserve">risk assessment </w:t>
            </w:r>
            <w:r w:rsidR="11D4EFA6" w:rsidRPr="00FC01BA">
              <w:rPr>
                <w:rFonts w:ascii="Times New Roman" w:hAnsi="Times New Roman"/>
                <w:sz w:val="24"/>
                <w:szCs w:val="24"/>
                <w:lang w:val="en-GB"/>
              </w:rPr>
              <w:t xml:space="preserve">of the potential severity of the </w:t>
            </w:r>
            <w:r w:rsidRPr="00FC01BA">
              <w:rPr>
                <w:rFonts w:ascii="Times New Roman" w:hAnsi="Times New Roman"/>
                <w:sz w:val="24"/>
                <w:szCs w:val="24"/>
                <w:lang w:val="en-GB"/>
              </w:rPr>
              <w:t>threat to public health, including possible public health measures.</w:t>
            </w:r>
          </w:p>
          <w:p w14:paraId="329F9BC7" w14:textId="466063BF" w:rsidR="07CE404A" w:rsidRPr="00FC01BA" w:rsidRDefault="07CE404A" w:rsidP="00D4793C">
            <w:pPr>
              <w:widowControl w:val="0"/>
              <w:spacing w:before="120" w:after="120"/>
              <w:jc w:val="both"/>
              <w:rPr>
                <w:rFonts w:ascii="Times New Roman" w:hAnsi="Times New Roman"/>
                <w:b/>
                <w:bCs/>
                <w:sz w:val="24"/>
                <w:szCs w:val="24"/>
                <w:lang w:val="en-GB"/>
              </w:rPr>
            </w:pPr>
            <w:r w:rsidRPr="00FC01BA">
              <w:rPr>
                <w:rFonts w:ascii="Times New Roman" w:hAnsi="Times New Roman"/>
                <w:b/>
                <w:bCs/>
                <w:sz w:val="24"/>
                <w:szCs w:val="24"/>
                <w:lang w:val="en-GB"/>
              </w:rPr>
              <w:t>Point</w:t>
            </w:r>
            <w:r w:rsidR="7A4552D9" w:rsidRPr="00FC01BA">
              <w:rPr>
                <w:rFonts w:ascii="Times New Roman" w:hAnsi="Times New Roman"/>
                <w:b/>
                <w:bCs/>
                <w:sz w:val="24"/>
                <w:szCs w:val="24"/>
                <w:lang w:val="en-GB"/>
              </w:rPr>
              <w:t>s</w:t>
            </w:r>
            <w:r w:rsidRPr="00FC01BA">
              <w:rPr>
                <w:rFonts w:ascii="Times New Roman" w:hAnsi="Times New Roman"/>
                <w:b/>
                <w:bCs/>
                <w:sz w:val="24"/>
                <w:szCs w:val="24"/>
                <w:lang w:val="en-GB"/>
              </w:rPr>
              <w:t xml:space="preserve"> 1.11</w:t>
            </w:r>
            <w:r w:rsidR="26055DEF" w:rsidRPr="00FC01BA">
              <w:rPr>
                <w:rFonts w:ascii="Times New Roman" w:hAnsi="Times New Roman"/>
                <w:b/>
                <w:bCs/>
                <w:sz w:val="24"/>
                <w:szCs w:val="24"/>
                <w:lang w:val="en-GB"/>
              </w:rPr>
              <w:t xml:space="preserve"> and</w:t>
            </w:r>
            <w:r w:rsidR="00A13AF3" w:rsidRPr="00FC01BA">
              <w:rPr>
                <w:rFonts w:ascii="Times New Roman" w:hAnsi="Times New Roman"/>
                <w:b/>
                <w:bCs/>
                <w:sz w:val="24"/>
                <w:szCs w:val="24"/>
                <w:lang w:val="en-GB"/>
              </w:rPr>
              <w:t xml:space="preserve"> 6.5</w:t>
            </w:r>
            <w:r w:rsidR="00265BDA" w:rsidRPr="00FC01BA">
              <w:rPr>
                <w:rFonts w:ascii="Times New Roman" w:hAnsi="Times New Roman"/>
                <w:b/>
                <w:bCs/>
                <w:sz w:val="24"/>
                <w:szCs w:val="24"/>
                <w:lang w:val="en-GB"/>
              </w:rPr>
              <w:t>:</w:t>
            </w:r>
          </w:p>
          <w:p w14:paraId="69250F57" w14:textId="55CFCD29" w:rsidR="0019587E" w:rsidRPr="00FC01BA" w:rsidRDefault="00AB661D"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 xml:space="preserve">The Code of Conduct on </w:t>
            </w:r>
            <w:r w:rsidR="000C78A3" w:rsidRPr="00FC01BA">
              <w:rPr>
                <w:rFonts w:ascii="Times New Roman" w:hAnsi="Times New Roman"/>
                <w:sz w:val="24"/>
                <w:szCs w:val="24"/>
                <w:lang w:val="en-GB"/>
              </w:rPr>
              <w:t>R</w:t>
            </w:r>
            <w:r w:rsidRPr="00FC01BA">
              <w:rPr>
                <w:rFonts w:ascii="Times New Roman" w:hAnsi="Times New Roman"/>
                <w:sz w:val="24"/>
                <w:szCs w:val="24"/>
                <w:lang w:val="en-GB"/>
              </w:rPr>
              <w:t xml:space="preserve">esponsible </w:t>
            </w:r>
            <w:r w:rsidR="000C78A3" w:rsidRPr="00FC01BA">
              <w:rPr>
                <w:rFonts w:ascii="Times New Roman" w:hAnsi="Times New Roman"/>
                <w:sz w:val="24"/>
                <w:szCs w:val="24"/>
                <w:lang w:val="en-GB"/>
              </w:rPr>
              <w:t>F</w:t>
            </w:r>
            <w:r w:rsidRPr="00FC01BA">
              <w:rPr>
                <w:rFonts w:ascii="Times New Roman" w:hAnsi="Times New Roman"/>
                <w:sz w:val="24"/>
                <w:szCs w:val="24"/>
                <w:lang w:val="en-GB"/>
              </w:rPr>
              <w:t xml:space="preserve">ood </w:t>
            </w:r>
            <w:r w:rsidR="000C78A3" w:rsidRPr="00FC01BA">
              <w:rPr>
                <w:rFonts w:ascii="Times New Roman" w:hAnsi="Times New Roman"/>
                <w:sz w:val="24"/>
                <w:szCs w:val="24"/>
                <w:lang w:val="en-GB"/>
              </w:rPr>
              <w:t>B</w:t>
            </w:r>
            <w:r w:rsidRPr="00FC01BA">
              <w:rPr>
                <w:rFonts w:ascii="Times New Roman" w:hAnsi="Times New Roman"/>
                <w:sz w:val="24"/>
                <w:szCs w:val="24"/>
                <w:lang w:val="en-GB"/>
              </w:rPr>
              <w:t xml:space="preserve">usiness and </w:t>
            </w:r>
            <w:r w:rsidR="000C78A3" w:rsidRPr="00FC01BA">
              <w:rPr>
                <w:rFonts w:ascii="Times New Roman" w:hAnsi="Times New Roman"/>
                <w:sz w:val="24"/>
                <w:szCs w:val="24"/>
                <w:lang w:val="en-GB"/>
              </w:rPr>
              <w:t>M</w:t>
            </w:r>
            <w:r w:rsidRPr="00FC01BA">
              <w:rPr>
                <w:rFonts w:ascii="Times New Roman" w:hAnsi="Times New Roman"/>
                <w:sz w:val="24"/>
                <w:szCs w:val="24"/>
                <w:lang w:val="en-GB"/>
              </w:rPr>
              <w:t xml:space="preserve">arketing </w:t>
            </w:r>
            <w:r w:rsidR="000C78A3" w:rsidRPr="00FC01BA">
              <w:rPr>
                <w:rFonts w:ascii="Times New Roman" w:hAnsi="Times New Roman"/>
                <w:sz w:val="24"/>
                <w:szCs w:val="24"/>
                <w:lang w:val="en-GB"/>
              </w:rPr>
              <w:t>P</w:t>
            </w:r>
            <w:r w:rsidRPr="00FC01BA">
              <w:rPr>
                <w:rFonts w:ascii="Times New Roman" w:hAnsi="Times New Roman"/>
                <w:sz w:val="24"/>
                <w:szCs w:val="24"/>
                <w:lang w:val="en-GB"/>
              </w:rPr>
              <w:t>ractices</w:t>
            </w:r>
            <w:r w:rsidR="0045443B" w:rsidRPr="00FC01BA">
              <w:rPr>
                <w:rFonts w:ascii="Times New Roman" w:hAnsi="Times New Roman"/>
                <w:sz w:val="24"/>
                <w:szCs w:val="24"/>
                <w:lang w:val="en-GB"/>
              </w:rPr>
              <w:t xml:space="preserve"> (known as the Agri-Food Code since mid-2025)</w:t>
            </w:r>
            <w:r w:rsidR="000C78A3" w:rsidRPr="00FC01BA">
              <w:rPr>
                <w:rFonts w:ascii="Times New Roman" w:hAnsi="Times New Roman"/>
                <w:sz w:val="24"/>
                <w:szCs w:val="24"/>
                <w:lang w:val="en-GB"/>
              </w:rPr>
              <w:t xml:space="preserve"> </w:t>
            </w:r>
            <w:r w:rsidR="0045443B" w:rsidRPr="00FC01BA">
              <w:rPr>
                <w:rFonts w:ascii="Times New Roman" w:hAnsi="Times New Roman"/>
                <w:sz w:val="24"/>
                <w:szCs w:val="24"/>
                <w:lang w:val="en-GB"/>
              </w:rPr>
              <w:t>w</w:t>
            </w:r>
            <w:r w:rsidR="001F442D" w:rsidRPr="00FC01BA">
              <w:rPr>
                <w:rFonts w:ascii="Times New Roman" w:hAnsi="Times New Roman"/>
                <w:sz w:val="24"/>
                <w:szCs w:val="24"/>
                <w:lang w:val="en-GB"/>
              </w:rPr>
              <w:t xml:space="preserve">as </w:t>
            </w:r>
            <w:r w:rsidR="00772FE9" w:rsidRPr="00FC01BA">
              <w:rPr>
                <w:rFonts w:ascii="Times New Roman" w:hAnsi="Times New Roman"/>
                <w:sz w:val="24"/>
                <w:szCs w:val="24"/>
                <w:lang w:val="en-GB"/>
              </w:rPr>
              <w:t xml:space="preserve">launched in 2021 </w:t>
            </w:r>
            <w:r w:rsidR="0019587E" w:rsidRPr="00FC01BA">
              <w:rPr>
                <w:rFonts w:ascii="Times New Roman" w:hAnsi="Times New Roman"/>
                <w:sz w:val="24"/>
                <w:szCs w:val="24"/>
                <w:lang w:val="en-GB"/>
              </w:rPr>
              <w:t>and</w:t>
            </w:r>
            <w:r w:rsidR="009E7189" w:rsidRPr="00FC01BA">
              <w:rPr>
                <w:rFonts w:ascii="Times New Roman" w:hAnsi="Times New Roman"/>
                <w:sz w:val="24"/>
                <w:szCs w:val="24"/>
                <w:lang w:val="en-GB"/>
              </w:rPr>
              <w:t xml:space="preserve"> </w:t>
            </w:r>
            <w:r w:rsidR="00484321">
              <w:rPr>
                <w:rFonts w:ascii="Times New Roman" w:hAnsi="Times New Roman"/>
                <w:sz w:val="24"/>
                <w:szCs w:val="24"/>
                <w:lang w:val="en-GB"/>
              </w:rPr>
              <w:t xml:space="preserve">is </w:t>
            </w:r>
            <w:r w:rsidR="009E7189" w:rsidRPr="00FC01BA">
              <w:rPr>
                <w:rFonts w:ascii="Times New Roman" w:hAnsi="Times New Roman"/>
                <w:sz w:val="24"/>
                <w:szCs w:val="24"/>
                <w:lang w:val="en-GB"/>
              </w:rPr>
              <w:t>referred to</w:t>
            </w:r>
            <w:r w:rsidR="001F442D" w:rsidRPr="00FC01BA">
              <w:rPr>
                <w:rFonts w:ascii="Times New Roman" w:hAnsi="Times New Roman"/>
                <w:sz w:val="24"/>
                <w:szCs w:val="24"/>
                <w:lang w:val="en-GB"/>
              </w:rPr>
              <w:t xml:space="preserve"> in the Vision </w:t>
            </w:r>
            <w:r w:rsidR="009D341B" w:rsidRPr="00FC01BA">
              <w:rPr>
                <w:rFonts w:ascii="Times New Roman" w:hAnsi="Times New Roman"/>
                <w:sz w:val="24"/>
                <w:szCs w:val="24"/>
                <w:lang w:val="en-GB"/>
              </w:rPr>
              <w:t>for</w:t>
            </w:r>
            <w:r w:rsidR="001F442D" w:rsidRPr="00FC01BA">
              <w:rPr>
                <w:rFonts w:ascii="Times New Roman" w:hAnsi="Times New Roman"/>
                <w:sz w:val="24"/>
                <w:szCs w:val="24"/>
                <w:lang w:val="en-GB"/>
              </w:rPr>
              <w:t xml:space="preserve"> Agriculture</w:t>
            </w:r>
            <w:r w:rsidR="00772FE9" w:rsidRPr="00FC01BA">
              <w:rPr>
                <w:rFonts w:ascii="Times New Roman" w:hAnsi="Times New Roman"/>
                <w:sz w:val="24"/>
                <w:szCs w:val="24"/>
                <w:lang w:val="en-GB"/>
              </w:rPr>
              <w:t xml:space="preserve"> and </w:t>
            </w:r>
            <w:r w:rsidR="009949A7" w:rsidRPr="00FC01BA">
              <w:rPr>
                <w:rFonts w:ascii="Times New Roman" w:hAnsi="Times New Roman"/>
                <w:sz w:val="24"/>
                <w:szCs w:val="24"/>
                <w:lang w:val="en-GB"/>
              </w:rPr>
              <w:t>Food</w:t>
            </w:r>
            <w:r w:rsidR="009E7189" w:rsidRPr="00FC01BA">
              <w:rPr>
                <w:rFonts w:ascii="Times New Roman" w:hAnsi="Times New Roman"/>
                <w:sz w:val="24"/>
                <w:szCs w:val="24"/>
                <w:lang w:val="en-GB"/>
              </w:rPr>
              <w:t xml:space="preserve"> (February 2025)</w:t>
            </w:r>
            <w:r w:rsidR="00772FE9" w:rsidRPr="00FC01BA">
              <w:rPr>
                <w:rFonts w:ascii="Times New Roman" w:hAnsi="Times New Roman"/>
                <w:sz w:val="24"/>
                <w:szCs w:val="24"/>
                <w:lang w:val="en-GB"/>
              </w:rPr>
              <w:t xml:space="preserve">. </w:t>
            </w:r>
            <w:r w:rsidR="0019587E" w:rsidRPr="00FC01BA">
              <w:rPr>
                <w:rFonts w:ascii="Times New Roman" w:hAnsi="Times New Roman"/>
                <w:sz w:val="24"/>
                <w:szCs w:val="24"/>
                <w:lang w:val="en-GB"/>
              </w:rPr>
              <w:t>The Agri-Food Code is an</w:t>
            </w:r>
            <w:r w:rsidR="00CD0B01">
              <w:rPr>
                <w:rFonts w:ascii="Times New Roman" w:hAnsi="Times New Roman"/>
                <w:sz w:val="24"/>
                <w:szCs w:val="24"/>
                <w:lang w:val="en-GB"/>
              </w:rPr>
              <w:t xml:space="preserve"> </w:t>
            </w:r>
            <w:r w:rsidR="0019587E" w:rsidRPr="00FC01BA">
              <w:rPr>
                <w:rFonts w:ascii="Times New Roman" w:hAnsi="Times New Roman"/>
                <w:sz w:val="24"/>
                <w:szCs w:val="24"/>
                <w:lang w:val="en-GB"/>
              </w:rPr>
              <w:t>industry</w:t>
            </w:r>
            <w:r w:rsidR="00E63713" w:rsidRPr="00FC01BA">
              <w:rPr>
                <w:rFonts w:ascii="Times New Roman" w:hAnsi="Times New Roman"/>
                <w:sz w:val="24"/>
                <w:szCs w:val="24"/>
                <w:lang w:val="en-GB"/>
              </w:rPr>
              <w:t>-</w:t>
            </w:r>
            <w:r w:rsidR="0019587E" w:rsidRPr="00FC01BA">
              <w:rPr>
                <w:rFonts w:ascii="Times New Roman" w:hAnsi="Times New Roman"/>
                <w:sz w:val="24"/>
                <w:szCs w:val="24"/>
                <w:lang w:val="en-GB"/>
              </w:rPr>
              <w:t xml:space="preserve">led </w:t>
            </w:r>
            <w:r w:rsidR="00E63713" w:rsidRPr="00FC01BA">
              <w:rPr>
                <w:rFonts w:ascii="Times New Roman" w:hAnsi="Times New Roman"/>
                <w:sz w:val="24"/>
                <w:szCs w:val="24"/>
                <w:lang w:val="en-GB"/>
              </w:rPr>
              <w:t xml:space="preserve">initiative </w:t>
            </w:r>
            <w:r w:rsidR="00484321">
              <w:rPr>
                <w:rFonts w:ascii="Times New Roman" w:hAnsi="Times New Roman"/>
                <w:sz w:val="24"/>
                <w:szCs w:val="24"/>
                <w:lang w:val="en-GB"/>
              </w:rPr>
              <w:t>which</w:t>
            </w:r>
            <w:r w:rsidR="00484321" w:rsidRPr="00FC01BA">
              <w:rPr>
                <w:rFonts w:ascii="Times New Roman" w:hAnsi="Times New Roman"/>
                <w:sz w:val="24"/>
                <w:szCs w:val="24"/>
                <w:lang w:val="en-GB"/>
              </w:rPr>
              <w:t xml:space="preserve"> </w:t>
            </w:r>
            <w:r w:rsidR="0019587E" w:rsidRPr="00FC01BA">
              <w:rPr>
                <w:rFonts w:ascii="Times New Roman" w:hAnsi="Times New Roman"/>
                <w:sz w:val="24"/>
                <w:szCs w:val="24"/>
                <w:lang w:val="en-GB"/>
              </w:rPr>
              <w:t xml:space="preserve">has received support from the European Commission since its launch. </w:t>
            </w:r>
            <w:r w:rsidR="00772FE9" w:rsidRPr="00FC01BA">
              <w:rPr>
                <w:rFonts w:ascii="Times New Roman" w:hAnsi="Times New Roman"/>
                <w:sz w:val="24"/>
                <w:szCs w:val="24"/>
                <w:lang w:val="en-GB"/>
              </w:rPr>
              <w:t>It</w:t>
            </w:r>
            <w:r w:rsidR="0045443B" w:rsidRPr="00FC01BA">
              <w:rPr>
                <w:rFonts w:ascii="Times New Roman" w:hAnsi="Times New Roman"/>
                <w:sz w:val="24"/>
                <w:szCs w:val="24"/>
                <w:lang w:val="en-GB"/>
              </w:rPr>
              <w:t xml:space="preserve"> </w:t>
            </w:r>
            <w:r w:rsidR="009E7189" w:rsidRPr="00FC01BA">
              <w:rPr>
                <w:rFonts w:ascii="Times New Roman" w:hAnsi="Times New Roman"/>
                <w:sz w:val="24"/>
                <w:szCs w:val="24"/>
                <w:lang w:val="en-GB"/>
              </w:rPr>
              <w:t>includes</w:t>
            </w:r>
            <w:r w:rsidRPr="00FC01BA">
              <w:rPr>
                <w:rFonts w:ascii="Times New Roman" w:hAnsi="Times New Roman"/>
                <w:sz w:val="24"/>
                <w:szCs w:val="24"/>
                <w:lang w:val="en-GB"/>
              </w:rPr>
              <w:t xml:space="preserve"> </w:t>
            </w:r>
            <w:r w:rsidR="001F442D" w:rsidRPr="00FC01BA">
              <w:rPr>
                <w:rFonts w:ascii="Times New Roman" w:hAnsi="Times New Roman"/>
                <w:sz w:val="24"/>
                <w:szCs w:val="24"/>
                <w:lang w:val="en-GB"/>
              </w:rPr>
              <w:t>a</w:t>
            </w:r>
            <w:r w:rsidR="0065425E" w:rsidRPr="00FC01BA">
              <w:rPr>
                <w:rFonts w:ascii="Times New Roman" w:hAnsi="Times New Roman"/>
                <w:sz w:val="24"/>
                <w:szCs w:val="24"/>
                <w:lang w:val="en-GB"/>
              </w:rPr>
              <w:t xml:space="preserve">n aspirational </w:t>
            </w:r>
            <w:r w:rsidRPr="00FC01BA">
              <w:rPr>
                <w:rFonts w:ascii="Times New Roman" w:hAnsi="Times New Roman"/>
                <w:sz w:val="24"/>
                <w:szCs w:val="24"/>
                <w:lang w:val="en-GB"/>
              </w:rPr>
              <w:t xml:space="preserve">objective </w:t>
            </w:r>
            <w:r w:rsidR="009977E5" w:rsidRPr="00FC01BA">
              <w:rPr>
                <w:rFonts w:ascii="Times New Roman" w:hAnsi="Times New Roman"/>
                <w:sz w:val="24"/>
                <w:szCs w:val="24"/>
                <w:lang w:val="en-GB"/>
              </w:rPr>
              <w:t>on h</w:t>
            </w:r>
            <w:r w:rsidRPr="00FC01BA">
              <w:rPr>
                <w:rFonts w:ascii="Times New Roman" w:hAnsi="Times New Roman"/>
                <w:sz w:val="24"/>
                <w:szCs w:val="24"/>
                <w:lang w:val="en-GB"/>
              </w:rPr>
              <w:t>ealthy, balanced and sustainable diets for all European consumers</w:t>
            </w:r>
            <w:r w:rsidR="00804AB4" w:rsidRPr="00FC01BA">
              <w:rPr>
                <w:rStyle w:val="FootnoteReference"/>
                <w:rFonts w:ascii="Times New Roman" w:hAnsi="Times New Roman"/>
                <w:sz w:val="24"/>
                <w:szCs w:val="24"/>
                <w:lang w:val="en-GB"/>
              </w:rPr>
              <w:footnoteReference w:id="29"/>
            </w:r>
            <w:r w:rsidR="00CD22BA" w:rsidRPr="00FC01BA">
              <w:rPr>
                <w:rFonts w:ascii="Times New Roman" w:hAnsi="Times New Roman"/>
                <w:sz w:val="24"/>
                <w:szCs w:val="24"/>
                <w:lang w:val="en-GB"/>
              </w:rPr>
              <w:t xml:space="preserve">. </w:t>
            </w:r>
            <w:r w:rsidR="0065425E" w:rsidRPr="00FC01BA">
              <w:rPr>
                <w:rFonts w:ascii="Times New Roman" w:hAnsi="Times New Roman"/>
                <w:sz w:val="24"/>
                <w:szCs w:val="24"/>
                <w:lang w:val="en-GB"/>
              </w:rPr>
              <w:t>This objective</w:t>
            </w:r>
            <w:r w:rsidRPr="00FC01BA">
              <w:rPr>
                <w:rFonts w:ascii="Times New Roman" w:hAnsi="Times New Roman"/>
                <w:sz w:val="24"/>
                <w:szCs w:val="24"/>
                <w:lang w:val="en-GB"/>
              </w:rPr>
              <w:t xml:space="preserve"> aims to encourage food consumption patterns that support both public health and environmental sustainability</w:t>
            </w:r>
            <w:r w:rsidR="008E070F" w:rsidRPr="00FC01BA">
              <w:rPr>
                <w:rFonts w:ascii="Times New Roman" w:hAnsi="Times New Roman"/>
                <w:sz w:val="24"/>
                <w:szCs w:val="24"/>
                <w:lang w:val="en-GB"/>
              </w:rPr>
              <w:t>. It also aims to</w:t>
            </w:r>
            <w:r w:rsidRPr="00FC01BA">
              <w:rPr>
                <w:rFonts w:ascii="Times New Roman" w:hAnsi="Times New Roman"/>
                <w:sz w:val="24"/>
                <w:szCs w:val="24"/>
                <w:lang w:val="en-GB"/>
              </w:rPr>
              <w:t xml:space="preserve"> promote responsible marketing practices, especially in relation to children and vulnerable groups</w:t>
            </w:r>
            <w:r w:rsidR="008E070F" w:rsidRPr="00FC01BA">
              <w:rPr>
                <w:rFonts w:ascii="Times New Roman" w:hAnsi="Times New Roman"/>
                <w:sz w:val="24"/>
                <w:szCs w:val="24"/>
                <w:lang w:val="en-GB"/>
              </w:rPr>
              <w:t xml:space="preserve">. Furthermore, it </w:t>
            </w:r>
            <w:r w:rsidR="00CE7B23" w:rsidRPr="00FC01BA">
              <w:rPr>
                <w:rFonts w:ascii="Times New Roman" w:hAnsi="Times New Roman"/>
                <w:sz w:val="24"/>
                <w:szCs w:val="24"/>
                <w:lang w:val="en-GB"/>
              </w:rPr>
              <w:t>concerns</w:t>
            </w:r>
            <w:r w:rsidRPr="00FC01BA">
              <w:rPr>
                <w:rFonts w:ascii="Times New Roman" w:hAnsi="Times New Roman"/>
                <w:sz w:val="24"/>
                <w:szCs w:val="24"/>
                <w:lang w:val="en-GB"/>
              </w:rPr>
              <w:t xml:space="preserve"> support</w:t>
            </w:r>
            <w:r w:rsidR="008E070F" w:rsidRPr="00FC01BA">
              <w:rPr>
                <w:rFonts w:ascii="Times New Roman" w:hAnsi="Times New Roman"/>
                <w:sz w:val="24"/>
                <w:szCs w:val="24"/>
                <w:lang w:val="en-GB"/>
              </w:rPr>
              <w:t>ing</w:t>
            </w:r>
            <w:r w:rsidRPr="00FC01BA">
              <w:rPr>
                <w:rFonts w:ascii="Times New Roman" w:hAnsi="Times New Roman"/>
                <w:sz w:val="24"/>
                <w:szCs w:val="24"/>
                <w:lang w:val="en-GB"/>
              </w:rPr>
              <w:t xml:space="preserve"> the availability and affordability of healthier food options</w:t>
            </w:r>
            <w:r w:rsidR="008E070F" w:rsidRPr="00FC01BA">
              <w:rPr>
                <w:rFonts w:ascii="Times New Roman" w:hAnsi="Times New Roman"/>
                <w:sz w:val="24"/>
                <w:szCs w:val="24"/>
                <w:lang w:val="en-GB"/>
              </w:rPr>
              <w:t xml:space="preserve">. Finally, </w:t>
            </w:r>
            <w:r w:rsidR="00D93425" w:rsidRPr="00FC01BA">
              <w:rPr>
                <w:rFonts w:ascii="Times New Roman" w:hAnsi="Times New Roman"/>
                <w:sz w:val="24"/>
                <w:szCs w:val="24"/>
                <w:lang w:val="en-GB"/>
              </w:rPr>
              <w:t>it refers to</w:t>
            </w:r>
            <w:r w:rsidR="008E070F" w:rsidRPr="00FC01BA">
              <w:rPr>
                <w:rFonts w:ascii="Times New Roman" w:hAnsi="Times New Roman"/>
                <w:sz w:val="24"/>
                <w:szCs w:val="24"/>
                <w:lang w:val="en-GB"/>
              </w:rPr>
              <w:t xml:space="preserve"> </w:t>
            </w:r>
            <w:r w:rsidRPr="00FC01BA">
              <w:rPr>
                <w:rFonts w:ascii="Times New Roman" w:hAnsi="Times New Roman"/>
                <w:sz w:val="24"/>
                <w:szCs w:val="24"/>
                <w:lang w:val="en-GB"/>
              </w:rPr>
              <w:t>improv</w:t>
            </w:r>
            <w:r w:rsidR="008E070F" w:rsidRPr="00FC01BA">
              <w:rPr>
                <w:rFonts w:ascii="Times New Roman" w:hAnsi="Times New Roman"/>
                <w:sz w:val="24"/>
                <w:szCs w:val="24"/>
                <w:lang w:val="en-GB"/>
              </w:rPr>
              <w:t>ing</w:t>
            </w:r>
            <w:r w:rsidRPr="00FC01BA">
              <w:rPr>
                <w:rFonts w:ascii="Times New Roman" w:hAnsi="Times New Roman"/>
                <w:sz w:val="24"/>
                <w:szCs w:val="24"/>
                <w:lang w:val="en-GB"/>
              </w:rPr>
              <w:t xml:space="preserve"> nutrition labelling and consumer education to facilitate informed choices. </w:t>
            </w:r>
            <w:r w:rsidR="00702178" w:rsidRPr="00FC01BA">
              <w:rPr>
                <w:rFonts w:ascii="Times New Roman" w:hAnsi="Times New Roman"/>
                <w:sz w:val="24"/>
                <w:szCs w:val="24"/>
                <w:lang w:val="en-GB"/>
              </w:rPr>
              <w:t xml:space="preserve">Of </w:t>
            </w:r>
            <w:r w:rsidRPr="00FC01BA">
              <w:rPr>
                <w:rFonts w:ascii="Times New Roman" w:hAnsi="Times New Roman"/>
                <w:sz w:val="24"/>
                <w:szCs w:val="24"/>
                <w:lang w:val="en-GB"/>
              </w:rPr>
              <w:t xml:space="preserve">the 155 </w:t>
            </w:r>
            <w:r w:rsidR="00484321">
              <w:rPr>
                <w:rFonts w:ascii="Times New Roman" w:hAnsi="Times New Roman"/>
                <w:sz w:val="24"/>
                <w:szCs w:val="24"/>
                <w:lang w:val="en-GB"/>
              </w:rPr>
              <w:t xml:space="preserve">industry </w:t>
            </w:r>
            <w:r w:rsidRPr="00FC01BA">
              <w:rPr>
                <w:rFonts w:ascii="Times New Roman" w:hAnsi="Times New Roman"/>
                <w:sz w:val="24"/>
                <w:szCs w:val="24"/>
                <w:lang w:val="en-GB"/>
              </w:rPr>
              <w:t xml:space="preserve">members of the Code, 117 </w:t>
            </w:r>
            <w:r w:rsidRPr="00FC01BA">
              <w:rPr>
                <w:rFonts w:ascii="Times New Roman" w:hAnsi="Times New Roman"/>
                <w:sz w:val="24"/>
                <w:szCs w:val="24"/>
                <w:lang w:val="en-GB"/>
              </w:rPr>
              <w:lastRenderedPageBreak/>
              <w:t>have specific actions</w:t>
            </w:r>
            <w:r w:rsidR="00617989" w:rsidRPr="00FC01BA">
              <w:rPr>
                <w:rFonts w:ascii="Times New Roman" w:hAnsi="Times New Roman"/>
                <w:sz w:val="24"/>
                <w:szCs w:val="24"/>
                <w:lang w:val="en-GB"/>
              </w:rPr>
              <w:t xml:space="preserve"> linked to this objective</w:t>
            </w:r>
            <w:r w:rsidRPr="00FC01BA">
              <w:rPr>
                <w:rFonts w:ascii="Times New Roman" w:hAnsi="Times New Roman"/>
                <w:sz w:val="24"/>
                <w:szCs w:val="24"/>
                <w:lang w:val="en-GB"/>
              </w:rPr>
              <w:t xml:space="preserve">, </w:t>
            </w:r>
            <w:r w:rsidR="004C13A7" w:rsidRPr="00FC01BA">
              <w:rPr>
                <w:rFonts w:ascii="Times New Roman" w:hAnsi="Times New Roman"/>
                <w:sz w:val="24"/>
                <w:szCs w:val="24"/>
                <w:lang w:val="en-GB"/>
              </w:rPr>
              <w:t xml:space="preserve">mainly </w:t>
            </w:r>
            <w:r w:rsidR="00E15609" w:rsidRPr="00FC01BA">
              <w:rPr>
                <w:rFonts w:ascii="Times New Roman" w:hAnsi="Times New Roman"/>
                <w:sz w:val="24"/>
                <w:szCs w:val="24"/>
                <w:lang w:val="en-GB"/>
              </w:rPr>
              <w:t>relating to</w:t>
            </w:r>
            <w:r w:rsidR="002E0837">
              <w:rPr>
                <w:rFonts w:ascii="Times New Roman" w:hAnsi="Times New Roman"/>
                <w:sz w:val="24"/>
                <w:szCs w:val="24"/>
                <w:lang w:val="en-GB"/>
              </w:rPr>
              <w:t xml:space="preserve"> the</w:t>
            </w:r>
            <w:r w:rsidR="004C13A7" w:rsidRPr="00FC01BA">
              <w:rPr>
                <w:rFonts w:ascii="Times New Roman" w:hAnsi="Times New Roman"/>
                <w:sz w:val="24"/>
                <w:szCs w:val="24"/>
                <w:lang w:val="en-GB"/>
              </w:rPr>
              <w:t xml:space="preserve"> </w:t>
            </w:r>
            <w:r w:rsidRPr="00FC01BA">
              <w:rPr>
                <w:rFonts w:ascii="Times New Roman" w:hAnsi="Times New Roman"/>
                <w:sz w:val="24"/>
                <w:szCs w:val="24"/>
                <w:lang w:val="en-GB"/>
              </w:rPr>
              <w:t>reformulation of food products and responsible marketing</w:t>
            </w:r>
            <w:r w:rsidR="00422357" w:rsidRPr="00FC01BA">
              <w:rPr>
                <w:rStyle w:val="FootnoteReference"/>
                <w:rFonts w:ascii="Times New Roman" w:hAnsi="Times New Roman"/>
                <w:sz w:val="24"/>
                <w:szCs w:val="24"/>
                <w:lang w:val="en-GB"/>
              </w:rPr>
              <w:footnoteReference w:id="30"/>
            </w:r>
            <w:r w:rsidRPr="00FC01BA">
              <w:rPr>
                <w:rFonts w:ascii="Times New Roman" w:hAnsi="Times New Roman"/>
                <w:sz w:val="24"/>
                <w:szCs w:val="24"/>
                <w:lang w:val="en-GB"/>
              </w:rPr>
              <w:t xml:space="preserve">. </w:t>
            </w:r>
          </w:p>
          <w:p w14:paraId="4602C59D" w14:textId="1FFE89B8" w:rsidR="00AB661D" w:rsidRPr="00FC01BA" w:rsidRDefault="00AB661D"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 xml:space="preserve">Beyond this, </w:t>
            </w:r>
            <w:r w:rsidR="00FC01BA" w:rsidRPr="00FC01BA">
              <w:rPr>
                <w:rFonts w:ascii="Times New Roman" w:hAnsi="Times New Roman"/>
                <w:sz w:val="24"/>
                <w:szCs w:val="24"/>
                <w:lang w:val="en-GB"/>
              </w:rPr>
              <w:t xml:space="preserve">the </w:t>
            </w:r>
            <w:r w:rsidR="00603425" w:rsidRPr="00FC01BA">
              <w:rPr>
                <w:rFonts w:ascii="Times New Roman" w:hAnsi="Times New Roman"/>
                <w:sz w:val="24"/>
                <w:szCs w:val="24"/>
                <w:lang w:val="en-GB"/>
              </w:rPr>
              <w:t>Regulation on nutrition and health claims made on foods</w:t>
            </w:r>
            <w:r w:rsidR="00FC01BA" w:rsidRPr="00FC01BA">
              <w:rPr>
                <w:rStyle w:val="FootnoteReference"/>
                <w:rFonts w:ascii="Times New Roman" w:hAnsi="Times New Roman"/>
                <w:sz w:val="24"/>
                <w:szCs w:val="24"/>
                <w:lang w:val="en-GB"/>
              </w:rPr>
              <w:footnoteReference w:id="31"/>
            </w:r>
            <w:r w:rsidR="00603425" w:rsidRPr="00FC01BA">
              <w:rPr>
                <w:rFonts w:ascii="Times New Roman" w:hAnsi="Times New Roman"/>
                <w:sz w:val="24"/>
                <w:szCs w:val="24"/>
                <w:lang w:val="en-GB"/>
              </w:rPr>
              <w:t xml:space="preserve"> </w:t>
            </w:r>
            <w:r w:rsidR="5BD4AFC7" w:rsidRPr="00FC01BA">
              <w:rPr>
                <w:rFonts w:ascii="Times New Roman" w:hAnsi="Times New Roman"/>
                <w:sz w:val="24"/>
                <w:szCs w:val="24"/>
                <w:lang w:val="en-GB"/>
              </w:rPr>
              <w:t>ensures</w:t>
            </w:r>
            <w:r w:rsidR="002E0837">
              <w:rPr>
                <w:rFonts w:ascii="Times New Roman" w:hAnsi="Times New Roman"/>
                <w:sz w:val="24"/>
                <w:szCs w:val="24"/>
                <w:lang w:val="en-GB"/>
              </w:rPr>
              <w:t xml:space="preserve"> the</w:t>
            </w:r>
            <w:r w:rsidR="5BD4AFC7" w:rsidRPr="00FC01BA">
              <w:rPr>
                <w:rFonts w:ascii="Times New Roman" w:hAnsi="Times New Roman"/>
                <w:sz w:val="24"/>
                <w:szCs w:val="24"/>
                <w:lang w:val="en-GB"/>
              </w:rPr>
              <w:t xml:space="preserve"> effective functioning of</w:t>
            </w:r>
            <w:r w:rsidR="002E0837">
              <w:rPr>
                <w:rFonts w:ascii="Times New Roman" w:hAnsi="Times New Roman"/>
                <w:sz w:val="24"/>
                <w:szCs w:val="24"/>
                <w:lang w:val="en-GB"/>
              </w:rPr>
              <w:t xml:space="preserve"> the</w:t>
            </w:r>
            <w:r w:rsidR="5BD4AFC7" w:rsidRPr="00FC01BA">
              <w:rPr>
                <w:rFonts w:ascii="Times New Roman" w:hAnsi="Times New Roman"/>
                <w:sz w:val="24"/>
                <w:szCs w:val="24"/>
                <w:lang w:val="en-GB"/>
              </w:rPr>
              <w:t xml:space="preserve"> internal market whilst </w:t>
            </w:r>
            <w:r w:rsidR="47A3C75E" w:rsidRPr="00FC01BA">
              <w:rPr>
                <w:rFonts w:ascii="Times New Roman" w:hAnsi="Times New Roman"/>
                <w:sz w:val="24"/>
                <w:szCs w:val="24"/>
                <w:lang w:val="en-GB"/>
              </w:rPr>
              <w:t xml:space="preserve">preventing </w:t>
            </w:r>
            <w:r w:rsidR="00603425" w:rsidRPr="00FC01BA">
              <w:rPr>
                <w:rFonts w:ascii="Times New Roman" w:hAnsi="Times New Roman"/>
                <w:sz w:val="24"/>
                <w:szCs w:val="24"/>
                <w:lang w:val="en-GB"/>
              </w:rPr>
              <w:t xml:space="preserve">misleading or false information that could distort consumer choices. </w:t>
            </w:r>
            <w:r w:rsidR="00DA5149" w:rsidRPr="00FC01BA">
              <w:rPr>
                <w:rFonts w:ascii="Times New Roman" w:hAnsi="Times New Roman"/>
                <w:sz w:val="24"/>
                <w:szCs w:val="24"/>
                <w:lang w:val="en-GB"/>
              </w:rPr>
              <w:t xml:space="preserve">Moreover, </w:t>
            </w:r>
            <w:r w:rsidR="002E0837">
              <w:rPr>
                <w:rFonts w:ascii="Times New Roman" w:hAnsi="Times New Roman"/>
                <w:sz w:val="24"/>
                <w:szCs w:val="24"/>
                <w:lang w:val="en-GB"/>
              </w:rPr>
              <w:t xml:space="preserve">the </w:t>
            </w:r>
            <w:r w:rsidR="00DA5149" w:rsidRPr="00FC01BA">
              <w:rPr>
                <w:rFonts w:ascii="Times New Roman" w:hAnsi="Times New Roman"/>
                <w:sz w:val="24"/>
                <w:szCs w:val="24"/>
                <w:lang w:val="en-GB"/>
              </w:rPr>
              <w:t xml:space="preserve">EU general consumer protection legislation acts as </w:t>
            </w:r>
            <w:r w:rsidR="002E0837">
              <w:rPr>
                <w:rFonts w:ascii="Times New Roman" w:hAnsi="Times New Roman"/>
                <w:sz w:val="24"/>
                <w:szCs w:val="24"/>
                <w:lang w:val="en-GB"/>
              </w:rPr>
              <w:t>a</w:t>
            </w:r>
            <w:r w:rsidR="00EB154D">
              <w:rPr>
                <w:rFonts w:ascii="Times New Roman" w:hAnsi="Times New Roman"/>
                <w:sz w:val="24"/>
                <w:szCs w:val="24"/>
                <w:lang w:val="en-GB"/>
              </w:rPr>
              <w:t> </w:t>
            </w:r>
            <w:r w:rsidR="00DA5149" w:rsidRPr="00FC01BA">
              <w:rPr>
                <w:rFonts w:ascii="Times New Roman" w:hAnsi="Times New Roman"/>
                <w:sz w:val="24"/>
                <w:szCs w:val="24"/>
                <w:lang w:val="en-GB"/>
              </w:rPr>
              <w:t xml:space="preserve">safety net </w:t>
            </w:r>
            <w:r w:rsidR="00AA68A0" w:rsidRPr="00FC01BA">
              <w:rPr>
                <w:rFonts w:ascii="Times New Roman" w:hAnsi="Times New Roman"/>
                <w:sz w:val="24"/>
                <w:szCs w:val="24"/>
                <w:lang w:val="en-GB"/>
              </w:rPr>
              <w:t xml:space="preserve">filling the gaps and </w:t>
            </w:r>
            <w:r w:rsidR="001D02FF" w:rsidRPr="00FC01BA">
              <w:rPr>
                <w:rFonts w:ascii="Times New Roman" w:hAnsi="Times New Roman"/>
                <w:sz w:val="24"/>
                <w:szCs w:val="24"/>
                <w:lang w:val="en-GB"/>
              </w:rPr>
              <w:t xml:space="preserve">complementing </w:t>
            </w:r>
            <w:r w:rsidR="00471D1D" w:rsidRPr="00FC01BA">
              <w:rPr>
                <w:rFonts w:ascii="Times New Roman" w:hAnsi="Times New Roman"/>
                <w:sz w:val="24"/>
                <w:szCs w:val="24"/>
                <w:lang w:val="en-GB"/>
              </w:rPr>
              <w:t xml:space="preserve">EU sectorial legislation on food information and marketing. </w:t>
            </w:r>
            <w:r w:rsidR="00641D1F" w:rsidRPr="00FC01BA">
              <w:rPr>
                <w:rFonts w:ascii="Times New Roman" w:hAnsi="Times New Roman"/>
                <w:sz w:val="24"/>
                <w:szCs w:val="24"/>
                <w:lang w:val="en-GB"/>
              </w:rPr>
              <w:t xml:space="preserve">Thus, the </w:t>
            </w:r>
            <w:r w:rsidRPr="00FC01BA">
              <w:rPr>
                <w:rFonts w:ascii="Times New Roman" w:hAnsi="Times New Roman"/>
                <w:sz w:val="24"/>
                <w:szCs w:val="24"/>
                <w:lang w:val="en-GB"/>
              </w:rPr>
              <w:t>Unfair Commercial Practices Directive</w:t>
            </w:r>
            <w:r w:rsidR="00FC01BA" w:rsidRPr="00FC01BA">
              <w:rPr>
                <w:rStyle w:val="FootnoteReference"/>
                <w:rFonts w:ascii="Times New Roman" w:hAnsi="Times New Roman"/>
                <w:sz w:val="24"/>
                <w:szCs w:val="24"/>
                <w:lang w:val="en-GB"/>
              </w:rPr>
              <w:footnoteReference w:id="32"/>
            </w:r>
            <w:r w:rsidR="00484321">
              <w:rPr>
                <w:rFonts w:ascii="Times New Roman" w:hAnsi="Times New Roman"/>
                <w:sz w:val="24"/>
                <w:szCs w:val="24"/>
                <w:lang w:val="en-GB"/>
              </w:rPr>
              <w:t xml:space="preserve"> </w:t>
            </w:r>
            <w:r w:rsidRPr="00FC01BA">
              <w:rPr>
                <w:rFonts w:ascii="Times New Roman" w:hAnsi="Times New Roman"/>
                <w:sz w:val="24"/>
                <w:szCs w:val="24"/>
                <w:lang w:val="en-GB"/>
              </w:rPr>
              <w:t xml:space="preserve">prohibits false or deceptive </w:t>
            </w:r>
            <w:r w:rsidR="007B3080" w:rsidRPr="00FC01BA">
              <w:rPr>
                <w:rFonts w:ascii="Times New Roman" w:hAnsi="Times New Roman"/>
                <w:sz w:val="24"/>
                <w:szCs w:val="24"/>
                <w:lang w:val="en-GB"/>
              </w:rPr>
              <w:t xml:space="preserve">commercial </w:t>
            </w:r>
            <w:r w:rsidRPr="00FC01BA">
              <w:rPr>
                <w:rFonts w:ascii="Times New Roman" w:hAnsi="Times New Roman"/>
                <w:sz w:val="24"/>
                <w:szCs w:val="24"/>
                <w:lang w:val="en-GB"/>
              </w:rPr>
              <w:t xml:space="preserve">claims, omission of </w:t>
            </w:r>
            <w:r w:rsidR="009246FB" w:rsidRPr="00FC01BA">
              <w:rPr>
                <w:rFonts w:ascii="Times New Roman" w:hAnsi="Times New Roman"/>
                <w:sz w:val="24"/>
                <w:szCs w:val="24"/>
                <w:lang w:val="en-GB"/>
              </w:rPr>
              <w:t>material</w:t>
            </w:r>
            <w:r w:rsidRPr="00FC01BA">
              <w:rPr>
                <w:rFonts w:ascii="Times New Roman" w:hAnsi="Times New Roman"/>
                <w:sz w:val="24"/>
                <w:szCs w:val="24"/>
                <w:lang w:val="en-GB"/>
              </w:rPr>
              <w:t xml:space="preserve"> information</w:t>
            </w:r>
            <w:r w:rsidR="009246FB" w:rsidRPr="00FC01BA">
              <w:rPr>
                <w:rFonts w:ascii="Times New Roman" w:hAnsi="Times New Roman"/>
                <w:sz w:val="24"/>
                <w:szCs w:val="24"/>
                <w:lang w:val="en-GB"/>
              </w:rPr>
              <w:t xml:space="preserve"> and aggressive commercial practices </w:t>
            </w:r>
            <w:r w:rsidR="003F1F21" w:rsidRPr="00FC01BA">
              <w:rPr>
                <w:rFonts w:ascii="Times New Roman" w:hAnsi="Times New Roman"/>
                <w:sz w:val="24"/>
                <w:szCs w:val="24"/>
                <w:lang w:val="en-GB"/>
              </w:rPr>
              <w:t>affecting consumers’ economic behaviour</w:t>
            </w:r>
            <w:r w:rsidRPr="00FC01BA">
              <w:rPr>
                <w:rFonts w:ascii="Times New Roman" w:hAnsi="Times New Roman"/>
                <w:sz w:val="24"/>
                <w:szCs w:val="24"/>
                <w:lang w:val="en-GB"/>
              </w:rPr>
              <w:t>.</w:t>
            </w:r>
          </w:p>
          <w:p w14:paraId="3AC2530F" w14:textId="1AD27DCC" w:rsidR="000344F9" w:rsidRPr="00FC01BA" w:rsidRDefault="007156CD" w:rsidP="00D4793C">
            <w:pPr>
              <w:widowControl w:val="0"/>
              <w:spacing w:before="120" w:after="120"/>
              <w:jc w:val="both"/>
              <w:rPr>
                <w:rFonts w:ascii="Times New Roman" w:hAnsi="Times New Roman"/>
                <w:b/>
                <w:bCs/>
                <w:sz w:val="24"/>
                <w:szCs w:val="24"/>
                <w:lang w:val="en-GB"/>
              </w:rPr>
            </w:pPr>
            <w:r w:rsidRPr="00FC01BA">
              <w:rPr>
                <w:rFonts w:ascii="Times New Roman" w:hAnsi="Times New Roman"/>
                <w:b/>
                <w:bCs/>
                <w:sz w:val="24"/>
                <w:szCs w:val="24"/>
                <w:lang w:val="en-GB"/>
              </w:rPr>
              <w:t>Point</w:t>
            </w:r>
            <w:r w:rsidR="00265BDA" w:rsidRPr="00FC01BA">
              <w:rPr>
                <w:rFonts w:ascii="Times New Roman" w:hAnsi="Times New Roman"/>
                <w:b/>
                <w:bCs/>
                <w:sz w:val="24"/>
                <w:szCs w:val="24"/>
                <w:lang w:val="en-GB"/>
              </w:rPr>
              <w:t>s</w:t>
            </w:r>
            <w:r w:rsidRPr="00FC01BA">
              <w:rPr>
                <w:rFonts w:ascii="Times New Roman" w:hAnsi="Times New Roman"/>
                <w:b/>
                <w:bCs/>
                <w:sz w:val="24"/>
                <w:szCs w:val="24"/>
                <w:lang w:val="en-GB"/>
              </w:rPr>
              <w:t xml:space="preserve"> </w:t>
            </w:r>
            <w:r w:rsidR="00916486" w:rsidRPr="00FC01BA">
              <w:rPr>
                <w:rFonts w:ascii="Times New Roman" w:hAnsi="Times New Roman"/>
                <w:b/>
                <w:bCs/>
                <w:sz w:val="24"/>
                <w:szCs w:val="24"/>
                <w:lang w:val="en-GB"/>
              </w:rPr>
              <w:t xml:space="preserve">3.4, </w:t>
            </w:r>
            <w:r w:rsidR="00D63458" w:rsidRPr="00FC01BA">
              <w:rPr>
                <w:rFonts w:ascii="Times New Roman" w:hAnsi="Times New Roman"/>
                <w:b/>
                <w:bCs/>
                <w:sz w:val="24"/>
                <w:szCs w:val="24"/>
                <w:lang w:val="en-GB"/>
              </w:rPr>
              <w:t xml:space="preserve">4.6, </w:t>
            </w:r>
            <w:r w:rsidR="00412DB1" w:rsidRPr="00FC01BA">
              <w:rPr>
                <w:rFonts w:ascii="Times New Roman" w:hAnsi="Times New Roman"/>
                <w:b/>
                <w:bCs/>
                <w:sz w:val="24"/>
                <w:szCs w:val="24"/>
                <w:lang w:val="en-GB"/>
              </w:rPr>
              <w:t xml:space="preserve">5.2, </w:t>
            </w:r>
            <w:r w:rsidR="00877286" w:rsidRPr="00FC01BA">
              <w:rPr>
                <w:rFonts w:ascii="Times New Roman" w:hAnsi="Times New Roman"/>
                <w:b/>
                <w:bCs/>
                <w:sz w:val="24"/>
                <w:szCs w:val="24"/>
                <w:lang w:val="en-GB"/>
              </w:rPr>
              <w:t xml:space="preserve">6.1, </w:t>
            </w:r>
            <w:r w:rsidR="00070D64" w:rsidRPr="00FC01BA">
              <w:rPr>
                <w:rFonts w:ascii="Times New Roman" w:hAnsi="Times New Roman"/>
                <w:b/>
                <w:bCs/>
                <w:sz w:val="24"/>
                <w:szCs w:val="24"/>
                <w:lang w:val="en-GB"/>
              </w:rPr>
              <w:t xml:space="preserve">6.2, </w:t>
            </w:r>
            <w:r w:rsidRPr="00FC01BA">
              <w:rPr>
                <w:rFonts w:ascii="Times New Roman" w:hAnsi="Times New Roman"/>
                <w:b/>
                <w:bCs/>
                <w:sz w:val="24"/>
                <w:szCs w:val="24"/>
                <w:lang w:val="en-GB"/>
              </w:rPr>
              <w:t>6.4</w:t>
            </w:r>
            <w:r w:rsidR="00CC44BF" w:rsidRPr="00FC01BA">
              <w:rPr>
                <w:rFonts w:ascii="Times New Roman" w:hAnsi="Times New Roman"/>
                <w:b/>
                <w:bCs/>
                <w:sz w:val="24"/>
                <w:szCs w:val="24"/>
                <w:lang w:val="en-GB"/>
              </w:rPr>
              <w:t>, 6.5</w:t>
            </w:r>
            <w:r w:rsidR="00A83030" w:rsidRPr="00FC01BA">
              <w:rPr>
                <w:rFonts w:ascii="Times New Roman" w:hAnsi="Times New Roman"/>
                <w:b/>
                <w:bCs/>
                <w:sz w:val="24"/>
                <w:szCs w:val="24"/>
                <w:lang w:val="en-GB"/>
              </w:rPr>
              <w:t xml:space="preserve"> and 6.6</w:t>
            </w:r>
            <w:r w:rsidR="00265BDA" w:rsidRPr="00FC01BA">
              <w:rPr>
                <w:rFonts w:ascii="Times New Roman" w:hAnsi="Times New Roman"/>
                <w:b/>
                <w:bCs/>
                <w:sz w:val="24"/>
                <w:szCs w:val="24"/>
                <w:lang w:val="en-GB"/>
              </w:rPr>
              <w:t>:</w:t>
            </w:r>
          </w:p>
          <w:p w14:paraId="062FC311" w14:textId="0B72B9E2" w:rsidR="005033E2" w:rsidRPr="00FC01BA" w:rsidRDefault="55B02126" w:rsidP="00D4793C">
            <w:pPr>
              <w:widowControl w:val="0"/>
              <w:spacing w:before="120" w:after="120"/>
              <w:jc w:val="both"/>
              <w:rPr>
                <w:rFonts w:ascii="Times New Roman" w:eastAsia="Times New Roman" w:hAnsi="Times New Roman"/>
                <w:sz w:val="24"/>
                <w:szCs w:val="24"/>
                <w:lang w:val="en-GB"/>
              </w:rPr>
            </w:pPr>
            <w:r w:rsidRPr="00FC01BA">
              <w:rPr>
                <w:rFonts w:ascii="Times New Roman" w:hAnsi="Times New Roman"/>
                <w:sz w:val="24"/>
                <w:szCs w:val="24"/>
                <w:lang w:val="en-GB"/>
              </w:rPr>
              <w:t xml:space="preserve">As stated </w:t>
            </w:r>
            <w:r w:rsidR="00296214" w:rsidRPr="00FC01BA">
              <w:rPr>
                <w:rFonts w:ascii="Times New Roman" w:hAnsi="Times New Roman"/>
                <w:sz w:val="24"/>
                <w:szCs w:val="24"/>
                <w:lang w:val="en-GB"/>
              </w:rPr>
              <w:t>i</w:t>
            </w:r>
            <w:r w:rsidRPr="00FC01BA">
              <w:rPr>
                <w:rFonts w:ascii="Times New Roman" w:hAnsi="Times New Roman"/>
                <w:sz w:val="24"/>
                <w:szCs w:val="24"/>
                <w:lang w:val="en-GB"/>
              </w:rPr>
              <w:t>n</w:t>
            </w:r>
            <w:r w:rsidR="005033E2" w:rsidRPr="00FC01BA">
              <w:rPr>
                <w:rFonts w:ascii="Times New Roman" w:hAnsi="Times New Roman"/>
                <w:sz w:val="24"/>
                <w:szCs w:val="24"/>
                <w:lang w:val="en-GB"/>
              </w:rPr>
              <w:t xml:space="preserve"> </w:t>
            </w:r>
            <w:r w:rsidR="160D2C4A" w:rsidRPr="00FC01BA">
              <w:rPr>
                <w:rFonts w:ascii="Times New Roman" w:hAnsi="Times New Roman"/>
                <w:sz w:val="24"/>
                <w:szCs w:val="24"/>
                <w:lang w:val="en-GB"/>
              </w:rPr>
              <w:t>President von der Leyen</w:t>
            </w:r>
            <w:r w:rsidR="1BF6D52B" w:rsidRPr="00FC01BA" w:rsidDel="00255053">
              <w:rPr>
                <w:rFonts w:ascii="Times New Roman" w:hAnsi="Times New Roman"/>
                <w:sz w:val="24"/>
                <w:szCs w:val="24"/>
                <w:lang w:val="en-GB"/>
              </w:rPr>
              <w:t>’s political guidelines</w:t>
            </w:r>
            <w:r w:rsidR="005033E2" w:rsidRPr="00FC01BA">
              <w:rPr>
                <w:rFonts w:ascii="Times New Roman" w:hAnsi="Times New Roman"/>
                <w:sz w:val="24"/>
                <w:szCs w:val="24"/>
                <w:vertAlign w:val="superscript"/>
                <w:lang w:val="en-GB"/>
              </w:rPr>
              <w:footnoteReference w:id="33"/>
            </w:r>
            <w:r w:rsidR="5F562317" w:rsidRPr="00FC01BA">
              <w:rPr>
                <w:rFonts w:ascii="Times New Roman" w:hAnsi="Times New Roman"/>
                <w:sz w:val="24"/>
                <w:szCs w:val="24"/>
                <w:lang w:val="en-GB"/>
              </w:rPr>
              <w:t xml:space="preserve">, </w:t>
            </w:r>
            <w:r w:rsidR="005033E2" w:rsidRPr="00FC01BA">
              <w:rPr>
                <w:rFonts w:ascii="Times New Roman" w:hAnsi="Times New Roman"/>
                <w:sz w:val="24"/>
                <w:szCs w:val="24"/>
                <w:lang w:val="en-GB"/>
              </w:rPr>
              <w:t>preventive health</w:t>
            </w:r>
            <w:r w:rsidR="1924A7B3" w:rsidRPr="00FC01BA">
              <w:rPr>
                <w:rFonts w:ascii="Times New Roman" w:hAnsi="Times New Roman"/>
                <w:sz w:val="24"/>
                <w:szCs w:val="24"/>
                <w:lang w:val="en-GB"/>
              </w:rPr>
              <w:t xml:space="preserve"> is </w:t>
            </w:r>
            <w:r w:rsidR="004A1B1B" w:rsidRPr="00FC01BA">
              <w:rPr>
                <w:rFonts w:ascii="Times New Roman" w:hAnsi="Times New Roman"/>
                <w:sz w:val="24"/>
                <w:szCs w:val="24"/>
                <w:lang w:val="en-GB"/>
              </w:rPr>
              <w:t>a k</w:t>
            </w:r>
            <w:r w:rsidR="1924A7B3" w:rsidRPr="00FC01BA">
              <w:rPr>
                <w:rFonts w:ascii="Times New Roman" w:hAnsi="Times New Roman"/>
                <w:sz w:val="24"/>
                <w:szCs w:val="24"/>
                <w:lang w:val="en-GB"/>
              </w:rPr>
              <w:t>ey</w:t>
            </w:r>
            <w:r w:rsidR="004A1B1B" w:rsidRPr="00FC01BA">
              <w:rPr>
                <w:rFonts w:ascii="Times New Roman" w:hAnsi="Times New Roman"/>
                <w:sz w:val="24"/>
                <w:szCs w:val="24"/>
                <w:lang w:val="en-GB"/>
              </w:rPr>
              <w:t xml:space="preserve"> health</w:t>
            </w:r>
            <w:r w:rsidR="1924A7B3" w:rsidRPr="00FC01BA">
              <w:rPr>
                <w:rFonts w:ascii="Times New Roman" w:hAnsi="Times New Roman"/>
                <w:sz w:val="24"/>
                <w:szCs w:val="24"/>
                <w:lang w:val="en-GB"/>
              </w:rPr>
              <w:t xml:space="preserve"> priorit</w:t>
            </w:r>
            <w:r w:rsidR="004A1B1B" w:rsidRPr="00FC01BA">
              <w:rPr>
                <w:rFonts w:ascii="Times New Roman" w:hAnsi="Times New Roman"/>
                <w:sz w:val="24"/>
                <w:szCs w:val="24"/>
                <w:lang w:val="en-GB"/>
              </w:rPr>
              <w:t>y</w:t>
            </w:r>
            <w:r w:rsidR="1924A7B3" w:rsidRPr="00FC01BA">
              <w:rPr>
                <w:rFonts w:ascii="Times New Roman" w:hAnsi="Times New Roman"/>
                <w:sz w:val="24"/>
                <w:szCs w:val="24"/>
                <w:lang w:val="en-GB"/>
              </w:rPr>
              <w:t xml:space="preserve"> for the Commission</w:t>
            </w:r>
            <w:r w:rsidR="005033E2" w:rsidRPr="00FC01BA">
              <w:rPr>
                <w:rFonts w:ascii="Times New Roman" w:hAnsi="Times New Roman"/>
                <w:sz w:val="24"/>
                <w:szCs w:val="24"/>
                <w:lang w:val="en-GB"/>
              </w:rPr>
              <w:t>. Th</w:t>
            </w:r>
            <w:r w:rsidR="007971AD" w:rsidRPr="00FC01BA">
              <w:rPr>
                <w:rFonts w:ascii="Times New Roman" w:hAnsi="Times New Roman"/>
                <w:sz w:val="24"/>
                <w:szCs w:val="24"/>
                <w:lang w:val="en-GB"/>
              </w:rPr>
              <w:t>rough th</w:t>
            </w:r>
            <w:r w:rsidR="005033E2" w:rsidRPr="00FC01BA">
              <w:rPr>
                <w:rFonts w:ascii="Times New Roman" w:hAnsi="Times New Roman"/>
                <w:sz w:val="24"/>
                <w:szCs w:val="24"/>
                <w:lang w:val="en-GB"/>
              </w:rPr>
              <w:t>e ‘Healthier Together’ initiative</w:t>
            </w:r>
            <w:r w:rsidR="005033E2" w:rsidRPr="00FC01BA">
              <w:rPr>
                <w:rFonts w:ascii="Times New Roman" w:hAnsi="Times New Roman"/>
                <w:sz w:val="24"/>
                <w:szCs w:val="24"/>
                <w:vertAlign w:val="superscript"/>
                <w:lang w:val="en-GB"/>
              </w:rPr>
              <w:footnoteReference w:id="34"/>
            </w:r>
            <w:r w:rsidR="007971AD" w:rsidRPr="00FC01BA">
              <w:rPr>
                <w:rFonts w:ascii="Times New Roman" w:hAnsi="Times New Roman"/>
                <w:sz w:val="24"/>
                <w:szCs w:val="24"/>
                <w:lang w:val="en-GB"/>
              </w:rPr>
              <w:t xml:space="preserve"> the Commission </w:t>
            </w:r>
            <w:r w:rsidR="005033E2" w:rsidRPr="00FC01BA">
              <w:rPr>
                <w:rFonts w:ascii="Times New Roman" w:hAnsi="Times New Roman"/>
                <w:sz w:val="24"/>
                <w:szCs w:val="24"/>
                <w:lang w:val="en-GB"/>
              </w:rPr>
              <w:t>support</w:t>
            </w:r>
            <w:r w:rsidR="007971AD" w:rsidRPr="00FC01BA">
              <w:rPr>
                <w:rFonts w:ascii="Times New Roman" w:hAnsi="Times New Roman"/>
                <w:sz w:val="24"/>
                <w:szCs w:val="24"/>
                <w:lang w:val="en-GB"/>
              </w:rPr>
              <w:t>s</w:t>
            </w:r>
            <w:r w:rsidR="005033E2" w:rsidRPr="00FC01BA">
              <w:rPr>
                <w:rFonts w:ascii="Times New Roman" w:hAnsi="Times New Roman"/>
                <w:sz w:val="24"/>
                <w:szCs w:val="24"/>
                <w:lang w:val="en-GB"/>
              </w:rPr>
              <w:t xml:space="preserve"> Member States in addressing </w:t>
            </w:r>
            <w:r w:rsidR="008547D9" w:rsidRPr="00FC01BA">
              <w:rPr>
                <w:rFonts w:ascii="Times New Roman" w:hAnsi="Times New Roman"/>
                <w:sz w:val="24"/>
                <w:szCs w:val="24"/>
                <w:lang w:val="en-GB"/>
              </w:rPr>
              <w:t>the key public health challenges</w:t>
            </w:r>
            <w:r w:rsidR="005033E2" w:rsidRPr="00FC01BA">
              <w:rPr>
                <w:rFonts w:ascii="Times New Roman" w:hAnsi="Times New Roman"/>
                <w:sz w:val="24"/>
                <w:szCs w:val="24"/>
                <w:lang w:val="en-GB"/>
              </w:rPr>
              <w:t>, such as cardiovascular diseases</w:t>
            </w:r>
            <w:r w:rsidR="00D867BC">
              <w:rPr>
                <w:rFonts w:ascii="Times New Roman" w:hAnsi="Times New Roman"/>
                <w:sz w:val="24"/>
                <w:szCs w:val="24"/>
                <w:lang w:val="en-GB"/>
              </w:rPr>
              <w:t xml:space="preserve">, obesity and </w:t>
            </w:r>
            <w:r w:rsidR="00AE4CE4" w:rsidRPr="00FC01BA">
              <w:rPr>
                <w:rFonts w:ascii="Times New Roman" w:hAnsi="Times New Roman"/>
                <w:sz w:val="24"/>
                <w:szCs w:val="24"/>
                <w:lang w:val="en-GB"/>
              </w:rPr>
              <w:t>diabetes</w:t>
            </w:r>
            <w:r w:rsidR="005033E2" w:rsidRPr="00FC01BA">
              <w:rPr>
                <w:rFonts w:ascii="Times New Roman" w:hAnsi="Times New Roman"/>
                <w:sz w:val="24"/>
                <w:szCs w:val="24"/>
                <w:lang w:val="en-GB"/>
              </w:rPr>
              <w:t>. The Commission</w:t>
            </w:r>
            <w:r w:rsidR="00C96E5B">
              <w:rPr>
                <w:rFonts w:ascii="Times New Roman" w:hAnsi="Times New Roman"/>
                <w:sz w:val="24"/>
                <w:szCs w:val="24"/>
                <w:lang w:val="en-GB"/>
              </w:rPr>
              <w:t xml:space="preserve"> presented the </w:t>
            </w:r>
            <w:r w:rsidR="005033E2" w:rsidRPr="00FC01BA">
              <w:rPr>
                <w:rFonts w:ascii="Times New Roman" w:hAnsi="Times New Roman"/>
                <w:sz w:val="24"/>
                <w:szCs w:val="24"/>
                <w:lang w:val="en-GB"/>
              </w:rPr>
              <w:t>E</w:t>
            </w:r>
            <w:r w:rsidR="007971AD" w:rsidRPr="00FC01BA">
              <w:rPr>
                <w:rFonts w:ascii="Times New Roman" w:hAnsi="Times New Roman"/>
                <w:sz w:val="24"/>
                <w:szCs w:val="24"/>
                <w:lang w:val="en-GB"/>
              </w:rPr>
              <w:t>U</w:t>
            </w:r>
            <w:r w:rsidR="00C96E5B">
              <w:rPr>
                <w:rFonts w:ascii="Times New Roman" w:hAnsi="Times New Roman"/>
                <w:sz w:val="24"/>
                <w:szCs w:val="24"/>
                <w:lang w:val="en-GB"/>
              </w:rPr>
              <w:t>’s first-ever</w:t>
            </w:r>
            <w:r w:rsidR="007971AD" w:rsidRPr="00FC01BA">
              <w:rPr>
                <w:rFonts w:ascii="Times New Roman" w:hAnsi="Times New Roman"/>
                <w:sz w:val="24"/>
                <w:szCs w:val="24"/>
                <w:lang w:val="en-GB"/>
              </w:rPr>
              <w:t xml:space="preserve"> c</w:t>
            </w:r>
            <w:r w:rsidR="005033E2" w:rsidRPr="00FC01BA">
              <w:rPr>
                <w:rFonts w:ascii="Times New Roman" w:hAnsi="Times New Roman"/>
                <w:sz w:val="24"/>
                <w:szCs w:val="24"/>
                <w:lang w:val="en-GB"/>
              </w:rPr>
              <w:t xml:space="preserve">ardiovascular </w:t>
            </w:r>
            <w:r w:rsidR="007971AD" w:rsidRPr="00FC01BA">
              <w:rPr>
                <w:rFonts w:ascii="Times New Roman" w:hAnsi="Times New Roman"/>
                <w:sz w:val="24"/>
                <w:szCs w:val="24"/>
                <w:lang w:val="en-GB"/>
              </w:rPr>
              <w:t>h</w:t>
            </w:r>
            <w:r w:rsidR="005033E2" w:rsidRPr="00FC01BA">
              <w:rPr>
                <w:rFonts w:ascii="Times New Roman" w:hAnsi="Times New Roman"/>
                <w:sz w:val="24"/>
                <w:szCs w:val="24"/>
                <w:lang w:val="en-GB"/>
              </w:rPr>
              <w:t xml:space="preserve">ealth </w:t>
            </w:r>
            <w:r w:rsidR="007971AD" w:rsidRPr="00FC01BA">
              <w:rPr>
                <w:rFonts w:ascii="Times New Roman" w:hAnsi="Times New Roman"/>
                <w:sz w:val="24"/>
                <w:szCs w:val="24"/>
                <w:lang w:val="en-GB"/>
              </w:rPr>
              <w:t>p</w:t>
            </w:r>
            <w:r w:rsidR="005033E2" w:rsidRPr="00FC01BA">
              <w:rPr>
                <w:rFonts w:ascii="Times New Roman" w:hAnsi="Times New Roman"/>
                <w:sz w:val="24"/>
                <w:szCs w:val="24"/>
                <w:lang w:val="en-GB"/>
              </w:rPr>
              <w:t>lan</w:t>
            </w:r>
            <w:r w:rsidR="00C96E5B">
              <w:rPr>
                <w:rFonts w:ascii="Times New Roman" w:hAnsi="Times New Roman"/>
                <w:sz w:val="24"/>
                <w:szCs w:val="24"/>
                <w:lang w:val="en-GB"/>
              </w:rPr>
              <w:t>, the Safe Hearts Plan,</w:t>
            </w:r>
            <w:r w:rsidR="005033E2" w:rsidRPr="00FC01BA">
              <w:rPr>
                <w:rFonts w:ascii="Times New Roman" w:hAnsi="Times New Roman"/>
                <w:sz w:val="24"/>
                <w:szCs w:val="24"/>
                <w:lang w:val="en-GB"/>
              </w:rPr>
              <w:t xml:space="preserve"> </w:t>
            </w:r>
            <w:r w:rsidR="00C96E5B">
              <w:rPr>
                <w:rFonts w:ascii="Times New Roman" w:hAnsi="Times New Roman"/>
                <w:sz w:val="24"/>
                <w:szCs w:val="24"/>
                <w:lang w:val="en-GB"/>
              </w:rPr>
              <w:t>with a strong focus on</w:t>
            </w:r>
            <w:r w:rsidR="00AE4CE4" w:rsidRPr="00FC01BA">
              <w:rPr>
                <w:rFonts w:ascii="Times New Roman" w:hAnsi="Times New Roman"/>
                <w:sz w:val="24"/>
                <w:szCs w:val="24"/>
                <w:lang w:val="en-GB"/>
              </w:rPr>
              <w:t xml:space="preserve"> </w:t>
            </w:r>
            <w:r w:rsidR="005033E2" w:rsidRPr="00FC01BA">
              <w:rPr>
                <w:rFonts w:ascii="Times New Roman" w:hAnsi="Times New Roman"/>
                <w:sz w:val="24"/>
                <w:szCs w:val="24"/>
                <w:lang w:val="en-GB"/>
              </w:rPr>
              <w:t>prevention</w:t>
            </w:r>
            <w:r w:rsidR="008547D9" w:rsidRPr="00FC01BA">
              <w:rPr>
                <w:rFonts w:ascii="Times New Roman" w:hAnsi="Times New Roman"/>
                <w:sz w:val="24"/>
                <w:szCs w:val="24"/>
                <w:lang w:val="en-GB"/>
              </w:rPr>
              <w:t>,</w:t>
            </w:r>
            <w:r w:rsidR="005033E2" w:rsidRPr="00FC01BA">
              <w:rPr>
                <w:rFonts w:ascii="Times New Roman" w:hAnsi="Times New Roman"/>
                <w:sz w:val="24"/>
                <w:szCs w:val="24"/>
                <w:lang w:val="en-GB"/>
              </w:rPr>
              <w:t xml:space="preserve"> </w:t>
            </w:r>
            <w:r w:rsidR="008547D9" w:rsidRPr="00FC01BA">
              <w:rPr>
                <w:rFonts w:ascii="Times New Roman" w:hAnsi="Times New Roman"/>
                <w:sz w:val="24"/>
                <w:szCs w:val="24"/>
                <w:lang w:val="en-GB"/>
              </w:rPr>
              <w:t xml:space="preserve">through impactful actions to </w:t>
            </w:r>
            <w:r w:rsidR="008C2CC5" w:rsidRPr="00FC01BA">
              <w:rPr>
                <w:rFonts w:ascii="Times New Roman" w:hAnsi="Times New Roman"/>
                <w:sz w:val="24"/>
                <w:szCs w:val="24"/>
                <w:lang w:val="en-GB"/>
              </w:rPr>
              <w:t>address challenges related to inadequate</w:t>
            </w:r>
            <w:r w:rsidR="008547D9" w:rsidRPr="00FC01BA">
              <w:rPr>
                <w:rFonts w:ascii="Times New Roman" w:hAnsi="Times New Roman"/>
                <w:sz w:val="24"/>
                <w:szCs w:val="24"/>
                <w:lang w:val="en-GB"/>
              </w:rPr>
              <w:t xml:space="preserve"> nutrition </w:t>
            </w:r>
            <w:r w:rsidR="00AE4CE4" w:rsidRPr="00FC01BA">
              <w:rPr>
                <w:rFonts w:ascii="Times New Roman" w:hAnsi="Times New Roman"/>
                <w:sz w:val="24"/>
                <w:szCs w:val="24"/>
                <w:lang w:val="en-GB"/>
              </w:rPr>
              <w:t xml:space="preserve">and </w:t>
            </w:r>
            <w:r w:rsidR="008C2CC5" w:rsidRPr="00FC01BA">
              <w:rPr>
                <w:rFonts w:ascii="Times New Roman" w:hAnsi="Times New Roman"/>
                <w:sz w:val="24"/>
                <w:szCs w:val="24"/>
                <w:lang w:val="en-GB"/>
              </w:rPr>
              <w:t xml:space="preserve">lack of </w:t>
            </w:r>
            <w:r w:rsidR="00AE4CE4" w:rsidRPr="00FC01BA">
              <w:rPr>
                <w:rFonts w:ascii="Times New Roman" w:hAnsi="Times New Roman"/>
                <w:sz w:val="24"/>
                <w:szCs w:val="24"/>
                <w:lang w:val="en-GB"/>
              </w:rPr>
              <w:t>physical activity</w:t>
            </w:r>
            <w:r w:rsidR="005033E2" w:rsidRPr="00FC01BA">
              <w:rPr>
                <w:rFonts w:ascii="Times New Roman" w:hAnsi="Times New Roman"/>
                <w:sz w:val="24"/>
                <w:szCs w:val="24"/>
                <w:lang w:val="en-GB"/>
              </w:rPr>
              <w:t xml:space="preserve">. </w:t>
            </w:r>
            <w:r w:rsidR="008C2CC5" w:rsidRPr="00FC01BA">
              <w:rPr>
                <w:rFonts w:ascii="Times New Roman" w:hAnsi="Times New Roman"/>
                <w:sz w:val="24"/>
                <w:szCs w:val="24"/>
                <w:lang w:val="en-GB"/>
              </w:rPr>
              <w:t xml:space="preserve">Actions </w:t>
            </w:r>
            <w:r w:rsidR="005033E2" w:rsidRPr="00FC01BA">
              <w:rPr>
                <w:rFonts w:ascii="Times New Roman" w:hAnsi="Times New Roman"/>
                <w:sz w:val="24"/>
                <w:szCs w:val="24"/>
                <w:lang w:val="en-GB"/>
              </w:rPr>
              <w:t xml:space="preserve">will build on ongoing work funded via the EU4Health </w:t>
            </w:r>
            <w:r w:rsidR="509F6C44" w:rsidRPr="00FC01BA">
              <w:rPr>
                <w:rFonts w:ascii="Times New Roman" w:hAnsi="Times New Roman"/>
                <w:sz w:val="24"/>
                <w:szCs w:val="24"/>
                <w:lang w:val="en-GB"/>
              </w:rPr>
              <w:t>P</w:t>
            </w:r>
            <w:r w:rsidR="005033E2" w:rsidRPr="00FC01BA">
              <w:rPr>
                <w:rFonts w:ascii="Times New Roman" w:hAnsi="Times New Roman"/>
                <w:sz w:val="24"/>
                <w:szCs w:val="24"/>
                <w:lang w:val="en-GB"/>
              </w:rPr>
              <w:t>rogramme</w:t>
            </w:r>
            <w:r w:rsidR="005033E2" w:rsidRPr="00FC01BA">
              <w:rPr>
                <w:rFonts w:ascii="Times New Roman" w:hAnsi="Times New Roman"/>
                <w:sz w:val="24"/>
                <w:szCs w:val="24"/>
                <w:vertAlign w:val="superscript"/>
                <w:lang w:val="en-GB"/>
              </w:rPr>
              <w:footnoteReference w:id="35"/>
            </w:r>
            <w:r w:rsidR="005033E2" w:rsidRPr="00FC01BA">
              <w:rPr>
                <w:rFonts w:ascii="Times New Roman" w:hAnsi="Times New Roman"/>
                <w:sz w:val="24"/>
                <w:szCs w:val="24"/>
                <w:lang w:val="en-GB"/>
              </w:rPr>
              <w:t xml:space="preserve">, such as the joint actions JACARDI </w:t>
            </w:r>
            <w:r w:rsidR="004005A7" w:rsidRPr="00FC01BA">
              <w:rPr>
                <w:rFonts w:ascii="Times New Roman" w:hAnsi="Times New Roman"/>
                <w:sz w:val="24"/>
                <w:szCs w:val="24"/>
                <w:lang w:val="en-GB"/>
              </w:rPr>
              <w:t xml:space="preserve">and </w:t>
            </w:r>
            <w:proofErr w:type="spellStart"/>
            <w:r w:rsidR="005033E2" w:rsidRPr="00FC01BA">
              <w:rPr>
                <w:rFonts w:ascii="Times New Roman" w:hAnsi="Times New Roman"/>
                <w:sz w:val="24"/>
                <w:szCs w:val="24"/>
                <w:lang w:val="en-GB"/>
              </w:rPr>
              <w:t>PreventNCD</w:t>
            </w:r>
            <w:proofErr w:type="spellEnd"/>
            <w:r w:rsidR="005033E2" w:rsidRPr="00FC01BA">
              <w:rPr>
                <w:rFonts w:ascii="Times New Roman" w:hAnsi="Times New Roman"/>
                <w:sz w:val="24"/>
                <w:szCs w:val="24"/>
                <w:lang w:val="en-GB"/>
              </w:rPr>
              <w:t xml:space="preserve"> on risk </w:t>
            </w:r>
            <w:r w:rsidR="00093E73" w:rsidRPr="00FC01BA">
              <w:rPr>
                <w:rFonts w:ascii="Times New Roman" w:hAnsi="Times New Roman"/>
                <w:sz w:val="24"/>
                <w:szCs w:val="24"/>
                <w:lang w:val="en-GB"/>
              </w:rPr>
              <w:t>factors, and</w:t>
            </w:r>
            <w:r w:rsidR="006E341D" w:rsidRPr="00FC01BA">
              <w:rPr>
                <w:rFonts w:ascii="Times New Roman" w:hAnsi="Times New Roman"/>
                <w:sz w:val="24"/>
                <w:szCs w:val="24"/>
                <w:lang w:val="en-GB"/>
              </w:rPr>
              <w:t xml:space="preserve"> the Health4EUKids</w:t>
            </w:r>
            <w:r w:rsidR="006E341D" w:rsidRPr="00FC01BA">
              <w:rPr>
                <w:rFonts w:ascii="Times New Roman" w:hAnsi="Times New Roman"/>
                <w:sz w:val="24"/>
                <w:szCs w:val="24"/>
                <w:vertAlign w:val="superscript"/>
                <w:lang w:val="en-GB"/>
              </w:rPr>
              <w:footnoteReference w:id="36"/>
            </w:r>
            <w:r w:rsidR="006E341D" w:rsidRPr="00FC01BA">
              <w:rPr>
                <w:rFonts w:ascii="Times New Roman" w:hAnsi="Times New Roman"/>
                <w:sz w:val="24"/>
                <w:szCs w:val="24"/>
                <w:lang w:val="en-GB"/>
              </w:rPr>
              <w:t>, aiming at implementing best practices and research findings on healthy lifestyles and obesity among children</w:t>
            </w:r>
            <w:r w:rsidR="005033E2" w:rsidRPr="00FC01BA">
              <w:rPr>
                <w:rFonts w:ascii="Times New Roman" w:hAnsi="Times New Roman"/>
                <w:sz w:val="24"/>
                <w:szCs w:val="24"/>
                <w:lang w:val="en-GB"/>
              </w:rPr>
              <w:t>.</w:t>
            </w:r>
          </w:p>
          <w:p w14:paraId="6D851830" w14:textId="5AD68D40" w:rsidR="005033E2" w:rsidRPr="00FC01BA" w:rsidRDefault="76BEED81" w:rsidP="00660267">
            <w:pPr>
              <w:widowControl w:val="0"/>
              <w:spacing w:before="120" w:after="120"/>
              <w:jc w:val="both"/>
              <w:rPr>
                <w:rFonts w:ascii="Times New Roman" w:hAnsi="Times New Roman"/>
                <w:sz w:val="24"/>
                <w:szCs w:val="24"/>
                <w:lang w:val="en-GB"/>
              </w:rPr>
            </w:pPr>
            <w:r w:rsidRPr="00FC01BA">
              <w:rPr>
                <w:rFonts w:ascii="Times New Roman" w:eastAsia="Times New Roman" w:hAnsi="Times New Roman"/>
                <w:sz w:val="24"/>
                <w:szCs w:val="24"/>
                <w:lang w:val="en-GB"/>
              </w:rPr>
              <w:t>Healthcare</w:t>
            </w:r>
            <w:r w:rsidR="005F23DD">
              <w:rPr>
                <w:rFonts w:ascii="Times New Roman" w:eastAsia="Times New Roman" w:hAnsi="Times New Roman"/>
                <w:sz w:val="24"/>
                <w:szCs w:val="24"/>
                <w:lang w:val="en-GB"/>
              </w:rPr>
              <w:t xml:space="preserve"> </w:t>
            </w:r>
            <w:r w:rsidRPr="00FC01BA">
              <w:rPr>
                <w:rFonts w:ascii="Times New Roman" w:eastAsia="Times New Roman" w:hAnsi="Times New Roman"/>
                <w:sz w:val="24"/>
                <w:szCs w:val="24"/>
                <w:lang w:val="en-GB"/>
              </w:rPr>
              <w:t>is one of the priority areas of the</w:t>
            </w:r>
            <w:r w:rsidR="005F23DD">
              <w:rPr>
                <w:rFonts w:ascii="Times New Roman" w:eastAsia="Times New Roman" w:hAnsi="Times New Roman"/>
                <w:sz w:val="24"/>
                <w:szCs w:val="24"/>
                <w:lang w:val="en-GB"/>
              </w:rPr>
              <w:t xml:space="preserve"> </w:t>
            </w:r>
            <w:r w:rsidRPr="00FC01BA">
              <w:rPr>
                <w:rFonts w:ascii="Times New Roman" w:eastAsia="Times New Roman" w:hAnsi="Times New Roman"/>
                <w:sz w:val="24"/>
                <w:szCs w:val="24"/>
                <w:lang w:val="en-GB"/>
              </w:rPr>
              <w:t>Apply AI Strategy. Under the Strategy, the EU will</w:t>
            </w:r>
            <w:r w:rsidR="005F23DD">
              <w:rPr>
                <w:rFonts w:ascii="Times New Roman" w:eastAsia="Times New Roman" w:hAnsi="Times New Roman"/>
                <w:sz w:val="24"/>
                <w:szCs w:val="24"/>
                <w:lang w:val="en-GB"/>
              </w:rPr>
              <w:t xml:space="preserve"> </w:t>
            </w:r>
            <w:r w:rsidRPr="00FC01BA">
              <w:rPr>
                <w:rFonts w:ascii="Times New Roman" w:eastAsia="Times New Roman" w:hAnsi="Times New Roman"/>
                <w:sz w:val="24"/>
                <w:szCs w:val="24"/>
                <w:lang w:val="en-GB"/>
              </w:rPr>
              <w:t>establish</w:t>
            </w:r>
            <w:r w:rsidR="005F23DD">
              <w:rPr>
                <w:rFonts w:ascii="Times New Roman" w:eastAsia="Times New Roman" w:hAnsi="Times New Roman"/>
                <w:sz w:val="24"/>
                <w:szCs w:val="24"/>
                <w:lang w:val="en-GB"/>
              </w:rPr>
              <w:t xml:space="preserve"> </w:t>
            </w:r>
            <w:r w:rsidRPr="00FC01BA">
              <w:rPr>
                <w:rFonts w:ascii="Times New Roman" w:eastAsia="Times New Roman" w:hAnsi="Times New Roman"/>
                <w:sz w:val="24"/>
                <w:szCs w:val="24"/>
                <w:lang w:val="en-GB"/>
              </w:rPr>
              <w:t>European</w:t>
            </w:r>
            <w:r w:rsidR="00EB2717">
              <w:rPr>
                <w:rFonts w:ascii="Times New Roman" w:eastAsia="Times New Roman" w:hAnsi="Times New Roman"/>
                <w:sz w:val="24"/>
                <w:szCs w:val="24"/>
                <w:lang w:val="en-GB"/>
              </w:rPr>
              <w:t xml:space="preserve"> artificial intelligence</w:t>
            </w:r>
            <w:r w:rsidR="005F23DD">
              <w:rPr>
                <w:rFonts w:ascii="Times New Roman" w:eastAsia="Times New Roman" w:hAnsi="Times New Roman"/>
                <w:sz w:val="24"/>
                <w:szCs w:val="24"/>
                <w:lang w:val="en-GB"/>
              </w:rPr>
              <w:t xml:space="preserve"> </w:t>
            </w:r>
            <w:r w:rsidR="00EB2717">
              <w:rPr>
                <w:rFonts w:ascii="Times New Roman" w:eastAsia="Times New Roman" w:hAnsi="Times New Roman"/>
                <w:sz w:val="24"/>
                <w:szCs w:val="24"/>
                <w:lang w:val="en-GB"/>
              </w:rPr>
              <w:t>(</w:t>
            </w:r>
            <w:r w:rsidRPr="00FC01BA">
              <w:rPr>
                <w:rFonts w:ascii="Times New Roman" w:eastAsia="Times New Roman" w:hAnsi="Times New Roman"/>
                <w:sz w:val="24"/>
                <w:szCs w:val="24"/>
                <w:lang w:val="en-GB"/>
              </w:rPr>
              <w:t>AI</w:t>
            </w:r>
            <w:r w:rsidR="00EB2717">
              <w:rPr>
                <w:rFonts w:ascii="Times New Roman" w:eastAsia="Times New Roman" w:hAnsi="Times New Roman"/>
                <w:sz w:val="24"/>
                <w:szCs w:val="24"/>
                <w:lang w:val="en-GB"/>
              </w:rPr>
              <w:t>)</w:t>
            </w:r>
            <w:r w:rsidRPr="00FC01BA">
              <w:rPr>
                <w:rFonts w:ascii="Times New Roman" w:eastAsia="Times New Roman" w:hAnsi="Times New Roman"/>
                <w:sz w:val="24"/>
                <w:szCs w:val="24"/>
                <w:lang w:val="en-GB"/>
              </w:rPr>
              <w:t>-powered advanced screening centres</w:t>
            </w:r>
            <w:r w:rsidR="005F23DD">
              <w:rPr>
                <w:rFonts w:ascii="Times New Roman" w:eastAsia="Times New Roman" w:hAnsi="Times New Roman"/>
                <w:sz w:val="24"/>
                <w:szCs w:val="24"/>
                <w:lang w:val="en-GB"/>
              </w:rPr>
              <w:t xml:space="preserve"> </w:t>
            </w:r>
            <w:r w:rsidRPr="00FC01BA">
              <w:rPr>
                <w:rFonts w:ascii="Times New Roman" w:eastAsia="Times New Roman" w:hAnsi="Times New Roman"/>
                <w:sz w:val="24"/>
                <w:szCs w:val="24"/>
                <w:lang w:val="en-GB"/>
              </w:rPr>
              <w:t>to accelerate the introduction of innovative tools for prevention and diagnosis,</w:t>
            </w:r>
            <w:r w:rsidR="005F23DD">
              <w:rPr>
                <w:rFonts w:ascii="Times New Roman" w:eastAsia="Times New Roman" w:hAnsi="Times New Roman"/>
                <w:sz w:val="24"/>
                <w:szCs w:val="24"/>
                <w:lang w:val="en-GB"/>
              </w:rPr>
              <w:t xml:space="preserve"> </w:t>
            </w:r>
            <w:proofErr w:type="gramStart"/>
            <w:r w:rsidRPr="00FC01BA">
              <w:rPr>
                <w:rFonts w:ascii="Times New Roman" w:eastAsia="Times New Roman" w:hAnsi="Times New Roman"/>
                <w:sz w:val="24"/>
                <w:szCs w:val="24"/>
                <w:lang w:val="en-GB"/>
              </w:rPr>
              <w:t>in particular for</w:t>
            </w:r>
            <w:proofErr w:type="gramEnd"/>
            <w:r w:rsidR="005F23DD">
              <w:rPr>
                <w:rFonts w:ascii="Times New Roman" w:eastAsia="Times New Roman" w:hAnsi="Times New Roman"/>
                <w:sz w:val="24"/>
                <w:szCs w:val="24"/>
                <w:lang w:val="en-GB"/>
              </w:rPr>
              <w:t xml:space="preserve"> </w:t>
            </w:r>
            <w:r w:rsidRPr="00FC01BA">
              <w:rPr>
                <w:rFonts w:ascii="Times New Roman" w:eastAsia="Times New Roman" w:hAnsi="Times New Roman"/>
                <w:sz w:val="24"/>
                <w:szCs w:val="24"/>
                <w:lang w:val="en-GB"/>
              </w:rPr>
              <w:t xml:space="preserve">cancer and cardiovascular diseases. </w:t>
            </w:r>
            <w:r w:rsidR="31EDA60A" w:rsidRPr="00FC01BA">
              <w:rPr>
                <w:rFonts w:ascii="Times New Roman" w:eastAsia="Times New Roman" w:hAnsi="Times New Roman"/>
                <w:sz w:val="24"/>
                <w:szCs w:val="24"/>
                <w:lang w:val="en-GB"/>
              </w:rPr>
              <w:t>Health data infrastructures funded under</w:t>
            </w:r>
            <w:r w:rsidR="00EB2717">
              <w:rPr>
                <w:rFonts w:ascii="Times New Roman" w:eastAsia="Times New Roman" w:hAnsi="Times New Roman"/>
                <w:sz w:val="24"/>
                <w:szCs w:val="24"/>
                <w:lang w:val="en-GB"/>
              </w:rPr>
              <w:t xml:space="preserve"> the</w:t>
            </w:r>
            <w:r w:rsidR="31EDA60A" w:rsidRPr="00FC01BA">
              <w:rPr>
                <w:rFonts w:ascii="Times New Roman" w:eastAsia="Times New Roman" w:hAnsi="Times New Roman"/>
                <w:sz w:val="24"/>
                <w:szCs w:val="24"/>
                <w:lang w:val="en-GB"/>
              </w:rPr>
              <w:t xml:space="preserve"> </w:t>
            </w:r>
            <w:r w:rsidR="275F5D7C" w:rsidRPr="00FC01BA">
              <w:rPr>
                <w:rFonts w:ascii="Times New Roman" w:eastAsia="Times New Roman" w:hAnsi="Times New Roman"/>
                <w:sz w:val="24"/>
                <w:szCs w:val="24"/>
                <w:lang w:val="en-GB"/>
              </w:rPr>
              <w:t>EU4Health and</w:t>
            </w:r>
            <w:r w:rsidR="31EDA60A" w:rsidRPr="00FC01BA">
              <w:rPr>
                <w:rFonts w:ascii="Times New Roman" w:eastAsia="Times New Roman" w:hAnsi="Times New Roman"/>
                <w:sz w:val="24"/>
                <w:szCs w:val="24"/>
                <w:lang w:val="en-GB"/>
              </w:rPr>
              <w:t xml:space="preserve"> DIGITAL programme</w:t>
            </w:r>
            <w:r w:rsidR="00EB2717">
              <w:rPr>
                <w:rFonts w:ascii="Times New Roman" w:eastAsia="Times New Roman" w:hAnsi="Times New Roman"/>
                <w:sz w:val="24"/>
                <w:szCs w:val="24"/>
                <w:lang w:val="en-GB"/>
              </w:rPr>
              <w:t>s</w:t>
            </w:r>
            <w:r w:rsidR="31EDA60A" w:rsidRPr="00FC01BA">
              <w:rPr>
                <w:rFonts w:ascii="Times New Roman" w:eastAsia="Times New Roman" w:hAnsi="Times New Roman"/>
                <w:sz w:val="24"/>
                <w:szCs w:val="24"/>
                <w:lang w:val="en-GB"/>
              </w:rPr>
              <w:t xml:space="preserve"> will accelerate AI development and data-driven research and innovation, by providing secure and interoperable access to high-quality data.</w:t>
            </w:r>
            <w:r w:rsidR="00660267">
              <w:rPr>
                <w:rFonts w:ascii="Times New Roman" w:eastAsia="Times New Roman" w:hAnsi="Times New Roman"/>
                <w:sz w:val="24"/>
                <w:szCs w:val="24"/>
                <w:lang w:val="en-GB"/>
              </w:rPr>
              <w:t xml:space="preserve"> Under the Safe Hearts Plan, the </w:t>
            </w:r>
            <w:r w:rsidR="00660267" w:rsidRPr="00660267">
              <w:rPr>
                <w:rFonts w:ascii="Times New Roman" w:eastAsia="Times New Roman" w:hAnsi="Times New Roman"/>
                <w:sz w:val="24"/>
                <w:szCs w:val="24"/>
                <w:lang w:val="en-GB"/>
              </w:rPr>
              <w:t>Commission will support a EUR 20 million flagship initiative to accelerate the deployment and application of AI and data-driven tools for early detection, personalised prevention, integrated care for cardiovascular diseases, diabetes and obesity.</w:t>
            </w:r>
          </w:p>
          <w:p w14:paraId="679D15B7" w14:textId="496B56C6" w:rsidR="62ABD8A6" w:rsidRPr="00FC01BA" w:rsidRDefault="62ABD8A6" w:rsidP="00D4793C">
            <w:pPr>
              <w:widowControl w:val="0"/>
              <w:spacing w:before="120" w:after="120"/>
              <w:jc w:val="both"/>
              <w:rPr>
                <w:rFonts w:ascii="Times New Roman" w:eastAsia="Times New Roman" w:hAnsi="Times New Roman"/>
                <w:sz w:val="24"/>
                <w:szCs w:val="24"/>
                <w:lang w:val="en-GB"/>
              </w:rPr>
            </w:pPr>
            <w:r w:rsidRPr="00FC01BA">
              <w:rPr>
                <w:rFonts w:ascii="Times New Roman" w:eastAsia="Times New Roman" w:hAnsi="Times New Roman"/>
                <w:sz w:val="24"/>
                <w:szCs w:val="24"/>
                <w:lang w:val="en-GB"/>
              </w:rPr>
              <w:t xml:space="preserve">The European Health Data Space will provide the secure and interoperable framework enabling </w:t>
            </w:r>
            <w:r w:rsidRPr="00FC01BA">
              <w:rPr>
                <w:rFonts w:ascii="Times New Roman" w:eastAsia="Times New Roman" w:hAnsi="Times New Roman"/>
                <w:sz w:val="24"/>
                <w:szCs w:val="24"/>
                <w:lang w:val="en-GB"/>
              </w:rPr>
              <w:lastRenderedPageBreak/>
              <w:t>diverse and representative data access for research, innovation and AI development</w:t>
            </w:r>
            <w:r w:rsidR="00411DF9">
              <w:rPr>
                <w:rFonts w:ascii="Times New Roman" w:eastAsia="Times New Roman" w:hAnsi="Times New Roman"/>
                <w:sz w:val="24"/>
                <w:szCs w:val="24"/>
                <w:lang w:val="en-GB"/>
              </w:rPr>
              <w:t>.</w:t>
            </w:r>
          </w:p>
          <w:p w14:paraId="771D2CF5" w14:textId="09CD5143" w:rsidR="00027A8C" w:rsidRPr="00FC01BA" w:rsidRDefault="001B31CD"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 xml:space="preserve">Under the </w:t>
            </w:r>
            <w:r w:rsidR="00027A8C" w:rsidRPr="00FC01BA">
              <w:rPr>
                <w:rFonts w:ascii="Times New Roman" w:hAnsi="Times New Roman"/>
                <w:sz w:val="24"/>
                <w:szCs w:val="24"/>
                <w:lang w:val="en-GB"/>
              </w:rPr>
              <w:t>‘Healthier Together’ – EU NCD initiative</w:t>
            </w:r>
            <w:r w:rsidR="00027A8C" w:rsidRPr="00FC01BA">
              <w:rPr>
                <w:rFonts w:ascii="Times New Roman" w:hAnsi="Times New Roman"/>
                <w:sz w:val="24"/>
                <w:szCs w:val="24"/>
                <w:vertAlign w:val="superscript"/>
                <w:lang w:val="en-GB"/>
              </w:rPr>
              <w:footnoteReference w:id="37"/>
            </w:r>
            <w:r w:rsidRPr="00FC01BA">
              <w:rPr>
                <w:rFonts w:ascii="Times New Roman" w:hAnsi="Times New Roman"/>
                <w:sz w:val="24"/>
                <w:szCs w:val="24"/>
                <w:lang w:val="en-GB"/>
              </w:rPr>
              <w:t xml:space="preserve">, the Commission supports </w:t>
            </w:r>
            <w:r w:rsidR="00027A8C" w:rsidRPr="00FC01BA">
              <w:rPr>
                <w:rFonts w:ascii="Times New Roman" w:hAnsi="Times New Roman"/>
                <w:sz w:val="24"/>
                <w:szCs w:val="24"/>
                <w:lang w:val="en-GB"/>
              </w:rPr>
              <w:t xml:space="preserve">Member </w:t>
            </w:r>
            <w:r w:rsidR="00093E73" w:rsidRPr="00FC01BA">
              <w:rPr>
                <w:rFonts w:ascii="Times New Roman" w:hAnsi="Times New Roman"/>
                <w:sz w:val="24"/>
                <w:szCs w:val="24"/>
                <w:lang w:val="en-GB"/>
              </w:rPr>
              <w:t>States via</w:t>
            </w:r>
            <w:r w:rsidRPr="00FC01BA">
              <w:rPr>
                <w:rFonts w:ascii="Times New Roman" w:hAnsi="Times New Roman"/>
                <w:sz w:val="24"/>
                <w:szCs w:val="24"/>
                <w:lang w:val="en-GB"/>
              </w:rPr>
              <w:t xml:space="preserve"> a joint action</w:t>
            </w:r>
            <w:r w:rsidRPr="00FC01BA">
              <w:rPr>
                <w:rFonts w:ascii="Times New Roman" w:hAnsi="Times New Roman"/>
                <w:sz w:val="24"/>
                <w:szCs w:val="24"/>
                <w:vertAlign w:val="superscript"/>
                <w:lang w:val="en-GB"/>
              </w:rPr>
              <w:footnoteReference w:id="38"/>
            </w:r>
            <w:r w:rsidRPr="00FC01BA">
              <w:rPr>
                <w:rFonts w:ascii="Times New Roman" w:hAnsi="Times New Roman"/>
                <w:sz w:val="24"/>
                <w:szCs w:val="24"/>
                <w:lang w:val="en-GB"/>
              </w:rPr>
              <w:t xml:space="preserve"> </w:t>
            </w:r>
            <w:r w:rsidR="00027A8C" w:rsidRPr="00FC01BA">
              <w:rPr>
                <w:rFonts w:ascii="Times New Roman" w:hAnsi="Times New Roman"/>
                <w:sz w:val="24"/>
                <w:szCs w:val="24"/>
                <w:lang w:val="en-GB"/>
              </w:rPr>
              <w:t>to reduce the burden of neurological disorders, through health literacy, early detection, and integrated care pathways. The Communication on a comprehensive approach to mental health</w:t>
            </w:r>
            <w:r w:rsidR="00027A8C" w:rsidRPr="00FC01BA">
              <w:rPr>
                <w:rFonts w:ascii="Times New Roman" w:hAnsi="Times New Roman"/>
                <w:sz w:val="24"/>
                <w:szCs w:val="24"/>
                <w:vertAlign w:val="superscript"/>
                <w:lang w:val="en-GB"/>
              </w:rPr>
              <w:footnoteReference w:id="39"/>
            </w:r>
            <w:r w:rsidR="00027A8C" w:rsidRPr="00FC01BA">
              <w:rPr>
                <w:rFonts w:ascii="Times New Roman" w:hAnsi="Times New Roman"/>
                <w:sz w:val="24"/>
                <w:szCs w:val="24"/>
                <w:lang w:val="en-GB"/>
              </w:rPr>
              <w:t xml:space="preserve"> supports the prevention and early detection of mental health problems and provides support to vulnerable groups. The Commission also supports the collection and sharing of best and promising practices through the EU Best Practice Portal on Public Health</w:t>
            </w:r>
            <w:r w:rsidR="00027A8C" w:rsidRPr="00FC01BA">
              <w:rPr>
                <w:rFonts w:ascii="Times New Roman" w:hAnsi="Times New Roman"/>
                <w:sz w:val="24"/>
                <w:szCs w:val="24"/>
                <w:vertAlign w:val="superscript"/>
                <w:lang w:val="en-GB"/>
              </w:rPr>
              <w:footnoteReference w:id="40"/>
            </w:r>
            <w:r w:rsidR="00027A8C" w:rsidRPr="00FC01BA">
              <w:rPr>
                <w:rFonts w:ascii="Times New Roman" w:hAnsi="Times New Roman"/>
                <w:sz w:val="24"/>
                <w:szCs w:val="24"/>
                <w:lang w:val="en-GB"/>
              </w:rPr>
              <w:t xml:space="preserve">. </w:t>
            </w:r>
          </w:p>
          <w:p w14:paraId="2219E49A" w14:textId="308CB689" w:rsidR="1DD2809E" w:rsidRPr="00FC01BA" w:rsidRDefault="005033E2"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 xml:space="preserve">The Commission works together with Member States, </w:t>
            </w:r>
            <w:r w:rsidR="00ED55BB" w:rsidRPr="00FC01BA">
              <w:rPr>
                <w:rFonts w:ascii="Times New Roman" w:hAnsi="Times New Roman"/>
                <w:sz w:val="24"/>
                <w:szCs w:val="24"/>
                <w:lang w:val="en-GB"/>
              </w:rPr>
              <w:t>through</w:t>
            </w:r>
            <w:r w:rsidRPr="00FC01BA">
              <w:rPr>
                <w:rFonts w:ascii="Times New Roman" w:hAnsi="Times New Roman"/>
                <w:sz w:val="24"/>
                <w:szCs w:val="24"/>
                <w:lang w:val="en-GB"/>
              </w:rPr>
              <w:t xml:space="preserve"> the Expert Group on Public Health</w:t>
            </w:r>
            <w:r w:rsidRPr="00FC01BA">
              <w:rPr>
                <w:rFonts w:ascii="Times New Roman" w:hAnsi="Times New Roman"/>
                <w:sz w:val="24"/>
                <w:szCs w:val="24"/>
                <w:vertAlign w:val="superscript"/>
                <w:lang w:val="en-GB"/>
              </w:rPr>
              <w:footnoteReference w:id="41"/>
            </w:r>
            <w:r w:rsidRPr="00FC01BA">
              <w:rPr>
                <w:rFonts w:ascii="Times New Roman" w:hAnsi="Times New Roman"/>
                <w:sz w:val="24"/>
                <w:szCs w:val="24"/>
                <w:lang w:val="en-GB"/>
              </w:rPr>
              <w:t xml:space="preserve">, on </w:t>
            </w:r>
            <w:r w:rsidR="008C2CC5" w:rsidRPr="00FC01BA">
              <w:rPr>
                <w:rFonts w:ascii="Times New Roman" w:hAnsi="Times New Roman"/>
                <w:sz w:val="24"/>
                <w:szCs w:val="24"/>
                <w:lang w:val="en-GB"/>
              </w:rPr>
              <w:t>prevention o</w:t>
            </w:r>
            <w:r w:rsidR="006323D3" w:rsidRPr="00FC01BA">
              <w:rPr>
                <w:rFonts w:ascii="Times New Roman" w:hAnsi="Times New Roman"/>
                <w:sz w:val="24"/>
                <w:szCs w:val="24"/>
                <w:lang w:val="en-GB"/>
              </w:rPr>
              <w:t>f</w:t>
            </w:r>
            <w:r w:rsidR="008C2CC5" w:rsidRPr="00FC01BA">
              <w:rPr>
                <w:rFonts w:ascii="Times New Roman" w:hAnsi="Times New Roman"/>
                <w:sz w:val="24"/>
                <w:szCs w:val="24"/>
                <w:lang w:val="en-GB"/>
              </w:rPr>
              <w:t xml:space="preserve"> NCDs</w:t>
            </w:r>
            <w:r w:rsidRPr="00FC01BA">
              <w:rPr>
                <w:rFonts w:ascii="Times New Roman" w:hAnsi="Times New Roman"/>
                <w:sz w:val="24"/>
                <w:szCs w:val="24"/>
                <w:lang w:val="en-GB"/>
              </w:rPr>
              <w:t>. The Council Conclusions on improving cardiovascular health</w:t>
            </w:r>
            <w:r w:rsidRPr="00FC01BA">
              <w:rPr>
                <w:rFonts w:ascii="Times New Roman" w:hAnsi="Times New Roman"/>
                <w:sz w:val="24"/>
                <w:szCs w:val="24"/>
                <w:vertAlign w:val="superscript"/>
                <w:lang w:val="en-GB"/>
              </w:rPr>
              <w:footnoteReference w:id="42"/>
            </w:r>
            <w:r w:rsidRPr="00FC01BA">
              <w:rPr>
                <w:rFonts w:ascii="Times New Roman" w:hAnsi="Times New Roman"/>
                <w:sz w:val="24"/>
                <w:szCs w:val="24"/>
                <w:lang w:val="en-GB"/>
              </w:rPr>
              <w:t>, highlight a strong political commitment of Member States in addressing cardiovascular diseases</w:t>
            </w:r>
            <w:r w:rsidR="00A83030" w:rsidRPr="00FC01BA">
              <w:rPr>
                <w:rFonts w:ascii="Times New Roman" w:hAnsi="Times New Roman"/>
                <w:sz w:val="24"/>
                <w:szCs w:val="24"/>
                <w:lang w:val="en-GB"/>
              </w:rPr>
              <w:t xml:space="preserve"> and </w:t>
            </w:r>
            <w:r w:rsidR="003A4171" w:rsidRPr="00FC01BA">
              <w:rPr>
                <w:rFonts w:ascii="Times New Roman" w:hAnsi="Times New Roman"/>
                <w:sz w:val="24"/>
                <w:szCs w:val="24"/>
                <w:lang w:val="en-GB"/>
              </w:rPr>
              <w:t xml:space="preserve">related </w:t>
            </w:r>
            <w:r w:rsidR="00A83030" w:rsidRPr="00FC01BA">
              <w:rPr>
                <w:rFonts w:ascii="Times New Roman" w:hAnsi="Times New Roman"/>
                <w:sz w:val="24"/>
                <w:szCs w:val="24"/>
                <w:lang w:val="en-GB"/>
              </w:rPr>
              <w:t>risk factors</w:t>
            </w:r>
            <w:r w:rsidRPr="00FC01BA">
              <w:rPr>
                <w:rFonts w:ascii="Times New Roman" w:hAnsi="Times New Roman"/>
                <w:sz w:val="24"/>
                <w:szCs w:val="24"/>
                <w:lang w:val="en-GB"/>
              </w:rPr>
              <w:t xml:space="preserve">. </w:t>
            </w:r>
          </w:p>
          <w:p w14:paraId="50DB0DAE" w14:textId="6AB8F9C7" w:rsidR="00C02DEF" w:rsidRPr="00FC01BA" w:rsidRDefault="00C02DEF"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In addition, the Commission’s Health Promotion and Disease Prevention Knowledge Gateway</w:t>
            </w:r>
            <w:r w:rsidRPr="00FC01BA">
              <w:rPr>
                <w:rFonts w:ascii="Times New Roman" w:hAnsi="Times New Roman"/>
                <w:sz w:val="24"/>
                <w:szCs w:val="24"/>
                <w:vertAlign w:val="superscript"/>
                <w:lang w:val="en-GB"/>
              </w:rPr>
              <w:footnoteReference w:id="43"/>
            </w:r>
            <w:r w:rsidRPr="00FC01BA">
              <w:rPr>
                <w:rFonts w:ascii="Times New Roman" w:hAnsi="Times New Roman"/>
                <w:sz w:val="24"/>
                <w:szCs w:val="24"/>
                <w:lang w:val="en-GB"/>
              </w:rPr>
              <w:t xml:space="preserve"> provides reliable, independent and up-to date information on nutrition and other risk factors for NCDs. It provides information on national food-based dietary recommendations in Europe and on key nutrition aspects, and policy options to address them.</w:t>
            </w:r>
            <w:r w:rsidR="008C2CC5" w:rsidRPr="00FC01BA">
              <w:rPr>
                <w:rFonts w:ascii="Times New Roman" w:hAnsi="Times New Roman"/>
                <w:sz w:val="24"/>
                <w:szCs w:val="24"/>
                <w:lang w:val="en-GB"/>
              </w:rPr>
              <w:t xml:space="preserve"> The Commission remains committed to working with Member States and stakeholders to develop and engage in a dialogue on the lifelong prevention of NCDs.</w:t>
            </w:r>
          </w:p>
          <w:p w14:paraId="7C53316F" w14:textId="1FBA75C0" w:rsidR="00A267BE" w:rsidRPr="00FC01BA" w:rsidRDefault="00A267BE" w:rsidP="00D4793C">
            <w:pPr>
              <w:widowControl w:val="0"/>
              <w:spacing w:before="120" w:after="120"/>
              <w:jc w:val="both"/>
              <w:rPr>
                <w:rFonts w:ascii="Times New Roman" w:hAnsi="Times New Roman"/>
                <w:b/>
                <w:bCs/>
                <w:sz w:val="24"/>
                <w:szCs w:val="24"/>
                <w:lang w:val="en-GB"/>
              </w:rPr>
            </w:pPr>
            <w:r w:rsidRPr="00FC01BA">
              <w:rPr>
                <w:rFonts w:ascii="Times New Roman" w:hAnsi="Times New Roman"/>
                <w:b/>
                <w:bCs/>
                <w:sz w:val="24"/>
                <w:szCs w:val="24"/>
                <w:lang w:val="en-GB"/>
              </w:rPr>
              <w:t>Point</w:t>
            </w:r>
            <w:r w:rsidR="00950839" w:rsidRPr="00FC01BA">
              <w:rPr>
                <w:rFonts w:ascii="Times New Roman" w:hAnsi="Times New Roman"/>
                <w:b/>
                <w:bCs/>
                <w:sz w:val="24"/>
                <w:szCs w:val="24"/>
                <w:lang w:val="en-GB"/>
              </w:rPr>
              <w:t xml:space="preserve">s </w:t>
            </w:r>
            <w:r w:rsidRPr="00FC01BA">
              <w:rPr>
                <w:rFonts w:ascii="Times New Roman" w:hAnsi="Times New Roman"/>
                <w:b/>
                <w:bCs/>
                <w:sz w:val="24"/>
                <w:szCs w:val="24"/>
                <w:lang w:val="en-GB"/>
              </w:rPr>
              <w:t>5.1 and 6.2</w:t>
            </w:r>
            <w:r w:rsidR="00265BDA" w:rsidRPr="00FC01BA">
              <w:rPr>
                <w:rFonts w:ascii="Times New Roman" w:hAnsi="Times New Roman"/>
                <w:b/>
                <w:bCs/>
                <w:sz w:val="24"/>
                <w:szCs w:val="24"/>
                <w:lang w:val="en-GB"/>
              </w:rPr>
              <w:t>:</w:t>
            </w:r>
          </w:p>
          <w:p w14:paraId="5128EC76" w14:textId="671BEAB6" w:rsidR="36350432" w:rsidRPr="00FC01BA" w:rsidRDefault="36350432" w:rsidP="00D4793C">
            <w:pPr>
              <w:widowControl w:val="0"/>
              <w:spacing w:before="120" w:after="120"/>
              <w:jc w:val="both"/>
              <w:rPr>
                <w:rFonts w:ascii="Times New Roman" w:eastAsia="Times New Roman" w:hAnsi="Times New Roman"/>
                <w:sz w:val="24"/>
                <w:szCs w:val="24"/>
                <w:u w:val="single"/>
                <w:vertAlign w:val="superscript"/>
                <w:lang w:val="en-GB"/>
              </w:rPr>
            </w:pPr>
            <w:r w:rsidRPr="00FC01BA">
              <w:rPr>
                <w:rFonts w:ascii="Times New Roman" w:eastAsia="Times New Roman" w:hAnsi="Times New Roman"/>
                <w:sz w:val="24"/>
                <w:szCs w:val="24"/>
                <w:lang w:val="en-GB"/>
              </w:rPr>
              <w:t xml:space="preserve">The precautionary principle is laid down in Article 191 </w:t>
            </w:r>
            <w:r w:rsidR="0015489E">
              <w:rPr>
                <w:rFonts w:ascii="Times New Roman" w:eastAsia="Times New Roman" w:hAnsi="Times New Roman"/>
                <w:sz w:val="24"/>
                <w:szCs w:val="24"/>
                <w:lang w:val="en-GB"/>
              </w:rPr>
              <w:t>of the Treaty on the Functioning of the European Union (</w:t>
            </w:r>
            <w:r w:rsidRPr="00FC01BA">
              <w:rPr>
                <w:rFonts w:ascii="Times New Roman" w:eastAsia="Times New Roman" w:hAnsi="Times New Roman"/>
                <w:sz w:val="24"/>
                <w:szCs w:val="24"/>
                <w:lang w:val="en-GB"/>
              </w:rPr>
              <w:t>TFEU</w:t>
            </w:r>
            <w:r w:rsidR="0015489E">
              <w:rPr>
                <w:rFonts w:ascii="Times New Roman" w:eastAsia="Times New Roman" w:hAnsi="Times New Roman"/>
                <w:sz w:val="24"/>
                <w:szCs w:val="24"/>
                <w:lang w:val="en-GB"/>
              </w:rPr>
              <w:t>)</w:t>
            </w:r>
            <w:r w:rsidR="00E64151" w:rsidRPr="00FC01BA">
              <w:rPr>
                <w:rStyle w:val="FootnoteReference"/>
                <w:rFonts w:ascii="Times New Roman" w:eastAsia="Times New Roman" w:hAnsi="Times New Roman"/>
                <w:sz w:val="24"/>
                <w:szCs w:val="24"/>
                <w:lang w:val="en-GB"/>
              </w:rPr>
              <w:footnoteReference w:id="44"/>
            </w:r>
            <w:r w:rsidRPr="00FC01BA">
              <w:rPr>
                <w:rFonts w:ascii="Times New Roman" w:eastAsia="Times New Roman" w:hAnsi="Times New Roman"/>
                <w:sz w:val="24"/>
                <w:szCs w:val="24"/>
                <w:lang w:val="en-GB"/>
              </w:rPr>
              <w:t xml:space="preserve"> and it has been recognised by the </w:t>
            </w:r>
            <w:r w:rsidR="40AE42E0" w:rsidRPr="00FC01BA">
              <w:rPr>
                <w:rFonts w:ascii="Times New Roman" w:eastAsia="Times New Roman" w:hAnsi="Times New Roman"/>
                <w:sz w:val="24"/>
                <w:szCs w:val="24"/>
                <w:lang w:val="en-GB"/>
              </w:rPr>
              <w:t>Union</w:t>
            </w:r>
            <w:r w:rsidRPr="00FC01BA">
              <w:rPr>
                <w:rFonts w:ascii="Times New Roman" w:eastAsia="Times New Roman" w:hAnsi="Times New Roman"/>
                <w:sz w:val="24"/>
                <w:szCs w:val="24"/>
                <w:lang w:val="en-GB"/>
              </w:rPr>
              <w:t xml:space="preserve"> Courts as a general principle of EU law. Its implementation by the Commission is further specified in the Commission Communication on the precautionary principle, adopted in 2000</w:t>
            </w:r>
            <w:r w:rsidRPr="00FC01BA">
              <w:rPr>
                <w:rFonts w:ascii="Times New Roman" w:eastAsia="Times New Roman" w:hAnsi="Times New Roman"/>
                <w:sz w:val="24"/>
                <w:szCs w:val="24"/>
                <w:vertAlign w:val="superscript"/>
                <w:lang w:val="en-GB"/>
              </w:rPr>
              <w:footnoteReference w:id="45"/>
            </w:r>
            <w:r w:rsidRPr="00FC01BA">
              <w:rPr>
                <w:rFonts w:ascii="Times New Roman" w:eastAsia="Times New Roman" w:hAnsi="Times New Roman"/>
                <w:sz w:val="24"/>
                <w:szCs w:val="24"/>
                <w:lang w:val="en-GB"/>
              </w:rPr>
              <w:t>.</w:t>
            </w:r>
          </w:p>
          <w:p w14:paraId="33C3EE31" w14:textId="02F619EF" w:rsidR="2C3BFB97" w:rsidRPr="00FC01BA" w:rsidRDefault="3A382981" w:rsidP="00D4793C">
            <w:pPr>
              <w:widowControl w:val="0"/>
              <w:spacing w:before="120" w:after="120"/>
              <w:jc w:val="both"/>
              <w:rPr>
                <w:rFonts w:ascii="Times New Roman" w:hAnsi="Times New Roman"/>
                <w:sz w:val="24"/>
                <w:szCs w:val="24"/>
                <w:lang w:val="en-GB"/>
              </w:rPr>
            </w:pPr>
            <w:r w:rsidRPr="00FC01BA">
              <w:rPr>
                <w:rFonts w:ascii="Times New Roman" w:eastAsia="Times New Roman" w:hAnsi="Times New Roman"/>
                <w:sz w:val="24"/>
                <w:szCs w:val="24"/>
                <w:lang w:val="en-GB"/>
              </w:rPr>
              <w:t>In the area of food and feed, the precautionary principle is explicitly stated as a principle of the EU food acquis and part of the risk management process</w:t>
            </w:r>
            <w:r w:rsidR="33EDCC98" w:rsidRPr="00FC01BA">
              <w:rPr>
                <w:rFonts w:ascii="Times New Roman" w:eastAsia="Times New Roman" w:hAnsi="Times New Roman"/>
                <w:sz w:val="24"/>
                <w:szCs w:val="24"/>
                <w:lang w:val="en-GB"/>
              </w:rPr>
              <w:t xml:space="preserve"> (Article </w:t>
            </w:r>
            <w:r w:rsidR="72505646" w:rsidRPr="00FC01BA">
              <w:rPr>
                <w:rFonts w:ascii="Times New Roman" w:eastAsia="Times New Roman" w:hAnsi="Times New Roman"/>
                <w:sz w:val="24"/>
                <w:szCs w:val="24"/>
                <w:lang w:val="en-GB"/>
              </w:rPr>
              <w:t>7 of the Regulation</w:t>
            </w:r>
            <w:r w:rsidR="009A259D">
              <w:rPr>
                <w:rFonts w:ascii="Times New Roman" w:eastAsia="Times New Roman" w:hAnsi="Times New Roman"/>
                <w:sz w:val="24"/>
                <w:szCs w:val="24"/>
                <w:lang w:val="en-GB"/>
              </w:rPr>
              <w:t xml:space="preserve"> </w:t>
            </w:r>
            <w:r w:rsidR="009A259D" w:rsidRPr="009A259D">
              <w:rPr>
                <w:rFonts w:ascii="Times New Roman" w:eastAsia="Times New Roman" w:hAnsi="Times New Roman"/>
                <w:sz w:val="24"/>
                <w:szCs w:val="24"/>
                <w:lang w:val="en-GB"/>
              </w:rPr>
              <w:t>laying down the general principles and requirements of food law, establishing the European Food Safety Authority and laying down procedures in matters of food safety</w:t>
            </w:r>
            <w:r w:rsidR="72505646" w:rsidRPr="00FC01BA">
              <w:rPr>
                <w:rFonts w:ascii="Times New Roman" w:eastAsia="Times New Roman" w:hAnsi="Times New Roman"/>
                <w:sz w:val="24"/>
                <w:szCs w:val="24"/>
                <w:lang w:val="en-GB"/>
              </w:rPr>
              <w:t>)</w:t>
            </w:r>
            <w:r w:rsidR="00BD3181" w:rsidRPr="00FC01BA">
              <w:rPr>
                <w:rStyle w:val="FootnoteReference"/>
                <w:rFonts w:ascii="Times New Roman" w:eastAsia="Times New Roman" w:hAnsi="Times New Roman"/>
                <w:sz w:val="24"/>
                <w:szCs w:val="24"/>
                <w:lang w:val="en-GB"/>
              </w:rPr>
              <w:footnoteReference w:id="46"/>
            </w:r>
            <w:r w:rsidRPr="00FC01BA">
              <w:rPr>
                <w:rFonts w:ascii="Times New Roman" w:eastAsia="Times New Roman" w:hAnsi="Times New Roman"/>
                <w:sz w:val="24"/>
                <w:szCs w:val="24"/>
                <w:lang w:val="en-GB"/>
              </w:rPr>
              <w:t>. Accordingly,</w:t>
            </w:r>
            <w:r w:rsidR="007B1DBF">
              <w:rPr>
                <w:rFonts w:ascii="Times New Roman" w:eastAsia="Times New Roman" w:hAnsi="Times New Roman"/>
                <w:sz w:val="24"/>
                <w:szCs w:val="24"/>
                <w:lang w:val="en-GB"/>
              </w:rPr>
              <w:t xml:space="preserve"> in specific circumstances,</w:t>
            </w:r>
            <w:r w:rsidRPr="00FC01BA">
              <w:rPr>
                <w:rFonts w:ascii="Times New Roman" w:eastAsia="Times New Roman" w:hAnsi="Times New Roman"/>
                <w:sz w:val="24"/>
                <w:szCs w:val="24"/>
                <w:lang w:val="en-GB"/>
              </w:rPr>
              <w:t xml:space="preserve"> it allows the adoption of provisional risk management measures </w:t>
            </w:r>
            <w:proofErr w:type="gramStart"/>
            <w:r w:rsidRPr="00FC01BA">
              <w:rPr>
                <w:rFonts w:ascii="Times New Roman" w:eastAsia="Times New Roman" w:hAnsi="Times New Roman"/>
                <w:sz w:val="24"/>
                <w:szCs w:val="24"/>
                <w:lang w:val="en-GB"/>
              </w:rPr>
              <w:t>in the area of</w:t>
            </w:r>
            <w:proofErr w:type="gramEnd"/>
            <w:r w:rsidRPr="00FC01BA">
              <w:rPr>
                <w:rFonts w:ascii="Times New Roman" w:eastAsia="Times New Roman" w:hAnsi="Times New Roman"/>
                <w:sz w:val="24"/>
                <w:szCs w:val="24"/>
                <w:lang w:val="en-GB"/>
              </w:rPr>
              <w:t xml:space="preserve"> food and feed to ensure a high level of health protection when, following an assessment of available information, the possibility of harmful effects </w:t>
            </w:r>
            <w:r w:rsidRPr="007B1DBF">
              <w:rPr>
                <w:rFonts w:ascii="Times New Roman" w:eastAsia="Times New Roman" w:hAnsi="Times New Roman"/>
                <w:sz w:val="24"/>
                <w:szCs w:val="24"/>
                <w:lang w:val="en-GB"/>
              </w:rPr>
              <w:t xml:space="preserve">on health is identified but scientific uncertainty </w:t>
            </w:r>
            <w:r w:rsidRPr="007B1DBF">
              <w:rPr>
                <w:rFonts w:ascii="Times New Roman" w:eastAsia="Times New Roman" w:hAnsi="Times New Roman"/>
                <w:sz w:val="24"/>
                <w:szCs w:val="24"/>
                <w:lang w:val="en-GB"/>
              </w:rPr>
              <w:lastRenderedPageBreak/>
              <w:t>persists</w:t>
            </w:r>
            <w:r w:rsidR="007B1DBF" w:rsidRPr="00556C8A">
              <w:rPr>
                <w:rFonts w:ascii="Times New Roman" w:hAnsi="Times New Roman"/>
                <w:sz w:val="24"/>
                <w:szCs w:val="24"/>
              </w:rPr>
              <w:t xml:space="preserve">. Such measures must be proportionate and may be adopted </w:t>
            </w:r>
            <w:r w:rsidR="007B1DBF" w:rsidRPr="007B1DBF">
              <w:rPr>
                <w:rFonts w:ascii="Times New Roman" w:eastAsia="Times New Roman" w:hAnsi="Times New Roman"/>
                <w:sz w:val="24"/>
                <w:szCs w:val="24"/>
              </w:rPr>
              <w:t xml:space="preserve">pending further scientific information for a more comprehensive risk assessment. </w:t>
            </w:r>
            <w:r w:rsidRPr="007B1DBF">
              <w:rPr>
                <w:rFonts w:ascii="Times New Roman" w:eastAsia="Times New Roman" w:hAnsi="Times New Roman"/>
                <w:sz w:val="24"/>
                <w:szCs w:val="24"/>
                <w:lang w:val="en-GB"/>
              </w:rPr>
              <w:t>Hence</w:t>
            </w:r>
            <w:r w:rsidRPr="00FC01BA">
              <w:rPr>
                <w:rFonts w:ascii="Times New Roman" w:eastAsia="Times New Roman" w:hAnsi="Times New Roman"/>
                <w:sz w:val="24"/>
                <w:szCs w:val="24"/>
                <w:lang w:val="en-GB"/>
              </w:rPr>
              <w:t xml:space="preserve">, the precautionary principle is being applied </w:t>
            </w:r>
            <w:proofErr w:type="gramStart"/>
            <w:r w:rsidRPr="00FC01BA">
              <w:rPr>
                <w:rFonts w:ascii="Times New Roman" w:eastAsia="Times New Roman" w:hAnsi="Times New Roman"/>
                <w:sz w:val="24"/>
                <w:szCs w:val="24"/>
                <w:lang w:val="en-GB"/>
              </w:rPr>
              <w:t>in the area of</w:t>
            </w:r>
            <w:proofErr w:type="gramEnd"/>
            <w:r w:rsidRPr="00FC01BA">
              <w:rPr>
                <w:rFonts w:ascii="Times New Roman" w:eastAsia="Times New Roman" w:hAnsi="Times New Roman"/>
                <w:sz w:val="24"/>
                <w:szCs w:val="24"/>
                <w:lang w:val="en-GB"/>
              </w:rPr>
              <w:t xml:space="preserve"> food and feed, where the conditions thereof are relevant</w:t>
            </w:r>
            <w:r w:rsidR="003F46F7" w:rsidRPr="00FC01BA">
              <w:rPr>
                <w:rStyle w:val="FootnoteReference"/>
                <w:rFonts w:ascii="Times New Roman" w:eastAsia="Times New Roman" w:hAnsi="Times New Roman"/>
                <w:sz w:val="24"/>
                <w:szCs w:val="24"/>
                <w:lang w:val="en-GB"/>
              </w:rPr>
              <w:footnoteReference w:id="47"/>
            </w:r>
            <w:r w:rsidRPr="00FC01BA">
              <w:rPr>
                <w:rFonts w:ascii="Times New Roman" w:eastAsia="Times New Roman" w:hAnsi="Times New Roman"/>
                <w:sz w:val="24"/>
                <w:szCs w:val="24"/>
                <w:lang w:val="en-GB"/>
              </w:rPr>
              <w:t>.</w:t>
            </w:r>
          </w:p>
          <w:p w14:paraId="5DFFF684" w14:textId="21436F80" w:rsidR="00C012A5" w:rsidRPr="00FC01BA" w:rsidRDefault="0061026F"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T</w:t>
            </w:r>
            <w:r w:rsidR="00A267BE" w:rsidRPr="00FC01BA">
              <w:rPr>
                <w:rFonts w:ascii="Times New Roman" w:hAnsi="Times New Roman"/>
                <w:sz w:val="24"/>
                <w:szCs w:val="24"/>
                <w:lang w:val="en-GB"/>
              </w:rPr>
              <w:t xml:space="preserve">he ‘Vision </w:t>
            </w:r>
            <w:r w:rsidR="004C2B62" w:rsidRPr="00FC01BA">
              <w:rPr>
                <w:rFonts w:ascii="Times New Roman" w:hAnsi="Times New Roman"/>
                <w:sz w:val="24"/>
                <w:szCs w:val="24"/>
                <w:lang w:val="en-GB"/>
              </w:rPr>
              <w:t>for A</w:t>
            </w:r>
            <w:r w:rsidR="00A267BE" w:rsidRPr="00FC01BA">
              <w:rPr>
                <w:rFonts w:ascii="Times New Roman" w:hAnsi="Times New Roman"/>
                <w:sz w:val="24"/>
                <w:szCs w:val="24"/>
                <w:lang w:val="en-GB"/>
              </w:rPr>
              <w:t xml:space="preserve">griculture and </w:t>
            </w:r>
            <w:r w:rsidR="004C2B62" w:rsidRPr="00FC01BA">
              <w:rPr>
                <w:rFonts w:ascii="Times New Roman" w:hAnsi="Times New Roman"/>
                <w:sz w:val="24"/>
                <w:szCs w:val="24"/>
                <w:lang w:val="en-GB"/>
              </w:rPr>
              <w:t>F</w:t>
            </w:r>
            <w:r w:rsidR="00A267BE" w:rsidRPr="00FC01BA">
              <w:rPr>
                <w:rFonts w:ascii="Times New Roman" w:hAnsi="Times New Roman"/>
                <w:sz w:val="24"/>
                <w:szCs w:val="24"/>
                <w:lang w:val="en-GB"/>
              </w:rPr>
              <w:t>ood’</w:t>
            </w:r>
            <w:r w:rsidR="00F82DBA" w:rsidRPr="00FC01BA">
              <w:rPr>
                <w:rStyle w:val="FootnoteReference"/>
                <w:rFonts w:ascii="Times New Roman" w:hAnsi="Times New Roman"/>
                <w:sz w:val="24"/>
                <w:szCs w:val="24"/>
                <w:lang w:val="en-GB"/>
              </w:rPr>
              <w:footnoteReference w:id="48"/>
            </w:r>
            <w:r w:rsidR="00A267BE" w:rsidRPr="00FC01BA">
              <w:rPr>
                <w:rFonts w:ascii="Times New Roman" w:hAnsi="Times New Roman"/>
                <w:sz w:val="24"/>
                <w:szCs w:val="24"/>
                <w:lang w:val="en-GB"/>
              </w:rPr>
              <w:t xml:space="preserve"> </w:t>
            </w:r>
            <w:r w:rsidR="00C012A5" w:rsidRPr="00FC01BA">
              <w:rPr>
                <w:rFonts w:ascii="Times New Roman" w:hAnsi="Times New Roman"/>
                <w:sz w:val="24"/>
                <w:szCs w:val="24"/>
                <w:lang w:val="en-GB"/>
              </w:rPr>
              <w:t xml:space="preserve">acknowledges that diverse and balanced nutrition can positively impact </w:t>
            </w:r>
            <w:r w:rsidR="00410EE7" w:rsidRPr="00FC01BA">
              <w:rPr>
                <w:rFonts w:ascii="Times New Roman" w:hAnsi="Times New Roman"/>
                <w:sz w:val="24"/>
                <w:szCs w:val="24"/>
                <w:lang w:val="en-GB"/>
              </w:rPr>
              <w:t xml:space="preserve">people’s well-being and health. It refers to the importance of monitoring the effects of certain advertising and marketing practices of food, </w:t>
            </w:r>
            <w:r w:rsidR="00AF29DB" w:rsidRPr="00FC01BA">
              <w:rPr>
                <w:rFonts w:ascii="Times New Roman" w:hAnsi="Times New Roman"/>
                <w:sz w:val="24"/>
                <w:szCs w:val="24"/>
                <w:lang w:val="en-GB"/>
              </w:rPr>
              <w:t xml:space="preserve">especially on the most vulnerable groups of consumers such as children. </w:t>
            </w:r>
            <w:r w:rsidR="00F82DBA" w:rsidRPr="00FC01BA">
              <w:rPr>
                <w:rFonts w:ascii="Times New Roman" w:hAnsi="Times New Roman"/>
                <w:sz w:val="24"/>
                <w:szCs w:val="24"/>
                <w:lang w:val="en-GB"/>
              </w:rPr>
              <w:t xml:space="preserve">As announced in the Vision for Agriculture and </w:t>
            </w:r>
            <w:proofErr w:type="gramStart"/>
            <w:r w:rsidR="00F82DBA" w:rsidRPr="00FC01BA">
              <w:rPr>
                <w:rFonts w:ascii="Times New Roman" w:hAnsi="Times New Roman"/>
                <w:sz w:val="24"/>
                <w:szCs w:val="24"/>
                <w:lang w:val="en-GB"/>
              </w:rPr>
              <w:t>Food,</w:t>
            </w:r>
            <w:proofErr w:type="gramEnd"/>
            <w:r w:rsidR="00F82DBA" w:rsidRPr="00FC01BA">
              <w:rPr>
                <w:rFonts w:ascii="Times New Roman" w:hAnsi="Times New Roman"/>
                <w:sz w:val="24"/>
                <w:szCs w:val="24"/>
                <w:lang w:val="en-GB"/>
              </w:rPr>
              <w:t xml:space="preserve"> t</w:t>
            </w:r>
            <w:r w:rsidR="007173B9" w:rsidRPr="00FC01BA">
              <w:rPr>
                <w:rFonts w:ascii="Times New Roman" w:hAnsi="Times New Roman"/>
                <w:sz w:val="24"/>
                <w:szCs w:val="24"/>
                <w:lang w:val="en-GB"/>
              </w:rPr>
              <w:t>o support</w:t>
            </w:r>
            <w:r w:rsidR="004C6F0D" w:rsidRPr="00FC01BA">
              <w:rPr>
                <w:rFonts w:ascii="Times New Roman" w:hAnsi="Times New Roman"/>
                <w:sz w:val="24"/>
                <w:szCs w:val="24"/>
                <w:lang w:val="en-GB"/>
              </w:rPr>
              <w:t xml:space="preserve"> </w:t>
            </w:r>
            <w:r w:rsidR="00124405" w:rsidRPr="00FC01BA">
              <w:rPr>
                <w:rFonts w:ascii="Times New Roman" w:hAnsi="Times New Roman"/>
                <w:sz w:val="24"/>
                <w:szCs w:val="24"/>
                <w:lang w:val="en-GB"/>
              </w:rPr>
              <w:t>the dialogue with food system actors, t</w:t>
            </w:r>
            <w:r w:rsidR="007173B9" w:rsidRPr="00FC01BA">
              <w:rPr>
                <w:rFonts w:ascii="Times New Roman" w:hAnsi="Times New Roman"/>
                <w:sz w:val="24"/>
                <w:szCs w:val="24"/>
                <w:lang w:val="en-GB"/>
              </w:rPr>
              <w:t xml:space="preserve">he Commission </w:t>
            </w:r>
            <w:r w:rsidR="00D867BC">
              <w:rPr>
                <w:rFonts w:ascii="Times New Roman" w:hAnsi="Times New Roman"/>
                <w:sz w:val="24"/>
                <w:szCs w:val="24"/>
                <w:lang w:val="en-GB"/>
              </w:rPr>
              <w:t>launched</w:t>
            </w:r>
            <w:r w:rsidR="007173B9" w:rsidRPr="00FC01BA">
              <w:rPr>
                <w:rFonts w:ascii="Times New Roman" w:hAnsi="Times New Roman"/>
                <w:sz w:val="24"/>
                <w:szCs w:val="24"/>
                <w:lang w:val="en-GB"/>
              </w:rPr>
              <w:t xml:space="preserve"> a study on the impact of the consumption of the so-called ‘ultra-processed foods’</w:t>
            </w:r>
            <w:r w:rsidR="009F6E03" w:rsidRPr="00FC01BA">
              <w:rPr>
                <w:rFonts w:ascii="Times New Roman" w:hAnsi="Times New Roman"/>
                <w:sz w:val="24"/>
                <w:szCs w:val="24"/>
                <w:lang w:val="en-GB"/>
              </w:rPr>
              <w:t xml:space="preserve"> that will feed in the agenda of the annual food dialogue announced in the Commission Vision for Agriculture and Food. For that purpose, the Commission will seek the opinion of the Scientific Advisory Mechanism and of the European Group of Ethics</w:t>
            </w:r>
            <w:r w:rsidR="007173B9" w:rsidRPr="00FC01BA">
              <w:rPr>
                <w:rFonts w:ascii="Times New Roman" w:hAnsi="Times New Roman"/>
                <w:sz w:val="24"/>
                <w:szCs w:val="24"/>
                <w:lang w:val="en-GB"/>
              </w:rPr>
              <w:t>.</w:t>
            </w:r>
          </w:p>
          <w:p w14:paraId="400857BD" w14:textId="01C5E800" w:rsidR="008003A8" w:rsidRPr="00FC01BA" w:rsidRDefault="008003A8" w:rsidP="00D4793C">
            <w:pPr>
              <w:widowControl w:val="0"/>
              <w:spacing w:before="120" w:after="120"/>
              <w:jc w:val="both"/>
              <w:rPr>
                <w:rFonts w:ascii="Times New Roman" w:hAnsi="Times New Roman"/>
                <w:b/>
                <w:bCs/>
                <w:sz w:val="24"/>
                <w:szCs w:val="24"/>
                <w:lang w:val="en-GB"/>
              </w:rPr>
            </w:pPr>
            <w:r w:rsidRPr="00FC01BA">
              <w:rPr>
                <w:rFonts w:ascii="Times New Roman" w:hAnsi="Times New Roman"/>
                <w:b/>
                <w:bCs/>
                <w:sz w:val="24"/>
                <w:szCs w:val="24"/>
                <w:lang w:val="en-GB"/>
              </w:rPr>
              <w:t>Point 4.4</w:t>
            </w:r>
            <w:r w:rsidR="00265BDA" w:rsidRPr="00FC01BA">
              <w:rPr>
                <w:rFonts w:ascii="Times New Roman" w:hAnsi="Times New Roman"/>
                <w:b/>
                <w:bCs/>
                <w:sz w:val="24"/>
                <w:szCs w:val="24"/>
                <w:lang w:val="en-GB"/>
              </w:rPr>
              <w:t>:</w:t>
            </w:r>
          </w:p>
          <w:p w14:paraId="715A770B" w14:textId="75EBBBFF" w:rsidR="009F6E03" w:rsidRPr="00FC01BA" w:rsidRDefault="009F6E03"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 xml:space="preserve">All EU </w:t>
            </w:r>
            <w:r w:rsidR="2399BC15" w:rsidRPr="00FC01BA">
              <w:rPr>
                <w:rFonts w:ascii="Times New Roman" w:hAnsi="Times New Roman"/>
                <w:sz w:val="24"/>
                <w:szCs w:val="24"/>
                <w:lang w:val="en-GB"/>
              </w:rPr>
              <w:t xml:space="preserve">Member States </w:t>
            </w:r>
            <w:r w:rsidRPr="00FC01BA">
              <w:rPr>
                <w:rFonts w:ascii="Times New Roman" w:hAnsi="Times New Roman"/>
                <w:sz w:val="24"/>
                <w:szCs w:val="24"/>
                <w:lang w:val="en-GB"/>
              </w:rPr>
              <w:t xml:space="preserve">raise excise taxes on tobacco products and alcoholic beverages, the revenue of which goes </w:t>
            </w:r>
            <w:r w:rsidR="00AB661D" w:rsidRPr="00FC01BA">
              <w:rPr>
                <w:rFonts w:ascii="Times New Roman" w:hAnsi="Times New Roman"/>
                <w:sz w:val="24"/>
                <w:szCs w:val="24"/>
                <w:lang w:val="en-GB"/>
              </w:rPr>
              <w:t>entirely to</w:t>
            </w:r>
            <w:r w:rsidRPr="00FC01BA">
              <w:rPr>
                <w:rFonts w:ascii="Times New Roman" w:hAnsi="Times New Roman"/>
                <w:sz w:val="24"/>
                <w:szCs w:val="24"/>
                <w:lang w:val="en-GB"/>
              </w:rPr>
              <w:t xml:space="preserve"> national budgets. </w:t>
            </w:r>
            <w:proofErr w:type="gramStart"/>
            <w:r w:rsidRPr="00FC01BA">
              <w:rPr>
                <w:rFonts w:ascii="Times New Roman" w:hAnsi="Times New Roman"/>
                <w:sz w:val="24"/>
                <w:szCs w:val="24"/>
                <w:lang w:val="en-GB"/>
              </w:rPr>
              <w:t>More and more</w:t>
            </w:r>
            <w:proofErr w:type="gramEnd"/>
            <w:r w:rsidRPr="00FC01BA">
              <w:rPr>
                <w:rFonts w:ascii="Times New Roman" w:hAnsi="Times New Roman"/>
                <w:sz w:val="24"/>
                <w:szCs w:val="24"/>
                <w:lang w:val="en-GB"/>
              </w:rPr>
              <w:t xml:space="preserve"> Member States are introducing taxes on</w:t>
            </w:r>
            <w:r w:rsidR="00944A8D" w:rsidRPr="00FC01BA">
              <w:rPr>
                <w:rFonts w:ascii="Times New Roman" w:hAnsi="Times New Roman"/>
                <w:sz w:val="24"/>
                <w:szCs w:val="24"/>
                <w:lang w:val="en-GB"/>
              </w:rPr>
              <w:t xml:space="preserve"> novel tobacco and nicotine </w:t>
            </w:r>
            <w:r w:rsidR="009C141D" w:rsidRPr="00FC01BA">
              <w:rPr>
                <w:rFonts w:ascii="Times New Roman" w:hAnsi="Times New Roman"/>
                <w:sz w:val="24"/>
                <w:szCs w:val="24"/>
                <w:lang w:val="en-GB"/>
              </w:rPr>
              <w:t>products (</w:t>
            </w:r>
            <w:r w:rsidRPr="00FC01BA">
              <w:rPr>
                <w:rFonts w:ascii="Times New Roman" w:hAnsi="Times New Roman"/>
                <w:sz w:val="24"/>
                <w:szCs w:val="24"/>
                <w:lang w:val="en-GB"/>
              </w:rPr>
              <w:t>such as heated tobacco, liquids for electronic cigarettes, and nicotine pouches) at the national level. EU legislation sets categories, principles of taxation, and minimum rates and structures to be applied.</w:t>
            </w:r>
          </w:p>
          <w:p w14:paraId="2F5D4E4F" w14:textId="5B2FA2F0" w:rsidR="009F6E03" w:rsidRPr="00FC01BA" w:rsidRDefault="0CEFAFC2"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On 16 July 2025, the Commission adopted a proposal for a recast of the Tobacco Taxation Directive which aims to update the existing legal framework for excise duties on tobacco products</w:t>
            </w:r>
            <w:r w:rsidR="6385F3B0" w:rsidRPr="00FC01BA">
              <w:rPr>
                <w:rFonts w:ascii="Times New Roman" w:hAnsi="Times New Roman"/>
                <w:sz w:val="24"/>
                <w:szCs w:val="24"/>
                <w:lang w:val="en-GB"/>
              </w:rPr>
              <w:t xml:space="preserve"> with the purpose to ensure the proper functioning of the EU’s internal market, but also</w:t>
            </w:r>
            <w:r w:rsidR="064F110E" w:rsidRPr="00FC01BA">
              <w:rPr>
                <w:rFonts w:ascii="Times New Roman" w:hAnsi="Times New Roman"/>
                <w:sz w:val="24"/>
                <w:szCs w:val="24"/>
                <w:lang w:val="en-GB"/>
              </w:rPr>
              <w:t xml:space="preserve"> with the objective</w:t>
            </w:r>
            <w:r w:rsidR="6385F3B0" w:rsidRPr="00FC01BA">
              <w:rPr>
                <w:rFonts w:ascii="Times New Roman" w:hAnsi="Times New Roman"/>
                <w:sz w:val="24"/>
                <w:szCs w:val="24"/>
                <w:lang w:val="en-GB"/>
              </w:rPr>
              <w:t xml:space="preserve"> </w:t>
            </w:r>
            <w:r w:rsidR="007B1DBF">
              <w:rPr>
                <w:rFonts w:ascii="Times New Roman" w:hAnsi="Times New Roman"/>
                <w:sz w:val="24"/>
                <w:szCs w:val="24"/>
                <w:lang w:val="en-GB"/>
              </w:rPr>
              <w:t>of aligning</w:t>
            </w:r>
            <w:r w:rsidRPr="00FC01BA">
              <w:rPr>
                <w:rFonts w:ascii="Times New Roman" w:hAnsi="Times New Roman"/>
                <w:sz w:val="24"/>
                <w:szCs w:val="24"/>
                <w:lang w:val="en-GB"/>
              </w:rPr>
              <w:t xml:space="preserve"> with Europe’s Beating Cancer Plan. The proposal seeks to better align tobacco taxation with public health goals by intervening in three key policy areas:</w:t>
            </w:r>
          </w:p>
          <w:p w14:paraId="5D408549" w14:textId="2AEE2329" w:rsidR="009F6E03" w:rsidRPr="00FC01BA" w:rsidRDefault="0CEFAFC2"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(1)</w:t>
            </w:r>
            <w:r w:rsidR="343E6FF7" w:rsidRPr="00FC01BA">
              <w:rPr>
                <w:rFonts w:ascii="Times New Roman" w:hAnsi="Times New Roman"/>
                <w:sz w:val="24"/>
                <w:szCs w:val="24"/>
                <w:lang w:val="en-GB"/>
              </w:rPr>
              <w:t xml:space="preserve"> </w:t>
            </w:r>
            <w:r w:rsidRPr="00FC01BA">
              <w:rPr>
                <w:rFonts w:ascii="Times New Roman" w:hAnsi="Times New Roman"/>
                <w:sz w:val="24"/>
                <w:szCs w:val="24"/>
                <w:lang w:val="en-GB"/>
              </w:rPr>
              <w:t>revising EU minim</w:t>
            </w:r>
            <w:r w:rsidR="00803CBF">
              <w:rPr>
                <w:rFonts w:ascii="Times New Roman" w:hAnsi="Times New Roman"/>
                <w:sz w:val="24"/>
                <w:szCs w:val="24"/>
                <w:lang w:val="en-GB"/>
              </w:rPr>
              <w:t>um</w:t>
            </w:r>
            <w:r w:rsidR="5060D56C" w:rsidRPr="00FC01BA">
              <w:rPr>
                <w:rFonts w:ascii="Times New Roman" w:hAnsi="Times New Roman"/>
                <w:sz w:val="24"/>
                <w:szCs w:val="24"/>
                <w:lang w:val="en-GB"/>
              </w:rPr>
              <w:t xml:space="preserve"> rates</w:t>
            </w:r>
            <w:r w:rsidRPr="00FC01BA">
              <w:rPr>
                <w:rFonts w:ascii="Times New Roman" w:hAnsi="Times New Roman"/>
                <w:sz w:val="24"/>
                <w:szCs w:val="24"/>
                <w:lang w:val="en-GB"/>
              </w:rPr>
              <w:t xml:space="preserve"> for traditional tobacco products while </w:t>
            </w:r>
            <w:proofErr w:type="gramStart"/>
            <w:r w:rsidRPr="00FC01BA">
              <w:rPr>
                <w:rFonts w:ascii="Times New Roman" w:hAnsi="Times New Roman"/>
                <w:sz w:val="24"/>
                <w:szCs w:val="24"/>
                <w:lang w:val="en-GB"/>
              </w:rPr>
              <w:t>taking into account</w:t>
            </w:r>
            <w:proofErr w:type="gramEnd"/>
            <w:r w:rsidRPr="00FC01BA">
              <w:rPr>
                <w:rFonts w:ascii="Times New Roman" w:hAnsi="Times New Roman"/>
                <w:sz w:val="24"/>
                <w:szCs w:val="24"/>
                <w:lang w:val="en-GB"/>
              </w:rPr>
              <w:t xml:space="preserve"> purchasing power parities and the economic situation of Member States</w:t>
            </w:r>
            <w:r w:rsidR="2FF51BFC" w:rsidRPr="00FC01BA">
              <w:rPr>
                <w:rFonts w:ascii="Times New Roman" w:hAnsi="Times New Roman"/>
                <w:sz w:val="24"/>
                <w:szCs w:val="24"/>
                <w:lang w:val="en-GB"/>
              </w:rPr>
              <w:t>.</w:t>
            </w:r>
          </w:p>
          <w:p w14:paraId="0FFEC550" w14:textId="0CC7B224" w:rsidR="009F6E03" w:rsidRPr="00FC01BA" w:rsidRDefault="0CEFAFC2"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(2)</w:t>
            </w:r>
            <w:r w:rsidR="343E6FF7" w:rsidRPr="00FC01BA">
              <w:rPr>
                <w:rFonts w:ascii="Times New Roman" w:hAnsi="Times New Roman"/>
                <w:sz w:val="24"/>
                <w:szCs w:val="24"/>
                <w:lang w:val="en-GB"/>
              </w:rPr>
              <w:t xml:space="preserve"> </w:t>
            </w:r>
            <w:r w:rsidRPr="00FC01BA">
              <w:rPr>
                <w:rFonts w:ascii="Times New Roman" w:hAnsi="Times New Roman"/>
                <w:sz w:val="24"/>
                <w:szCs w:val="24"/>
                <w:lang w:val="en-GB"/>
              </w:rPr>
              <w:t>enlarging the scope of the Directive to new products, such as liquids for electronic cigarettes,</w:t>
            </w:r>
            <w:r w:rsidR="6DEACEFD" w:rsidRPr="00FC01BA">
              <w:rPr>
                <w:rFonts w:ascii="Times New Roman" w:hAnsi="Times New Roman"/>
                <w:sz w:val="24"/>
                <w:szCs w:val="24"/>
                <w:lang w:val="en-GB"/>
              </w:rPr>
              <w:t xml:space="preserve"> </w:t>
            </w:r>
            <w:r w:rsidR="6DEACEFD" w:rsidRPr="00FC01BA">
              <w:rPr>
                <w:rFonts w:ascii="Times New Roman" w:eastAsia="Aptos" w:hAnsi="Times New Roman"/>
                <w:sz w:val="24"/>
                <w:szCs w:val="24"/>
                <w:lang w:val="en-GB"/>
              </w:rPr>
              <w:t xml:space="preserve">chewing tobacco and nicotine pouches, </w:t>
            </w:r>
            <w:r w:rsidR="22DC1377" w:rsidRPr="00FC01BA">
              <w:rPr>
                <w:rFonts w:ascii="Times New Roman" w:eastAsia="Aptos" w:hAnsi="Times New Roman"/>
                <w:sz w:val="24"/>
                <w:szCs w:val="24"/>
                <w:lang w:val="en-GB"/>
              </w:rPr>
              <w:t xml:space="preserve">and </w:t>
            </w:r>
            <w:r w:rsidR="263DD5C7" w:rsidRPr="00FC01BA">
              <w:rPr>
                <w:rFonts w:ascii="Times New Roman" w:eastAsia="Aptos" w:hAnsi="Times New Roman"/>
                <w:sz w:val="24"/>
                <w:szCs w:val="24"/>
                <w:lang w:val="en-GB"/>
              </w:rPr>
              <w:t xml:space="preserve">explicitly </w:t>
            </w:r>
            <w:r w:rsidR="22DC1377" w:rsidRPr="00FC01BA">
              <w:rPr>
                <w:rFonts w:ascii="Times New Roman" w:eastAsia="Aptos" w:hAnsi="Times New Roman"/>
                <w:sz w:val="24"/>
                <w:szCs w:val="24"/>
                <w:lang w:val="en-GB"/>
              </w:rPr>
              <w:t>clarifying that</w:t>
            </w:r>
            <w:r w:rsidRPr="00FC01BA">
              <w:rPr>
                <w:rFonts w:ascii="Times New Roman" w:hAnsi="Times New Roman"/>
                <w:sz w:val="24"/>
                <w:szCs w:val="24"/>
                <w:lang w:val="en-GB"/>
              </w:rPr>
              <w:t xml:space="preserve"> heated tobacco and </w:t>
            </w:r>
            <w:r w:rsidR="15318FF3" w:rsidRPr="00FC01BA">
              <w:rPr>
                <w:rFonts w:ascii="Times New Roman" w:hAnsi="Times New Roman"/>
                <w:sz w:val="24"/>
                <w:szCs w:val="24"/>
                <w:lang w:val="en-GB"/>
              </w:rPr>
              <w:t>waterpipe tobacco are covered by the Directive</w:t>
            </w:r>
            <w:r w:rsidRPr="00FC01BA">
              <w:rPr>
                <w:rFonts w:ascii="Times New Roman" w:hAnsi="Times New Roman"/>
                <w:sz w:val="24"/>
                <w:szCs w:val="24"/>
                <w:lang w:val="en-GB"/>
              </w:rPr>
              <w:t>.</w:t>
            </w:r>
          </w:p>
          <w:p w14:paraId="3EC73BE6" w14:textId="3881E6AC" w:rsidR="009F6E03" w:rsidRPr="00FC01BA" w:rsidRDefault="009F6E03"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(3)</w:t>
            </w:r>
            <w:r w:rsidR="00F9107B" w:rsidRPr="00FC01BA">
              <w:rPr>
                <w:rFonts w:ascii="Times New Roman" w:hAnsi="Times New Roman"/>
                <w:sz w:val="24"/>
                <w:szCs w:val="24"/>
                <w:lang w:val="en-GB"/>
              </w:rPr>
              <w:t xml:space="preserve"> </w:t>
            </w:r>
            <w:r w:rsidRPr="00FC01BA">
              <w:rPr>
                <w:rFonts w:ascii="Times New Roman" w:hAnsi="Times New Roman"/>
                <w:sz w:val="24"/>
                <w:szCs w:val="24"/>
                <w:lang w:val="en-GB"/>
              </w:rPr>
              <w:t>enlarging the scope of the Directive to raw tobacco to better control raw tobacco movements to fight against illicit trade.</w:t>
            </w:r>
          </w:p>
          <w:p w14:paraId="68AA84B6" w14:textId="6409C52D" w:rsidR="009F6E03" w:rsidRPr="00FC01BA" w:rsidRDefault="009F6E03"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Europe’s Beating Cancer Plan also mentions that the Commission will consider the feasibility of proposing new tax measures on sugars and soft drinks. In 2025, the Commission published an</w:t>
            </w:r>
            <w:r w:rsidR="00A17B82">
              <w:rPr>
                <w:rFonts w:ascii="Times New Roman" w:hAnsi="Times New Roman"/>
                <w:sz w:val="24"/>
                <w:szCs w:val="24"/>
                <w:lang w:val="en-GB"/>
              </w:rPr>
              <w:t> </w:t>
            </w:r>
            <w:r w:rsidRPr="00FC01BA">
              <w:rPr>
                <w:rFonts w:ascii="Times New Roman" w:hAnsi="Times New Roman"/>
                <w:sz w:val="24"/>
                <w:szCs w:val="24"/>
                <w:lang w:val="en-GB"/>
              </w:rPr>
              <w:t>exploratory study on the taxation of products high in fat, sugar and salt</w:t>
            </w:r>
            <w:r w:rsidR="00641EFF" w:rsidRPr="00FC01BA">
              <w:rPr>
                <w:rFonts w:ascii="Times New Roman" w:hAnsi="Times New Roman"/>
                <w:sz w:val="24"/>
                <w:szCs w:val="24"/>
                <w:lang w:val="en-GB"/>
              </w:rPr>
              <w:t xml:space="preserve"> by Member States</w:t>
            </w:r>
            <w:r w:rsidR="003E0853" w:rsidRPr="00FC01BA">
              <w:rPr>
                <w:rFonts w:ascii="Times New Roman" w:hAnsi="Times New Roman"/>
                <w:sz w:val="24"/>
                <w:szCs w:val="24"/>
                <w:lang w:val="en-GB"/>
              </w:rPr>
              <w:t xml:space="preserve"> </w:t>
            </w:r>
            <w:r w:rsidR="00432358" w:rsidRPr="00FC01BA">
              <w:rPr>
                <w:rFonts w:ascii="Times New Roman" w:hAnsi="Times New Roman"/>
                <w:sz w:val="24"/>
                <w:szCs w:val="24"/>
                <w:lang w:val="en-GB"/>
              </w:rPr>
              <w:t>which concludes that health taxes can be a useful tool for promoting public health and generating revenue for national budgets, but that their design and implementation need to be carefully considered to ensure that they are effective and fair</w:t>
            </w:r>
            <w:r w:rsidR="00E70B20">
              <w:rPr>
                <w:rStyle w:val="FootnoteReference"/>
                <w:rFonts w:ascii="Times New Roman" w:hAnsi="Times New Roman"/>
                <w:sz w:val="24"/>
                <w:szCs w:val="24"/>
                <w:lang w:val="en-GB"/>
              </w:rPr>
              <w:footnoteReference w:id="49"/>
            </w:r>
            <w:r w:rsidR="003E0853" w:rsidRPr="00FC01BA">
              <w:rPr>
                <w:rFonts w:ascii="Times New Roman" w:hAnsi="Times New Roman"/>
                <w:sz w:val="24"/>
                <w:szCs w:val="24"/>
                <w:lang w:val="en-GB"/>
              </w:rPr>
              <w:t xml:space="preserve"> </w:t>
            </w:r>
            <w:r w:rsidRPr="00FC01BA">
              <w:rPr>
                <w:rFonts w:ascii="Times New Roman" w:hAnsi="Times New Roman"/>
                <w:sz w:val="24"/>
                <w:szCs w:val="24"/>
                <w:lang w:val="en-GB"/>
              </w:rPr>
              <w:t>.</w:t>
            </w:r>
          </w:p>
          <w:p w14:paraId="273E928C" w14:textId="65DE2EBB" w:rsidR="0049246C" w:rsidRPr="00FC01BA" w:rsidRDefault="009F6E03"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lastRenderedPageBreak/>
              <w:t>In parallel, the Commission support</w:t>
            </w:r>
            <w:r w:rsidR="00A20C12" w:rsidRPr="00FC01BA">
              <w:rPr>
                <w:rFonts w:ascii="Times New Roman" w:hAnsi="Times New Roman"/>
                <w:sz w:val="24"/>
                <w:szCs w:val="24"/>
                <w:lang w:val="en-GB"/>
              </w:rPr>
              <w:t>s</w:t>
            </w:r>
            <w:r w:rsidRPr="00FC01BA">
              <w:rPr>
                <w:rFonts w:ascii="Times New Roman" w:hAnsi="Times New Roman"/>
                <w:sz w:val="24"/>
                <w:szCs w:val="24"/>
                <w:lang w:val="en-GB"/>
              </w:rPr>
              <w:t xml:space="preserve"> the exchange of information and best practices on the taxation of non-alcoholic beverages among Member State authorities.</w:t>
            </w:r>
          </w:p>
          <w:p w14:paraId="35CFDC26" w14:textId="2061F496" w:rsidR="0049246C" w:rsidRPr="00FC01BA" w:rsidRDefault="2EDD1D67" w:rsidP="00D4793C">
            <w:pPr>
              <w:widowControl w:val="0"/>
              <w:spacing w:before="120" w:after="120"/>
              <w:jc w:val="both"/>
              <w:rPr>
                <w:rFonts w:ascii="Times New Roman" w:hAnsi="Times New Roman"/>
                <w:b/>
                <w:bCs/>
                <w:sz w:val="24"/>
                <w:szCs w:val="24"/>
                <w:lang w:val="en-GB"/>
              </w:rPr>
            </w:pPr>
            <w:r w:rsidRPr="00FC01BA">
              <w:rPr>
                <w:rFonts w:ascii="Times New Roman" w:hAnsi="Times New Roman"/>
                <w:b/>
                <w:bCs/>
                <w:sz w:val="24"/>
                <w:szCs w:val="24"/>
                <w:lang w:val="en-GB"/>
              </w:rPr>
              <w:t>Points 4.7, 5.1 and 6.2</w:t>
            </w:r>
            <w:r w:rsidR="00265BDA" w:rsidRPr="00FC01BA">
              <w:rPr>
                <w:rFonts w:ascii="Times New Roman" w:hAnsi="Times New Roman"/>
                <w:b/>
                <w:bCs/>
                <w:sz w:val="24"/>
                <w:szCs w:val="24"/>
                <w:lang w:val="en-GB"/>
              </w:rPr>
              <w:t>:</w:t>
            </w:r>
          </w:p>
          <w:p w14:paraId="30D14481" w14:textId="33195126" w:rsidR="0049246C" w:rsidRPr="00FC01BA" w:rsidRDefault="0C1F365E" w:rsidP="00D4793C">
            <w:pPr>
              <w:widowControl w:val="0"/>
              <w:spacing w:before="120" w:after="120"/>
              <w:jc w:val="both"/>
              <w:rPr>
                <w:rFonts w:ascii="Times New Roman" w:hAnsi="Times New Roman"/>
                <w:sz w:val="24"/>
                <w:szCs w:val="24"/>
                <w:lang w:val="en-GB"/>
              </w:rPr>
            </w:pPr>
            <w:r w:rsidRPr="00FC01BA">
              <w:rPr>
                <w:rFonts w:ascii="Times New Roman" w:hAnsi="Times New Roman"/>
                <w:sz w:val="24"/>
                <w:szCs w:val="24"/>
                <w:lang w:val="en-GB"/>
              </w:rPr>
              <w:t>As stated in President von der Leyen’s political guidelines, the Commission will launch an EU-wide inquiry</w:t>
            </w:r>
            <w:r w:rsidR="00803CBF">
              <w:rPr>
                <w:rFonts w:ascii="Times New Roman" w:hAnsi="Times New Roman"/>
                <w:sz w:val="24"/>
                <w:szCs w:val="24"/>
                <w:lang w:val="en-GB"/>
              </w:rPr>
              <w:t xml:space="preserve"> into</w:t>
            </w:r>
            <w:r w:rsidRPr="00FC01BA">
              <w:rPr>
                <w:rFonts w:ascii="Times New Roman" w:hAnsi="Times New Roman"/>
                <w:sz w:val="24"/>
                <w:szCs w:val="24"/>
                <w:lang w:val="en-GB"/>
              </w:rPr>
              <w:t xml:space="preserve"> the broader impacts of social media on health and well-being. Potential </w:t>
            </w:r>
            <w:r w:rsidR="6DAD2375" w:rsidRPr="00FC01BA">
              <w:rPr>
                <w:rFonts w:ascii="Times New Roman" w:hAnsi="Times New Roman"/>
                <w:sz w:val="24"/>
                <w:szCs w:val="24"/>
                <w:lang w:val="en-GB"/>
              </w:rPr>
              <w:t>health and public health risks related</w:t>
            </w:r>
            <w:r w:rsidRPr="00FC01BA">
              <w:rPr>
                <w:rFonts w:ascii="Times New Roman" w:hAnsi="Times New Roman"/>
                <w:sz w:val="24"/>
                <w:szCs w:val="24"/>
                <w:lang w:val="en-GB"/>
              </w:rPr>
              <w:t xml:space="preserve"> </w:t>
            </w:r>
            <w:r w:rsidR="7242F17B" w:rsidRPr="00FC01BA">
              <w:rPr>
                <w:rFonts w:ascii="Times New Roman" w:hAnsi="Times New Roman"/>
                <w:sz w:val="24"/>
                <w:szCs w:val="24"/>
                <w:lang w:val="en-GB"/>
              </w:rPr>
              <w:t xml:space="preserve">to digital platforms </w:t>
            </w:r>
            <w:r w:rsidRPr="00FC01BA">
              <w:rPr>
                <w:rFonts w:ascii="Times New Roman" w:hAnsi="Times New Roman"/>
                <w:sz w:val="24"/>
                <w:szCs w:val="24"/>
                <w:lang w:val="en-GB"/>
              </w:rPr>
              <w:t xml:space="preserve">are </w:t>
            </w:r>
            <w:r w:rsidR="3251E426" w:rsidRPr="00FC01BA">
              <w:rPr>
                <w:rFonts w:ascii="Times New Roman" w:hAnsi="Times New Roman"/>
                <w:sz w:val="24"/>
                <w:szCs w:val="24"/>
                <w:lang w:val="en-GB"/>
              </w:rPr>
              <w:t xml:space="preserve">also </w:t>
            </w:r>
            <w:r w:rsidRPr="00FC01BA">
              <w:rPr>
                <w:rFonts w:ascii="Times New Roman" w:hAnsi="Times New Roman"/>
                <w:sz w:val="24"/>
                <w:szCs w:val="24"/>
                <w:lang w:val="en-GB"/>
              </w:rPr>
              <w:t xml:space="preserve">recognised in </w:t>
            </w:r>
            <w:r w:rsidR="009A259D">
              <w:rPr>
                <w:rFonts w:ascii="Times New Roman" w:hAnsi="Times New Roman"/>
                <w:sz w:val="24"/>
                <w:szCs w:val="24"/>
                <w:lang w:val="en-GB"/>
              </w:rPr>
              <w:t xml:space="preserve">the </w:t>
            </w:r>
            <w:r w:rsidR="00660267">
              <w:rPr>
                <w:rFonts w:ascii="Times New Roman" w:hAnsi="Times New Roman"/>
                <w:sz w:val="24"/>
                <w:szCs w:val="24"/>
                <w:lang w:val="en-GB"/>
              </w:rPr>
              <w:t>Digital Services Act</w:t>
            </w:r>
            <w:r w:rsidR="00E70B20">
              <w:rPr>
                <w:rStyle w:val="FootnoteReference"/>
                <w:rFonts w:ascii="Times New Roman" w:hAnsi="Times New Roman"/>
                <w:sz w:val="24"/>
                <w:szCs w:val="24"/>
                <w:lang w:val="en-GB"/>
              </w:rPr>
              <w:footnoteReference w:id="50"/>
            </w:r>
            <w:r w:rsidR="00B40321" w:rsidRPr="00FC01BA">
              <w:rPr>
                <w:rFonts w:ascii="Times New Roman" w:hAnsi="Times New Roman"/>
                <w:sz w:val="24"/>
                <w:szCs w:val="24"/>
                <w:lang w:val="en-GB"/>
              </w:rPr>
              <w:t>. It</w:t>
            </w:r>
            <w:r w:rsidR="00DD4691" w:rsidRPr="00FC01BA">
              <w:rPr>
                <w:rFonts w:ascii="Times New Roman" w:hAnsi="Times New Roman"/>
                <w:sz w:val="24"/>
                <w:szCs w:val="24"/>
                <w:lang w:val="en-GB"/>
              </w:rPr>
              <w:t xml:space="preserve"> </w:t>
            </w:r>
            <w:r w:rsidR="72EE20C4" w:rsidRPr="00FC01BA">
              <w:rPr>
                <w:rFonts w:ascii="Times New Roman" w:hAnsi="Times New Roman"/>
                <w:sz w:val="24"/>
                <w:szCs w:val="24"/>
                <w:lang w:val="en-GB"/>
              </w:rPr>
              <w:t xml:space="preserve">takes into account </w:t>
            </w:r>
            <w:r w:rsidR="1C6261F8" w:rsidRPr="00FC01BA">
              <w:rPr>
                <w:rFonts w:ascii="Times New Roman" w:hAnsi="Times New Roman"/>
                <w:sz w:val="24"/>
                <w:szCs w:val="24"/>
                <w:lang w:val="en-GB"/>
              </w:rPr>
              <w:t>concerns relating to the design, functioning or use, including through manipulation, of very large online platforms and of very large online search engines with an actual or foreseeable negative effect on the protection of public health</w:t>
            </w:r>
            <w:r w:rsidR="4EC14D86" w:rsidRPr="00FC01BA">
              <w:rPr>
                <w:rFonts w:ascii="Times New Roman" w:hAnsi="Times New Roman"/>
                <w:sz w:val="24"/>
                <w:szCs w:val="24"/>
                <w:lang w:val="en-GB"/>
              </w:rPr>
              <w:t xml:space="preserve"> </w:t>
            </w:r>
            <w:r w:rsidR="1C6261F8" w:rsidRPr="00FC01BA">
              <w:rPr>
                <w:rFonts w:ascii="Times New Roman" w:hAnsi="Times New Roman"/>
                <w:sz w:val="24"/>
                <w:szCs w:val="24"/>
                <w:lang w:val="en-GB"/>
              </w:rPr>
              <w:t xml:space="preserve">and serious negative consequences </w:t>
            </w:r>
            <w:r w:rsidR="00D170ED">
              <w:rPr>
                <w:rFonts w:ascii="Times New Roman" w:hAnsi="Times New Roman"/>
                <w:sz w:val="24"/>
                <w:szCs w:val="24"/>
                <w:lang w:val="en-GB"/>
              </w:rPr>
              <w:t>on</w:t>
            </w:r>
            <w:r w:rsidR="1C6261F8" w:rsidRPr="00FC01BA">
              <w:rPr>
                <w:rFonts w:ascii="Times New Roman" w:hAnsi="Times New Roman"/>
                <w:sz w:val="24"/>
                <w:szCs w:val="24"/>
                <w:lang w:val="en-GB"/>
              </w:rPr>
              <w:t xml:space="preserve"> a person's physical and mental well-being</w:t>
            </w:r>
            <w:r w:rsidR="4DEC0CD2" w:rsidRPr="00FC01BA">
              <w:rPr>
                <w:rFonts w:ascii="Times New Roman" w:hAnsi="Times New Roman"/>
                <w:sz w:val="24"/>
                <w:szCs w:val="24"/>
                <w:lang w:val="en-GB"/>
              </w:rPr>
              <w:t xml:space="preserve">, which </w:t>
            </w:r>
            <w:r w:rsidR="1C6261F8" w:rsidRPr="00FC01BA">
              <w:rPr>
                <w:rFonts w:ascii="Times New Roman" w:hAnsi="Times New Roman"/>
                <w:sz w:val="24"/>
                <w:szCs w:val="24"/>
                <w:lang w:val="en-GB"/>
              </w:rPr>
              <w:t>may also stem from disinformation related to public health</w:t>
            </w:r>
            <w:r w:rsidR="2C8F8639" w:rsidRPr="00FC01BA">
              <w:rPr>
                <w:rFonts w:ascii="Times New Roman" w:hAnsi="Times New Roman"/>
                <w:sz w:val="24"/>
                <w:szCs w:val="24"/>
                <w:lang w:val="en-GB"/>
              </w:rPr>
              <w:t xml:space="preserve"> or the </w:t>
            </w:r>
            <w:r w:rsidR="2C8F8639" w:rsidRPr="00FC01BA">
              <w:rPr>
                <w:rFonts w:ascii="Times New Roman" w:eastAsia="Times New Roman" w:hAnsi="Times New Roman"/>
                <w:sz w:val="24"/>
                <w:szCs w:val="24"/>
                <w:lang w:val="en-GB"/>
              </w:rPr>
              <w:t>distribution of advertising online.</w:t>
            </w:r>
          </w:p>
        </w:tc>
      </w:tr>
    </w:tbl>
    <w:p w14:paraId="6AF07B14" w14:textId="26AEAB66" w:rsidR="004F6117" w:rsidRPr="00A17B82" w:rsidRDefault="004F6117" w:rsidP="00611D45">
      <w:pPr>
        <w:rPr>
          <w:rFonts w:ascii="Times New Roman" w:hAnsi="Times New Roman"/>
          <w:b/>
          <w:strike/>
          <w:sz w:val="2"/>
          <w:szCs w:val="2"/>
          <w:u w:val="single"/>
          <w:lang w:val="en-GB"/>
        </w:rPr>
      </w:pPr>
    </w:p>
    <w:sectPr w:rsidR="004F6117" w:rsidRPr="00A17B8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CEB3" w14:textId="77777777" w:rsidR="00590693" w:rsidRDefault="00590693" w:rsidP="00FF63EA">
      <w:pPr>
        <w:spacing w:after="0" w:line="240" w:lineRule="auto"/>
      </w:pPr>
      <w:r>
        <w:separator/>
      </w:r>
    </w:p>
  </w:endnote>
  <w:endnote w:type="continuationSeparator" w:id="0">
    <w:p w14:paraId="21607FF9" w14:textId="77777777" w:rsidR="00590693" w:rsidRDefault="00590693" w:rsidP="00FF63EA">
      <w:pPr>
        <w:spacing w:after="0" w:line="240" w:lineRule="auto"/>
      </w:pPr>
      <w:r>
        <w:continuationSeparator/>
      </w:r>
    </w:p>
  </w:endnote>
  <w:endnote w:type="continuationNotice" w:id="1">
    <w:p w14:paraId="1C433146" w14:textId="77777777" w:rsidR="00590693" w:rsidRDefault="005906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19DC" w14:textId="77777777" w:rsidR="00DC0F8F" w:rsidRDefault="00DC0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5C81" w14:textId="77777777" w:rsidR="00DC0F8F" w:rsidRDefault="00DC0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B09A" w14:textId="77777777" w:rsidR="00DC0F8F" w:rsidRDefault="00DC0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66E3" w14:textId="77777777" w:rsidR="00590693" w:rsidRDefault="00590693" w:rsidP="00FF63EA">
      <w:pPr>
        <w:spacing w:after="0" w:line="240" w:lineRule="auto"/>
      </w:pPr>
      <w:r>
        <w:separator/>
      </w:r>
    </w:p>
  </w:footnote>
  <w:footnote w:type="continuationSeparator" w:id="0">
    <w:p w14:paraId="1851EA27" w14:textId="77777777" w:rsidR="00590693" w:rsidRDefault="00590693" w:rsidP="00FF63EA">
      <w:pPr>
        <w:spacing w:after="0" w:line="240" w:lineRule="auto"/>
      </w:pPr>
      <w:r>
        <w:continuationSeparator/>
      </w:r>
    </w:p>
  </w:footnote>
  <w:footnote w:type="continuationNotice" w:id="1">
    <w:p w14:paraId="59156A6F" w14:textId="77777777" w:rsidR="00590693" w:rsidRDefault="00590693">
      <w:pPr>
        <w:spacing w:after="0" w:line="240" w:lineRule="auto"/>
      </w:pPr>
    </w:p>
  </w:footnote>
  <w:footnote w:id="2">
    <w:p w14:paraId="2234ED1D" w14:textId="275FBDB3" w:rsidR="009C28CB" w:rsidRPr="00FC01BA" w:rsidRDefault="009C28CB" w:rsidP="00411DF9">
      <w:pPr>
        <w:pStyle w:val="FootnoteText"/>
        <w:ind w:left="142" w:right="-142" w:hanging="284"/>
        <w:jc w:val="both"/>
        <w:rPr>
          <w:rStyle w:val="Hyperlink"/>
          <w:rFonts w:ascii="Calibri" w:eastAsia="Calibri" w:hAnsi="Calibri"/>
          <w:sz w:val="22"/>
          <w:szCs w:val="22"/>
        </w:rPr>
      </w:pPr>
      <w:r w:rsidRPr="00FC01BA">
        <w:rPr>
          <w:vertAlign w:val="superscript"/>
        </w:rPr>
        <w:footnoteRef/>
      </w:r>
      <w:r w:rsidRPr="00FC01BA">
        <w:t xml:space="preserve"> </w:t>
      </w:r>
      <w:r w:rsidR="00FC01BA" w:rsidRPr="00FC01BA">
        <w:tab/>
      </w:r>
      <w:hyperlink r:id="rId1">
        <w:r w:rsidRPr="00FC01BA">
          <w:rPr>
            <w:rStyle w:val="Hyperlink"/>
          </w:rPr>
          <w:t>SDG Target 3.4 | Noncommunicable diseases and mental health: By 2030, reduce by one third premature mortality from non-communicable diseases through prevention and treatment and promote mental health and well-being</w:t>
        </w:r>
      </w:hyperlink>
      <w:r w:rsidR="00721A25" w:rsidRPr="00FC01BA">
        <w:rPr>
          <w:rStyle w:val="Hyperlink"/>
        </w:rPr>
        <w:t>.</w:t>
      </w:r>
    </w:p>
  </w:footnote>
  <w:footnote w:id="3">
    <w:p w14:paraId="63794574" w14:textId="74006FD8" w:rsidR="009C28CB" w:rsidRPr="00FC01BA" w:rsidRDefault="009C28CB" w:rsidP="00411DF9">
      <w:pPr>
        <w:pStyle w:val="FootnoteText"/>
        <w:ind w:left="142" w:right="-142" w:hanging="284"/>
        <w:jc w:val="both"/>
      </w:pPr>
      <w:r w:rsidRPr="00EB154D">
        <w:rPr>
          <w:rStyle w:val="Hyperlink"/>
          <w:color w:val="000000" w:themeColor="text1"/>
          <w:u w:val="none"/>
          <w:vertAlign w:val="superscript"/>
        </w:rPr>
        <w:footnoteRef/>
      </w:r>
      <w:r w:rsidRPr="00EB154D">
        <w:rPr>
          <w:rStyle w:val="Hyperlink"/>
          <w:u w:val="none"/>
        </w:rPr>
        <w:t xml:space="preserve"> </w:t>
      </w:r>
      <w:r w:rsidR="00FC01BA" w:rsidRPr="00EB154D">
        <w:rPr>
          <w:rStyle w:val="Hyperlink"/>
          <w:u w:val="none"/>
        </w:rPr>
        <w:tab/>
      </w:r>
      <w:hyperlink r:id="rId2">
        <w:r w:rsidRPr="00FC01BA">
          <w:rPr>
            <w:rStyle w:val="Hyperlink"/>
          </w:rPr>
          <w:t>A cancer plan for Europe - European Commission</w:t>
        </w:r>
      </w:hyperlink>
      <w:r w:rsidR="00721A25" w:rsidRPr="00FC01BA">
        <w:t>.</w:t>
      </w:r>
    </w:p>
  </w:footnote>
  <w:footnote w:id="4">
    <w:p w14:paraId="6EC6E605" w14:textId="57A0D2D3" w:rsidR="00721A25" w:rsidRPr="00FC01BA" w:rsidRDefault="00721A25" w:rsidP="00411DF9">
      <w:pPr>
        <w:pStyle w:val="FootnoteText"/>
        <w:ind w:left="142" w:right="-142" w:hanging="284"/>
        <w:jc w:val="both"/>
      </w:pPr>
      <w:r w:rsidRPr="00FC01BA">
        <w:rPr>
          <w:rStyle w:val="FootnoteReference"/>
        </w:rPr>
        <w:footnoteRef/>
      </w:r>
      <w:r w:rsidRPr="00FC01BA">
        <w:t xml:space="preserve"> </w:t>
      </w:r>
      <w:r w:rsidR="00FC01BA" w:rsidRPr="00FC01BA">
        <w:tab/>
      </w:r>
      <w:hyperlink r:id="rId3" w:history="1">
        <w:r w:rsidR="00FC01BA" w:rsidRPr="00FC01BA">
          <w:rPr>
            <w:rStyle w:val="Hyperlink"/>
          </w:rPr>
          <w:t>https://health.ec.europa.eu/non-communicable-diseases/mental-health_en</w:t>
        </w:r>
      </w:hyperlink>
      <w:r w:rsidR="00FC01BA" w:rsidRPr="00FC01BA">
        <w:t>.</w:t>
      </w:r>
    </w:p>
  </w:footnote>
  <w:footnote w:id="5">
    <w:p w14:paraId="385F600A" w14:textId="48F6CE47" w:rsidR="00E132A8" w:rsidRPr="00FC01BA" w:rsidRDefault="00E132A8" w:rsidP="00411DF9">
      <w:pPr>
        <w:pStyle w:val="FootnoteText"/>
        <w:ind w:left="142" w:right="-142" w:hanging="284"/>
        <w:jc w:val="both"/>
      </w:pPr>
      <w:r w:rsidRPr="00FC01BA">
        <w:rPr>
          <w:rStyle w:val="FootnoteReference"/>
        </w:rPr>
        <w:footnoteRef/>
      </w:r>
      <w:r w:rsidRPr="00FC01BA">
        <w:t xml:space="preserve"> </w:t>
      </w:r>
      <w:r w:rsidR="00FC01BA" w:rsidRPr="00FC01BA">
        <w:tab/>
      </w:r>
      <w:hyperlink r:id="rId4" w:history="1">
        <w:r w:rsidRPr="00FC01BA">
          <w:rPr>
            <w:rStyle w:val="Hyperlink"/>
          </w:rPr>
          <w:t>Cardiovascular health - Public Health - European Commission</w:t>
        </w:r>
      </w:hyperlink>
      <w:r w:rsidRPr="00FC01BA">
        <w:t>.</w:t>
      </w:r>
    </w:p>
  </w:footnote>
  <w:footnote w:id="6">
    <w:p w14:paraId="3E6A5DC4" w14:textId="3E09ACB2" w:rsidR="009C28CB" w:rsidRPr="00FC01BA" w:rsidRDefault="009C28CB" w:rsidP="00411DF9">
      <w:pPr>
        <w:widowControl w:val="0"/>
        <w:spacing w:after="0" w:line="240" w:lineRule="auto"/>
        <w:ind w:left="142" w:right="-142" w:hanging="284"/>
        <w:jc w:val="both"/>
        <w:rPr>
          <w:rFonts w:ascii="Times New Roman" w:eastAsia="Times New Roman" w:hAnsi="Times New Roman"/>
          <w:sz w:val="20"/>
          <w:szCs w:val="20"/>
        </w:rPr>
      </w:pPr>
      <w:r w:rsidRPr="00FC01BA">
        <w:rPr>
          <w:rFonts w:ascii="Times New Roman" w:eastAsia="Times New Roman" w:hAnsi="Times New Roman"/>
          <w:sz w:val="20"/>
          <w:szCs w:val="20"/>
          <w:vertAlign w:val="superscript"/>
        </w:rPr>
        <w:footnoteRef/>
      </w:r>
      <w:r w:rsidRPr="00FC01BA">
        <w:rPr>
          <w:rFonts w:ascii="Times New Roman" w:eastAsia="Times New Roman" w:hAnsi="Times New Roman"/>
          <w:sz w:val="20"/>
          <w:szCs w:val="20"/>
        </w:rPr>
        <w:t xml:space="preserve"> </w:t>
      </w:r>
      <w:r w:rsidR="00FC01BA" w:rsidRPr="00FC01BA">
        <w:rPr>
          <w:rFonts w:ascii="Times New Roman" w:eastAsia="Times New Roman" w:hAnsi="Times New Roman"/>
          <w:sz w:val="20"/>
          <w:szCs w:val="20"/>
        </w:rPr>
        <w:tab/>
      </w:r>
      <w:hyperlink r:id="rId5">
        <w:r w:rsidRPr="00FC01BA">
          <w:rPr>
            <w:rStyle w:val="Hyperlink"/>
            <w:rFonts w:ascii="Times New Roman" w:eastAsia="Times New Roman" w:hAnsi="Times New Roman"/>
            <w:sz w:val="20"/>
            <w:szCs w:val="20"/>
          </w:rPr>
          <w:t>Webinar on prevention of NCDs - Public Health - European Commission</w:t>
        </w:r>
      </w:hyperlink>
      <w:r w:rsidR="00FC01BA" w:rsidRPr="00411DF9">
        <w:rPr>
          <w:rFonts w:ascii="Times New Roman" w:hAnsi="Times New Roman"/>
          <w:sz w:val="20"/>
          <w:szCs w:val="20"/>
        </w:rPr>
        <w:t>.</w:t>
      </w:r>
    </w:p>
  </w:footnote>
  <w:footnote w:id="7">
    <w:p w14:paraId="119BEDE4" w14:textId="24789AE1" w:rsidR="009C28CB" w:rsidRPr="00FC01BA" w:rsidRDefault="009C28CB" w:rsidP="00411DF9">
      <w:pPr>
        <w:widowControl w:val="0"/>
        <w:spacing w:after="0" w:line="240" w:lineRule="auto"/>
        <w:ind w:left="142" w:right="-142" w:hanging="284"/>
        <w:jc w:val="both"/>
        <w:rPr>
          <w:rFonts w:ascii="Times New Roman" w:eastAsia="Times New Roman" w:hAnsi="Times New Roman"/>
          <w:sz w:val="20"/>
          <w:szCs w:val="20"/>
        </w:rPr>
      </w:pPr>
      <w:r w:rsidRPr="00FC01BA">
        <w:rPr>
          <w:rFonts w:ascii="Times New Roman" w:eastAsia="Times New Roman" w:hAnsi="Times New Roman"/>
          <w:sz w:val="20"/>
          <w:szCs w:val="20"/>
          <w:vertAlign w:val="superscript"/>
        </w:rPr>
        <w:footnoteRef/>
      </w:r>
      <w:r w:rsidRPr="00FC01BA">
        <w:rPr>
          <w:rFonts w:ascii="Times New Roman" w:eastAsia="Times New Roman" w:hAnsi="Times New Roman"/>
          <w:sz w:val="20"/>
          <w:szCs w:val="20"/>
        </w:rPr>
        <w:t xml:space="preserve"> </w:t>
      </w:r>
      <w:r w:rsidR="00FC01BA" w:rsidRPr="00FC01BA">
        <w:rPr>
          <w:rFonts w:ascii="Times New Roman" w:eastAsia="Times New Roman" w:hAnsi="Times New Roman"/>
          <w:sz w:val="20"/>
          <w:szCs w:val="20"/>
        </w:rPr>
        <w:tab/>
      </w:r>
      <w:hyperlink r:id="rId6">
        <w:r w:rsidRPr="00FC01BA">
          <w:rPr>
            <w:rStyle w:val="Hyperlink"/>
            <w:rFonts w:ascii="Times New Roman" w:eastAsia="Times New Roman" w:hAnsi="Times New Roman"/>
            <w:sz w:val="20"/>
            <w:szCs w:val="20"/>
          </w:rPr>
          <w:t>Stakeholder webinar EU cardiovascular health plan - Public Health</w:t>
        </w:r>
      </w:hyperlink>
      <w:r w:rsidR="00FC01BA" w:rsidRPr="00411DF9">
        <w:rPr>
          <w:rFonts w:ascii="Times New Roman" w:hAnsi="Times New Roman"/>
          <w:sz w:val="20"/>
          <w:szCs w:val="20"/>
        </w:rPr>
        <w:t>.</w:t>
      </w:r>
    </w:p>
  </w:footnote>
  <w:footnote w:id="8">
    <w:p w14:paraId="2601F475" w14:textId="1C00602E" w:rsidR="009C28CB" w:rsidRPr="005121DB" w:rsidRDefault="009C28CB" w:rsidP="00411DF9">
      <w:pPr>
        <w:widowControl w:val="0"/>
        <w:spacing w:after="0" w:line="240" w:lineRule="auto"/>
        <w:ind w:left="142" w:right="-142" w:hanging="284"/>
        <w:jc w:val="both"/>
        <w:rPr>
          <w:rFonts w:ascii="Times New Roman" w:eastAsia="Times New Roman" w:hAnsi="Times New Roman"/>
          <w:sz w:val="20"/>
          <w:szCs w:val="20"/>
        </w:rPr>
      </w:pPr>
      <w:r w:rsidRPr="00FC01BA">
        <w:rPr>
          <w:rFonts w:ascii="Times New Roman" w:eastAsia="Times New Roman" w:hAnsi="Times New Roman"/>
          <w:sz w:val="20"/>
          <w:szCs w:val="20"/>
          <w:vertAlign w:val="superscript"/>
        </w:rPr>
        <w:footnoteRef/>
      </w:r>
      <w:r w:rsidRPr="00FC01BA">
        <w:rPr>
          <w:rFonts w:ascii="Times New Roman" w:eastAsia="Times New Roman" w:hAnsi="Times New Roman"/>
          <w:sz w:val="20"/>
          <w:szCs w:val="20"/>
        </w:rPr>
        <w:t xml:space="preserve"> </w:t>
      </w:r>
      <w:r w:rsidR="00FC01BA" w:rsidRPr="00FC01BA">
        <w:rPr>
          <w:rFonts w:ascii="Times New Roman" w:eastAsia="Times New Roman" w:hAnsi="Times New Roman"/>
          <w:sz w:val="20"/>
          <w:szCs w:val="20"/>
        </w:rPr>
        <w:tab/>
      </w:r>
      <w:hyperlink r:id="rId7">
        <w:r w:rsidRPr="00FC01BA">
          <w:rPr>
            <w:rStyle w:val="Hyperlink"/>
            <w:rFonts w:ascii="Times New Roman" w:eastAsia="Times New Roman" w:hAnsi="Times New Roman"/>
            <w:sz w:val="20"/>
            <w:szCs w:val="20"/>
          </w:rPr>
          <w:t>EU cardiovascular health plan</w:t>
        </w:r>
      </w:hyperlink>
      <w:r w:rsidR="00FC01BA" w:rsidRPr="00411DF9">
        <w:rPr>
          <w:rFonts w:ascii="Times New Roman" w:hAnsi="Times New Roman"/>
          <w:sz w:val="20"/>
          <w:szCs w:val="20"/>
        </w:rPr>
        <w:t>.</w:t>
      </w:r>
    </w:p>
  </w:footnote>
  <w:footnote w:id="9">
    <w:p w14:paraId="17A3205D" w14:textId="0BC48476" w:rsidR="0015165D" w:rsidRDefault="0015165D" w:rsidP="00411DF9">
      <w:pPr>
        <w:pStyle w:val="FootnoteText"/>
        <w:ind w:left="142" w:right="-142" w:hanging="284"/>
        <w:jc w:val="both"/>
      </w:pPr>
      <w:r>
        <w:rPr>
          <w:rStyle w:val="FootnoteReference"/>
        </w:rPr>
        <w:footnoteRef/>
      </w:r>
      <w:r>
        <w:t xml:space="preserve"> </w:t>
      </w:r>
      <w:r w:rsidR="00FC01BA">
        <w:tab/>
      </w:r>
      <w:hyperlink r:id="rId8" w:history="1">
        <w:r w:rsidR="00FC01BA" w:rsidRPr="00FC01BA">
          <w:rPr>
            <w:rStyle w:val="Hyperlink"/>
          </w:rPr>
          <w:t>https://www.preventncd.eu/</w:t>
        </w:r>
      </w:hyperlink>
      <w:r>
        <w:t xml:space="preserve"> </w:t>
      </w:r>
    </w:p>
  </w:footnote>
  <w:footnote w:id="10">
    <w:p w14:paraId="24C21564" w14:textId="253E5742" w:rsidR="0015165D" w:rsidRDefault="0015165D" w:rsidP="00411DF9">
      <w:pPr>
        <w:pStyle w:val="FootnoteText"/>
        <w:ind w:left="142" w:right="-142" w:hanging="284"/>
        <w:jc w:val="both"/>
      </w:pPr>
      <w:r>
        <w:rPr>
          <w:rStyle w:val="FootnoteReference"/>
        </w:rPr>
        <w:footnoteRef/>
      </w:r>
      <w:r>
        <w:t xml:space="preserve"> </w:t>
      </w:r>
      <w:r w:rsidR="00FC01BA">
        <w:tab/>
      </w:r>
      <w:hyperlink r:id="rId9" w:history="1">
        <w:r w:rsidR="00FC01BA" w:rsidRPr="00FC01BA">
          <w:rPr>
            <w:rStyle w:val="Hyperlink"/>
          </w:rPr>
          <w:t>https://jacardi.eu/</w:t>
        </w:r>
      </w:hyperlink>
      <w:r>
        <w:t xml:space="preserve"> </w:t>
      </w:r>
    </w:p>
  </w:footnote>
  <w:footnote w:id="11">
    <w:p w14:paraId="5F9751AF" w14:textId="76D71FDA" w:rsidR="005F0488" w:rsidRPr="00E35C91" w:rsidRDefault="005F0488" w:rsidP="00411DF9">
      <w:pPr>
        <w:pStyle w:val="FootnoteText"/>
        <w:ind w:left="142" w:right="-142" w:hanging="284"/>
        <w:jc w:val="both"/>
        <w:rPr>
          <w:rStyle w:val="Hyperlink"/>
          <w:rFonts w:ascii="Calibri" w:eastAsia="Calibri" w:hAnsi="Calibri"/>
          <w:sz w:val="22"/>
          <w:szCs w:val="22"/>
        </w:rPr>
      </w:pPr>
      <w:r>
        <w:rPr>
          <w:rStyle w:val="FootnoteReference"/>
        </w:rPr>
        <w:footnoteRef/>
      </w:r>
      <w:r>
        <w:t xml:space="preserve"> </w:t>
      </w:r>
      <w:r w:rsidR="00FC01BA">
        <w:tab/>
      </w:r>
      <w:hyperlink r:id="rId10" w:history="1">
        <w:r w:rsidRPr="005F0488">
          <w:rPr>
            <w:rStyle w:val="Hyperlink"/>
          </w:rPr>
          <w:t>European Health and Digital Executive Agency - European Health and Digital Executive Agency (HaDEA)</w:t>
        </w:r>
      </w:hyperlink>
      <w:r w:rsidRPr="00E35C91">
        <w:rPr>
          <w:rStyle w:val="Hyperlink"/>
        </w:rPr>
        <w:t xml:space="preserve"> </w:t>
      </w:r>
    </w:p>
  </w:footnote>
  <w:footnote w:id="12">
    <w:p w14:paraId="4BE08AF1" w14:textId="2B80A8A0" w:rsidR="00646F91" w:rsidRDefault="00646F91" w:rsidP="00411DF9">
      <w:pPr>
        <w:pStyle w:val="FootnoteText"/>
        <w:ind w:left="142" w:right="-142" w:hanging="284"/>
        <w:jc w:val="both"/>
      </w:pPr>
      <w:r>
        <w:rPr>
          <w:rStyle w:val="FootnoteReference"/>
        </w:rPr>
        <w:footnoteRef/>
      </w:r>
      <w:r>
        <w:t xml:space="preserve"> </w:t>
      </w:r>
      <w:r w:rsidR="00FC01BA">
        <w:tab/>
      </w:r>
      <w:hyperlink r:id="rId11" w:anchor=":~:text=The%20three-year%20partnership%20%E2%80%93%20Promoting%20a%20comprehensive%2C%20prevention-oriented,consumption%20among%20children%20in%2029%20countries%20across%20Europe." w:history="1">
        <w:r w:rsidRPr="00646F91">
          <w:rPr>
            <w:rStyle w:val="Hyperlink"/>
          </w:rPr>
          <w:t>The European Commission and UNICEF announce a new partnership to improve health outcomes for children</w:t>
        </w:r>
      </w:hyperlink>
      <w:r>
        <w:t>.</w:t>
      </w:r>
    </w:p>
  </w:footnote>
  <w:footnote w:id="13">
    <w:p w14:paraId="25B842B9" w14:textId="557BAF5E" w:rsidR="00FD7427" w:rsidRPr="00F61259" w:rsidRDefault="00FD7427" w:rsidP="00411DF9">
      <w:pPr>
        <w:pStyle w:val="FootnoteText"/>
        <w:ind w:left="142" w:right="-142" w:hanging="284"/>
        <w:jc w:val="both"/>
      </w:pPr>
      <w:r>
        <w:rPr>
          <w:rStyle w:val="FootnoteReference"/>
        </w:rPr>
        <w:footnoteRef/>
      </w:r>
      <w:r w:rsidRPr="00F61259">
        <w:t xml:space="preserve"> </w:t>
      </w:r>
      <w:r w:rsidR="00FC01BA">
        <w:tab/>
      </w:r>
      <w:hyperlink r:id="rId12" w:anchor=":~:text=The%20revision%20calls%20on%20EU%20countries%20to:%20extend%20the%20coverage" w:history="1">
        <w:r w:rsidR="00C76CBA" w:rsidRPr="00C76CBA">
          <w:rPr>
            <w:rStyle w:val="Hyperlink"/>
          </w:rPr>
          <w:t>Commission proposes to extend coverage of smoke-free environments - European Commission</w:t>
        </w:r>
      </w:hyperlink>
      <w:r w:rsidR="00C76CBA">
        <w:t>.</w:t>
      </w:r>
      <w:r w:rsidRPr="00F61259">
        <w:t xml:space="preserve"> </w:t>
      </w:r>
    </w:p>
  </w:footnote>
  <w:footnote w:id="14">
    <w:p w14:paraId="27D89374" w14:textId="2D0D330E" w:rsidR="00683B9C" w:rsidRDefault="00683B9C" w:rsidP="00411DF9">
      <w:pPr>
        <w:pStyle w:val="FootnoteText"/>
        <w:ind w:left="142" w:right="-142" w:hanging="284"/>
        <w:jc w:val="both"/>
      </w:pPr>
      <w:r>
        <w:rPr>
          <w:rStyle w:val="FootnoteReference"/>
        </w:rPr>
        <w:footnoteRef/>
      </w:r>
      <w:r>
        <w:t xml:space="preserve"> </w:t>
      </w:r>
      <w:r w:rsidR="00FC01BA">
        <w:tab/>
      </w:r>
      <w:r w:rsidR="00C76CBA" w:rsidRPr="00411DF9">
        <w:t>Council Recommendation of 3 December 2024 on smoke- and aerosol-free environments replacing Council Recommendation 2009/C 296/02 (</w:t>
      </w:r>
      <w:hyperlink r:id="rId13" w:tooltip="Gives access to this document through its ELI URI." w:history="1">
        <w:r w:rsidR="00C76CBA" w:rsidRPr="00411DF9">
          <w:rPr>
            <w:rStyle w:val="Hyperlink"/>
          </w:rPr>
          <w:t>http://data.europa.eu/eli/C/2024/7425/oj</w:t>
        </w:r>
      </w:hyperlink>
      <w:r w:rsidR="00C76CBA" w:rsidRPr="00411DF9">
        <w:t>).</w:t>
      </w:r>
    </w:p>
  </w:footnote>
  <w:footnote w:id="15">
    <w:p w14:paraId="499E0081" w14:textId="2B0AC1E7" w:rsidR="00160F53" w:rsidRDefault="00160F53" w:rsidP="00411DF9">
      <w:pPr>
        <w:pStyle w:val="FootnoteText"/>
        <w:ind w:left="142" w:right="-142" w:hanging="284"/>
        <w:jc w:val="both"/>
      </w:pPr>
      <w:r>
        <w:rPr>
          <w:rStyle w:val="FootnoteReference"/>
        </w:rPr>
        <w:footnoteRef/>
      </w:r>
      <w:r>
        <w:t xml:space="preserve"> </w:t>
      </w:r>
      <w:r w:rsidR="00FC01BA">
        <w:tab/>
      </w:r>
      <w:hyperlink r:id="rId14" w:history="1">
        <w:r w:rsidRPr="00160F53">
          <w:rPr>
            <w:rStyle w:val="Hyperlink"/>
          </w:rPr>
          <w:t xml:space="preserve">Horizon Europe the EU’s funding </w:t>
        </w:r>
        <w:proofErr w:type="spellStart"/>
        <w:r w:rsidRPr="00160F53">
          <w:rPr>
            <w:rStyle w:val="Hyperlink"/>
          </w:rPr>
          <w:t>programme</w:t>
        </w:r>
        <w:proofErr w:type="spellEnd"/>
        <w:r w:rsidRPr="00160F53">
          <w:rPr>
            <w:rStyle w:val="Hyperlink"/>
          </w:rPr>
          <w:t xml:space="preserve"> for research and innovation</w:t>
        </w:r>
      </w:hyperlink>
      <w:r w:rsidR="00EB154D">
        <w:t>.</w:t>
      </w:r>
    </w:p>
  </w:footnote>
  <w:footnote w:id="16">
    <w:p w14:paraId="719C2E9D" w14:textId="77777777" w:rsidR="00D05BB9" w:rsidRPr="00411DF9" w:rsidRDefault="00D05BB9" w:rsidP="00411DF9">
      <w:pPr>
        <w:widowControl w:val="0"/>
        <w:spacing w:after="0" w:line="240" w:lineRule="auto"/>
        <w:ind w:left="142" w:right="-142" w:hanging="284"/>
        <w:jc w:val="both"/>
        <w:rPr>
          <w:sz w:val="2"/>
          <w:szCs w:val="2"/>
          <w:lang w:val="en-IE"/>
        </w:rPr>
      </w:pPr>
    </w:p>
  </w:footnote>
  <w:footnote w:id="17">
    <w:p w14:paraId="24199C50" w14:textId="08DB9F53" w:rsidR="00C607C0" w:rsidRPr="00CE42A6" w:rsidRDefault="00C607C0" w:rsidP="00411DF9">
      <w:pPr>
        <w:pStyle w:val="FootnoteText"/>
        <w:ind w:left="142" w:right="-142" w:hanging="284"/>
        <w:jc w:val="both"/>
        <w:rPr>
          <w:lang w:val="en-IE"/>
        </w:rPr>
      </w:pPr>
      <w:r w:rsidRPr="00CE42A6">
        <w:rPr>
          <w:rStyle w:val="FootnoteReference"/>
        </w:rPr>
        <w:footnoteRef/>
      </w:r>
      <w:r w:rsidRPr="00CE42A6">
        <w:t xml:space="preserve"> </w:t>
      </w:r>
      <w:r w:rsidR="00FC01BA">
        <w:tab/>
      </w:r>
      <w:r w:rsidRPr="00CE42A6">
        <w:t>Council Directive 89/391/EEC of 12 June 1989 on the introduction of measures to encourage improvements in the safety and health of workers at work (</w:t>
      </w:r>
      <w:hyperlink r:id="rId15" w:tooltip="Gives access to this document through its ELI URI." w:history="1">
        <w:r w:rsidR="00C76CBA" w:rsidRPr="00C76CBA">
          <w:rPr>
            <w:rStyle w:val="Hyperlink"/>
          </w:rPr>
          <w:t>http://data.europa.eu/eli/dir/1989/391/oj</w:t>
        </w:r>
      </w:hyperlink>
      <w:r w:rsidR="00C76CBA">
        <w:t>)</w:t>
      </w:r>
      <w:r w:rsidRPr="00CE42A6">
        <w:t>.</w:t>
      </w:r>
    </w:p>
  </w:footnote>
  <w:footnote w:id="18">
    <w:p w14:paraId="64AB5F99" w14:textId="34246514" w:rsidR="00AD04FE" w:rsidRPr="008827F9" w:rsidRDefault="00AD04FE" w:rsidP="00411DF9">
      <w:pPr>
        <w:pStyle w:val="FootnoteText"/>
        <w:ind w:left="142" w:right="-142" w:hanging="284"/>
        <w:jc w:val="both"/>
        <w:rPr>
          <w:lang w:val="fr-BE"/>
        </w:rPr>
      </w:pPr>
      <w:r w:rsidRPr="00FC01BA">
        <w:rPr>
          <w:rStyle w:val="FootnoteReference"/>
        </w:rPr>
        <w:footnoteRef/>
      </w:r>
      <w:r w:rsidRPr="008827F9">
        <w:rPr>
          <w:lang w:val="fr-BE"/>
        </w:rPr>
        <w:t xml:space="preserve"> </w:t>
      </w:r>
      <w:r w:rsidR="00DB3ADA" w:rsidRPr="008827F9">
        <w:rPr>
          <w:lang w:val="fr-BE"/>
        </w:rPr>
        <w:tab/>
      </w:r>
      <w:proofErr w:type="gramStart"/>
      <w:r w:rsidRPr="008827F9">
        <w:rPr>
          <w:lang w:val="fr-BE"/>
        </w:rPr>
        <w:t>COM(</w:t>
      </w:r>
      <w:proofErr w:type="gramEnd"/>
      <w:r w:rsidRPr="008827F9">
        <w:rPr>
          <w:lang w:val="fr-BE"/>
        </w:rPr>
        <w:t>2021) 323 final</w:t>
      </w:r>
      <w:r w:rsidR="00DB3ADA" w:rsidRPr="008827F9">
        <w:rPr>
          <w:lang w:val="fr-BE"/>
        </w:rPr>
        <w:t xml:space="preserve"> (</w:t>
      </w:r>
      <w:r w:rsidR="00EB154D">
        <w:fldChar w:fldCharType="begin"/>
      </w:r>
      <w:r w:rsidR="00EB154D" w:rsidRPr="002345B5">
        <w:rPr>
          <w:lang w:val="fr-BE"/>
        </w:rPr>
        <w:instrText>HYPERLINK "https://eur-lex.europa.eu/legal-content/EN/TXT/?uri=CELEX%3A52021DC0323"</w:instrText>
      </w:r>
      <w:r w:rsidR="00EB154D">
        <w:fldChar w:fldCharType="separate"/>
      </w:r>
      <w:r w:rsidR="00EB154D" w:rsidRPr="008827F9">
        <w:rPr>
          <w:rStyle w:val="Hyperlink"/>
          <w:lang w:val="fr-BE"/>
        </w:rPr>
        <w:t>EUR-Lex - 52021DC0323 - EN - EUR-Lex</w:t>
      </w:r>
      <w:r w:rsidR="00EB154D">
        <w:fldChar w:fldCharType="end"/>
      </w:r>
      <w:r w:rsidR="00EB154D">
        <w:rPr>
          <w:lang w:val="fr-BE"/>
        </w:rPr>
        <w:t>).</w:t>
      </w:r>
    </w:p>
  </w:footnote>
  <w:footnote w:id="19">
    <w:p w14:paraId="3653A91A" w14:textId="08E31225" w:rsidR="00303B82" w:rsidRPr="00FC01BA" w:rsidRDefault="00303B82" w:rsidP="000B4327">
      <w:pPr>
        <w:pStyle w:val="FootnoteText"/>
        <w:ind w:left="142" w:right="-142" w:hanging="284"/>
        <w:jc w:val="both"/>
      </w:pPr>
      <w:r w:rsidRPr="00FC01BA">
        <w:rPr>
          <w:rStyle w:val="FootnoteReference"/>
        </w:rPr>
        <w:footnoteRef/>
      </w:r>
      <w:r w:rsidRPr="00FC01BA">
        <w:t xml:space="preserve"> </w:t>
      </w:r>
      <w:r w:rsidR="00411DF9">
        <w:tab/>
      </w:r>
      <w:hyperlink r:id="rId16" w:history="1">
        <w:r w:rsidRPr="00FC01BA">
          <w:rPr>
            <w:rStyle w:val="Hyperlink"/>
          </w:rPr>
          <w:t>European Agency for Safety &amp; Health at Work - Information, statistics, legislation and risk assessment tools.</w:t>
        </w:r>
      </w:hyperlink>
    </w:p>
  </w:footnote>
  <w:footnote w:id="20">
    <w:p w14:paraId="428B22A3" w14:textId="5219AB77" w:rsidR="00303B82" w:rsidRPr="00FC01BA" w:rsidRDefault="00303B82" w:rsidP="000B4327">
      <w:pPr>
        <w:pStyle w:val="FootnoteText"/>
        <w:ind w:left="142" w:right="-142" w:hanging="284"/>
        <w:jc w:val="both"/>
      </w:pPr>
      <w:r w:rsidRPr="00FC01BA">
        <w:rPr>
          <w:rStyle w:val="FootnoteReference"/>
        </w:rPr>
        <w:footnoteRef/>
      </w:r>
      <w:r w:rsidRPr="00FC01BA">
        <w:t xml:space="preserve"> </w:t>
      </w:r>
      <w:r w:rsidR="00DB3ADA" w:rsidRPr="00FC01BA">
        <w:tab/>
      </w:r>
      <w:hyperlink r:id="rId17" w:history="1">
        <w:r w:rsidRPr="00FC01BA">
          <w:rPr>
            <w:rStyle w:val="Hyperlink"/>
          </w:rPr>
          <w:t>Homepage - ECHA</w:t>
        </w:r>
      </w:hyperlink>
      <w:r w:rsidR="00265BDA" w:rsidRPr="00FC01BA">
        <w:t>.</w:t>
      </w:r>
    </w:p>
  </w:footnote>
  <w:footnote w:id="21">
    <w:p w14:paraId="6EBC9909" w14:textId="26138ABD" w:rsidR="00303B82" w:rsidRPr="00FC01BA" w:rsidRDefault="00303B82" w:rsidP="000B4327">
      <w:pPr>
        <w:pStyle w:val="FootnoteText"/>
        <w:ind w:left="142" w:right="-142" w:hanging="284"/>
        <w:jc w:val="both"/>
      </w:pPr>
      <w:r w:rsidRPr="00FC01BA">
        <w:rPr>
          <w:rStyle w:val="FootnoteReference"/>
        </w:rPr>
        <w:footnoteRef/>
      </w:r>
      <w:r w:rsidRPr="00FC01BA">
        <w:t xml:space="preserve"> </w:t>
      </w:r>
      <w:r w:rsidR="00DB3ADA" w:rsidRPr="00FC01BA">
        <w:tab/>
      </w:r>
      <w:hyperlink r:id="rId18" w:history="1">
        <w:r w:rsidRPr="00FC01BA">
          <w:rPr>
            <w:rStyle w:val="Hyperlink"/>
          </w:rPr>
          <w:t>European Environment Agency (EEA)</w:t>
        </w:r>
      </w:hyperlink>
      <w:r w:rsidR="00265BDA" w:rsidRPr="00FC01BA">
        <w:t>.</w:t>
      </w:r>
    </w:p>
  </w:footnote>
  <w:footnote w:id="22">
    <w:p w14:paraId="5447D598" w14:textId="3DF6A7EF" w:rsidR="00303B82" w:rsidRPr="00FC01BA" w:rsidRDefault="00303B82" w:rsidP="000B4327">
      <w:pPr>
        <w:pStyle w:val="FootnoteText"/>
        <w:ind w:left="142" w:right="-142" w:hanging="284"/>
        <w:jc w:val="both"/>
      </w:pPr>
      <w:r w:rsidRPr="00FC01BA">
        <w:rPr>
          <w:rStyle w:val="FootnoteReference"/>
        </w:rPr>
        <w:footnoteRef/>
      </w:r>
      <w:r w:rsidRPr="00FC01BA">
        <w:t xml:space="preserve"> </w:t>
      </w:r>
      <w:r w:rsidR="00DB3ADA" w:rsidRPr="00FC01BA">
        <w:tab/>
      </w:r>
      <w:hyperlink r:id="rId19" w:history="1">
        <w:r w:rsidRPr="00FC01BA">
          <w:rPr>
            <w:rStyle w:val="Hyperlink"/>
          </w:rPr>
          <w:t>EFSA | Science, safe food, sustainability</w:t>
        </w:r>
      </w:hyperlink>
      <w:r w:rsidR="00265BDA" w:rsidRPr="00FC01BA">
        <w:t>.</w:t>
      </w:r>
    </w:p>
  </w:footnote>
  <w:footnote w:id="23">
    <w:p w14:paraId="62DA14A3" w14:textId="08AE3E57" w:rsidR="00303B82" w:rsidRPr="00FC01BA" w:rsidRDefault="00303B82" w:rsidP="000B4327">
      <w:pPr>
        <w:pStyle w:val="FootnoteText"/>
        <w:ind w:left="142" w:right="-142" w:hanging="284"/>
        <w:jc w:val="both"/>
      </w:pPr>
      <w:r w:rsidRPr="00FC01BA">
        <w:rPr>
          <w:rStyle w:val="FootnoteReference"/>
        </w:rPr>
        <w:footnoteRef/>
      </w:r>
      <w:r w:rsidRPr="00FC01BA">
        <w:t xml:space="preserve"> </w:t>
      </w:r>
      <w:r w:rsidR="00DB3ADA" w:rsidRPr="00FC01BA">
        <w:tab/>
      </w:r>
      <w:hyperlink r:id="rId20" w:history="1">
        <w:r w:rsidRPr="00FC01BA">
          <w:rPr>
            <w:rStyle w:val="Hyperlink"/>
          </w:rPr>
          <w:t>European Institute for Gender Equality | European Institute for Gender Equality</w:t>
        </w:r>
      </w:hyperlink>
      <w:r w:rsidR="00265BDA" w:rsidRPr="00FC01BA">
        <w:t>.</w:t>
      </w:r>
    </w:p>
  </w:footnote>
  <w:footnote w:id="24">
    <w:p w14:paraId="6356AB0C" w14:textId="6EF02CD0" w:rsidR="00303B82" w:rsidRPr="00411DF9" w:rsidRDefault="00303B82" w:rsidP="000B4327">
      <w:pPr>
        <w:pStyle w:val="FootnoteText"/>
        <w:ind w:left="142" w:right="-142" w:hanging="284"/>
        <w:jc w:val="both"/>
        <w:rPr>
          <w:lang w:val="en-IE"/>
        </w:rPr>
      </w:pPr>
      <w:r w:rsidRPr="00FC01BA">
        <w:rPr>
          <w:rStyle w:val="FootnoteReference"/>
        </w:rPr>
        <w:footnoteRef/>
      </w:r>
      <w:r w:rsidRPr="00411DF9">
        <w:rPr>
          <w:lang w:val="en-IE"/>
        </w:rPr>
        <w:t xml:space="preserve"> </w:t>
      </w:r>
      <w:r w:rsidR="00DB3ADA" w:rsidRPr="00411DF9">
        <w:rPr>
          <w:lang w:val="en-IE"/>
        </w:rPr>
        <w:tab/>
      </w:r>
      <w:hyperlink r:id="rId21" w:history="1">
        <w:r w:rsidR="00C76CBA" w:rsidRPr="00C76CBA">
          <w:rPr>
            <w:rStyle w:val="Hyperlink"/>
          </w:rPr>
          <w:t>EUDA home page | www.euda.europa.eu</w:t>
        </w:r>
      </w:hyperlink>
      <w:r w:rsidR="00265BDA" w:rsidRPr="00411DF9">
        <w:rPr>
          <w:lang w:val="en-IE"/>
        </w:rPr>
        <w:t>.</w:t>
      </w:r>
    </w:p>
  </w:footnote>
  <w:footnote w:id="25">
    <w:p w14:paraId="0EECD28A" w14:textId="5507AA5B" w:rsidR="00303B82" w:rsidRPr="00411DF9" w:rsidRDefault="00303B82" w:rsidP="000B4327">
      <w:pPr>
        <w:pStyle w:val="FootnoteText"/>
        <w:ind w:left="142" w:right="-142" w:hanging="284"/>
        <w:jc w:val="both"/>
        <w:rPr>
          <w:lang w:val="en-IE"/>
        </w:rPr>
      </w:pPr>
      <w:r w:rsidRPr="00FC01BA">
        <w:rPr>
          <w:rStyle w:val="FootnoteReference"/>
        </w:rPr>
        <w:footnoteRef/>
      </w:r>
      <w:r w:rsidRPr="00411DF9">
        <w:rPr>
          <w:lang w:val="en-IE"/>
        </w:rPr>
        <w:t xml:space="preserve"> </w:t>
      </w:r>
      <w:r w:rsidR="00DB3ADA" w:rsidRPr="00411DF9">
        <w:rPr>
          <w:lang w:val="en-IE"/>
        </w:rPr>
        <w:tab/>
      </w:r>
      <w:hyperlink r:id="rId22" w:history="1">
        <w:r w:rsidRPr="00411DF9">
          <w:rPr>
            <w:rStyle w:val="Hyperlink"/>
            <w:lang w:val="en-IE"/>
          </w:rPr>
          <w:t>Home - Eurostat</w:t>
        </w:r>
      </w:hyperlink>
      <w:r w:rsidR="00265BDA" w:rsidRPr="00411DF9">
        <w:rPr>
          <w:lang w:val="en-IE"/>
        </w:rPr>
        <w:t>.</w:t>
      </w:r>
    </w:p>
  </w:footnote>
  <w:footnote w:id="26">
    <w:p w14:paraId="2E55B02E" w14:textId="114C325B" w:rsidR="00303B82" w:rsidRPr="00411DF9" w:rsidRDefault="00303B82" w:rsidP="000B4327">
      <w:pPr>
        <w:pStyle w:val="FootnoteText"/>
        <w:ind w:left="142" w:right="-142" w:hanging="284"/>
        <w:jc w:val="both"/>
        <w:rPr>
          <w:lang w:val="en-IE"/>
        </w:rPr>
      </w:pPr>
      <w:r w:rsidRPr="00FC01BA">
        <w:rPr>
          <w:rStyle w:val="FootnoteReference"/>
        </w:rPr>
        <w:footnoteRef/>
      </w:r>
      <w:r w:rsidRPr="00411DF9">
        <w:rPr>
          <w:lang w:val="en-IE"/>
        </w:rPr>
        <w:t xml:space="preserve"> </w:t>
      </w:r>
      <w:r w:rsidR="00DB3ADA" w:rsidRPr="00411DF9">
        <w:rPr>
          <w:lang w:val="en-IE"/>
        </w:rPr>
        <w:tab/>
      </w:r>
      <w:r w:rsidR="00FC01BA" w:rsidRPr="00411DF9">
        <w:t xml:space="preserve">Regulation (EU) 2022/2370 of the European Parliament and of the Council of 23 November 2022 amending Regulation (EC) No 851/2004 establishing a European </w:t>
      </w:r>
      <w:proofErr w:type="spellStart"/>
      <w:r w:rsidR="00FC01BA" w:rsidRPr="00411DF9">
        <w:t>centre</w:t>
      </w:r>
      <w:proofErr w:type="spellEnd"/>
      <w:r w:rsidR="00FC01BA" w:rsidRPr="00411DF9">
        <w:t xml:space="preserve"> for disease prevention and control</w:t>
      </w:r>
      <w:r w:rsidR="00FC01BA" w:rsidRPr="00FC01BA" w:rsidDel="00FC01BA">
        <w:t xml:space="preserve"> </w:t>
      </w:r>
      <w:r w:rsidR="00FC01BA" w:rsidRPr="00FC01BA">
        <w:t>(</w:t>
      </w:r>
      <w:hyperlink r:id="rId23" w:tooltip="Gives access to this document through its ELI URI." w:history="1">
        <w:r w:rsidR="00FC01BA" w:rsidRPr="00FC01BA">
          <w:rPr>
            <w:rStyle w:val="Hyperlink"/>
          </w:rPr>
          <w:t>http://data.europa.eu/eli/reg/2022/2370/oj</w:t>
        </w:r>
      </w:hyperlink>
      <w:r w:rsidR="00FC01BA" w:rsidRPr="00FC01BA" w:rsidDel="00FC01BA">
        <w:t xml:space="preserve"> </w:t>
      </w:r>
      <w:r w:rsidR="00FC01BA" w:rsidRPr="00FC01BA">
        <w:t>)</w:t>
      </w:r>
      <w:r w:rsidR="00265BDA" w:rsidRPr="00411DF9">
        <w:rPr>
          <w:lang w:val="en-IE"/>
        </w:rPr>
        <w:t>.</w:t>
      </w:r>
    </w:p>
  </w:footnote>
  <w:footnote w:id="27">
    <w:p w14:paraId="233550E0" w14:textId="4A38E7C6" w:rsidR="52B87E98" w:rsidRPr="00411DF9" w:rsidRDefault="52B87E98" w:rsidP="000B4327">
      <w:pPr>
        <w:pStyle w:val="FootnoteText"/>
        <w:ind w:left="142" w:right="-142" w:hanging="284"/>
        <w:jc w:val="both"/>
        <w:rPr>
          <w:lang w:val="en-IE"/>
        </w:rPr>
      </w:pPr>
      <w:r w:rsidRPr="00FC01BA">
        <w:rPr>
          <w:rStyle w:val="FootnoteReference"/>
        </w:rPr>
        <w:footnoteRef/>
      </w:r>
      <w:r w:rsidRPr="00411DF9">
        <w:rPr>
          <w:rStyle w:val="FootnoteReference"/>
          <w:lang w:val="en-IE"/>
        </w:rPr>
        <w:t xml:space="preserve"> </w:t>
      </w:r>
      <w:r w:rsidR="00DB3ADA" w:rsidRPr="00411DF9">
        <w:rPr>
          <w:lang w:val="en-IE"/>
        </w:rPr>
        <w:tab/>
      </w:r>
      <w:r w:rsidR="00FC01BA" w:rsidRPr="00411DF9">
        <w:rPr>
          <w:lang w:val="en-IE"/>
        </w:rPr>
        <w:t>Regulation (EC) No 851/2004 of the European Parliament and of the Council of 21 April 2004 establishing a European centre for disease prevention and control</w:t>
      </w:r>
      <w:r w:rsidR="00FC01BA" w:rsidRPr="00FC01BA">
        <w:rPr>
          <w:lang w:val="en-IE"/>
        </w:rPr>
        <w:t xml:space="preserve"> (</w:t>
      </w:r>
      <w:hyperlink r:id="rId24" w:history="1">
        <w:r w:rsidR="00FC01BA" w:rsidRPr="00FC01BA">
          <w:rPr>
            <w:rStyle w:val="Hyperlink"/>
          </w:rPr>
          <w:t>http://data.europa.eu/eli/reg/2004/851/2022-12-26</w:t>
        </w:r>
      </w:hyperlink>
      <w:r w:rsidR="00FC01BA" w:rsidRPr="00FC01BA">
        <w:rPr>
          <w:lang w:val="en-IE"/>
        </w:rPr>
        <w:t>)</w:t>
      </w:r>
      <w:r w:rsidR="00265BDA" w:rsidRPr="00411DF9">
        <w:rPr>
          <w:rFonts w:eastAsia="Calibri"/>
          <w:color w:val="0000FF"/>
          <w:u w:val="single"/>
          <w:lang w:val="en-IE"/>
        </w:rPr>
        <w:t>.</w:t>
      </w:r>
    </w:p>
  </w:footnote>
  <w:footnote w:id="28">
    <w:p w14:paraId="2854A975" w14:textId="1CBB134F" w:rsidR="00303B82" w:rsidRPr="00411DF9" w:rsidRDefault="00303B82" w:rsidP="000B4327">
      <w:pPr>
        <w:pStyle w:val="FootnoteText"/>
        <w:ind w:left="142" w:right="-142" w:hanging="284"/>
        <w:jc w:val="both"/>
        <w:rPr>
          <w:lang w:val="en-IE"/>
        </w:rPr>
      </w:pPr>
      <w:r w:rsidRPr="00FC01BA">
        <w:rPr>
          <w:rStyle w:val="FootnoteReference"/>
        </w:rPr>
        <w:footnoteRef/>
      </w:r>
      <w:r w:rsidRPr="00411DF9">
        <w:rPr>
          <w:lang w:val="en-IE"/>
        </w:rPr>
        <w:t xml:space="preserve"> </w:t>
      </w:r>
      <w:r w:rsidR="00DB3ADA" w:rsidRPr="00411DF9">
        <w:rPr>
          <w:lang w:val="en-IE"/>
        </w:rPr>
        <w:tab/>
      </w:r>
      <w:r w:rsidR="00FC01BA" w:rsidRPr="00411DF9">
        <w:t>Regulation (EU) 2022/2371 of the European Parliament and of the Council of 23 November 2022 on serious cross-border threats to health and repealing Decision No 1082/2013/EU</w:t>
      </w:r>
      <w:r w:rsidR="00FC01BA" w:rsidRPr="00FC01BA" w:rsidDel="00FC01BA">
        <w:t xml:space="preserve"> </w:t>
      </w:r>
      <w:r w:rsidR="00FC01BA" w:rsidRPr="00FC01BA">
        <w:t>(</w:t>
      </w:r>
      <w:hyperlink r:id="rId25" w:history="1">
        <w:r w:rsidR="00FC01BA" w:rsidRPr="00FC01BA">
          <w:rPr>
            <w:rStyle w:val="Hyperlink"/>
          </w:rPr>
          <w:t>http://data.europa.eu/eli/reg/2022/2371/oj</w:t>
        </w:r>
      </w:hyperlink>
      <w:r w:rsidR="00FC01BA" w:rsidRPr="00FC01BA">
        <w:t>)</w:t>
      </w:r>
      <w:r w:rsidR="00265BDA" w:rsidRPr="00411DF9">
        <w:rPr>
          <w:lang w:val="en-IE"/>
        </w:rPr>
        <w:t>.</w:t>
      </w:r>
    </w:p>
  </w:footnote>
  <w:footnote w:id="29">
    <w:p w14:paraId="1395E46B" w14:textId="0440A9D8" w:rsidR="00804AB4" w:rsidRPr="002C40B8" w:rsidRDefault="00804AB4" w:rsidP="00A17B82">
      <w:pPr>
        <w:pStyle w:val="FootnoteText"/>
        <w:ind w:left="142" w:right="-142" w:hanging="284"/>
        <w:jc w:val="both"/>
      </w:pPr>
      <w:r w:rsidRPr="00FC01BA">
        <w:rPr>
          <w:rStyle w:val="FootnoteReference"/>
        </w:rPr>
        <w:footnoteRef/>
      </w:r>
      <w:r w:rsidR="00411DF9">
        <w:t xml:space="preserve"> </w:t>
      </w:r>
      <w:r w:rsidR="00411DF9">
        <w:tab/>
      </w:r>
      <w:hyperlink r:id="rId26" w:history="1">
        <w:r w:rsidR="00422A6D" w:rsidRPr="002C40B8">
          <w:rPr>
            <w:rStyle w:val="Hyperlink"/>
          </w:rPr>
          <w:t>Agri-Food Code</w:t>
        </w:r>
      </w:hyperlink>
      <w:r w:rsidR="00265BDA" w:rsidRPr="002C40B8">
        <w:t>.</w:t>
      </w:r>
    </w:p>
  </w:footnote>
  <w:footnote w:id="30">
    <w:p w14:paraId="12D9A229" w14:textId="640952FC" w:rsidR="00422357" w:rsidRPr="002C40B8" w:rsidRDefault="00422357" w:rsidP="00411DF9">
      <w:pPr>
        <w:pStyle w:val="FootnoteText"/>
        <w:ind w:left="142" w:right="-142" w:hanging="142"/>
        <w:jc w:val="both"/>
      </w:pPr>
      <w:r w:rsidRPr="00C76CBA">
        <w:rPr>
          <w:rStyle w:val="FootnoteReference"/>
        </w:rPr>
        <w:footnoteRef/>
      </w:r>
      <w:r w:rsidRPr="002C40B8">
        <w:t xml:space="preserve"> </w:t>
      </w:r>
      <w:r w:rsidR="00411DF9" w:rsidRPr="002C40B8">
        <w:tab/>
      </w:r>
      <w:hyperlink r:id="rId27" w:history="1">
        <w:r w:rsidR="00411DF9" w:rsidRPr="002C40B8">
          <w:rPr>
            <w:rStyle w:val="Hyperlink"/>
          </w:rPr>
          <w:t>https://transition-pathways.europa.eu/agri-food/pledges-best-practices</w:t>
        </w:r>
      </w:hyperlink>
      <w:r w:rsidR="00265BDA" w:rsidRPr="002C40B8">
        <w:t>.</w:t>
      </w:r>
    </w:p>
  </w:footnote>
  <w:footnote w:id="31">
    <w:p w14:paraId="340FC9D0" w14:textId="298AAD73" w:rsidR="00FC01BA" w:rsidRPr="002C40B8" w:rsidRDefault="00FC01BA" w:rsidP="00411DF9">
      <w:pPr>
        <w:pStyle w:val="FootnoteText"/>
        <w:ind w:left="142" w:right="-142" w:hanging="142"/>
        <w:jc w:val="both"/>
      </w:pPr>
      <w:r w:rsidRPr="00C76CBA">
        <w:rPr>
          <w:rStyle w:val="FootnoteReference"/>
        </w:rPr>
        <w:footnoteRef/>
      </w:r>
      <w:r w:rsidRPr="002C40B8">
        <w:t xml:space="preserve"> </w:t>
      </w:r>
      <w:r w:rsidRPr="002C40B8">
        <w:tab/>
        <w:t>Regulation (EC) No 1924/2006 of the European Parliament and of the Council of 20 December 2006 on nutrition and health claims made on foods (http://data.europa.eu/eli/reg/2006/1924/oj).</w:t>
      </w:r>
    </w:p>
  </w:footnote>
  <w:footnote w:id="32">
    <w:p w14:paraId="1DD52199" w14:textId="41A7A4D3" w:rsidR="00FC01BA" w:rsidRPr="00411DF9" w:rsidRDefault="00FC01BA" w:rsidP="00411DF9">
      <w:pPr>
        <w:pStyle w:val="FootnoteText"/>
        <w:ind w:left="142" w:right="-142" w:hanging="142"/>
        <w:jc w:val="both"/>
        <w:rPr>
          <w:lang w:val="en"/>
        </w:rPr>
      </w:pPr>
      <w:r w:rsidRPr="00C76CBA">
        <w:rPr>
          <w:rStyle w:val="FootnoteReference"/>
        </w:rPr>
        <w:footnoteRef/>
      </w:r>
      <w:r w:rsidRPr="002C40B8">
        <w:t xml:space="preserve"> </w:t>
      </w:r>
      <w:r w:rsidRPr="002C40B8">
        <w:tab/>
      </w:r>
      <w:r w:rsidRPr="00411DF9">
        <w:t>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w:t>
      </w:r>
      <w:hyperlink r:id="rId28" w:tooltip="Gives access to this document through its ELI URI." w:history="1">
        <w:r w:rsidRPr="00411DF9">
          <w:rPr>
            <w:rStyle w:val="Hyperlink"/>
            <w:lang w:val="en"/>
          </w:rPr>
          <w:t>http://data.europa.eu/eli/dir/2005/29/oj</w:t>
        </w:r>
      </w:hyperlink>
      <w:r w:rsidRPr="00411DF9">
        <w:rPr>
          <w:lang w:val="en"/>
        </w:rPr>
        <w:t>).</w:t>
      </w:r>
    </w:p>
  </w:footnote>
  <w:footnote w:id="33">
    <w:p w14:paraId="17765800" w14:textId="7D595421" w:rsidR="1DD2809E" w:rsidRPr="00C76CBA" w:rsidRDefault="1DD2809E" w:rsidP="00411DF9">
      <w:pPr>
        <w:widowControl w:val="0"/>
        <w:spacing w:after="0" w:line="240" w:lineRule="auto"/>
        <w:ind w:left="142" w:right="-142" w:hanging="142"/>
        <w:jc w:val="both"/>
        <w:rPr>
          <w:rFonts w:ascii="Times New Roman" w:eastAsia="Times New Roman" w:hAnsi="Times New Roman"/>
          <w:sz w:val="20"/>
          <w:szCs w:val="20"/>
          <w:lang w:val="it-IT"/>
        </w:rPr>
      </w:pPr>
      <w:r w:rsidRPr="00C76CBA">
        <w:rPr>
          <w:rFonts w:ascii="Times New Roman" w:eastAsia="Times New Roman" w:hAnsi="Times New Roman"/>
          <w:sz w:val="20"/>
          <w:szCs w:val="20"/>
          <w:vertAlign w:val="superscript"/>
        </w:rPr>
        <w:footnoteRef/>
      </w:r>
      <w:r w:rsidRPr="00C76CBA">
        <w:rPr>
          <w:rFonts w:ascii="Times New Roman" w:eastAsia="Times New Roman" w:hAnsi="Times New Roman"/>
          <w:sz w:val="20"/>
          <w:szCs w:val="20"/>
          <w:lang w:val="it-IT"/>
        </w:rPr>
        <w:t xml:space="preserve"> </w:t>
      </w:r>
      <w:r w:rsidR="00C76CBA">
        <w:rPr>
          <w:rFonts w:ascii="Times New Roman" w:eastAsia="Times New Roman" w:hAnsi="Times New Roman"/>
          <w:sz w:val="20"/>
          <w:szCs w:val="20"/>
          <w:lang w:val="it-IT"/>
        </w:rPr>
        <w:tab/>
      </w:r>
      <w:bookmarkStart w:id="0" w:name="_Hlk215837105"/>
      <w:proofErr w:type="spellStart"/>
      <w:r w:rsidR="00341FE0">
        <w:rPr>
          <w:rFonts w:ascii="Times New Roman" w:eastAsia="Times New Roman" w:hAnsi="Times New Roman"/>
          <w:sz w:val="20"/>
          <w:szCs w:val="20"/>
          <w:lang w:val="it-IT"/>
        </w:rPr>
        <w:t>Political</w:t>
      </w:r>
      <w:proofErr w:type="spellEnd"/>
      <w:r w:rsidR="00341FE0">
        <w:rPr>
          <w:rFonts w:ascii="Times New Roman" w:eastAsia="Times New Roman" w:hAnsi="Times New Roman"/>
          <w:sz w:val="20"/>
          <w:szCs w:val="20"/>
          <w:lang w:val="it-IT"/>
        </w:rPr>
        <w:t xml:space="preserve"> </w:t>
      </w:r>
      <w:proofErr w:type="spellStart"/>
      <w:r w:rsidR="00341FE0">
        <w:rPr>
          <w:rFonts w:ascii="Times New Roman" w:eastAsia="Times New Roman" w:hAnsi="Times New Roman"/>
          <w:sz w:val="20"/>
          <w:szCs w:val="20"/>
          <w:lang w:val="it-IT"/>
        </w:rPr>
        <w:t>Guidelines</w:t>
      </w:r>
      <w:proofErr w:type="spellEnd"/>
      <w:r w:rsidR="00341FE0">
        <w:rPr>
          <w:rFonts w:ascii="Times New Roman" w:eastAsia="Times New Roman" w:hAnsi="Times New Roman"/>
          <w:sz w:val="20"/>
          <w:szCs w:val="20"/>
          <w:lang w:val="it-IT"/>
        </w:rPr>
        <w:t xml:space="preserve"> 2024-2029 (</w:t>
      </w:r>
      <w:r>
        <w:fldChar w:fldCharType="begin"/>
      </w:r>
      <w:r w:rsidRPr="002345B5">
        <w:rPr>
          <w:lang w:val="it-IT"/>
        </w:rPr>
        <w:instrText>HYPERLINK "https://commission.europa.eu/document/download/e6cd4328-673c-4e7a-8683-f63ffb2cf648_en?filename=Political%20Guidelines%202024-2029_EN.pdf" \h</w:instrText>
      </w:r>
      <w:r>
        <w:fldChar w:fldCharType="separate"/>
      </w:r>
      <w:r w:rsidRPr="00C76CBA">
        <w:rPr>
          <w:rStyle w:val="Hyperlink"/>
          <w:rFonts w:ascii="Times New Roman" w:eastAsia="Times New Roman" w:hAnsi="Times New Roman"/>
          <w:sz w:val="20"/>
          <w:szCs w:val="20"/>
          <w:lang w:val="it-IT"/>
        </w:rPr>
        <w:t>e6cd4328-673c-4e7a-8683-f63ffb2cf648_en</w:t>
      </w:r>
      <w:r>
        <w:fldChar w:fldCharType="end"/>
      </w:r>
      <w:r w:rsidR="00341FE0">
        <w:rPr>
          <w:rFonts w:ascii="Times New Roman" w:hAnsi="Times New Roman"/>
          <w:sz w:val="20"/>
          <w:szCs w:val="20"/>
          <w:lang w:val="it-IT"/>
        </w:rPr>
        <w:t>)</w:t>
      </w:r>
      <w:bookmarkEnd w:id="0"/>
    </w:p>
  </w:footnote>
  <w:footnote w:id="34">
    <w:p w14:paraId="7A3FFBFC" w14:textId="3EFC1380" w:rsidR="005033E2" w:rsidRPr="002C40B8" w:rsidRDefault="005033E2" w:rsidP="00411DF9">
      <w:pPr>
        <w:pStyle w:val="FootnoteText"/>
        <w:ind w:left="142" w:right="-142" w:hanging="142"/>
        <w:jc w:val="both"/>
        <w:rPr>
          <w:lang w:val="it-IT"/>
        </w:rPr>
      </w:pPr>
      <w:r w:rsidRPr="00C76CBA">
        <w:rPr>
          <w:rStyle w:val="FootnoteReference"/>
        </w:rPr>
        <w:footnoteRef/>
      </w:r>
      <w:r w:rsidR="00C76CBA" w:rsidRPr="002C40B8">
        <w:rPr>
          <w:lang w:val="it-IT"/>
        </w:rPr>
        <w:t xml:space="preserve"> </w:t>
      </w:r>
      <w:r w:rsidR="00C76CBA" w:rsidRPr="002C40B8">
        <w:rPr>
          <w:lang w:val="it-IT"/>
        </w:rPr>
        <w:tab/>
      </w:r>
      <w:r w:rsidR="00C76CBA">
        <w:fldChar w:fldCharType="begin"/>
      </w:r>
      <w:r w:rsidR="00C76CBA" w:rsidRPr="002345B5">
        <w:rPr>
          <w:lang w:val="it-IT"/>
        </w:rPr>
        <w:instrText>HYPERLINK "https://health.ec.europa.eu/non-communicable-diseases/healthier-together-eu-non-communicable-diseases-initiative_en"</w:instrText>
      </w:r>
      <w:r w:rsidR="00C76CBA">
        <w:fldChar w:fldCharType="separate"/>
      </w:r>
      <w:r w:rsidR="00C76CBA" w:rsidRPr="002C40B8">
        <w:rPr>
          <w:rStyle w:val="Hyperlink"/>
          <w:lang w:val="it-IT"/>
        </w:rPr>
        <w:t>https://health.ec.europa.eu/non-communicable-diseases/healthier-together-eu-non-communicable-diseases-initiative_en</w:t>
      </w:r>
      <w:r w:rsidR="00C76CBA">
        <w:fldChar w:fldCharType="end"/>
      </w:r>
    </w:p>
  </w:footnote>
  <w:footnote w:id="35">
    <w:p w14:paraId="326B7458" w14:textId="62B13758" w:rsidR="005033E2" w:rsidRPr="002C40B8" w:rsidRDefault="005033E2" w:rsidP="00411DF9">
      <w:pPr>
        <w:pStyle w:val="FootnoteText"/>
        <w:ind w:left="142" w:right="-142" w:hanging="142"/>
        <w:jc w:val="both"/>
        <w:rPr>
          <w:lang w:val="it-IT"/>
        </w:rPr>
      </w:pPr>
      <w:r w:rsidRPr="00C76CBA">
        <w:rPr>
          <w:rStyle w:val="FootnoteReference"/>
        </w:rPr>
        <w:footnoteRef/>
      </w:r>
      <w:r w:rsidRPr="002C40B8">
        <w:rPr>
          <w:lang w:val="it-IT"/>
        </w:rPr>
        <w:t xml:space="preserve"> </w:t>
      </w:r>
      <w:r w:rsidR="00C76CBA" w:rsidRPr="002C40B8">
        <w:rPr>
          <w:lang w:val="it-IT"/>
        </w:rPr>
        <w:tab/>
      </w:r>
      <w:r w:rsidR="00C76CBA">
        <w:fldChar w:fldCharType="begin"/>
      </w:r>
      <w:r w:rsidR="00C76CBA" w:rsidRPr="002345B5">
        <w:rPr>
          <w:lang w:val="it-IT"/>
        </w:rPr>
        <w:instrText>HYPERLINK "https://health.ec.europa.eu/funding/eu4health-programme-2021-2027-vision-healthier-european-union_en"</w:instrText>
      </w:r>
      <w:r w:rsidR="00C76CBA">
        <w:fldChar w:fldCharType="separate"/>
      </w:r>
      <w:r w:rsidR="00C76CBA" w:rsidRPr="002C40B8">
        <w:rPr>
          <w:rStyle w:val="Hyperlink"/>
          <w:lang w:val="it-IT"/>
        </w:rPr>
        <w:t>https://health.ec.europa.eu/funding/eu4health-programme-2021-2027-vision-healthier-european-union_en</w:t>
      </w:r>
      <w:r w:rsidR="00C76CBA">
        <w:fldChar w:fldCharType="end"/>
      </w:r>
    </w:p>
  </w:footnote>
  <w:footnote w:id="36">
    <w:p w14:paraId="397E3D48" w14:textId="405D6ABD" w:rsidR="006E341D" w:rsidRPr="002C40B8" w:rsidRDefault="006E341D" w:rsidP="00411DF9">
      <w:pPr>
        <w:pStyle w:val="FootnoteText"/>
        <w:ind w:left="142" w:right="-142" w:hanging="142"/>
        <w:jc w:val="both"/>
        <w:rPr>
          <w:lang w:val="it-IT"/>
        </w:rPr>
      </w:pPr>
      <w:r w:rsidRPr="00C76CBA">
        <w:rPr>
          <w:rStyle w:val="FootnoteReference"/>
        </w:rPr>
        <w:footnoteRef/>
      </w:r>
      <w:r w:rsidRPr="002C40B8">
        <w:rPr>
          <w:lang w:val="it-IT"/>
        </w:rPr>
        <w:t xml:space="preserve"> </w:t>
      </w:r>
      <w:r w:rsidR="00C76CBA" w:rsidRPr="002C40B8">
        <w:rPr>
          <w:lang w:val="it-IT"/>
        </w:rPr>
        <w:tab/>
      </w:r>
      <w:r w:rsidR="00552AAE">
        <w:fldChar w:fldCharType="begin"/>
      </w:r>
      <w:r w:rsidR="00552AAE" w:rsidRPr="002345B5">
        <w:rPr>
          <w:lang w:val="it-IT"/>
        </w:rPr>
        <w:instrText>HYPERLINK "https://www.dypede.gr/health4eukids/"</w:instrText>
      </w:r>
      <w:r w:rsidR="00552AAE">
        <w:fldChar w:fldCharType="separate"/>
      </w:r>
      <w:r w:rsidR="00552AAE" w:rsidRPr="002C40B8">
        <w:rPr>
          <w:rStyle w:val="Hyperlink"/>
          <w:lang w:val="it-IT"/>
        </w:rPr>
        <w:t>https://www.dypede.gr/health4eukids/</w:t>
      </w:r>
      <w:r w:rsidR="00552AAE">
        <w:fldChar w:fldCharType="end"/>
      </w:r>
    </w:p>
  </w:footnote>
  <w:footnote w:id="37">
    <w:p w14:paraId="3552ACB0" w14:textId="2EB248CB" w:rsidR="00027A8C" w:rsidRPr="002C40B8" w:rsidRDefault="00027A8C" w:rsidP="00EB154D">
      <w:pPr>
        <w:pStyle w:val="FootnoteText"/>
        <w:ind w:left="142" w:hanging="142"/>
        <w:rPr>
          <w:lang w:val="it-IT"/>
        </w:rPr>
      </w:pPr>
      <w:r w:rsidRPr="00923111">
        <w:rPr>
          <w:rStyle w:val="FootnoteReference"/>
        </w:rPr>
        <w:footnoteRef/>
      </w:r>
      <w:r w:rsidRPr="002C40B8">
        <w:rPr>
          <w:lang w:val="it-IT"/>
        </w:rPr>
        <w:t xml:space="preserve"> </w:t>
      </w:r>
      <w:r w:rsidR="005542A5" w:rsidRPr="002C40B8">
        <w:rPr>
          <w:lang w:val="it-IT"/>
        </w:rPr>
        <w:tab/>
      </w:r>
      <w:r w:rsidR="005542A5">
        <w:fldChar w:fldCharType="begin"/>
      </w:r>
      <w:r w:rsidR="005542A5" w:rsidRPr="002345B5">
        <w:rPr>
          <w:lang w:val="it-IT"/>
        </w:rPr>
        <w:instrText>HYPERLINK "https://health.ec.europa.eu/non-communicable-diseases/healthier-together-eu-non-communicable-diseases-initiative_en"</w:instrText>
      </w:r>
      <w:r w:rsidR="005542A5">
        <w:fldChar w:fldCharType="separate"/>
      </w:r>
      <w:r w:rsidR="005542A5" w:rsidRPr="002C40B8">
        <w:rPr>
          <w:rStyle w:val="Hyperlink"/>
          <w:lang w:val="it-IT"/>
        </w:rPr>
        <w:t>https://health.ec.europa.eu/non-communicable-diseases/healthier-together-eu-non-communicable-diseases-initiative_en</w:t>
      </w:r>
      <w:r w:rsidR="005542A5">
        <w:fldChar w:fldCharType="end"/>
      </w:r>
      <w:r w:rsidRPr="002C40B8">
        <w:rPr>
          <w:lang w:val="it-IT"/>
        </w:rPr>
        <w:t>.</w:t>
      </w:r>
    </w:p>
  </w:footnote>
  <w:footnote w:id="38">
    <w:p w14:paraId="12E09584" w14:textId="13948468" w:rsidR="001B31CD" w:rsidRPr="002C40B8" w:rsidRDefault="001B31CD" w:rsidP="00EB154D">
      <w:pPr>
        <w:pStyle w:val="FootnoteText"/>
        <w:ind w:left="142" w:right="-284" w:hanging="142"/>
      </w:pPr>
      <w:r w:rsidRPr="00923111">
        <w:rPr>
          <w:rStyle w:val="FootnoteReference"/>
        </w:rPr>
        <w:footnoteRef/>
      </w:r>
      <w:r w:rsidRPr="002C40B8">
        <w:t xml:space="preserve"> </w:t>
      </w:r>
      <w:r w:rsidR="005542A5" w:rsidRPr="002C40B8">
        <w:tab/>
      </w:r>
      <w:hyperlink r:id="rId29" w:history="1">
        <w:r w:rsidR="005542A5" w:rsidRPr="002C40B8">
          <w:rPr>
            <w:rStyle w:val="Hyperlink"/>
          </w:rPr>
          <w:t>https://jadementia.eu/</w:t>
        </w:r>
      </w:hyperlink>
      <w:r w:rsidRPr="002C40B8">
        <w:t xml:space="preserve">. </w:t>
      </w:r>
    </w:p>
  </w:footnote>
  <w:footnote w:id="39">
    <w:p w14:paraId="05AE6601" w14:textId="1E21D568" w:rsidR="00027A8C" w:rsidRPr="00F52EEC" w:rsidRDefault="00027A8C" w:rsidP="00EB154D">
      <w:pPr>
        <w:pStyle w:val="FootnoteText"/>
        <w:ind w:left="142" w:right="-284" w:hanging="142"/>
      </w:pPr>
      <w:r>
        <w:rPr>
          <w:rStyle w:val="FootnoteReference"/>
        </w:rPr>
        <w:footnoteRef/>
      </w:r>
      <w:r>
        <w:t xml:space="preserve"> </w:t>
      </w:r>
      <w:r w:rsidR="005542A5">
        <w:tab/>
      </w:r>
      <w:hyperlink r:id="rId30" w:history="1">
        <w:r w:rsidRPr="00130875">
          <w:rPr>
            <w:rStyle w:val="Hyperlink"/>
          </w:rPr>
          <w:t>A comprehensive approach to mental health - European Commission</w:t>
        </w:r>
      </w:hyperlink>
      <w:r w:rsidR="00265BDA">
        <w:t>.</w:t>
      </w:r>
    </w:p>
  </w:footnote>
  <w:footnote w:id="40">
    <w:p w14:paraId="0E8BE1FF" w14:textId="2D5F1D2D" w:rsidR="00027A8C" w:rsidRPr="00923111" w:rsidRDefault="00027A8C" w:rsidP="00EB154D">
      <w:pPr>
        <w:pStyle w:val="FootnoteText"/>
        <w:ind w:left="142" w:right="-284" w:hanging="142"/>
      </w:pPr>
      <w:r w:rsidRPr="00923111">
        <w:rPr>
          <w:rStyle w:val="FootnoteReference"/>
        </w:rPr>
        <w:footnoteRef/>
      </w:r>
      <w:r w:rsidRPr="00923111">
        <w:t xml:space="preserve"> </w:t>
      </w:r>
      <w:r w:rsidR="005542A5">
        <w:tab/>
      </w:r>
      <w:hyperlink r:id="rId31" w:history="1">
        <w:r w:rsidR="005542A5" w:rsidRPr="005542A5">
          <w:rPr>
            <w:rStyle w:val="Hyperlink"/>
          </w:rPr>
          <w:t>https://webgate.ec.europa.eu/dyna/bp-portal/</w:t>
        </w:r>
      </w:hyperlink>
      <w:r>
        <w:t>.</w:t>
      </w:r>
    </w:p>
  </w:footnote>
  <w:footnote w:id="41">
    <w:p w14:paraId="1467AF72" w14:textId="076ED95E" w:rsidR="1DD2809E" w:rsidRPr="00F61259" w:rsidRDefault="1DD2809E" w:rsidP="00EB154D">
      <w:pPr>
        <w:pStyle w:val="FootnoteText"/>
        <w:ind w:left="142" w:right="-284" w:hanging="142"/>
      </w:pPr>
      <w:r w:rsidRPr="1DD2809E">
        <w:rPr>
          <w:rStyle w:val="FootnoteReference"/>
        </w:rPr>
        <w:footnoteRef/>
      </w:r>
      <w:r w:rsidRPr="00F61259">
        <w:t xml:space="preserve"> </w:t>
      </w:r>
      <w:r w:rsidR="005542A5">
        <w:tab/>
      </w:r>
      <w:hyperlink r:id="rId32" w:history="1">
        <w:r w:rsidR="005542A5" w:rsidRPr="005542A5">
          <w:rPr>
            <w:rStyle w:val="Hyperlink"/>
          </w:rPr>
          <w:t>https://health.ec.europa.eu/non-communicable-diseases/expert-group-public-health_en</w:t>
        </w:r>
      </w:hyperlink>
      <w:r w:rsidR="00265BDA">
        <w:t>.</w:t>
      </w:r>
    </w:p>
  </w:footnote>
  <w:footnote w:id="42">
    <w:p w14:paraId="059A76F3" w14:textId="437A631D" w:rsidR="005033E2" w:rsidRPr="00F61259" w:rsidRDefault="005033E2" w:rsidP="00EB154D">
      <w:pPr>
        <w:pStyle w:val="FootnoteText"/>
        <w:ind w:left="142" w:right="-284" w:hanging="142"/>
      </w:pPr>
      <w:r>
        <w:rPr>
          <w:rStyle w:val="FootnoteReference"/>
        </w:rPr>
        <w:footnoteRef/>
      </w:r>
      <w:r w:rsidRPr="00F61259">
        <w:t xml:space="preserve"> </w:t>
      </w:r>
      <w:r w:rsidR="005542A5">
        <w:tab/>
      </w:r>
      <w:hyperlink r:id="rId33" w:history="1">
        <w:r w:rsidR="005542A5" w:rsidRPr="005542A5">
          <w:rPr>
            <w:rStyle w:val="Hyperlink"/>
          </w:rPr>
          <w:t>https://data.consilium.europa.eu/doc/document/ST-15315-2024-INIT/en/pdf</w:t>
        </w:r>
      </w:hyperlink>
      <w:r w:rsidR="00265BDA">
        <w:t>.</w:t>
      </w:r>
    </w:p>
  </w:footnote>
  <w:footnote w:id="43">
    <w:p w14:paraId="20C9632D" w14:textId="0BB8312D" w:rsidR="00C02DEF" w:rsidRPr="00F61259" w:rsidRDefault="00C02DEF" w:rsidP="00EB154D">
      <w:pPr>
        <w:pStyle w:val="FootnoteText"/>
        <w:ind w:left="142" w:right="-284" w:hanging="142"/>
      </w:pPr>
      <w:r>
        <w:rPr>
          <w:rStyle w:val="FootnoteReference"/>
        </w:rPr>
        <w:footnoteRef/>
      </w:r>
      <w:r w:rsidRPr="00F61259">
        <w:t xml:space="preserve"> </w:t>
      </w:r>
      <w:r w:rsidR="005542A5">
        <w:tab/>
      </w:r>
      <w:hyperlink r:id="rId34" w:history="1">
        <w:r w:rsidR="005542A5" w:rsidRPr="005542A5">
          <w:rPr>
            <w:rStyle w:val="Hyperlink"/>
          </w:rPr>
          <w:t>https://knowledge4policy.ec.europa.eu/health-promotion-knowledge-gateway_en</w:t>
        </w:r>
      </w:hyperlink>
      <w:r w:rsidR="00265BDA">
        <w:t>.</w:t>
      </w:r>
    </w:p>
  </w:footnote>
  <w:footnote w:id="44">
    <w:p w14:paraId="698DF90D" w14:textId="304DFEBE" w:rsidR="00E64151" w:rsidRPr="00265BDA" w:rsidRDefault="00E64151" w:rsidP="00EB154D">
      <w:pPr>
        <w:pStyle w:val="FootnoteText"/>
        <w:ind w:left="142" w:right="-284" w:hanging="142"/>
        <w:rPr>
          <w:lang w:val="en-IE"/>
        </w:rPr>
      </w:pPr>
      <w:r>
        <w:rPr>
          <w:rStyle w:val="FootnoteReference"/>
        </w:rPr>
        <w:footnoteRef/>
      </w:r>
      <w:r w:rsidRPr="00265BDA">
        <w:rPr>
          <w:lang w:val="en-IE"/>
        </w:rPr>
        <w:t xml:space="preserve"> </w:t>
      </w:r>
      <w:r w:rsidR="005542A5">
        <w:rPr>
          <w:lang w:val="en-IE"/>
        </w:rPr>
        <w:tab/>
      </w:r>
      <w:hyperlink r:id="rId35" w:history="1">
        <w:r w:rsidRPr="00265BDA">
          <w:rPr>
            <w:rStyle w:val="Hyperlink"/>
            <w:lang w:val="en-IE"/>
          </w:rPr>
          <w:t>The precautionary principle | EUR-Lex</w:t>
        </w:r>
      </w:hyperlink>
      <w:r w:rsidR="00265BDA">
        <w:t>.</w:t>
      </w:r>
    </w:p>
  </w:footnote>
  <w:footnote w:id="45">
    <w:p w14:paraId="301829A3" w14:textId="469A8318" w:rsidR="2C3BFB97" w:rsidRPr="0015489E" w:rsidRDefault="2C3BFB97" w:rsidP="00EB154D">
      <w:pPr>
        <w:spacing w:after="0"/>
        <w:ind w:left="142" w:right="-284" w:hanging="142"/>
        <w:rPr>
          <w:rFonts w:ascii="Times New Roman" w:hAnsi="Times New Roman"/>
          <w:b/>
          <w:bCs/>
          <w:sz w:val="20"/>
          <w:szCs w:val="20"/>
          <w:lang w:val="en-IE"/>
        </w:rPr>
      </w:pPr>
      <w:r w:rsidRPr="00C25B19">
        <w:rPr>
          <w:rFonts w:ascii="Times New Roman" w:hAnsi="Times New Roman"/>
          <w:sz w:val="20"/>
          <w:szCs w:val="20"/>
          <w:vertAlign w:val="superscript"/>
        </w:rPr>
        <w:footnoteRef/>
      </w:r>
      <w:r w:rsidRPr="00411DF9">
        <w:rPr>
          <w:rFonts w:ascii="Times New Roman" w:hAnsi="Times New Roman"/>
          <w:sz w:val="20"/>
          <w:szCs w:val="20"/>
          <w:lang w:val="en-IE"/>
        </w:rPr>
        <w:t xml:space="preserve"> </w:t>
      </w:r>
      <w:r w:rsidR="005542A5" w:rsidRPr="00411DF9">
        <w:rPr>
          <w:rFonts w:ascii="Times New Roman" w:hAnsi="Times New Roman"/>
          <w:sz w:val="20"/>
          <w:szCs w:val="20"/>
          <w:lang w:val="en-IE"/>
        </w:rPr>
        <w:tab/>
      </w:r>
      <w:r w:rsidR="0015489E" w:rsidRPr="00411DF9">
        <w:rPr>
          <w:rFonts w:ascii="Times New Roman" w:hAnsi="Times New Roman"/>
          <w:sz w:val="20"/>
          <w:szCs w:val="20"/>
          <w:lang w:val="en-IE"/>
        </w:rPr>
        <w:t>Communication from the Commission on the precautionary principle (</w:t>
      </w:r>
      <w:hyperlink r:id="rId36" w:history="1">
        <w:r w:rsidR="0015489E" w:rsidRPr="00411DF9">
          <w:rPr>
            <w:rStyle w:val="Hyperlink"/>
            <w:rFonts w:ascii="Times New Roman" w:hAnsi="Times New Roman"/>
            <w:sz w:val="20"/>
            <w:szCs w:val="20"/>
          </w:rPr>
          <w:t>EUR-Lex - 52000DC0001 - EN - EUR-Lex</w:t>
        </w:r>
      </w:hyperlink>
      <w:r w:rsidR="0015489E" w:rsidRPr="00411DF9">
        <w:rPr>
          <w:rFonts w:ascii="Times New Roman" w:hAnsi="Times New Roman"/>
          <w:sz w:val="20"/>
          <w:szCs w:val="20"/>
          <w:lang w:val="en-IE"/>
        </w:rPr>
        <w:t>).</w:t>
      </w:r>
    </w:p>
  </w:footnote>
  <w:footnote w:id="46">
    <w:p w14:paraId="00B7C5EB" w14:textId="6E76AD84" w:rsidR="00BD3181" w:rsidRPr="009A259D" w:rsidRDefault="00BD3181" w:rsidP="00EB154D">
      <w:pPr>
        <w:pStyle w:val="FootnoteText"/>
        <w:keepNext/>
        <w:keepLines/>
        <w:ind w:left="142" w:right="-284" w:hanging="142"/>
        <w:jc w:val="both"/>
        <w:rPr>
          <w:lang w:val="en-IE"/>
        </w:rPr>
      </w:pPr>
      <w:r>
        <w:rPr>
          <w:rStyle w:val="FootnoteReference"/>
        </w:rPr>
        <w:footnoteRef/>
      </w:r>
      <w:r w:rsidRPr="009A259D">
        <w:rPr>
          <w:lang w:val="en-IE"/>
        </w:rPr>
        <w:t xml:space="preserve"> </w:t>
      </w:r>
      <w:r w:rsidR="005542A5" w:rsidRPr="009A259D">
        <w:rPr>
          <w:lang w:val="en-IE"/>
        </w:rPr>
        <w:tab/>
      </w:r>
      <w:r w:rsidR="009A259D" w:rsidRPr="009A259D">
        <w:rPr>
          <w:lang w:val="en-IE"/>
        </w:rPr>
        <w:t>Regulation (EC) No 178/2002 of the European Parliament and of the Council of 28 January 2002 laying down the general principles and requirements of food law, establishing the European Food Safety Authority and laying down procedures in matters of food safety</w:t>
      </w:r>
      <w:r w:rsidR="009A259D" w:rsidRPr="009A259D" w:rsidDel="009A259D">
        <w:rPr>
          <w:lang w:val="en-IE"/>
        </w:rPr>
        <w:t xml:space="preserve"> </w:t>
      </w:r>
      <w:r w:rsidR="009A259D">
        <w:rPr>
          <w:lang w:val="en-IE"/>
        </w:rPr>
        <w:t>(</w:t>
      </w:r>
      <w:r w:rsidR="009A259D" w:rsidRPr="009A259D">
        <w:rPr>
          <w:lang w:val="en-IE"/>
        </w:rPr>
        <w:t>http://data.europa.eu/eli/reg/2002/178/oj</w:t>
      </w:r>
      <w:r w:rsidR="009A259D">
        <w:rPr>
          <w:lang w:val="en-IE"/>
        </w:rPr>
        <w:t>).</w:t>
      </w:r>
    </w:p>
  </w:footnote>
  <w:footnote w:id="47">
    <w:p w14:paraId="3FE20219" w14:textId="70D36B4B" w:rsidR="003F46F7" w:rsidRPr="00265BDA" w:rsidRDefault="003F46F7" w:rsidP="000B4327">
      <w:pPr>
        <w:pStyle w:val="FootnoteText"/>
        <w:keepNext/>
        <w:keepLines/>
        <w:ind w:left="142" w:right="-284" w:hanging="284"/>
        <w:jc w:val="both"/>
        <w:rPr>
          <w:lang w:val="fr-FR"/>
        </w:rPr>
      </w:pPr>
      <w:r>
        <w:rPr>
          <w:rStyle w:val="FootnoteReference"/>
        </w:rPr>
        <w:footnoteRef/>
      </w:r>
      <w:r w:rsidRPr="00005E21">
        <w:rPr>
          <w:lang w:val="fr-FR"/>
        </w:rPr>
        <w:t xml:space="preserve"> </w:t>
      </w:r>
      <w:r w:rsidR="009A259D">
        <w:rPr>
          <w:lang w:val="fr-FR"/>
        </w:rPr>
        <w:tab/>
      </w:r>
      <w:proofErr w:type="gramStart"/>
      <w:r w:rsidR="009A259D" w:rsidRPr="009A259D">
        <w:rPr>
          <w:lang w:val="fr-FR"/>
        </w:rPr>
        <w:t>SWD(</w:t>
      </w:r>
      <w:proofErr w:type="gramEnd"/>
      <w:r w:rsidR="009A259D" w:rsidRPr="009A259D">
        <w:rPr>
          <w:lang w:val="fr-FR"/>
        </w:rPr>
        <w:t xml:space="preserve">2018) 37 final </w:t>
      </w:r>
      <w:r w:rsidR="009A259D">
        <w:rPr>
          <w:lang w:val="fr-FR"/>
        </w:rPr>
        <w:t>(</w:t>
      </w:r>
      <w:r>
        <w:fldChar w:fldCharType="begin"/>
      </w:r>
      <w:r w:rsidRPr="002345B5">
        <w:rPr>
          <w:lang w:val="fr-BE"/>
        </w:rPr>
        <w:instrText>HYPERLINK "https://food.ec.europa.eu/document/download/069bc2d8-4e48-408c-aeea-158d803cfdd9_en"</w:instrText>
      </w:r>
      <w:r>
        <w:fldChar w:fldCharType="separate"/>
      </w:r>
      <w:r w:rsidRPr="00005E21">
        <w:rPr>
          <w:rStyle w:val="Hyperlink"/>
          <w:lang w:val="fr-FR"/>
        </w:rPr>
        <w:t>SANTE/12006/2017-EN PART 2/2</w:t>
      </w:r>
      <w:r>
        <w:fldChar w:fldCharType="end"/>
      </w:r>
      <w:r w:rsidR="009A259D" w:rsidRPr="00411DF9">
        <w:rPr>
          <w:lang w:val="fr-BE"/>
        </w:rPr>
        <w:t>)</w:t>
      </w:r>
      <w:r w:rsidR="00265BDA" w:rsidRPr="00265BDA">
        <w:rPr>
          <w:lang w:val="fr-FR"/>
        </w:rPr>
        <w:t>.</w:t>
      </w:r>
    </w:p>
  </w:footnote>
  <w:footnote w:id="48">
    <w:p w14:paraId="7A1357B1" w14:textId="26FEB54D" w:rsidR="00F82DBA" w:rsidRPr="00265BDA" w:rsidRDefault="00F82DBA" w:rsidP="000B4327">
      <w:pPr>
        <w:pStyle w:val="FootnoteText"/>
        <w:keepNext/>
        <w:keepLines/>
        <w:ind w:left="142" w:right="-284" w:hanging="284"/>
        <w:jc w:val="both"/>
        <w:rPr>
          <w:lang w:val="fr-FR"/>
        </w:rPr>
      </w:pPr>
      <w:r>
        <w:rPr>
          <w:rStyle w:val="FootnoteReference"/>
        </w:rPr>
        <w:footnoteRef/>
      </w:r>
      <w:r w:rsidRPr="00F61259">
        <w:rPr>
          <w:lang w:val="fr-FR"/>
        </w:rPr>
        <w:t xml:space="preserve"> </w:t>
      </w:r>
      <w:r w:rsidR="009A259D">
        <w:rPr>
          <w:lang w:val="fr-FR"/>
        </w:rPr>
        <w:tab/>
      </w:r>
      <w:proofErr w:type="gramStart"/>
      <w:r w:rsidR="009A259D" w:rsidRPr="009A259D">
        <w:rPr>
          <w:lang w:val="fr-FR"/>
        </w:rPr>
        <w:t>COM(</w:t>
      </w:r>
      <w:proofErr w:type="gramEnd"/>
      <w:r w:rsidR="009A259D" w:rsidRPr="009A259D">
        <w:rPr>
          <w:lang w:val="fr-FR"/>
        </w:rPr>
        <w:t xml:space="preserve">2025) 75 final </w:t>
      </w:r>
      <w:r w:rsidR="009A259D">
        <w:rPr>
          <w:lang w:val="fr-FR"/>
        </w:rPr>
        <w:t>(</w:t>
      </w:r>
      <w:r w:rsidR="009A259D">
        <w:fldChar w:fldCharType="begin"/>
      </w:r>
      <w:r w:rsidR="009A259D" w:rsidRPr="002345B5">
        <w:rPr>
          <w:lang w:val="fr-BE"/>
        </w:rPr>
        <w:instrText>HYPERLINK "https://eur-lex.europa.eu/legal-content/EN/TXT/?uri=celex:52025DC0075"</w:instrText>
      </w:r>
      <w:r w:rsidR="009A259D">
        <w:fldChar w:fldCharType="separate"/>
      </w:r>
      <w:r w:rsidR="009A259D" w:rsidRPr="00411DF9">
        <w:rPr>
          <w:rStyle w:val="Hyperlink"/>
          <w:lang w:val="fr-BE"/>
        </w:rPr>
        <w:t>EUR-Lex - 52025DC0075 - EN - EUR-Lex</w:t>
      </w:r>
      <w:r w:rsidR="009A259D">
        <w:fldChar w:fldCharType="end"/>
      </w:r>
      <w:r w:rsidR="009A259D">
        <w:rPr>
          <w:lang w:val="fr-FR"/>
        </w:rPr>
        <w:t>)</w:t>
      </w:r>
      <w:r w:rsidR="00265BDA" w:rsidRPr="00265BDA">
        <w:rPr>
          <w:lang w:val="fr-FR"/>
        </w:rPr>
        <w:t>.</w:t>
      </w:r>
    </w:p>
  </w:footnote>
  <w:footnote w:id="49">
    <w:p w14:paraId="2D4201A6" w14:textId="62EDF3D3" w:rsidR="00E70B20" w:rsidRPr="00411DF9" w:rsidRDefault="00E70B20" w:rsidP="000B4327">
      <w:pPr>
        <w:pStyle w:val="FootnoteText"/>
        <w:ind w:left="142" w:right="-284" w:hanging="284"/>
        <w:rPr>
          <w:lang w:val="en-IE"/>
        </w:rPr>
      </w:pPr>
      <w:r>
        <w:rPr>
          <w:rStyle w:val="FootnoteReference"/>
        </w:rPr>
        <w:footnoteRef/>
      </w:r>
      <w:r>
        <w:t xml:space="preserve"> </w:t>
      </w:r>
      <w:bookmarkStart w:id="1" w:name="_Hlk215837192"/>
      <w:r w:rsidR="00C15B8A">
        <w:tab/>
      </w:r>
      <w:hyperlink r:id="rId37" w:tgtFrame="_blank" w:history="1">
        <w:r w:rsidRPr="00341FE0">
          <w:rPr>
            <w:rStyle w:val="Hyperlink"/>
          </w:rPr>
          <w:t>Study on Health Taxes from an EU Perspective - Taxation and Customs Union</w:t>
        </w:r>
      </w:hyperlink>
      <w:r>
        <w:t>.</w:t>
      </w:r>
      <w:bookmarkEnd w:id="1"/>
    </w:p>
  </w:footnote>
  <w:footnote w:id="50">
    <w:p w14:paraId="2193CE28" w14:textId="63D16270" w:rsidR="00E70B20" w:rsidRPr="00411DF9" w:rsidRDefault="00E70B20" w:rsidP="00A17B82">
      <w:pPr>
        <w:pStyle w:val="FootnoteText"/>
        <w:ind w:left="142" w:hanging="284"/>
        <w:rPr>
          <w:lang w:val="en-IE"/>
        </w:rPr>
      </w:pPr>
      <w:r>
        <w:rPr>
          <w:rStyle w:val="FootnoteReference"/>
        </w:rPr>
        <w:footnoteRef/>
      </w:r>
      <w:r>
        <w:t xml:space="preserve"> </w:t>
      </w:r>
      <w:r w:rsidR="00C15B8A">
        <w:tab/>
      </w:r>
      <w:r w:rsidRPr="001F6FA7">
        <w:rPr>
          <w:lang w:val="en-IE"/>
        </w:rPr>
        <w:t xml:space="preserve">Regulation (EU) 2022/2065 of the European Parliament and of the Council of 19 October 2022 on a Single Market For Digital Services and amending Directive 2000/31/EC </w:t>
      </w:r>
      <w:hyperlink r:id="rId38" w:history="1">
        <w:r w:rsidRPr="001F6FA7">
          <w:rPr>
            <w:rStyle w:val="Hyperlink"/>
            <w:lang w:val="en-IE"/>
          </w:rPr>
          <w:t>Regulation - 2022/2065 - EN - DSA - EUR-Lex</w:t>
        </w:r>
      </w:hyperlink>
      <w:r w:rsidRPr="001F6FA7">
        <w:rPr>
          <w:rStyle w:val="Hyperlink"/>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8CF2" w14:textId="77777777" w:rsidR="00DC0F8F" w:rsidRDefault="00DC0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E514" w14:textId="77777777" w:rsidR="00DC0F8F" w:rsidRDefault="00DC0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333B" w14:textId="77777777" w:rsidR="00DC0F8F" w:rsidRDefault="00DC0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786"/>
    <w:multiLevelType w:val="multilevel"/>
    <w:tmpl w:val="3F82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C3010"/>
    <w:multiLevelType w:val="multilevel"/>
    <w:tmpl w:val="4536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81F2D"/>
    <w:multiLevelType w:val="multilevel"/>
    <w:tmpl w:val="4F68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766C20"/>
    <w:multiLevelType w:val="multilevel"/>
    <w:tmpl w:val="D07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413D97"/>
    <w:multiLevelType w:val="multilevel"/>
    <w:tmpl w:val="F1D6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2E38C8"/>
    <w:multiLevelType w:val="multilevel"/>
    <w:tmpl w:val="3F10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E756DF"/>
    <w:multiLevelType w:val="multilevel"/>
    <w:tmpl w:val="E0F0E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CF2A83"/>
    <w:multiLevelType w:val="hybridMultilevel"/>
    <w:tmpl w:val="4ADC343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67920D43"/>
    <w:multiLevelType w:val="multilevel"/>
    <w:tmpl w:val="C822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A2641C"/>
    <w:multiLevelType w:val="multilevel"/>
    <w:tmpl w:val="8CFE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3407355">
    <w:abstractNumId w:val="7"/>
  </w:num>
  <w:num w:numId="2" w16cid:durableId="1237935320">
    <w:abstractNumId w:val="2"/>
  </w:num>
  <w:num w:numId="3" w16cid:durableId="1772359934">
    <w:abstractNumId w:val="4"/>
  </w:num>
  <w:num w:numId="4" w16cid:durableId="235483088">
    <w:abstractNumId w:val="0"/>
  </w:num>
  <w:num w:numId="5" w16cid:durableId="2058845858">
    <w:abstractNumId w:val="3"/>
  </w:num>
  <w:num w:numId="6" w16cid:durableId="2127114586">
    <w:abstractNumId w:val="8"/>
  </w:num>
  <w:num w:numId="7" w16cid:durableId="1588533349">
    <w:abstractNumId w:val="9"/>
  </w:num>
  <w:num w:numId="8" w16cid:durableId="1386874341">
    <w:abstractNumId w:val="1"/>
  </w:num>
  <w:num w:numId="9" w16cid:durableId="522482367">
    <w:abstractNumId w:val="5"/>
  </w:num>
  <w:num w:numId="10" w16cid:durableId="1954238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0E12"/>
    <w:rsid w:val="00002F1A"/>
    <w:rsid w:val="00005E21"/>
    <w:rsid w:val="000065E2"/>
    <w:rsid w:val="00007B8F"/>
    <w:rsid w:val="00012A37"/>
    <w:rsid w:val="00014538"/>
    <w:rsid w:val="00015FBF"/>
    <w:rsid w:val="00016F68"/>
    <w:rsid w:val="000236AE"/>
    <w:rsid w:val="0002535E"/>
    <w:rsid w:val="00025F77"/>
    <w:rsid w:val="00027A8C"/>
    <w:rsid w:val="00033A03"/>
    <w:rsid w:val="000344F9"/>
    <w:rsid w:val="00042FE3"/>
    <w:rsid w:val="0004341C"/>
    <w:rsid w:val="00046B15"/>
    <w:rsid w:val="000506AE"/>
    <w:rsid w:val="00050DC7"/>
    <w:rsid w:val="0005254B"/>
    <w:rsid w:val="000640E2"/>
    <w:rsid w:val="000675F4"/>
    <w:rsid w:val="00070D2C"/>
    <w:rsid w:val="00070D64"/>
    <w:rsid w:val="00073313"/>
    <w:rsid w:val="00075FA8"/>
    <w:rsid w:val="00076109"/>
    <w:rsid w:val="00077C4F"/>
    <w:rsid w:val="0008023D"/>
    <w:rsid w:val="00082E61"/>
    <w:rsid w:val="000871C3"/>
    <w:rsid w:val="000900D0"/>
    <w:rsid w:val="00092EA2"/>
    <w:rsid w:val="000936FC"/>
    <w:rsid w:val="00093E73"/>
    <w:rsid w:val="000A2AAE"/>
    <w:rsid w:val="000A3BC5"/>
    <w:rsid w:val="000A4A2C"/>
    <w:rsid w:val="000A74D7"/>
    <w:rsid w:val="000B2543"/>
    <w:rsid w:val="000B4327"/>
    <w:rsid w:val="000B7A18"/>
    <w:rsid w:val="000C2A9B"/>
    <w:rsid w:val="000C2E72"/>
    <w:rsid w:val="000C365F"/>
    <w:rsid w:val="000C4AA0"/>
    <w:rsid w:val="000C5B8A"/>
    <w:rsid w:val="000C78A3"/>
    <w:rsid w:val="000D2B95"/>
    <w:rsid w:val="000D4B6C"/>
    <w:rsid w:val="000E02AB"/>
    <w:rsid w:val="000E5615"/>
    <w:rsid w:val="000F1D8B"/>
    <w:rsid w:val="000F5E5C"/>
    <w:rsid w:val="000F5FD8"/>
    <w:rsid w:val="000F73A6"/>
    <w:rsid w:val="0010206B"/>
    <w:rsid w:val="00112841"/>
    <w:rsid w:val="00115004"/>
    <w:rsid w:val="001167C0"/>
    <w:rsid w:val="00116C4A"/>
    <w:rsid w:val="00124405"/>
    <w:rsid w:val="00125105"/>
    <w:rsid w:val="00130508"/>
    <w:rsid w:val="00130875"/>
    <w:rsid w:val="0013191D"/>
    <w:rsid w:val="00134C62"/>
    <w:rsid w:val="00135C2A"/>
    <w:rsid w:val="001365F3"/>
    <w:rsid w:val="00137AD4"/>
    <w:rsid w:val="0014070B"/>
    <w:rsid w:val="001418F3"/>
    <w:rsid w:val="00143C67"/>
    <w:rsid w:val="00145BCA"/>
    <w:rsid w:val="00146770"/>
    <w:rsid w:val="00146AD7"/>
    <w:rsid w:val="00147AE3"/>
    <w:rsid w:val="0015165D"/>
    <w:rsid w:val="0015489E"/>
    <w:rsid w:val="00154B4D"/>
    <w:rsid w:val="00155776"/>
    <w:rsid w:val="001576C9"/>
    <w:rsid w:val="0016061A"/>
    <w:rsid w:val="00160F53"/>
    <w:rsid w:val="00165F6E"/>
    <w:rsid w:val="00173724"/>
    <w:rsid w:val="00176C1E"/>
    <w:rsid w:val="00180B5E"/>
    <w:rsid w:val="00183F2A"/>
    <w:rsid w:val="001841AF"/>
    <w:rsid w:val="001845DA"/>
    <w:rsid w:val="00185AAD"/>
    <w:rsid w:val="001902C7"/>
    <w:rsid w:val="00190C2F"/>
    <w:rsid w:val="001930C0"/>
    <w:rsid w:val="001932B3"/>
    <w:rsid w:val="001946E8"/>
    <w:rsid w:val="0019587E"/>
    <w:rsid w:val="001A4025"/>
    <w:rsid w:val="001A7DCC"/>
    <w:rsid w:val="001B02A0"/>
    <w:rsid w:val="001B0C33"/>
    <w:rsid w:val="001B0E0B"/>
    <w:rsid w:val="001B1775"/>
    <w:rsid w:val="001B31CD"/>
    <w:rsid w:val="001B33FF"/>
    <w:rsid w:val="001C2D48"/>
    <w:rsid w:val="001C4138"/>
    <w:rsid w:val="001C4352"/>
    <w:rsid w:val="001C69E8"/>
    <w:rsid w:val="001C7245"/>
    <w:rsid w:val="001C75AC"/>
    <w:rsid w:val="001D02FF"/>
    <w:rsid w:val="001D225A"/>
    <w:rsid w:val="001D491B"/>
    <w:rsid w:val="001E1C65"/>
    <w:rsid w:val="001E4C59"/>
    <w:rsid w:val="001E6C92"/>
    <w:rsid w:val="001F0D61"/>
    <w:rsid w:val="001F20F6"/>
    <w:rsid w:val="001F2EC6"/>
    <w:rsid w:val="001F442D"/>
    <w:rsid w:val="001F451B"/>
    <w:rsid w:val="001F65D0"/>
    <w:rsid w:val="001F7CDD"/>
    <w:rsid w:val="001F7D89"/>
    <w:rsid w:val="002018DD"/>
    <w:rsid w:val="00201F61"/>
    <w:rsid w:val="00205308"/>
    <w:rsid w:val="002064E1"/>
    <w:rsid w:val="00207FA3"/>
    <w:rsid w:val="00211687"/>
    <w:rsid w:val="002121FA"/>
    <w:rsid w:val="002146E1"/>
    <w:rsid w:val="00215B8E"/>
    <w:rsid w:val="00217E59"/>
    <w:rsid w:val="00222CF0"/>
    <w:rsid w:val="002236E6"/>
    <w:rsid w:val="00225A60"/>
    <w:rsid w:val="002275A5"/>
    <w:rsid w:val="002345B5"/>
    <w:rsid w:val="00245EE6"/>
    <w:rsid w:val="002476E8"/>
    <w:rsid w:val="00247A9A"/>
    <w:rsid w:val="00247F39"/>
    <w:rsid w:val="00255053"/>
    <w:rsid w:val="00260736"/>
    <w:rsid w:val="00260AFA"/>
    <w:rsid w:val="00265BDA"/>
    <w:rsid w:val="0027532E"/>
    <w:rsid w:val="0027590D"/>
    <w:rsid w:val="002764A9"/>
    <w:rsid w:val="00277E5A"/>
    <w:rsid w:val="002801A3"/>
    <w:rsid w:val="00283C60"/>
    <w:rsid w:val="00286AF2"/>
    <w:rsid w:val="002877DF"/>
    <w:rsid w:val="002901AA"/>
    <w:rsid w:val="002905BE"/>
    <w:rsid w:val="0029102B"/>
    <w:rsid w:val="00296214"/>
    <w:rsid w:val="0029699C"/>
    <w:rsid w:val="002A1EA3"/>
    <w:rsid w:val="002A79B4"/>
    <w:rsid w:val="002B0F6C"/>
    <w:rsid w:val="002B54D2"/>
    <w:rsid w:val="002B668C"/>
    <w:rsid w:val="002C09E4"/>
    <w:rsid w:val="002C0B55"/>
    <w:rsid w:val="002C40B8"/>
    <w:rsid w:val="002C6040"/>
    <w:rsid w:val="002C6429"/>
    <w:rsid w:val="002D148D"/>
    <w:rsid w:val="002D223E"/>
    <w:rsid w:val="002D555C"/>
    <w:rsid w:val="002E0837"/>
    <w:rsid w:val="002E0896"/>
    <w:rsid w:val="002E78F8"/>
    <w:rsid w:val="002F03FA"/>
    <w:rsid w:val="002F3971"/>
    <w:rsid w:val="002F4956"/>
    <w:rsid w:val="002F5C6F"/>
    <w:rsid w:val="002F5DAF"/>
    <w:rsid w:val="002F6DB4"/>
    <w:rsid w:val="002F730B"/>
    <w:rsid w:val="002F7F35"/>
    <w:rsid w:val="003004D2"/>
    <w:rsid w:val="00300F9F"/>
    <w:rsid w:val="00302613"/>
    <w:rsid w:val="00302DD2"/>
    <w:rsid w:val="00303B82"/>
    <w:rsid w:val="0030516A"/>
    <w:rsid w:val="0030669B"/>
    <w:rsid w:val="00310D4A"/>
    <w:rsid w:val="003132F9"/>
    <w:rsid w:val="003145B9"/>
    <w:rsid w:val="00321645"/>
    <w:rsid w:val="00324E99"/>
    <w:rsid w:val="0033076D"/>
    <w:rsid w:val="00331AB1"/>
    <w:rsid w:val="00333C80"/>
    <w:rsid w:val="003349A3"/>
    <w:rsid w:val="00337242"/>
    <w:rsid w:val="00337AE8"/>
    <w:rsid w:val="00341FE0"/>
    <w:rsid w:val="00343C0A"/>
    <w:rsid w:val="00343EBE"/>
    <w:rsid w:val="0034606E"/>
    <w:rsid w:val="0034731D"/>
    <w:rsid w:val="003506A2"/>
    <w:rsid w:val="0035492F"/>
    <w:rsid w:val="003604E6"/>
    <w:rsid w:val="0036662A"/>
    <w:rsid w:val="00367F21"/>
    <w:rsid w:val="00372AF1"/>
    <w:rsid w:val="003730E3"/>
    <w:rsid w:val="003746D6"/>
    <w:rsid w:val="00374F29"/>
    <w:rsid w:val="00377967"/>
    <w:rsid w:val="0038091C"/>
    <w:rsid w:val="00382164"/>
    <w:rsid w:val="00384750"/>
    <w:rsid w:val="00386143"/>
    <w:rsid w:val="003926AB"/>
    <w:rsid w:val="003A04D8"/>
    <w:rsid w:val="003A100F"/>
    <w:rsid w:val="003A1527"/>
    <w:rsid w:val="003A159E"/>
    <w:rsid w:val="003A2DFE"/>
    <w:rsid w:val="003A4171"/>
    <w:rsid w:val="003B58DC"/>
    <w:rsid w:val="003C2875"/>
    <w:rsid w:val="003C52CD"/>
    <w:rsid w:val="003C55B1"/>
    <w:rsid w:val="003D2E4B"/>
    <w:rsid w:val="003D3353"/>
    <w:rsid w:val="003D3BC9"/>
    <w:rsid w:val="003D42F3"/>
    <w:rsid w:val="003D4480"/>
    <w:rsid w:val="003D7E1C"/>
    <w:rsid w:val="003E0853"/>
    <w:rsid w:val="003E47EC"/>
    <w:rsid w:val="003E7306"/>
    <w:rsid w:val="003F000F"/>
    <w:rsid w:val="003F1F21"/>
    <w:rsid w:val="003F3D59"/>
    <w:rsid w:val="003F46F7"/>
    <w:rsid w:val="003F5844"/>
    <w:rsid w:val="003F686E"/>
    <w:rsid w:val="003F72B3"/>
    <w:rsid w:val="003F7950"/>
    <w:rsid w:val="00400407"/>
    <w:rsid w:val="004005A7"/>
    <w:rsid w:val="00401CAA"/>
    <w:rsid w:val="00401DFD"/>
    <w:rsid w:val="004041E9"/>
    <w:rsid w:val="00404443"/>
    <w:rsid w:val="00410EE7"/>
    <w:rsid w:val="00411A5B"/>
    <w:rsid w:val="00411DF9"/>
    <w:rsid w:val="00412DB1"/>
    <w:rsid w:val="004136A3"/>
    <w:rsid w:val="004154EC"/>
    <w:rsid w:val="00422346"/>
    <w:rsid w:val="00422357"/>
    <w:rsid w:val="00422A6D"/>
    <w:rsid w:val="00432358"/>
    <w:rsid w:val="00433BC4"/>
    <w:rsid w:val="004361D4"/>
    <w:rsid w:val="0044159B"/>
    <w:rsid w:val="00442552"/>
    <w:rsid w:val="00445823"/>
    <w:rsid w:val="00450086"/>
    <w:rsid w:val="004504A8"/>
    <w:rsid w:val="0045443B"/>
    <w:rsid w:val="00454458"/>
    <w:rsid w:val="00455A1C"/>
    <w:rsid w:val="004563D0"/>
    <w:rsid w:val="00457491"/>
    <w:rsid w:val="00457A73"/>
    <w:rsid w:val="00463A43"/>
    <w:rsid w:val="0046498D"/>
    <w:rsid w:val="0046571E"/>
    <w:rsid w:val="004675B5"/>
    <w:rsid w:val="00467D36"/>
    <w:rsid w:val="0047037D"/>
    <w:rsid w:val="00470DCB"/>
    <w:rsid w:val="00471D1D"/>
    <w:rsid w:val="00473E1F"/>
    <w:rsid w:val="0047629D"/>
    <w:rsid w:val="004770D6"/>
    <w:rsid w:val="00482CD0"/>
    <w:rsid w:val="004837A7"/>
    <w:rsid w:val="00484321"/>
    <w:rsid w:val="0048486D"/>
    <w:rsid w:val="00485FC8"/>
    <w:rsid w:val="0049087B"/>
    <w:rsid w:val="0049246C"/>
    <w:rsid w:val="00494829"/>
    <w:rsid w:val="004A0769"/>
    <w:rsid w:val="004A1B1B"/>
    <w:rsid w:val="004A2275"/>
    <w:rsid w:val="004A4A4E"/>
    <w:rsid w:val="004A6AB9"/>
    <w:rsid w:val="004B0392"/>
    <w:rsid w:val="004B0AF0"/>
    <w:rsid w:val="004B2839"/>
    <w:rsid w:val="004C13A7"/>
    <w:rsid w:val="004C2B62"/>
    <w:rsid w:val="004C3628"/>
    <w:rsid w:val="004C6081"/>
    <w:rsid w:val="004C6D69"/>
    <w:rsid w:val="004C6F0D"/>
    <w:rsid w:val="004C77E2"/>
    <w:rsid w:val="004D10F1"/>
    <w:rsid w:val="004D1ECA"/>
    <w:rsid w:val="004D5AE2"/>
    <w:rsid w:val="004D5FFD"/>
    <w:rsid w:val="004D652C"/>
    <w:rsid w:val="004D7629"/>
    <w:rsid w:val="004E077F"/>
    <w:rsid w:val="004E4E9A"/>
    <w:rsid w:val="004E6A11"/>
    <w:rsid w:val="004F0611"/>
    <w:rsid w:val="004F111F"/>
    <w:rsid w:val="004F6117"/>
    <w:rsid w:val="004F6202"/>
    <w:rsid w:val="004F63F1"/>
    <w:rsid w:val="004F651E"/>
    <w:rsid w:val="00500CF2"/>
    <w:rsid w:val="005015AB"/>
    <w:rsid w:val="005033E2"/>
    <w:rsid w:val="0050495A"/>
    <w:rsid w:val="00505419"/>
    <w:rsid w:val="00506FA0"/>
    <w:rsid w:val="00507212"/>
    <w:rsid w:val="005121DB"/>
    <w:rsid w:val="005136CB"/>
    <w:rsid w:val="00514A61"/>
    <w:rsid w:val="0052115E"/>
    <w:rsid w:val="0052196A"/>
    <w:rsid w:val="00524973"/>
    <w:rsid w:val="00524E04"/>
    <w:rsid w:val="0052596B"/>
    <w:rsid w:val="00525F71"/>
    <w:rsid w:val="00526EDA"/>
    <w:rsid w:val="00531011"/>
    <w:rsid w:val="0053151F"/>
    <w:rsid w:val="00534E10"/>
    <w:rsid w:val="00534F4A"/>
    <w:rsid w:val="005365D4"/>
    <w:rsid w:val="00536FEB"/>
    <w:rsid w:val="005411E0"/>
    <w:rsid w:val="00542493"/>
    <w:rsid w:val="00551425"/>
    <w:rsid w:val="00552A72"/>
    <w:rsid w:val="00552AAE"/>
    <w:rsid w:val="005542A5"/>
    <w:rsid w:val="00554D8D"/>
    <w:rsid w:val="00556C8A"/>
    <w:rsid w:val="005623E2"/>
    <w:rsid w:val="00567A08"/>
    <w:rsid w:val="00570A6B"/>
    <w:rsid w:val="00573835"/>
    <w:rsid w:val="00581306"/>
    <w:rsid w:val="0058663C"/>
    <w:rsid w:val="005878A2"/>
    <w:rsid w:val="00590693"/>
    <w:rsid w:val="0059163A"/>
    <w:rsid w:val="00591DA2"/>
    <w:rsid w:val="005948C0"/>
    <w:rsid w:val="00594C67"/>
    <w:rsid w:val="005A4020"/>
    <w:rsid w:val="005A48A9"/>
    <w:rsid w:val="005A5C72"/>
    <w:rsid w:val="005B2298"/>
    <w:rsid w:val="005B237F"/>
    <w:rsid w:val="005B5184"/>
    <w:rsid w:val="005B632F"/>
    <w:rsid w:val="005B6E13"/>
    <w:rsid w:val="005C0CF9"/>
    <w:rsid w:val="005C0F97"/>
    <w:rsid w:val="005C1880"/>
    <w:rsid w:val="005C3105"/>
    <w:rsid w:val="005C46CA"/>
    <w:rsid w:val="005C4AA6"/>
    <w:rsid w:val="005C517D"/>
    <w:rsid w:val="005D1F70"/>
    <w:rsid w:val="005D36B3"/>
    <w:rsid w:val="005D4438"/>
    <w:rsid w:val="005D5E6B"/>
    <w:rsid w:val="005D634C"/>
    <w:rsid w:val="005E7F89"/>
    <w:rsid w:val="005F0488"/>
    <w:rsid w:val="005F23DD"/>
    <w:rsid w:val="005F32E4"/>
    <w:rsid w:val="005F7896"/>
    <w:rsid w:val="00600301"/>
    <w:rsid w:val="0060040E"/>
    <w:rsid w:val="00602497"/>
    <w:rsid w:val="00603425"/>
    <w:rsid w:val="00603E99"/>
    <w:rsid w:val="006071A2"/>
    <w:rsid w:val="0060737E"/>
    <w:rsid w:val="0061026F"/>
    <w:rsid w:val="00611D45"/>
    <w:rsid w:val="006138F2"/>
    <w:rsid w:val="00613F9D"/>
    <w:rsid w:val="00617989"/>
    <w:rsid w:val="00620009"/>
    <w:rsid w:val="00624136"/>
    <w:rsid w:val="00625EC9"/>
    <w:rsid w:val="006312E7"/>
    <w:rsid w:val="006317DF"/>
    <w:rsid w:val="006323D3"/>
    <w:rsid w:val="0063490A"/>
    <w:rsid w:val="00641D1F"/>
    <w:rsid w:val="00641EFF"/>
    <w:rsid w:val="00641F08"/>
    <w:rsid w:val="0064420F"/>
    <w:rsid w:val="00646F91"/>
    <w:rsid w:val="00650ED2"/>
    <w:rsid w:val="0065425E"/>
    <w:rsid w:val="006562BD"/>
    <w:rsid w:val="00657DDF"/>
    <w:rsid w:val="00660267"/>
    <w:rsid w:val="006641D1"/>
    <w:rsid w:val="0067565F"/>
    <w:rsid w:val="00677CFF"/>
    <w:rsid w:val="00680D08"/>
    <w:rsid w:val="00683B9C"/>
    <w:rsid w:val="00686B45"/>
    <w:rsid w:val="006927E9"/>
    <w:rsid w:val="00692C2F"/>
    <w:rsid w:val="00694022"/>
    <w:rsid w:val="00694475"/>
    <w:rsid w:val="00694F0E"/>
    <w:rsid w:val="00695496"/>
    <w:rsid w:val="00695797"/>
    <w:rsid w:val="00696524"/>
    <w:rsid w:val="00696A5E"/>
    <w:rsid w:val="006A1D16"/>
    <w:rsid w:val="006B3B69"/>
    <w:rsid w:val="006B457E"/>
    <w:rsid w:val="006B5C4E"/>
    <w:rsid w:val="006B769D"/>
    <w:rsid w:val="006C3EAC"/>
    <w:rsid w:val="006C681F"/>
    <w:rsid w:val="006C69A4"/>
    <w:rsid w:val="006D3064"/>
    <w:rsid w:val="006D5285"/>
    <w:rsid w:val="006D59B7"/>
    <w:rsid w:val="006E341D"/>
    <w:rsid w:val="006E52AC"/>
    <w:rsid w:val="006E52D7"/>
    <w:rsid w:val="006E5821"/>
    <w:rsid w:val="006E7C8A"/>
    <w:rsid w:val="006F1DAE"/>
    <w:rsid w:val="006F3038"/>
    <w:rsid w:val="00702178"/>
    <w:rsid w:val="0070233E"/>
    <w:rsid w:val="007053E0"/>
    <w:rsid w:val="00712A13"/>
    <w:rsid w:val="00712AF4"/>
    <w:rsid w:val="007140FA"/>
    <w:rsid w:val="007156CD"/>
    <w:rsid w:val="007173B9"/>
    <w:rsid w:val="0072137F"/>
    <w:rsid w:val="00721978"/>
    <w:rsid w:val="00721A25"/>
    <w:rsid w:val="0072631A"/>
    <w:rsid w:val="00726CD6"/>
    <w:rsid w:val="00731D4F"/>
    <w:rsid w:val="0073414C"/>
    <w:rsid w:val="00734613"/>
    <w:rsid w:val="00734BAF"/>
    <w:rsid w:val="00735342"/>
    <w:rsid w:val="00736FAD"/>
    <w:rsid w:val="00737E45"/>
    <w:rsid w:val="00745D42"/>
    <w:rsid w:val="00750223"/>
    <w:rsid w:val="00750F34"/>
    <w:rsid w:val="00751910"/>
    <w:rsid w:val="00751E60"/>
    <w:rsid w:val="00752C14"/>
    <w:rsid w:val="007547B5"/>
    <w:rsid w:val="00756A7E"/>
    <w:rsid w:val="0075783E"/>
    <w:rsid w:val="00757F99"/>
    <w:rsid w:val="0076161C"/>
    <w:rsid w:val="00763BE8"/>
    <w:rsid w:val="0076477D"/>
    <w:rsid w:val="00764A8E"/>
    <w:rsid w:val="00772FE9"/>
    <w:rsid w:val="00774454"/>
    <w:rsid w:val="00777372"/>
    <w:rsid w:val="00781EB7"/>
    <w:rsid w:val="007913CB"/>
    <w:rsid w:val="00793341"/>
    <w:rsid w:val="007936CF"/>
    <w:rsid w:val="00793706"/>
    <w:rsid w:val="00795A9E"/>
    <w:rsid w:val="00796078"/>
    <w:rsid w:val="007967D0"/>
    <w:rsid w:val="007971AD"/>
    <w:rsid w:val="007A0F01"/>
    <w:rsid w:val="007A606D"/>
    <w:rsid w:val="007B02B4"/>
    <w:rsid w:val="007B1DBF"/>
    <w:rsid w:val="007B3080"/>
    <w:rsid w:val="007C2214"/>
    <w:rsid w:val="007C3A51"/>
    <w:rsid w:val="007C3F89"/>
    <w:rsid w:val="007C3FEE"/>
    <w:rsid w:val="007C49D1"/>
    <w:rsid w:val="007D0BD6"/>
    <w:rsid w:val="007D293C"/>
    <w:rsid w:val="007D30D4"/>
    <w:rsid w:val="007D3D5C"/>
    <w:rsid w:val="007D453A"/>
    <w:rsid w:val="007D5D24"/>
    <w:rsid w:val="007E4F91"/>
    <w:rsid w:val="007E7D75"/>
    <w:rsid w:val="007F4AE6"/>
    <w:rsid w:val="007F6219"/>
    <w:rsid w:val="007F623F"/>
    <w:rsid w:val="008003A8"/>
    <w:rsid w:val="00803CBF"/>
    <w:rsid w:val="00804481"/>
    <w:rsid w:val="00804AB4"/>
    <w:rsid w:val="00806798"/>
    <w:rsid w:val="00806A0F"/>
    <w:rsid w:val="00807725"/>
    <w:rsid w:val="00807B48"/>
    <w:rsid w:val="008135CA"/>
    <w:rsid w:val="0081424D"/>
    <w:rsid w:val="0081584F"/>
    <w:rsid w:val="0082234C"/>
    <w:rsid w:val="008253C6"/>
    <w:rsid w:val="00827B5F"/>
    <w:rsid w:val="008332AE"/>
    <w:rsid w:val="00833B99"/>
    <w:rsid w:val="00836B08"/>
    <w:rsid w:val="00840ABE"/>
    <w:rsid w:val="00853304"/>
    <w:rsid w:val="008547D9"/>
    <w:rsid w:val="0085791B"/>
    <w:rsid w:val="0086446B"/>
    <w:rsid w:val="008645E1"/>
    <w:rsid w:val="008703BF"/>
    <w:rsid w:val="00873FCF"/>
    <w:rsid w:val="00874B9D"/>
    <w:rsid w:val="00877286"/>
    <w:rsid w:val="00881192"/>
    <w:rsid w:val="008827F9"/>
    <w:rsid w:val="00884241"/>
    <w:rsid w:val="008877B6"/>
    <w:rsid w:val="008925CE"/>
    <w:rsid w:val="008964E2"/>
    <w:rsid w:val="00897C57"/>
    <w:rsid w:val="008A0264"/>
    <w:rsid w:val="008A5F3C"/>
    <w:rsid w:val="008A70F1"/>
    <w:rsid w:val="008A7BFD"/>
    <w:rsid w:val="008B5AAA"/>
    <w:rsid w:val="008C2CC5"/>
    <w:rsid w:val="008C4D41"/>
    <w:rsid w:val="008C5071"/>
    <w:rsid w:val="008D2885"/>
    <w:rsid w:val="008D4914"/>
    <w:rsid w:val="008D4F52"/>
    <w:rsid w:val="008D5A39"/>
    <w:rsid w:val="008E070F"/>
    <w:rsid w:val="008E3A11"/>
    <w:rsid w:val="008E5350"/>
    <w:rsid w:val="008E5A7B"/>
    <w:rsid w:val="008E5AF9"/>
    <w:rsid w:val="008F0DC3"/>
    <w:rsid w:val="008F45D7"/>
    <w:rsid w:val="009004BD"/>
    <w:rsid w:val="009062C2"/>
    <w:rsid w:val="00906618"/>
    <w:rsid w:val="00907FAB"/>
    <w:rsid w:val="00911460"/>
    <w:rsid w:val="00911EC1"/>
    <w:rsid w:val="00913BB3"/>
    <w:rsid w:val="00916486"/>
    <w:rsid w:val="00916E65"/>
    <w:rsid w:val="0091737A"/>
    <w:rsid w:val="00923759"/>
    <w:rsid w:val="0092405C"/>
    <w:rsid w:val="009246FB"/>
    <w:rsid w:val="009269C2"/>
    <w:rsid w:val="00935250"/>
    <w:rsid w:val="009369C8"/>
    <w:rsid w:val="00936F34"/>
    <w:rsid w:val="009375FF"/>
    <w:rsid w:val="009432BF"/>
    <w:rsid w:val="00944A8D"/>
    <w:rsid w:val="00946C81"/>
    <w:rsid w:val="00950839"/>
    <w:rsid w:val="0095400B"/>
    <w:rsid w:val="00955202"/>
    <w:rsid w:val="0095FCE5"/>
    <w:rsid w:val="00960AA1"/>
    <w:rsid w:val="00963B71"/>
    <w:rsid w:val="00972A84"/>
    <w:rsid w:val="0097327B"/>
    <w:rsid w:val="00973C1F"/>
    <w:rsid w:val="00975747"/>
    <w:rsid w:val="00980F3C"/>
    <w:rsid w:val="00981A67"/>
    <w:rsid w:val="00981F45"/>
    <w:rsid w:val="00985EC6"/>
    <w:rsid w:val="00985F88"/>
    <w:rsid w:val="009900C7"/>
    <w:rsid w:val="00993DB1"/>
    <w:rsid w:val="009949A7"/>
    <w:rsid w:val="00994D12"/>
    <w:rsid w:val="009977E5"/>
    <w:rsid w:val="00997EA7"/>
    <w:rsid w:val="009A1748"/>
    <w:rsid w:val="009A259D"/>
    <w:rsid w:val="009A300C"/>
    <w:rsid w:val="009A43DE"/>
    <w:rsid w:val="009A4790"/>
    <w:rsid w:val="009A50D8"/>
    <w:rsid w:val="009B128B"/>
    <w:rsid w:val="009B1BEF"/>
    <w:rsid w:val="009B3885"/>
    <w:rsid w:val="009B44A0"/>
    <w:rsid w:val="009C141D"/>
    <w:rsid w:val="009C1B22"/>
    <w:rsid w:val="009C26FC"/>
    <w:rsid w:val="009C28CB"/>
    <w:rsid w:val="009C2926"/>
    <w:rsid w:val="009C70CE"/>
    <w:rsid w:val="009D0CA6"/>
    <w:rsid w:val="009D109E"/>
    <w:rsid w:val="009D341B"/>
    <w:rsid w:val="009D63C4"/>
    <w:rsid w:val="009D717F"/>
    <w:rsid w:val="009E4257"/>
    <w:rsid w:val="009E5A68"/>
    <w:rsid w:val="009E5CFF"/>
    <w:rsid w:val="009E61CC"/>
    <w:rsid w:val="009E7189"/>
    <w:rsid w:val="009F6E03"/>
    <w:rsid w:val="00A003D6"/>
    <w:rsid w:val="00A027D4"/>
    <w:rsid w:val="00A06E1A"/>
    <w:rsid w:val="00A071FD"/>
    <w:rsid w:val="00A1059C"/>
    <w:rsid w:val="00A115C4"/>
    <w:rsid w:val="00A11CC6"/>
    <w:rsid w:val="00A120F8"/>
    <w:rsid w:val="00A13AF3"/>
    <w:rsid w:val="00A168E4"/>
    <w:rsid w:val="00A16F07"/>
    <w:rsid w:val="00A17B82"/>
    <w:rsid w:val="00A20C12"/>
    <w:rsid w:val="00A2160D"/>
    <w:rsid w:val="00A2174A"/>
    <w:rsid w:val="00A2491E"/>
    <w:rsid w:val="00A26590"/>
    <w:rsid w:val="00A267BE"/>
    <w:rsid w:val="00A27C77"/>
    <w:rsid w:val="00A27E88"/>
    <w:rsid w:val="00A34498"/>
    <w:rsid w:val="00A3616E"/>
    <w:rsid w:val="00A40764"/>
    <w:rsid w:val="00A4179A"/>
    <w:rsid w:val="00A4237D"/>
    <w:rsid w:val="00A51E4A"/>
    <w:rsid w:val="00A5225C"/>
    <w:rsid w:val="00A529C8"/>
    <w:rsid w:val="00A601E9"/>
    <w:rsid w:val="00A62C7B"/>
    <w:rsid w:val="00A630E0"/>
    <w:rsid w:val="00A63C2B"/>
    <w:rsid w:val="00A64963"/>
    <w:rsid w:val="00A64CE5"/>
    <w:rsid w:val="00A64D5E"/>
    <w:rsid w:val="00A67BBF"/>
    <w:rsid w:val="00A70317"/>
    <w:rsid w:val="00A71407"/>
    <w:rsid w:val="00A7709A"/>
    <w:rsid w:val="00A83030"/>
    <w:rsid w:val="00A8708D"/>
    <w:rsid w:val="00A8795F"/>
    <w:rsid w:val="00A90AAC"/>
    <w:rsid w:val="00A94035"/>
    <w:rsid w:val="00A944DE"/>
    <w:rsid w:val="00AA3FBB"/>
    <w:rsid w:val="00AA5955"/>
    <w:rsid w:val="00AA68A0"/>
    <w:rsid w:val="00AB0262"/>
    <w:rsid w:val="00AB289E"/>
    <w:rsid w:val="00AB2CC2"/>
    <w:rsid w:val="00AB2F23"/>
    <w:rsid w:val="00AB322A"/>
    <w:rsid w:val="00AB588E"/>
    <w:rsid w:val="00AB5A98"/>
    <w:rsid w:val="00AB661D"/>
    <w:rsid w:val="00AB7313"/>
    <w:rsid w:val="00AC1A20"/>
    <w:rsid w:val="00AC2CD6"/>
    <w:rsid w:val="00AC336F"/>
    <w:rsid w:val="00AC552A"/>
    <w:rsid w:val="00AC60C3"/>
    <w:rsid w:val="00AC6AE5"/>
    <w:rsid w:val="00AD0254"/>
    <w:rsid w:val="00AD04FE"/>
    <w:rsid w:val="00AD43B7"/>
    <w:rsid w:val="00AE0F76"/>
    <w:rsid w:val="00AE1842"/>
    <w:rsid w:val="00AE36A8"/>
    <w:rsid w:val="00AE3C7C"/>
    <w:rsid w:val="00AE499E"/>
    <w:rsid w:val="00AE4CE4"/>
    <w:rsid w:val="00AE57E3"/>
    <w:rsid w:val="00AE5EB8"/>
    <w:rsid w:val="00AE6122"/>
    <w:rsid w:val="00AE7C2C"/>
    <w:rsid w:val="00AF29DB"/>
    <w:rsid w:val="00AF6794"/>
    <w:rsid w:val="00AF7A8B"/>
    <w:rsid w:val="00AF7D5E"/>
    <w:rsid w:val="00B00067"/>
    <w:rsid w:val="00B0156D"/>
    <w:rsid w:val="00B07DE6"/>
    <w:rsid w:val="00B1231C"/>
    <w:rsid w:val="00B15442"/>
    <w:rsid w:val="00B15E40"/>
    <w:rsid w:val="00B17CF7"/>
    <w:rsid w:val="00B20934"/>
    <w:rsid w:val="00B20D91"/>
    <w:rsid w:val="00B218FD"/>
    <w:rsid w:val="00B22501"/>
    <w:rsid w:val="00B22C2A"/>
    <w:rsid w:val="00B23C73"/>
    <w:rsid w:val="00B24423"/>
    <w:rsid w:val="00B246D3"/>
    <w:rsid w:val="00B24B26"/>
    <w:rsid w:val="00B264B2"/>
    <w:rsid w:val="00B26F42"/>
    <w:rsid w:val="00B31170"/>
    <w:rsid w:val="00B31306"/>
    <w:rsid w:val="00B327A6"/>
    <w:rsid w:val="00B327F3"/>
    <w:rsid w:val="00B32A9C"/>
    <w:rsid w:val="00B36692"/>
    <w:rsid w:val="00B40321"/>
    <w:rsid w:val="00B42814"/>
    <w:rsid w:val="00B45391"/>
    <w:rsid w:val="00B47299"/>
    <w:rsid w:val="00B5268A"/>
    <w:rsid w:val="00B55ECE"/>
    <w:rsid w:val="00B607DF"/>
    <w:rsid w:val="00B62E95"/>
    <w:rsid w:val="00B65336"/>
    <w:rsid w:val="00B72319"/>
    <w:rsid w:val="00B738CD"/>
    <w:rsid w:val="00B766CD"/>
    <w:rsid w:val="00B76D64"/>
    <w:rsid w:val="00B77492"/>
    <w:rsid w:val="00B8032D"/>
    <w:rsid w:val="00B8093B"/>
    <w:rsid w:val="00B80A98"/>
    <w:rsid w:val="00B818FE"/>
    <w:rsid w:val="00B8371E"/>
    <w:rsid w:val="00B83936"/>
    <w:rsid w:val="00B90F38"/>
    <w:rsid w:val="00B911FF"/>
    <w:rsid w:val="00B93AD8"/>
    <w:rsid w:val="00B94995"/>
    <w:rsid w:val="00B94D8A"/>
    <w:rsid w:val="00B95CBA"/>
    <w:rsid w:val="00B97375"/>
    <w:rsid w:val="00B97AA7"/>
    <w:rsid w:val="00BA162F"/>
    <w:rsid w:val="00BA444A"/>
    <w:rsid w:val="00BA46EE"/>
    <w:rsid w:val="00BA52D4"/>
    <w:rsid w:val="00BA6DA7"/>
    <w:rsid w:val="00BA7AE9"/>
    <w:rsid w:val="00BB602D"/>
    <w:rsid w:val="00BC02E8"/>
    <w:rsid w:val="00BC58F7"/>
    <w:rsid w:val="00BC5A82"/>
    <w:rsid w:val="00BD2A6F"/>
    <w:rsid w:val="00BD3181"/>
    <w:rsid w:val="00BD54EC"/>
    <w:rsid w:val="00BD56BD"/>
    <w:rsid w:val="00BD6C40"/>
    <w:rsid w:val="00BD6D5A"/>
    <w:rsid w:val="00BD6DE3"/>
    <w:rsid w:val="00BD6EB7"/>
    <w:rsid w:val="00BE28A1"/>
    <w:rsid w:val="00BF1FF6"/>
    <w:rsid w:val="00BF23EC"/>
    <w:rsid w:val="00C012A5"/>
    <w:rsid w:val="00C02C8B"/>
    <w:rsid w:val="00C02DEF"/>
    <w:rsid w:val="00C030EC"/>
    <w:rsid w:val="00C044D7"/>
    <w:rsid w:val="00C05FB5"/>
    <w:rsid w:val="00C07974"/>
    <w:rsid w:val="00C15B8A"/>
    <w:rsid w:val="00C1601F"/>
    <w:rsid w:val="00C255C3"/>
    <w:rsid w:val="00C25B19"/>
    <w:rsid w:val="00C31DF9"/>
    <w:rsid w:val="00C336B8"/>
    <w:rsid w:val="00C33F70"/>
    <w:rsid w:val="00C45280"/>
    <w:rsid w:val="00C5046B"/>
    <w:rsid w:val="00C5129F"/>
    <w:rsid w:val="00C51BB7"/>
    <w:rsid w:val="00C51CAF"/>
    <w:rsid w:val="00C547AE"/>
    <w:rsid w:val="00C54D27"/>
    <w:rsid w:val="00C56200"/>
    <w:rsid w:val="00C57F31"/>
    <w:rsid w:val="00C607C0"/>
    <w:rsid w:val="00C6111F"/>
    <w:rsid w:val="00C650CF"/>
    <w:rsid w:val="00C6672C"/>
    <w:rsid w:val="00C676D1"/>
    <w:rsid w:val="00C70D72"/>
    <w:rsid w:val="00C73AA6"/>
    <w:rsid w:val="00C74C31"/>
    <w:rsid w:val="00C760E8"/>
    <w:rsid w:val="00C76CBA"/>
    <w:rsid w:val="00C76EEB"/>
    <w:rsid w:val="00C8236B"/>
    <w:rsid w:val="00C871BE"/>
    <w:rsid w:val="00C90E90"/>
    <w:rsid w:val="00C92CC8"/>
    <w:rsid w:val="00C96E5B"/>
    <w:rsid w:val="00C9752C"/>
    <w:rsid w:val="00CA1A52"/>
    <w:rsid w:val="00CA3447"/>
    <w:rsid w:val="00CB0C48"/>
    <w:rsid w:val="00CC44BF"/>
    <w:rsid w:val="00CD0B01"/>
    <w:rsid w:val="00CD22BA"/>
    <w:rsid w:val="00CD4E15"/>
    <w:rsid w:val="00CD5817"/>
    <w:rsid w:val="00CE7B23"/>
    <w:rsid w:val="00CF258E"/>
    <w:rsid w:val="00CF480F"/>
    <w:rsid w:val="00CF557E"/>
    <w:rsid w:val="00CF575F"/>
    <w:rsid w:val="00D00EF8"/>
    <w:rsid w:val="00D00F12"/>
    <w:rsid w:val="00D01F5A"/>
    <w:rsid w:val="00D04219"/>
    <w:rsid w:val="00D05BB9"/>
    <w:rsid w:val="00D1085D"/>
    <w:rsid w:val="00D16850"/>
    <w:rsid w:val="00D170ED"/>
    <w:rsid w:val="00D1716E"/>
    <w:rsid w:val="00D20FE0"/>
    <w:rsid w:val="00D21C3E"/>
    <w:rsid w:val="00D21E5F"/>
    <w:rsid w:val="00D34254"/>
    <w:rsid w:val="00D35BF4"/>
    <w:rsid w:val="00D43B07"/>
    <w:rsid w:val="00D447AB"/>
    <w:rsid w:val="00D44CBE"/>
    <w:rsid w:val="00D4793C"/>
    <w:rsid w:val="00D51C0A"/>
    <w:rsid w:val="00D540E6"/>
    <w:rsid w:val="00D54E63"/>
    <w:rsid w:val="00D55AD1"/>
    <w:rsid w:val="00D571B5"/>
    <w:rsid w:val="00D604B3"/>
    <w:rsid w:val="00D63458"/>
    <w:rsid w:val="00D64E05"/>
    <w:rsid w:val="00D653B6"/>
    <w:rsid w:val="00D7174B"/>
    <w:rsid w:val="00D71B68"/>
    <w:rsid w:val="00D71EE2"/>
    <w:rsid w:val="00D83A84"/>
    <w:rsid w:val="00D85E90"/>
    <w:rsid w:val="00D867BC"/>
    <w:rsid w:val="00D92BCF"/>
    <w:rsid w:val="00D92FD3"/>
    <w:rsid w:val="00D93425"/>
    <w:rsid w:val="00D93ED1"/>
    <w:rsid w:val="00DA23F1"/>
    <w:rsid w:val="00DA3B6E"/>
    <w:rsid w:val="00DA5149"/>
    <w:rsid w:val="00DA75E4"/>
    <w:rsid w:val="00DB2ABC"/>
    <w:rsid w:val="00DB3ADA"/>
    <w:rsid w:val="00DB50F5"/>
    <w:rsid w:val="00DB55C0"/>
    <w:rsid w:val="00DB589C"/>
    <w:rsid w:val="00DB703D"/>
    <w:rsid w:val="00DB7581"/>
    <w:rsid w:val="00DC01C3"/>
    <w:rsid w:val="00DC0F8F"/>
    <w:rsid w:val="00DC348A"/>
    <w:rsid w:val="00DC6EA4"/>
    <w:rsid w:val="00DC70C1"/>
    <w:rsid w:val="00DC7830"/>
    <w:rsid w:val="00DD2C3F"/>
    <w:rsid w:val="00DD4691"/>
    <w:rsid w:val="00DD651E"/>
    <w:rsid w:val="00DD6D29"/>
    <w:rsid w:val="00DE6062"/>
    <w:rsid w:val="00DF2C20"/>
    <w:rsid w:val="00DF3D42"/>
    <w:rsid w:val="00DF4B52"/>
    <w:rsid w:val="00E020B0"/>
    <w:rsid w:val="00E0484D"/>
    <w:rsid w:val="00E07A11"/>
    <w:rsid w:val="00E11CFD"/>
    <w:rsid w:val="00E132A8"/>
    <w:rsid w:val="00E1395D"/>
    <w:rsid w:val="00E13AD5"/>
    <w:rsid w:val="00E14056"/>
    <w:rsid w:val="00E15609"/>
    <w:rsid w:val="00E30F9C"/>
    <w:rsid w:val="00E326C5"/>
    <w:rsid w:val="00E35588"/>
    <w:rsid w:val="00E35C91"/>
    <w:rsid w:val="00E40778"/>
    <w:rsid w:val="00E40AEE"/>
    <w:rsid w:val="00E42517"/>
    <w:rsid w:val="00E42B96"/>
    <w:rsid w:val="00E444A4"/>
    <w:rsid w:val="00E474F2"/>
    <w:rsid w:val="00E50F70"/>
    <w:rsid w:val="00E511DE"/>
    <w:rsid w:val="00E56403"/>
    <w:rsid w:val="00E63713"/>
    <w:rsid w:val="00E64151"/>
    <w:rsid w:val="00E70288"/>
    <w:rsid w:val="00E70B20"/>
    <w:rsid w:val="00E70F48"/>
    <w:rsid w:val="00E756A1"/>
    <w:rsid w:val="00E83C12"/>
    <w:rsid w:val="00E8634B"/>
    <w:rsid w:val="00E86ECA"/>
    <w:rsid w:val="00E8785D"/>
    <w:rsid w:val="00E904C8"/>
    <w:rsid w:val="00E927CD"/>
    <w:rsid w:val="00E963AA"/>
    <w:rsid w:val="00EA1BBF"/>
    <w:rsid w:val="00EA1C70"/>
    <w:rsid w:val="00EA61AD"/>
    <w:rsid w:val="00EA6B5C"/>
    <w:rsid w:val="00EB1395"/>
    <w:rsid w:val="00EB154D"/>
    <w:rsid w:val="00EB2717"/>
    <w:rsid w:val="00EB29A9"/>
    <w:rsid w:val="00EB43B9"/>
    <w:rsid w:val="00EB61F9"/>
    <w:rsid w:val="00EB6433"/>
    <w:rsid w:val="00EB767C"/>
    <w:rsid w:val="00EB77D2"/>
    <w:rsid w:val="00EC07EA"/>
    <w:rsid w:val="00EC0816"/>
    <w:rsid w:val="00EC494E"/>
    <w:rsid w:val="00EC5580"/>
    <w:rsid w:val="00EC5C92"/>
    <w:rsid w:val="00EC60AC"/>
    <w:rsid w:val="00EC7847"/>
    <w:rsid w:val="00ED2286"/>
    <w:rsid w:val="00ED50CF"/>
    <w:rsid w:val="00ED55BB"/>
    <w:rsid w:val="00ED6C45"/>
    <w:rsid w:val="00ED737B"/>
    <w:rsid w:val="00ED774A"/>
    <w:rsid w:val="00EE10C0"/>
    <w:rsid w:val="00EE4F2D"/>
    <w:rsid w:val="00EE4FB9"/>
    <w:rsid w:val="00EE5F67"/>
    <w:rsid w:val="00EF0187"/>
    <w:rsid w:val="00EF34A3"/>
    <w:rsid w:val="00EF3659"/>
    <w:rsid w:val="00EF3924"/>
    <w:rsid w:val="00EF5C57"/>
    <w:rsid w:val="00EF670C"/>
    <w:rsid w:val="00F009F0"/>
    <w:rsid w:val="00F01824"/>
    <w:rsid w:val="00F078FB"/>
    <w:rsid w:val="00F107B0"/>
    <w:rsid w:val="00F17563"/>
    <w:rsid w:val="00F17841"/>
    <w:rsid w:val="00F20CCC"/>
    <w:rsid w:val="00F22CE6"/>
    <w:rsid w:val="00F2435B"/>
    <w:rsid w:val="00F25754"/>
    <w:rsid w:val="00F262C9"/>
    <w:rsid w:val="00F27560"/>
    <w:rsid w:val="00F30D3C"/>
    <w:rsid w:val="00F316C8"/>
    <w:rsid w:val="00F324B7"/>
    <w:rsid w:val="00F32C69"/>
    <w:rsid w:val="00F3497A"/>
    <w:rsid w:val="00F34F70"/>
    <w:rsid w:val="00F37491"/>
    <w:rsid w:val="00F37ABC"/>
    <w:rsid w:val="00F41CB4"/>
    <w:rsid w:val="00F43A43"/>
    <w:rsid w:val="00F50824"/>
    <w:rsid w:val="00F5291B"/>
    <w:rsid w:val="00F60D53"/>
    <w:rsid w:val="00F61259"/>
    <w:rsid w:val="00F61FDE"/>
    <w:rsid w:val="00F6283F"/>
    <w:rsid w:val="00F632DE"/>
    <w:rsid w:val="00F63780"/>
    <w:rsid w:val="00F64A70"/>
    <w:rsid w:val="00F65A85"/>
    <w:rsid w:val="00F71B4D"/>
    <w:rsid w:val="00F735E4"/>
    <w:rsid w:val="00F743D8"/>
    <w:rsid w:val="00F74B9E"/>
    <w:rsid w:val="00F7721C"/>
    <w:rsid w:val="00F8056D"/>
    <w:rsid w:val="00F82DBA"/>
    <w:rsid w:val="00F83206"/>
    <w:rsid w:val="00F84328"/>
    <w:rsid w:val="00F85A4A"/>
    <w:rsid w:val="00F85EC5"/>
    <w:rsid w:val="00F868E5"/>
    <w:rsid w:val="00F9107B"/>
    <w:rsid w:val="00F91AA9"/>
    <w:rsid w:val="00F923FF"/>
    <w:rsid w:val="00F9282A"/>
    <w:rsid w:val="00F947BE"/>
    <w:rsid w:val="00F94D29"/>
    <w:rsid w:val="00F96616"/>
    <w:rsid w:val="00FA2D45"/>
    <w:rsid w:val="00FA6029"/>
    <w:rsid w:val="00FB3846"/>
    <w:rsid w:val="00FB7834"/>
    <w:rsid w:val="00FC01BA"/>
    <w:rsid w:val="00FC144A"/>
    <w:rsid w:val="00FC4138"/>
    <w:rsid w:val="00FD0B4D"/>
    <w:rsid w:val="00FD4B6A"/>
    <w:rsid w:val="00FD7427"/>
    <w:rsid w:val="00FE055F"/>
    <w:rsid w:val="00FE1608"/>
    <w:rsid w:val="00FE34A8"/>
    <w:rsid w:val="00FE34C3"/>
    <w:rsid w:val="00FE4AB6"/>
    <w:rsid w:val="00FF033E"/>
    <w:rsid w:val="00FF03A8"/>
    <w:rsid w:val="00FF2ECF"/>
    <w:rsid w:val="00FF63EA"/>
    <w:rsid w:val="01CE8138"/>
    <w:rsid w:val="0295072F"/>
    <w:rsid w:val="02BFD384"/>
    <w:rsid w:val="03806DD5"/>
    <w:rsid w:val="0385A9E5"/>
    <w:rsid w:val="05530145"/>
    <w:rsid w:val="064F110E"/>
    <w:rsid w:val="06B3938F"/>
    <w:rsid w:val="06FD5E3C"/>
    <w:rsid w:val="0726209A"/>
    <w:rsid w:val="07CE404A"/>
    <w:rsid w:val="07EE6AFC"/>
    <w:rsid w:val="09190E16"/>
    <w:rsid w:val="09856757"/>
    <w:rsid w:val="09F096C7"/>
    <w:rsid w:val="0A142C45"/>
    <w:rsid w:val="0A5ECA1D"/>
    <w:rsid w:val="0A932E61"/>
    <w:rsid w:val="0BC80D33"/>
    <w:rsid w:val="0C1F365E"/>
    <w:rsid w:val="0CAEC268"/>
    <w:rsid w:val="0CBFEBA6"/>
    <w:rsid w:val="0CCF5E61"/>
    <w:rsid w:val="0CEFAFC2"/>
    <w:rsid w:val="0D0F93A4"/>
    <w:rsid w:val="0DF74FF3"/>
    <w:rsid w:val="0E363AF4"/>
    <w:rsid w:val="0E3C5F55"/>
    <w:rsid w:val="0E7E5A98"/>
    <w:rsid w:val="0EAF7E34"/>
    <w:rsid w:val="0EFC40A0"/>
    <w:rsid w:val="0F665C0A"/>
    <w:rsid w:val="0FEF7FCF"/>
    <w:rsid w:val="11BB60FD"/>
    <w:rsid w:val="11D4EFA6"/>
    <w:rsid w:val="11F6DE7B"/>
    <w:rsid w:val="1215DC93"/>
    <w:rsid w:val="122DBE14"/>
    <w:rsid w:val="12C85663"/>
    <w:rsid w:val="138BDE42"/>
    <w:rsid w:val="13C02857"/>
    <w:rsid w:val="14E1496E"/>
    <w:rsid w:val="15318FF3"/>
    <w:rsid w:val="160D2C4A"/>
    <w:rsid w:val="162026B0"/>
    <w:rsid w:val="16635397"/>
    <w:rsid w:val="167813C6"/>
    <w:rsid w:val="16ADC1DB"/>
    <w:rsid w:val="177AADFC"/>
    <w:rsid w:val="17E51B58"/>
    <w:rsid w:val="189896CF"/>
    <w:rsid w:val="1916596C"/>
    <w:rsid w:val="1924A7B3"/>
    <w:rsid w:val="197D7C9C"/>
    <w:rsid w:val="1A56F72E"/>
    <w:rsid w:val="1B8FFEE9"/>
    <w:rsid w:val="1BF31852"/>
    <w:rsid w:val="1BF6D52B"/>
    <w:rsid w:val="1C583271"/>
    <w:rsid w:val="1C6261F8"/>
    <w:rsid w:val="1DB26476"/>
    <w:rsid w:val="1DD2809E"/>
    <w:rsid w:val="1E214FD4"/>
    <w:rsid w:val="1E507322"/>
    <w:rsid w:val="1F86F6C6"/>
    <w:rsid w:val="1FAD7CCF"/>
    <w:rsid w:val="20DFFF52"/>
    <w:rsid w:val="21A6D962"/>
    <w:rsid w:val="224E2289"/>
    <w:rsid w:val="228646D5"/>
    <w:rsid w:val="228DCB83"/>
    <w:rsid w:val="22AF51D2"/>
    <w:rsid w:val="22CC9B60"/>
    <w:rsid w:val="22DC1377"/>
    <w:rsid w:val="2371B002"/>
    <w:rsid w:val="2399BC15"/>
    <w:rsid w:val="23D16210"/>
    <w:rsid w:val="24347EC7"/>
    <w:rsid w:val="248859AA"/>
    <w:rsid w:val="24AFBFB1"/>
    <w:rsid w:val="26055DEF"/>
    <w:rsid w:val="263DD5C7"/>
    <w:rsid w:val="275F5D7C"/>
    <w:rsid w:val="27DC46B0"/>
    <w:rsid w:val="286E818B"/>
    <w:rsid w:val="287C0369"/>
    <w:rsid w:val="2940BD16"/>
    <w:rsid w:val="294BB3EA"/>
    <w:rsid w:val="29ABBBD8"/>
    <w:rsid w:val="29DA3077"/>
    <w:rsid w:val="2A77564B"/>
    <w:rsid w:val="2A7961CE"/>
    <w:rsid w:val="2B77AAD1"/>
    <w:rsid w:val="2B8EF551"/>
    <w:rsid w:val="2B933CE4"/>
    <w:rsid w:val="2BB0E7E4"/>
    <w:rsid w:val="2C0DAD35"/>
    <w:rsid w:val="2C3BFB97"/>
    <w:rsid w:val="2C809AA8"/>
    <w:rsid w:val="2C8F8639"/>
    <w:rsid w:val="2D9C6536"/>
    <w:rsid w:val="2DD022ED"/>
    <w:rsid w:val="2E3759BD"/>
    <w:rsid w:val="2EC2A0A3"/>
    <w:rsid w:val="2EDD1D67"/>
    <w:rsid w:val="2F2055A0"/>
    <w:rsid w:val="2F296E56"/>
    <w:rsid w:val="2F56FC54"/>
    <w:rsid w:val="2F57B491"/>
    <w:rsid w:val="2FD79D1D"/>
    <w:rsid w:val="2FF51BFC"/>
    <w:rsid w:val="30283C04"/>
    <w:rsid w:val="312EC6F8"/>
    <w:rsid w:val="318F8A70"/>
    <w:rsid w:val="3191D1B6"/>
    <w:rsid w:val="31C02EAA"/>
    <w:rsid w:val="31EDA60A"/>
    <w:rsid w:val="3251E426"/>
    <w:rsid w:val="3277F353"/>
    <w:rsid w:val="3329C799"/>
    <w:rsid w:val="33563D4D"/>
    <w:rsid w:val="3384DD42"/>
    <w:rsid w:val="33EDCC98"/>
    <w:rsid w:val="343E6FF7"/>
    <w:rsid w:val="345A2A92"/>
    <w:rsid w:val="34CBC28C"/>
    <w:rsid w:val="34F3E010"/>
    <w:rsid w:val="352CFF7A"/>
    <w:rsid w:val="35861267"/>
    <w:rsid w:val="35BAC320"/>
    <w:rsid w:val="35DCB119"/>
    <w:rsid w:val="361D2E18"/>
    <w:rsid w:val="36350432"/>
    <w:rsid w:val="3716B36F"/>
    <w:rsid w:val="374DBE5A"/>
    <w:rsid w:val="38111CC2"/>
    <w:rsid w:val="382434B2"/>
    <w:rsid w:val="3988A002"/>
    <w:rsid w:val="3A21B800"/>
    <w:rsid w:val="3A382981"/>
    <w:rsid w:val="3A71C7C2"/>
    <w:rsid w:val="3C05E969"/>
    <w:rsid w:val="3DBAD2CE"/>
    <w:rsid w:val="3E3ED8CA"/>
    <w:rsid w:val="3EB25B26"/>
    <w:rsid w:val="3EB8F4A0"/>
    <w:rsid w:val="3ECEC151"/>
    <w:rsid w:val="3F234418"/>
    <w:rsid w:val="3F383781"/>
    <w:rsid w:val="3F45C0CA"/>
    <w:rsid w:val="3F472851"/>
    <w:rsid w:val="3F70C216"/>
    <w:rsid w:val="4059293F"/>
    <w:rsid w:val="40AE42E0"/>
    <w:rsid w:val="40E321B6"/>
    <w:rsid w:val="414DAD5A"/>
    <w:rsid w:val="42858BCC"/>
    <w:rsid w:val="459E1014"/>
    <w:rsid w:val="46174DCE"/>
    <w:rsid w:val="464C1701"/>
    <w:rsid w:val="4665149B"/>
    <w:rsid w:val="477CC8C0"/>
    <w:rsid w:val="47A3C75E"/>
    <w:rsid w:val="4A22712F"/>
    <w:rsid w:val="4A405BAB"/>
    <w:rsid w:val="4C9F25DD"/>
    <w:rsid w:val="4D304D8E"/>
    <w:rsid w:val="4DEC0CD2"/>
    <w:rsid w:val="4E9A71F4"/>
    <w:rsid w:val="4EC14D86"/>
    <w:rsid w:val="4FD9ACAE"/>
    <w:rsid w:val="5060D56C"/>
    <w:rsid w:val="509F6C44"/>
    <w:rsid w:val="50BF5A79"/>
    <w:rsid w:val="5168FDD3"/>
    <w:rsid w:val="52132594"/>
    <w:rsid w:val="5217BE86"/>
    <w:rsid w:val="52B87E98"/>
    <w:rsid w:val="52D5B351"/>
    <w:rsid w:val="5340B6A7"/>
    <w:rsid w:val="542CFE98"/>
    <w:rsid w:val="54692E56"/>
    <w:rsid w:val="54E94A9B"/>
    <w:rsid w:val="55280AF8"/>
    <w:rsid w:val="552FE7A8"/>
    <w:rsid w:val="558E0335"/>
    <w:rsid w:val="55B02126"/>
    <w:rsid w:val="5649945A"/>
    <w:rsid w:val="564E6991"/>
    <w:rsid w:val="56749746"/>
    <w:rsid w:val="567B7190"/>
    <w:rsid w:val="56C39601"/>
    <w:rsid w:val="56D26734"/>
    <w:rsid w:val="56F40C90"/>
    <w:rsid w:val="570F13A6"/>
    <w:rsid w:val="581BB08E"/>
    <w:rsid w:val="5827CA4C"/>
    <w:rsid w:val="5830605F"/>
    <w:rsid w:val="58334200"/>
    <w:rsid w:val="5862581D"/>
    <w:rsid w:val="587A67C0"/>
    <w:rsid w:val="58C19FFA"/>
    <w:rsid w:val="58FCFD5D"/>
    <w:rsid w:val="599139AA"/>
    <w:rsid w:val="5994E012"/>
    <w:rsid w:val="5BD4AFC7"/>
    <w:rsid w:val="5CBF503A"/>
    <w:rsid w:val="5CE268C3"/>
    <w:rsid w:val="5D455490"/>
    <w:rsid w:val="5DEC9EA4"/>
    <w:rsid w:val="5E04345A"/>
    <w:rsid w:val="5F0D67BE"/>
    <w:rsid w:val="5F562317"/>
    <w:rsid w:val="5F8D5187"/>
    <w:rsid w:val="5FDC6AA1"/>
    <w:rsid w:val="5FE5C112"/>
    <w:rsid w:val="610D1E10"/>
    <w:rsid w:val="628B8406"/>
    <w:rsid w:val="62ABD8A6"/>
    <w:rsid w:val="62BC2B51"/>
    <w:rsid w:val="6326A41C"/>
    <w:rsid w:val="6385F3B0"/>
    <w:rsid w:val="639387BF"/>
    <w:rsid w:val="65022F66"/>
    <w:rsid w:val="65480172"/>
    <w:rsid w:val="660ECAD8"/>
    <w:rsid w:val="66757C74"/>
    <w:rsid w:val="66FE2936"/>
    <w:rsid w:val="679458C7"/>
    <w:rsid w:val="67CC3CEB"/>
    <w:rsid w:val="67CD15F4"/>
    <w:rsid w:val="685D143C"/>
    <w:rsid w:val="685DB2A0"/>
    <w:rsid w:val="6959313B"/>
    <w:rsid w:val="6B22B998"/>
    <w:rsid w:val="6B9A24D6"/>
    <w:rsid w:val="6DAD2375"/>
    <w:rsid w:val="6DEACEFD"/>
    <w:rsid w:val="6E1180CA"/>
    <w:rsid w:val="6E4536B6"/>
    <w:rsid w:val="6EDD972D"/>
    <w:rsid w:val="706F5731"/>
    <w:rsid w:val="721B67AF"/>
    <w:rsid w:val="7242F17B"/>
    <w:rsid w:val="72505646"/>
    <w:rsid w:val="72EE20C4"/>
    <w:rsid w:val="7393F061"/>
    <w:rsid w:val="73FCCAC1"/>
    <w:rsid w:val="7545E3BF"/>
    <w:rsid w:val="76BEED81"/>
    <w:rsid w:val="77D813AD"/>
    <w:rsid w:val="79714C54"/>
    <w:rsid w:val="798857F7"/>
    <w:rsid w:val="79944308"/>
    <w:rsid w:val="7A4552D9"/>
    <w:rsid w:val="7A666125"/>
    <w:rsid w:val="7AB5AF5D"/>
    <w:rsid w:val="7B13E71E"/>
    <w:rsid w:val="7C5F4F99"/>
    <w:rsid w:val="7C997461"/>
    <w:rsid w:val="7CAC898A"/>
    <w:rsid w:val="7E86E6A4"/>
    <w:rsid w:val="7E9BF2E8"/>
    <w:rsid w:val="7F2A946B"/>
    <w:rsid w:val="7F72B182"/>
    <w:rsid w:val="7F843E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0E51A77C-2FBE-4B58-800E-E712D6BC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Times 10 Point,Exposant 3 Point,Footnote reference number,SUPERS,EN Footnote Reference,note TESI,stylish,number,no...,Footnote,Footnote Reference/,Footnote Reference Superscript,(Footnote Reference),Footnote number,ftr"/>
    <w:qFormat/>
    <w:rsid w:val="005033E2"/>
    <w:rPr>
      <w:vertAlign w:val="superscript"/>
    </w:rPr>
  </w:style>
  <w:style w:type="character" w:styleId="Hyperlink">
    <w:name w:val="Hyperlink"/>
    <w:rsid w:val="005033E2"/>
    <w:rPr>
      <w:color w:val="0000FF"/>
      <w:u w:val="single"/>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Footnote Text Char1 Char,f,Schriftart: 9 pt"/>
    <w:basedOn w:val="Normal"/>
    <w:link w:val="FootnoteTextChar"/>
    <w:qFormat/>
    <w:rsid w:val="005033E2"/>
    <w:pPr>
      <w:widowControl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qFormat/>
    <w:rsid w:val="005033E2"/>
    <w:rPr>
      <w:rFonts w:ascii="Times New Roman" w:eastAsia="Times New Roman" w:hAnsi="Times New Roman"/>
      <w:lang w:eastAsia="en-US"/>
    </w:rPr>
  </w:style>
  <w:style w:type="character" w:styleId="UnresolvedMention">
    <w:name w:val="Unresolved Mention"/>
    <w:uiPriority w:val="99"/>
    <w:semiHidden/>
    <w:unhideWhenUsed/>
    <w:rsid w:val="002F7F35"/>
    <w:rPr>
      <w:color w:val="605E5C"/>
      <w:shd w:val="clear" w:color="auto" w:fill="E1DFDD"/>
    </w:rPr>
  </w:style>
  <w:style w:type="paragraph" w:styleId="Header">
    <w:name w:val="header"/>
    <w:basedOn w:val="Normal"/>
    <w:link w:val="HeaderChar"/>
    <w:uiPriority w:val="99"/>
    <w:unhideWhenUsed/>
    <w:rsid w:val="003F5844"/>
    <w:pPr>
      <w:tabs>
        <w:tab w:val="center" w:pos="4513"/>
        <w:tab w:val="right" w:pos="9026"/>
      </w:tabs>
    </w:pPr>
  </w:style>
  <w:style w:type="character" w:customStyle="1" w:styleId="HeaderChar">
    <w:name w:val="Header Char"/>
    <w:link w:val="Header"/>
    <w:uiPriority w:val="99"/>
    <w:rsid w:val="003F5844"/>
    <w:rPr>
      <w:sz w:val="22"/>
      <w:szCs w:val="22"/>
      <w:lang w:eastAsia="en-US"/>
    </w:rPr>
  </w:style>
  <w:style w:type="paragraph" w:styleId="Footer">
    <w:name w:val="footer"/>
    <w:basedOn w:val="Normal"/>
    <w:link w:val="FooterChar"/>
    <w:uiPriority w:val="99"/>
    <w:unhideWhenUsed/>
    <w:rsid w:val="003F5844"/>
    <w:pPr>
      <w:tabs>
        <w:tab w:val="center" w:pos="4513"/>
        <w:tab w:val="right" w:pos="9026"/>
      </w:tabs>
    </w:pPr>
  </w:style>
  <w:style w:type="character" w:customStyle="1" w:styleId="FooterChar">
    <w:name w:val="Footer Char"/>
    <w:link w:val="Footer"/>
    <w:uiPriority w:val="99"/>
    <w:rsid w:val="003F5844"/>
    <w:rPr>
      <w:sz w:val="22"/>
      <w:szCs w:val="22"/>
      <w:lang w:eastAsia="en-US"/>
    </w:rPr>
  </w:style>
  <w:style w:type="paragraph" w:styleId="Revision">
    <w:name w:val="Revision"/>
    <w:hidden/>
    <w:uiPriority w:val="99"/>
    <w:semiHidden/>
    <w:rsid w:val="00255053"/>
    <w:rPr>
      <w:sz w:val="22"/>
      <w:szCs w:val="22"/>
      <w:lang w:val="en-US" w:eastAsia="en-US"/>
    </w:rPr>
  </w:style>
  <w:style w:type="paragraph" w:styleId="EndnoteText">
    <w:name w:val="endnote text"/>
    <w:basedOn w:val="Normal"/>
    <w:uiPriority w:val="99"/>
    <w:semiHidden/>
    <w:unhideWhenUsed/>
    <w:rsid w:val="1DD2809E"/>
    <w:pPr>
      <w:spacing w:after="0"/>
    </w:pPr>
    <w:rPr>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D2885"/>
    <w:rPr>
      <w:b/>
      <w:bCs/>
    </w:rPr>
  </w:style>
  <w:style w:type="character" w:customStyle="1" w:styleId="CommentSubjectChar">
    <w:name w:val="Comment Subject Char"/>
    <w:link w:val="CommentSubject"/>
    <w:uiPriority w:val="99"/>
    <w:semiHidden/>
    <w:rsid w:val="008D2885"/>
    <w:rPr>
      <w:b/>
      <w:bCs/>
      <w:lang w:eastAsia="en-US"/>
    </w:rPr>
  </w:style>
  <w:style w:type="character" w:styleId="FollowedHyperlink">
    <w:name w:val="FollowedHyperlink"/>
    <w:uiPriority w:val="99"/>
    <w:semiHidden/>
    <w:unhideWhenUsed/>
    <w:rsid w:val="005F0488"/>
    <w:rPr>
      <w:color w:val="954F72"/>
      <w:u w:val="single"/>
    </w:rPr>
  </w:style>
  <w:style w:type="character" w:styleId="Mention">
    <w:name w:val="Mention"/>
    <w:uiPriority w:val="99"/>
    <w:unhideWhenUsed/>
    <w:rsid w:val="00AF7D5E"/>
    <w:rPr>
      <w:color w:val="2B579A"/>
      <w:shd w:val="clear" w:color="auto" w:fill="E1DFDD"/>
    </w:rPr>
  </w:style>
  <w:style w:type="paragraph" w:styleId="NormalWeb">
    <w:name w:val="Normal (Web)"/>
    <w:basedOn w:val="Normal"/>
    <w:uiPriority w:val="99"/>
    <w:semiHidden/>
    <w:unhideWhenUsed/>
    <w:rsid w:val="00FC01B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958">
      <w:bodyDiv w:val="1"/>
      <w:marLeft w:val="0"/>
      <w:marRight w:val="0"/>
      <w:marTop w:val="0"/>
      <w:marBottom w:val="0"/>
      <w:divBdr>
        <w:top w:val="none" w:sz="0" w:space="0" w:color="auto"/>
        <w:left w:val="none" w:sz="0" w:space="0" w:color="auto"/>
        <w:bottom w:val="none" w:sz="0" w:space="0" w:color="auto"/>
        <w:right w:val="none" w:sz="0" w:space="0" w:color="auto"/>
      </w:divBdr>
      <w:divsChild>
        <w:div w:id="40179892">
          <w:marLeft w:val="0"/>
          <w:marRight w:val="0"/>
          <w:marTop w:val="0"/>
          <w:marBottom w:val="0"/>
          <w:divBdr>
            <w:top w:val="none" w:sz="0" w:space="0" w:color="auto"/>
            <w:left w:val="none" w:sz="0" w:space="0" w:color="auto"/>
            <w:bottom w:val="none" w:sz="0" w:space="0" w:color="auto"/>
            <w:right w:val="none" w:sz="0" w:space="0" w:color="auto"/>
          </w:divBdr>
        </w:div>
        <w:div w:id="194736521">
          <w:marLeft w:val="0"/>
          <w:marRight w:val="0"/>
          <w:marTop w:val="0"/>
          <w:marBottom w:val="0"/>
          <w:divBdr>
            <w:top w:val="none" w:sz="0" w:space="0" w:color="auto"/>
            <w:left w:val="none" w:sz="0" w:space="0" w:color="auto"/>
            <w:bottom w:val="none" w:sz="0" w:space="0" w:color="auto"/>
            <w:right w:val="none" w:sz="0" w:space="0" w:color="auto"/>
          </w:divBdr>
        </w:div>
        <w:div w:id="246813240">
          <w:marLeft w:val="0"/>
          <w:marRight w:val="0"/>
          <w:marTop w:val="0"/>
          <w:marBottom w:val="0"/>
          <w:divBdr>
            <w:top w:val="none" w:sz="0" w:space="0" w:color="auto"/>
            <w:left w:val="none" w:sz="0" w:space="0" w:color="auto"/>
            <w:bottom w:val="none" w:sz="0" w:space="0" w:color="auto"/>
            <w:right w:val="none" w:sz="0" w:space="0" w:color="auto"/>
          </w:divBdr>
        </w:div>
        <w:div w:id="890505240">
          <w:marLeft w:val="0"/>
          <w:marRight w:val="0"/>
          <w:marTop w:val="0"/>
          <w:marBottom w:val="0"/>
          <w:divBdr>
            <w:top w:val="none" w:sz="0" w:space="0" w:color="auto"/>
            <w:left w:val="none" w:sz="0" w:space="0" w:color="auto"/>
            <w:bottom w:val="none" w:sz="0" w:space="0" w:color="auto"/>
            <w:right w:val="none" w:sz="0" w:space="0" w:color="auto"/>
          </w:divBdr>
        </w:div>
      </w:divsChild>
    </w:div>
    <w:div w:id="51082656">
      <w:bodyDiv w:val="1"/>
      <w:marLeft w:val="0"/>
      <w:marRight w:val="0"/>
      <w:marTop w:val="0"/>
      <w:marBottom w:val="0"/>
      <w:divBdr>
        <w:top w:val="none" w:sz="0" w:space="0" w:color="auto"/>
        <w:left w:val="none" w:sz="0" w:space="0" w:color="auto"/>
        <w:bottom w:val="none" w:sz="0" w:space="0" w:color="auto"/>
        <w:right w:val="none" w:sz="0" w:space="0" w:color="auto"/>
      </w:divBdr>
    </w:div>
    <w:div w:id="579407532">
      <w:bodyDiv w:val="1"/>
      <w:marLeft w:val="0"/>
      <w:marRight w:val="0"/>
      <w:marTop w:val="0"/>
      <w:marBottom w:val="0"/>
      <w:divBdr>
        <w:top w:val="none" w:sz="0" w:space="0" w:color="auto"/>
        <w:left w:val="none" w:sz="0" w:space="0" w:color="auto"/>
        <w:bottom w:val="none" w:sz="0" w:space="0" w:color="auto"/>
        <w:right w:val="none" w:sz="0" w:space="0" w:color="auto"/>
      </w:divBdr>
    </w:div>
    <w:div w:id="584652140">
      <w:bodyDiv w:val="1"/>
      <w:marLeft w:val="0"/>
      <w:marRight w:val="0"/>
      <w:marTop w:val="0"/>
      <w:marBottom w:val="0"/>
      <w:divBdr>
        <w:top w:val="none" w:sz="0" w:space="0" w:color="auto"/>
        <w:left w:val="none" w:sz="0" w:space="0" w:color="auto"/>
        <w:bottom w:val="none" w:sz="0" w:space="0" w:color="auto"/>
        <w:right w:val="none" w:sz="0" w:space="0" w:color="auto"/>
      </w:divBdr>
    </w:div>
    <w:div w:id="850333745">
      <w:bodyDiv w:val="1"/>
      <w:marLeft w:val="0"/>
      <w:marRight w:val="0"/>
      <w:marTop w:val="0"/>
      <w:marBottom w:val="0"/>
      <w:divBdr>
        <w:top w:val="none" w:sz="0" w:space="0" w:color="auto"/>
        <w:left w:val="none" w:sz="0" w:space="0" w:color="auto"/>
        <w:bottom w:val="none" w:sz="0" w:space="0" w:color="auto"/>
        <w:right w:val="none" w:sz="0" w:space="0" w:color="auto"/>
      </w:divBdr>
    </w:div>
    <w:div w:id="1205752005">
      <w:bodyDiv w:val="1"/>
      <w:marLeft w:val="0"/>
      <w:marRight w:val="0"/>
      <w:marTop w:val="0"/>
      <w:marBottom w:val="0"/>
      <w:divBdr>
        <w:top w:val="none" w:sz="0" w:space="0" w:color="auto"/>
        <w:left w:val="none" w:sz="0" w:space="0" w:color="auto"/>
        <w:bottom w:val="none" w:sz="0" w:space="0" w:color="auto"/>
        <w:right w:val="none" w:sz="0" w:space="0" w:color="auto"/>
      </w:divBdr>
      <w:divsChild>
        <w:div w:id="107509919">
          <w:marLeft w:val="0"/>
          <w:marRight w:val="0"/>
          <w:marTop w:val="0"/>
          <w:marBottom w:val="0"/>
          <w:divBdr>
            <w:top w:val="none" w:sz="0" w:space="0" w:color="auto"/>
            <w:left w:val="none" w:sz="0" w:space="0" w:color="auto"/>
            <w:bottom w:val="none" w:sz="0" w:space="0" w:color="auto"/>
            <w:right w:val="none" w:sz="0" w:space="0" w:color="auto"/>
          </w:divBdr>
        </w:div>
        <w:div w:id="453914702">
          <w:marLeft w:val="0"/>
          <w:marRight w:val="0"/>
          <w:marTop w:val="0"/>
          <w:marBottom w:val="0"/>
          <w:divBdr>
            <w:top w:val="none" w:sz="0" w:space="0" w:color="auto"/>
            <w:left w:val="none" w:sz="0" w:space="0" w:color="auto"/>
            <w:bottom w:val="none" w:sz="0" w:space="0" w:color="auto"/>
            <w:right w:val="none" w:sz="0" w:space="0" w:color="auto"/>
          </w:divBdr>
          <w:divsChild>
            <w:div w:id="1721250540">
              <w:marLeft w:val="0"/>
              <w:marRight w:val="0"/>
              <w:marTop w:val="0"/>
              <w:marBottom w:val="0"/>
              <w:divBdr>
                <w:top w:val="none" w:sz="0" w:space="0" w:color="auto"/>
                <w:left w:val="none" w:sz="0" w:space="0" w:color="auto"/>
                <w:bottom w:val="none" w:sz="0" w:space="0" w:color="auto"/>
                <w:right w:val="none" w:sz="0" w:space="0" w:color="auto"/>
              </w:divBdr>
              <w:divsChild>
                <w:div w:id="1566643975">
                  <w:marLeft w:val="-285"/>
                  <w:marRight w:val="-285"/>
                  <w:marTop w:val="0"/>
                  <w:marBottom w:val="0"/>
                  <w:divBdr>
                    <w:top w:val="none" w:sz="0" w:space="0" w:color="auto"/>
                    <w:left w:val="none" w:sz="0" w:space="0" w:color="auto"/>
                    <w:bottom w:val="none" w:sz="0" w:space="0" w:color="auto"/>
                    <w:right w:val="none" w:sz="0" w:space="0" w:color="auto"/>
                  </w:divBdr>
                  <w:divsChild>
                    <w:div w:id="1986356170">
                      <w:marLeft w:val="0"/>
                      <w:marRight w:val="0"/>
                      <w:marTop w:val="0"/>
                      <w:marBottom w:val="0"/>
                      <w:divBdr>
                        <w:top w:val="none" w:sz="0" w:space="0" w:color="auto"/>
                        <w:left w:val="none" w:sz="0" w:space="0" w:color="auto"/>
                        <w:bottom w:val="none" w:sz="0" w:space="0" w:color="auto"/>
                        <w:right w:val="none" w:sz="0" w:space="0" w:color="auto"/>
                      </w:divBdr>
                      <w:divsChild>
                        <w:div w:id="469135377">
                          <w:marLeft w:val="0"/>
                          <w:marRight w:val="0"/>
                          <w:marTop w:val="0"/>
                          <w:marBottom w:val="0"/>
                          <w:divBdr>
                            <w:top w:val="none" w:sz="0" w:space="0" w:color="auto"/>
                            <w:left w:val="none" w:sz="0" w:space="0" w:color="auto"/>
                            <w:bottom w:val="none" w:sz="0" w:space="0" w:color="auto"/>
                            <w:right w:val="none" w:sz="0" w:space="0" w:color="auto"/>
                          </w:divBdr>
                          <w:divsChild>
                            <w:div w:id="1978601550">
                              <w:marLeft w:val="0"/>
                              <w:marRight w:val="0"/>
                              <w:marTop w:val="0"/>
                              <w:marBottom w:val="0"/>
                              <w:divBdr>
                                <w:top w:val="none" w:sz="0" w:space="0" w:color="auto"/>
                                <w:left w:val="none" w:sz="0" w:space="0" w:color="auto"/>
                                <w:bottom w:val="none" w:sz="0" w:space="0" w:color="auto"/>
                                <w:right w:val="none" w:sz="0" w:space="0" w:color="auto"/>
                              </w:divBdr>
                              <w:divsChild>
                                <w:div w:id="191117943">
                                  <w:marLeft w:val="0"/>
                                  <w:marRight w:val="0"/>
                                  <w:marTop w:val="0"/>
                                  <w:marBottom w:val="0"/>
                                  <w:divBdr>
                                    <w:top w:val="none" w:sz="0" w:space="0" w:color="auto"/>
                                    <w:left w:val="none" w:sz="0" w:space="0" w:color="auto"/>
                                    <w:bottom w:val="none" w:sz="0" w:space="0" w:color="auto"/>
                                    <w:right w:val="none" w:sz="0" w:space="0" w:color="auto"/>
                                  </w:divBdr>
                                  <w:divsChild>
                                    <w:div w:id="1197543419">
                                      <w:marLeft w:val="0"/>
                                      <w:marRight w:val="0"/>
                                      <w:marTop w:val="0"/>
                                      <w:marBottom w:val="0"/>
                                      <w:divBdr>
                                        <w:top w:val="none" w:sz="0" w:space="0" w:color="auto"/>
                                        <w:left w:val="none" w:sz="0" w:space="0" w:color="auto"/>
                                        <w:bottom w:val="none" w:sz="0" w:space="0" w:color="auto"/>
                                        <w:right w:val="none" w:sz="0" w:space="0" w:color="auto"/>
                                      </w:divBdr>
                                      <w:divsChild>
                                        <w:div w:id="806899823">
                                          <w:marLeft w:val="0"/>
                                          <w:marRight w:val="0"/>
                                          <w:marTop w:val="0"/>
                                          <w:marBottom w:val="0"/>
                                          <w:divBdr>
                                            <w:top w:val="none" w:sz="0" w:space="0" w:color="auto"/>
                                            <w:left w:val="none" w:sz="0" w:space="0" w:color="auto"/>
                                            <w:bottom w:val="none" w:sz="0" w:space="0" w:color="auto"/>
                                            <w:right w:val="none" w:sz="0" w:space="0" w:color="auto"/>
                                          </w:divBdr>
                                          <w:divsChild>
                                            <w:div w:id="914359871">
                                              <w:marLeft w:val="0"/>
                                              <w:marRight w:val="0"/>
                                              <w:marTop w:val="0"/>
                                              <w:marBottom w:val="0"/>
                                              <w:divBdr>
                                                <w:top w:val="none" w:sz="0" w:space="0" w:color="auto"/>
                                                <w:left w:val="none" w:sz="0" w:space="0" w:color="auto"/>
                                                <w:bottom w:val="none" w:sz="0" w:space="0" w:color="auto"/>
                                                <w:right w:val="none" w:sz="0" w:space="0" w:color="auto"/>
                                              </w:divBdr>
                                              <w:divsChild>
                                                <w:div w:id="577404338">
                                                  <w:marLeft w:val="0"/>
                                                  <w:marRight w:val="0"/>
                                                  <w:marTop w:val="0"/>
                                                  <w:marBottom w:val="150"/>
                                                  <w:divBdr>
                                                    <w:top w:val="none" w:sz="0" w:space="0" w:color="auto"/>
                                                    <w:left w:val="none" w:sz="0" w:space="0" w:color="auto"/>
                                                    <w:bottom w:val="none" w:sz="0" w:space="0" w:color="auto"/>
                                                    <w:right w:val="none" w:sz="0" w:space="0" w:color="auto"/>
                                                  </w:divBdr>
                                                  <w:divsChild>
                                                    <w:div w:id="340132431">
                                                      <w:marLeft w:val="-285"/>
                                                      <w:marRight w:val="-285"/>
                                                      <w:marTop w:val="0"/>
                                                      <w:marBottom w:val="0"/>
                                                      <w:divBdr>
                                                        <w:top w:val="none" w:sz="0" w:space="0" w:color="auto"/>
                                                        <w:left w:val="none" w:sz="0" w:space="0" w:color="auto"/>
                                                        <w:bottom w:val="none" w:sz="0" w:space="0" w:color="auto"/>
                                                        <w:right w:val="none" w:sz="0" w:space="0" w:color="auto"/>
                                                      </w:divBdr>
                                                    </w:div>
                                                  </w:divsChild>
                                                </w:div>
                                              </w:divsChild>
                                            </w:div>
                                            <w:div w:id="1175535892">
                                              <w:marLeft w:val="0"/>
                                              <w:marRight w:val="0"/>
                                              <w:marTop w:val="0"/>
                                              <w:marBottom w:val="0"/>
                                              <w:divBdr>
                                                <w:top w:val="none" w:sz="0" w:space="0" w:color="auto"/>
                                                <w:left w:val="none" w:sz="0" w:space="0" w:color="auto"/>
                                                <w:bottom w:val="none" w:sz="0" w:space="0" w:color="auto"/>
                                                <w:right w:val="none" w:sz="0" w:space="0" w:color="auto"/>
                                              </w:divBdr>
                                              <w:divsChild>
                                                <w:div w:id="361783651">
                                                  <w:marLeft w:val="0"/>
                                                  <w:marRight w:val="0"/>
                                                  <w:marTop w:val="0"/>
                                                  <w:marBottom w:val="0"/>
                                                  <w:divBdr>
                                                    <w:top w:val="none" w:sz="0" w:space="0" w:color="auto"/>
                                                    <w:left w:val="none" w:sz="0" w:space="0" w:color="auto"/>
                                                    <w:bottom w:val="none" w:sz="0" w:space="0" w:color="auto"/>
                                                    <w:right w:val="none" w:sz="0" w:space="0" w:color="auto"/>
                                                  </w:divBdr>
                                                  <w:divsChild>
                                                    <w:div w:id="6715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07039">
          <w:marLeft w:val="0"/>
          <w:marRight w:val="0"/>
          <w:marTop w:val="0"/>
          <w:marBottom w:val="0"/>
          <w:divBdr>
            <w:top w:val="none" w:sz="0" w:space="0" w:color="auto"/>
            <w:left w:val="none" w:sz="0" w:space="0" w:color="auto"/>
            <w:bottom w:val="none" w:sz="0" w:space="0" w:color="auto"/>
            <w:right w:val="none" w:sz="0" w:space="0" w:color="auto"/>
          </w:divBdr>
        </w:div>
        <w:div w:id="1738476795">
          <w:marLeft w:val="0"/>
          <w:marRight w:val="0"/>
          <w:marTop w:val="0"/>
          <w:marBottom w:val="0"/>
          <w:divBdr>
            <w:top w:val="none" w:sz="0" w:space="0" w:color="auto"/>
            <w:left w:val="none" w:sz="0" w:space="0" w:color="auto"/>
            <w:bottom w:val="none" w:sz="0" w:space="0" w:color="auto"/>
            <w:right w:val="none" w:sz="0" w:space="0" w:color="auto"/>
          </w:divBdr>
        </w:div>
        <w:div w:id="1913613819">
          <w:marLeft w:val="0"/>
          <w:marRight w:val="0"/>
          <w:marTop w:val="0"/>
          <w:marBottom w:val="0"/>
          <w:divBdr>
            <w:top w:val="none" w:sz="0" w:space="0" w:color="auto"/>
            <w:left w:val="none" w:sz="0" w:space="0" w:color="auto"/>
            <w:bottom w:val="none" w:sz="0" w:space="0" w:color="auto"/>
            <w:right w:val="none" w:sz="0" w:space="0" w:color="auto"/>
          </w:divBdr>
          <w:divsChild>
            <w:div w:id="171914353">
              <w:marLeft w:val="0"/>
              <w:marRight w:val="120"/>
              <w:marTop w:val="0"/>
              <w:marBottom w:val="0"/>
              <w:divBdr>
                <w:top w:val="none" w:sz="0" w:space="0" w:color="auto"/>
                <w:left w:val="none" w:sz="0" w:space="0" w:color="auto"/>
                <w:bottom w:val="none" w:sz="0" w:space="0" w:color="auto"/>
                <w:right w:val="none" w:sz="0" w:space="0" w:color="auto"/>
              </w:divBdr>
              <w:divsChild>
                <w:div w:id="1229070018">
                  <w:marLeft w:val="0"/>
                  <w:marRight w:val="0"/>
                  <w:marTop w:val="0"/>
                  <w:marBottom w:val="0"/>
                  <w:divBdr>
                    <w:top w:val="single" w:sz="6" w:space="0" w:color="ECECEC"/>
                    <w:left w:val="single" w:sz="6" w:space="0" w:color="ECECEC"/>
                    <w:bottom w:val="single" w:sz="6" w:space="0" w:color="ECECEC"/>
                    <w:right w:val="single" w:sz="6" w:space="0" w:color="ECECEC"/>
                  </w:divBdr>
                  <w:divsChild>
                    <w:div w:id="19390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10251">
              <w:marLeft w:val="0"/>
              <w:marRight w:val="0"/>
              <w:marTop w:val="0"/>
              <w:marBottom w:val="0"/>
              <w:divBdr>
                <w:top w:val="none" w:sz="0" w:space="0" w:color="auto"/>
                <w:left w:val="none" w:sz="0" w:space="0" w:color="auto"/>
                <w:bottom w:val="none" w:sz="0" w:space="0" w:color="auto"/>
                <w:right w:val="none" w:sz="0" w:space="0" w:color="auto"/>
              </w:divBdr>
              <w:divsChild>
                <w:div w:id="173570913">
                  <w:marLeft w:val="0"/>
                  <w:marRight w:val="0"/>
                  <w:marTop w:val="0"/>
                  <w:marBottom w:val="0"/>
                  <w:divBdr>
                    <w:top w:val="none" w:sz="0" w:space="0" w:color="auto"/>
                    <w:left w:val="none" w:sz="0" w:space="0" w:color="auto"/>
                    <w:bottom w:val="none" w:sz="0" w:space="0" w:color="auto"/>
                    <w:right w:val="none" w:sz="0" w:space="0" w:color="auto"/>
                  </w:divBdr>
                  <w:divsChild>
                    <w:div w:id="2140873754">
                      <w:marLeft w:val="0"/>
                      <w:marRight w:val="0"/>
                      <w:marTop w:val="0"/>
                      <w:marBottom w:val="0"/>
                      <w:divBdr>
                        <w:top w:val="none" w:sz="0" w:space="0" w:color="auto"/>
                        <w:left w:val="none" w:sz="0" w:space="0" w:color="auto"/>
                        <w:bottom w:val="none" w:sz="0" w:space="0" w:color="auto"/>
                        <w:right w:val="none" w:sz="0" w:space="0" w:color="auto"/>
                      </w:divBdr>
                    </w:div>
                  </w:divsChild>
                </w:div>
                <w:div w:id="19058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5691">
      <w:bodyDiv w:val="1"/>
      <w:marLeft w:val="0"/>
      <w:marRight w:val="0"/>
      <w:marTop w:val="0"/>
      <w:marBottom w:val="0"/>
      <w:divBdr>
        <w:top w:val="none" w:sz="0" w:space="0" w:color="auto"/>
        <w:left w:val="none" w:sz="0" w:space="0" w:color="auto"/>
        <w:bottom w:val="none" w:sz="0" w:space="0" w:color="auto"/>
        <w:right w:val="none" w:sz="0" w:space="0" w:color="auto"/>
      </w:divBdr>
    </w:div>
    <w:div w:id="1476414541">
      <w:bodyDiv w:val="1"/>
      <w:marLeft w:val="0"/>
      <w:marRight w:val="0"/>
      <w:marTop w:val="0"/>
      <w:marBottom w:val="0"/>
      <w:divBdr>
        <w:top w:val="none" w:sz="0" w:space="0" w:color="auto"/>
        <w:left w:val="none" w:sz="0" w:space="0" w:color="auto"/>
        <w:bottom w:val="none" w:sz="0" w:space="0" w:color="auto"/>
        <w:right w:val="none" w:sz="0" w:space="0" w:color="auto"/>
      </w:divBdr>
      <w:divsChild>
        <w:div w:id="919483157">
          <w:marLeft w:val="0"/>
          <w:marRight w:val="0"/>
          <w:marTop w:val="0"/>
          <w:marBottom w:val="0"/>
          <w:divBdr>
            <w:top w:val="none" w:sz="0" w:space="0" w:color="auto"/>
            <w:left w:val="none" w:sz="0" w:space="0" w:color="auto"/>
            <w:bottom w:val="none" w:sz="0" w:space="0" w:color="auto"/>
            <w:right w:val="none" w:sz="0" w:space="0" w:color="auto"/>
          </w:divBdr>
          <w:divsChild>
            <w:div w:id="12902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8276">
      <w:bodyDiv w:val="1"/>
      <w:marLeft w:val="0"/>
      <w:marRight w:val="0"/>
      <w:marTop w:val="0"/>
      <w:marBottom w:val="0"/>
      <w:divBdr>
        <w:top w:val="none" w:sz="0" w:space="0" w:color="auto"/>
        <w:left w:val="none" w:sz="0" w:space="0" w:color="auto"/>
        <w:bottom w:val="none" w:sz="0" w:space="0" w:color="auto"/>
        <w:right w:val="none" w:sz="0" w:space="0" w:color="auto"/>
      </w:divBdr>
    </w:div>
    <w:div w:id="1819955225">
      <w:bodyDiv w:val="1"/>
      <w:marLeft w:val="0"/>
      <w:marRight w:val="0"/>
      <w:marTop w:val="0"/>
      <w:marBottom w:val="0"/>
      <w:divBdr>
        <w:top w:val="none" w:sz="0" w:space="0" w:color="auto"/>
        <w:left w:val="none" w:sz="0" w:space="0" w:color="auto"/>
        <w:bottom w:val="none" w:sz="0" w:space="0" w:color="auto"/>
        <w:right w:val="none" w:sz="0" w:space="0" w:color="auto"/>
      </w:divBdr>
    </w:div>
    <w:div w:id="1869177432">
      <w:bodyDiv w:val="1"/>
      <w:marLeft w:val="0"/>
      <w:marRight w:val="0"/>
      <w:marTop w:val="0"/>
      <w:marBottom w:val="0"/>
      <w:divBdr>
        <w:top w:val="none" w:sz="0" w:space="0" w:color="auto"/>
        <w:left w:val="none" w:sz="0" w:space="0" w:color="auto"/>
        <w:bottom w:val="none" w:sz="0" w:space="0" w:color="auto"/>
        <w:right w:val="none" w:sz="0" w:space="0" w:color="auto"/>
      </w:divBdr>
      <w:divsChild>
        <w:div w:id="85077756">
          <w:marLeft w:val="0"/>
          <w:marRight w:val="0"/>
          <w:marTop w:val="0"/>
          <w:marBottom w:val="0"/>
          <w:divBdr>
            <w:top w:val="none" w:sz="0" w:space="0" w:color="auto"/>
            <w:left w:val="none" w:sz="0" w:space="0" w:color="auto"/>
            <w:bottom w:val="none" w:sz="0" w:space="0" w:color="auto"/>
            <w:right w:val="none" w:sz="0" w:space="0" w:color="auto"/>
          </w:divBdr>
        </w:div>
        <w:div w:id="96172008">
          <w:marLeft w:val="0"/>
          <w:marRight w:val="0"/>
          <w:marTop w:val="0"/>
          <w:marBottom w:val="0"/>
          <w:divBdr>
            <w:top w:val="none" w:sz="0" w:space="0" w:color="auto"/>
            <w:left w:val="none" w:sz="0" w:space="0" w:color="auto"/>
            <w:bottom w:val="none" w:sz="0" w:space="0" w:color="auto"/>
            <w:right w:val="none" w:sz="0" w:space="0" w:color="auto"/>
          </w:divBdr>
        </w:div>
        <w:div w:id="297422150">
          <w:marLeft w:val="0"/>
          <w:marRight w:val="0"/>
          <w:marTop w:val="0"/>
          <w:marBottom w:val="0"/>
          <w:divBdr>
            <w:top w:val="none" w:sz="0" w:space="0" w:color="auto"/>
            <w:left w:val="none" w:sz="0" w:space="0" w:color="auto"/>
            <w:bottom w:val="none" w:sz="0" w:space="0" w:color="auto"/>
            <w:right w:val="none" w:sz="0" w:space="0" w:color="auto"/>
          </w:divBdr>
          <w:divsChild>
            <w:div w:id="62804558">
              <w:marLeft w:val="0"/>
              <w:marRight w:val="0"/>
              <w:marTop w:val="0"/>
              <w:marBottom w:val="0"/>
              <w:divBdr>
                <w:top w:val="none" w:sz="0" w:space="0" w:color="auto"/>
                <w:left w:val="none" w:sz="0" w:space="0" w:color="auto"/>
                <w:bottom w:val="none" w:sz="0" w:space="0" w:color="auto"/>
                <w:right w:val="none" w:sz="0" w:space="0" w:color="auto"/>
              </w:divBdr>
              <w:divsChild>
                <w:div w:id="1254632845">
                  <w:marLeft w:val="0"/>
                  <w:marRight w:val="0"/>
                  <w:marTop w:val="0"/>
                  <w:marBottom w:val="0"/>
                  <w:divBdr>
                    <w:top w:val="none" w:sz="0" w:space="0" w:color="auto"/>
                    <w:left w:val="none" w:sz="0" w:space="0" w:color="auto"/>
                    <w:bottom w:val="none" w:sz="0" w:space="0" w:color="auto"/>
                    <w:right w:val="none" w:sz="0" w:space="0" w:color="auto"/>
                  </w:divBdr>
                </w:div>
                <w:div w:id="1486625036">
                  <w:marLeft w:val="0"/>
                  <w:marRight w:val="0"/>
                  <w:marTop w:val="0"/>
                  <w:marBottom w:val="0"/>
                  <w:divBdr>
                    <w:top w:val="none" w:sz="0" w:space="0" w:color="auto"/>
                    <w:left w:val="none" w:sz="0" w:space="0" w:color="auto"/>
                    <w:bottom w:val="none" w:sz="0" w:space="0" w:color="auto"/>
                    <w:right w:val="none" w:sz="0" w:space="0" w:color="auto"/>
                  </w:divBdr>
                  <w:divsChild>
                    <w:div w:id="8516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3105">
              <w:marLeft w:val="0"/>
              <w:marRight w:val="120"/>
              <w:marTop w:val="0"/>
              <w:marBottom w:val="0"/>
              <w:divBdr>
                <w:top w:val="none" w:sz="0" w:space="0" w:color="auto"/>
                <w:left w:val="none" w:sz="0" w:space="0" w:color="auto"/>
                <w:bottom w:val="none" w:sz="0" w:space="0" w:color="auto"/>
                <w:right w:val="none" w:sz="0" w:space="0" w:color="auto"/>
              </w:divBdr>
              <w:divsChild>
                <w:div w:id="1501190534">
                  <w:marLeft w:val="0"/>
                  <w:marRight w:val="0"/>
                  <w:marTop w:val="0"/>
                  <w:marBottom w:val="0"/>
                  <w:divBdr>
                    <w:top w:val="single" w:sz="6" w:space="0" w:color="ECECEC"/>
                    <w:left w:val="single" w:sz="6" w:space="0" w:color="ECECEC"/>
                    <w:bottom w:val="single" w:sz="6" w:space="0" w:color="ECECEC"/>
                    <w:right w:val="single" w:sz="6" w:space="0" w:color="ECECEC"/>
                  </w:divBdr>
                  <w:divsChild>
                    <w:div w:id="9355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11401">
          <w:marLeft w:val="0"/>
          <w:marRight w:val="0"/>
          <w:marTop w:val="0"/>
          <w:marBottom w:val="0"/>
          <w:divBdr>
            <w:top w:val="none" w:sz="0" w:space="0" w:color="auto"/>
            <w:left w:val="none" w:sz="0" w:space="0" w:color="auto"/>
            <w:bottom w:val="none" w:sz="0" w:space="0" w:color="auto"/>
            <w:right w:val="none" w:sz="0" w:space="0" w:color="auto"/>
          </w:divBdr>
          <w:divsChild>
            <w:div w:id="757409912">
              <w:marLeft w:val="0"/>
              <w:marRight w:val="0"/>
              <w:marTop w:val="0"/>
              <w:marBottom w:val="0"/>
              <w:divBdr>
                <w:top w:val="none" w:sz="0" w:space="0" w:color="auto"/>
                <w:left w:val="none" w:sz="0" w:space="0" w:color="auto"/>
                <w:bottom w:val="none" w:sz="0" w:space="0" w:color="auto"/>
                <w:right w:val="none" w:sz="0" w:space="0" w:color="auto"/>
              </w:divBdr>
              <w:divsChild>
                <w:div w:id="577397745">
                  <w:marLeft w:val="-285"/>
                  <w:marRight w:val="-285"/>
                  <w:marTop w:val="0"/>
                  <w:marBottom w:val="0"/>
                  <w:divBdr>
                    <w:top w:val="none" w:sz="0" w:space="0" w:color="auto"/>
                    <w:left w:val="none" w:sz="0" w:space="0" w:color="auto"/>
                    <w:bottom w:val="none" w:sz="0" w:space="0" w:color="auto"/>
                    <w:right w:val="none" w:sz="0" w:space="0" w:color="auto"/>
                  </w:divBdr>
                  <w:divsChild>
                    <w:div w:id="918438611">
                      <w:marLeft w:val="0"/>
                      <w:marRight w:val="0"/>
                      <w:marTop w:val="0"/>
                      <w:marBottom w:val="0"/>
                      <w:divBdr>
                        <w:top w:val="none" w:sz="0" w:space="0" w:color="auto"/>
                        <w:left w:val="none" w:sz="0" w:space="0" w:color="auto"/>
                        <w:bottom w:val="none" w:sz="0" w:space="0" w:color="auto"/>
                        <w:right w:val="none" w:sz="0" w:space="0" w:color="auto"/>
                      </w:divBdr>
                      <w:divsChild>
                        <w:div w:id="977370586">
                          <w:marLeft w:val="0"/>
                          <w:marRight w:val="0"/>
                          <w:marTop w:val="0"/>
                          <w:marBottom w:val="0"/>
                          <w:divBdr>
                            <w:top w:val="none" w:sz="0" w:space="0" w:color="auto"/>
                            <w:left w:val="none" w:sz="0" w:space="0" w:color="auto"/>
                            <w:bottom w:val="none" w:sz="0" w:space="0" w:color="auto"/>
                            <w:right w:val="none" w:sz="0" w:space="0" w:color="auto"/>
                          </w:divBdr>
                          <w:divsChild>
                            <w:div w:id="534462770">
                              <w:marLeft w:val="0"/>
                              <w:marRight w:val="0"/>
                              <w:marTop w:val="0"/>
                              <w:marBottom w:val="0"/>
                              <w:divBdr>
                                <w:top w:val="none" w:sz="0" w:space="0" w:color="auto"/>
                                <w:left w:val="none" w:sz="0" w:space="0" w:color="auto"/>
                                <w:bottom w:val="none" w:sz="0" w:space="0" w:color="auto"/>
                                <w:right w:val="none" w:sz="0" w:space="0" w:color="auto"/>
                              </w:divBdr>
                              <w:divsChild>
                                <w:div w:id="619722093">
                                  <w:marLeft w:val="0"/>
                                  <w:marRight w:val="0"/>
                                  <w:marTop w:val="0"/>
                                  <w:marBottom w:val="0"/>
                                  <w:divBdr>
                                    <w:top w:val="none" w:sz="0" w:space="0" w:color="auto"/>
                                    <w:left w:val="none" w:sz="0" w:space="0" w:color="auto"/>
                                    <w:bottom w:val="none" w:sz="0" w:space="0" w:color="auto"/>
                                    <w:right w:val="none" w:sz="0" w:space="0" w:color="auto"/>
                                  </w:divBdr>
                                  <w:divsChild>
                                    <w:div w:id="2079785765">
                                      <w:marLeft w:val="0"/>
                                      <w:marRight w:val="0"/>
                                      <w:marTop w:val="0"/>
                                      <w:marBottom w:val="0"/>
                                      <w:divBdr>
                                        <w:top w:val="none" w:sz="0" w:space="0" w:color="auto"/>
                                        <w:left w:val="none" w:sz="0" w:space="0" w:color="auto"/>
                                        <w:bottom w:val="none" w:sz="0" w:space="0" w:color="auto"/>
                                        <w:right w:val="none" w:sz="0" w:space="0" w:color="auto"/>
                                      </w:divBdr>
                                      <w:divsChild>
                                        <w:div w:id="1488353011">
                                          <w:marLeft w:val="0"/>
                                          <w:marRight w:val="0"/>
                                          <w:marTop w:val="0"/>
                                          <w:marBottom w:val="0"/>
                                          <w:divBdr>
                                            <w:top w:val="none" w:sz="0" w:space="0" w:color="auto"/>
                                            <w:left w:val="none" w:sz="0" w:space="0" w:color="auto"/>
                                            <w:bottom w:val="none" w:sz="0" w:space="0" w:color="auto"/>
                                            <w:right w:val="none" w:sz="0" w:space="0" w:color="auto"/>
                                          </w:divBdr>
                                          <w:divsChild>
                                            <w:div w:id="960841485">
                                              <w:marLeft w:val="0"/>
                                              <w:marRight w:val="0"/>
                                              <w:marTop w:val="0"/>
                                              <w:marBottom w:val="0"/>
                                              <w:divBdr>
                                                <w:top w:val="none" w:sz="0" w:space="0" w:color="auto"/>
                                                <w:left w:val="none" w:sz="0" w:space="0" w:color="auto"/>
                                                <w:bottom w:val="none" w:sz="0" w:space="0" w:color="auto"/>
                                                <w:right w:val="none" w:sz="0" w:space="0" w:color="auto"/>
                                              </w:divBdr>
                                              <w:divsChild>
                                                <w:div w:id="1475638922">
                                                  <w:marLeft w:val="0"/>
                                                  <w:marRight w:val="0"/>
                                                  <w:marTop w:val="0"/>
                                                  <w:marBottom w:val="150"/>
                                                  <w:divBdr>
                                                    <w:top w:val="none" w:sz="0" w:space="0" w:color="auto"/>
                                                    <w:left w:val="none" w:sz="0" w:space="0" w:color="auto"/>
                                                    <w:bottom w:val="none" w:sz="0" w:space="0" w:color="auto"/>
                                                    <w:right w:val="none" w:sz="0" w:space="0" w:color="auto"/>
                                                  </w:divBdr>
                                                  <w:divsChild>
                                                    <w:div w:id="927419566">
                                                      <w:marLeft w:val="-285"/>
                                                      <w:marRight w:val="-285"/>
                                                      <w:marTop w:val="0"/>
                                                      <w:marBottom w:val="0"/>
                                                      <w:divBdr>
                                                        <w:top w:val="none" w:sz="0" w:space="0" w:color="auto"/>
                                                        <w:left w:val="none" w:sz="0" w:space="0" w:color="auto"/>
                                                        <w:bottom w:val="none" w:sz="0" w:space="0" w:color="auto"/>
                                                        <w:right w:val="none" w:sz="0" w:space="0" w:color="auto"/>
                                                      </w:divBdr>
                                                    </w:div>
                                                  </w:divsChild>
                                                </w:div>
                                              </w:divsChild>
                                            </w:div>
                                            <w:div w:id="1038702273">
                                              <w:marLeft w:val="0"/>
                                              <w:marRight w:val="0"/>
                                              <w:marTop w:val="0"/>
                                              <w:marBottom w:val="0"/>
                                              <w:divBdr>
                                                <w:top w:val="none" w:sz="0" w:space="0" w:color="auto"/>
                                                <w:left w:val="none" w:sz="0" w:space="0" w:color="auto"/>
                                                <w:bottom w:val="none" w:sz="0" w:space="0" w:color="auto"/>
                                                <w:right w:val="none" w:sz="0" w:space="0" w:color="auto"/>
                                              </w:divBdr>
                                              <w:divsChild>
                                                <w:div w:id="1925797609">
                                                  <w:marLeft w:val="0"/>
                                                  <w:marRight w:val="0"/>
                                                  <w:marTop w:val="0"/>
                                                  <w:marBottom w:val="0"/>
                                                  <w:divBdr>
                                                    <w:top w:val="none" w:sz="0" w:space="0" w:color="auto"/>
                                                    <w:left w:val="none" w:sz="0" w:space="0" w:color="auto"/>
                                                    <w:bottom w:val="none" w:sz="0" w:space="0" w:color="auto"/>
                                                    <w:right w:val="none" w:sz="0" w:space="0" w:color="auto"/>
                                                  </w:divBdr>
                                                  <w:divsChild>
                                                    <w:div w:id="16134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3626324">
          <w:marLeft w:val="0"/>
          <w:marRight w:val="0"/>
          <w:marTop w:val="0"/>
          <w:marBottom w:val="0"/>
          <w:divBdr>
            <w:top w:val="none" w:sz="0" w:space="0" w:color="auto"/>
            <w:left w:val="none" w:sz="0" w:space="0" w:color="auto"/>
            <w:bottom w:val="none" w:sz="0" w:space="0" w:color="auto"/>
            <w:right w:val="none" w:sz="0" w:space="0" w:color="auto"/>
          </w:divBdr>
        </w:div>
      </w:divsChild>
    </w:div>
    <w:div w:id="2023429987">
      <w:bodyDiv w:val="1"/>
      <w:marLeft w:val="0"/>
      <w:marRight w:val="0"/>
      <w:marTop w:val="0"/>
      <w:marBottom w:val="0"/>
      <w:divBdr>
        <w:top w:val="none" w:sz="0" w:space="0" w:color="auto"/>
        <w:left w:val="none" w:sz="0" w:space="0" w:color="auto"/>
        <w:bottom w:val="none" w:sz="0" w:space="0" w:color="auto"/>
        <w:right w:val="none" w:sz="0" w:space="0" w:color="auto"/>
      </w:divBdr>
      <w:divsChild>
        <w:div w:id="93862819">
          <w:marLeft w:val="0"/>
          <w:marRight w:val="0"/>
          <w:marTop w:val="0"/>
          <w:marBottom w:val="0"/>
          <w:divBdr>
            <w:top w:val="none" w:sz="0" w:space="0" w:color="auto"/>
            <w:left w:val="none" w:sz="0" w:space="0" w:color="auto"/>
            <w:bottom w:val="none" w:sz="0" w:space="0" w:color="auto"/>
            <w:right w:val="none" w:sz="0" w:space="0" w:color="auto"/>
          </w:divBdr>
        </w:div>
        <w:div w:id="181868212">
          <w:marLeft w:val="0"/>
          <w:marRight w:val="0"/>
          <w:marTop w:val="0"/>
          <w:marBottom w:val="0"/>
          <w:divBdr>
            <w:top w:val="none" w:sz="0" w:space="0" w:color="auto"/>
            <w:left w:val="none" w:sz="0" w:space="0" w:color="auto"/>
            <w:bottom w:val="none" w:sz="0" w:space="0" w:color="auto"/>
            <w:right w:val="none" w:sz="0" w:space="0" w:color="auto"/>
          </w:divBdr>
        </w:div>
        <w:div w:id="254174002">
          <w:marLeft w:val="0"/>
          <w:marRight w:val="0"/>
          <w:marTop w:val="0"/>
          <w:marBottom w:val="0"/>
          <w:divBdr>
            <w:top w:val="none" w:sz="0" w:space="0" w:color="auto"/>
            <w:left w:val="none" w:sz="0" w:space="0" w:color="auto"/>
            <w:bottom w:val="none" w:sz="0" w:space="0" w:color="auto"/>
            <w:right w:val="none" w:sz="0" w:space="0" w:color="auto"/>
          </w:divBdr>
        </w:div>
        <w:div w:id="1826510898">
          <w:marLeft w:val="0"/>
          <w:marRight w:val="0"/>
          <w:marTop w:val="0"/>
          <w:marBottom w:val="0"/>
          <w:divBdr>
            <w:top w:val="none" w:sz="0" w:space="0" w:color="auto"/>
            <w:left w:val="none" w:sz="0" w:space="0" w:color="auto"/>
            <w:bottom w:val="none" w:sz="0" w:space="0" w:color="auto"/>
            <w:right w:val="none" w:sz="0" w:space="0" w:color="auto"/>
          </w:divBdr>
        </w:div>
      </w:divsChild>
    </w:div>
    <w:div w:id="2076778482">
      <w:bodyDiv w:val="1"/>
      <w:marLeft w:val="0"/>
      <w:marRight w:val="0"/>
      <w:marTop w:val="0"/>
      <w:marBottom w:val="0"/>
      <w:divBdr>
        <w:top w:val="none" w:sz="0" w:space="0" w:color="auto"/>
        <w:left w:val="none" w:sz="0" w:space="0" w:color="auto"/>
        <w:bottom w:val="none" w:sz="0" w:space="0" w:color="auto"/>
        <w:right w:val="none" w:sz="0" w:space="0" w:color="auto"/>
      </w:divBdr>
      <w:divsChild>
        <w:div w:id="1971014209">
          <w:marLeft w:val="0"/>
          <w:marRight w:val="0"/>
          <w:marTop w:val="0"/>
          <w:marBottom w:val="0"/>
          <w:divBdr>
            <w:top w:val="none" w:sz="0" w:space="0" w:color="auto"/>
            <w:left w:val="none" w:sz="0" w:space="0" w:color="auto"/>
            <w:bottom w:val="none" w:sz="0" w:space="0" w:color="auto"/>
            <w:right w:val="none" w:sz="0" w:space="0" w:color="auto"/>
          </w:divBdr>
          <w:divsChild>
            <w:div w:id="15952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data.europa.eu/eli/C/2024/7425/oj" TargetMode="External"/><Relationship Id="rId18" Type="http://schemas.openxmlformats.org/officeDocument/2006/relationships/hyperlink" Target="https://www.eea.europa.eu/en" TargetMode="External"/><Relationship Id="rId26" Type="http://schemas.openxmlformats.org/officeDocument/2006/relationships/hyperlink" Target="https://single-market-economy.ec.europa.eu/sectors/agri-food-industrial-ecosystem/agri-food-code_en" TargetMode="External"/><Relationship Id="rId21" Type="http://schemas.openxmlformats.org/officeDocument/2006/relationships/hyperlink" Target="https://www.euda.europa.eu/index_en" TargetMode="External"/><Relationship Id="rId34" Type="http://schemas.openxmlformats.org/officeDocument/2006/relationships/hyperlink" Target="https://knowledge4policy.ec.europa.eu/health-promotion-knowledge-gateway_en" TargetMode="External"/><Relationship Id="rId7" Type="http://schemas.openxmlformats.org/officeDocument/2006/relationships/hyperlink" Target="https://ec.europa.eu/info/law/better-regulation/have-your-say/initiatives/14755-EU-cardiovascular-health-plan_en" TargetMode="External"/><Relationship Id="rId12" Type="http://schemas.openxmlformats.org/officeDocument/2006/relationships/hyperlink" Target="https://commission.europa.eu/news-and-media/news/commission-proposes-extend-coverage-smoke-free-environments-2024-09-17_en" TargetMode="External"/><Relationship Id="rId17" Type="http://schemas.openxmlformats.org/officeDocument/2006/relationships/hyperlink" Target="https://echa.europa.eu/" TargetMode="External"/><Relationship Id="rId25" Type="http://schemas.openxmlformats.org/officeDocument/2006/relationships/hyperlink" Target="http://data.europa.eu/eli/reg/2022/2371/oj" TargetMode="External"/><Relationship Id="rId33" Type="http://schemas.openxmlformats.org/officeDocument/2006/relationships/hyperlink" Target="https://data.consilium.europa.eu/doc/document/ST-15315-2024-INIT/en/pdf" TargetMode="External"/><Relationship Id="rId38" Type="http://schemas.openxmlformats.org/officeDocument/2006/relationships/hyperlink" Target="https://eur-lex.europa.eu/eli/reg/2022/2065/oj/eng" TargetMode="External"/><Relationship Id="rId2" Type="http://schemas.openxmlformats.org/officeDocument/2006/relationships/hyperlink" Target="https://commission.europa.eu/strategy-and-policy/priorities-2019-2024/promoting-our-european-way-life/european-health-union/cancer-plan-europe_en" TargetMode="External"/><Relationship Id="rId16" Type="http://schemas.openxmlformats.org/officeDocument/2006/relationships/hyperlink" Target="https://osha.europa.eu/en" TargetMode="External"/><Relationship Id="rId20" Type="http://schemas.openxmlformats.org/officeDocument/2006/relationships/hyperlink" Target="https://eige.europa.eu/" TargetMode="External"/><Relationship Id="rId29" Type="http://schemas.openxmlformats.org/officeDocument/2006/relationships/hyperlink" Target="https://jadementia.eu/" TargetMode="External"/><Relationship Id="rId1" Type="http://schemas.openxmlformats.org/officeDocument/2006/relationships/hyperlink" Target="https://www.who.int/data/gho/data/themes/topics/indicator-groups/indicator-group-details/GHO/sdg-target-3.4-noncommunicable-diseases-and-mental-health" TargetMode="External"/><Relationship Id="rId6" Type="http://schemas.openxmlformats.org/officeDocument/2006/relationships/hyperlink" Target="https://health.ec.europa.eu/events/stakeholder-webinar-eu-cardiovascular-health-plan-2025-09-29_en" TargetMode="External"/><Relationship Id="rId11" Type="http://schemas.openxmlformats.org/officeDocument/2006/relationships/hyperlink" Target="https://www.unicef.org/eca/press-releases/european-commission-and-unicef-announce-new-partnership-improve-health-outcomes" TargetMode="External"/><Relationship Id="rId24" Type="http://schemas.openxmlformats.org/officeDocument/2006/relationships/hyperlink" Target="http://data.europa.eu/eli/reg/2004/851/2022-12-26" TargetMode="External"/><Relationship Id="rId32" Type="http://schemas.openxmlformats.org/officeDocument/2006/relationships/hyperlink" Target="https://health.ec.europa.eu/non-communicable-diseases/expert-group-public-health_en" TargetMode="External"/><Relationship Id="rId37" Type="http://schemas.openxmlformats.org/officeDocument/2006/relationships/hyperlink" Target="https://taxation-customs.ec.europa.eu/news/study-health-taxes-eu-perspective-2025-05-16_en" TargetMode="External"/><Relationship Id="rId5" Type="http://schemas.openxmlformats.org/officeDocument/2006/relationships/hyperlink" Target="https://health.ec.europa.eu/events/webinar-prevention-ncds-2025-05-16_en" TargetMode="External"/><Relationship Id="rId15" Type="http://schemas.openxmlformats.org/officeDocument/2006/relationships/hyperlink" Target="http://data.europa.eu/eli/dir/1989/391/oj" TargetMode="External"/><Relationship Id="rId23" Type="http://schemas.openxmlformats.org/officeDocument/2006/relationships/hyperlink" Target="http://data.europa.eu/eli/reg/2022/2370/oj" TargetMode="External"/><Relationship Id="rId28" Type="http://schemas.openxmlformats.org/officeDocument/2006/relationships/hyperlink" Target="http://data.europa.eu/eli/dir/2005/29/oj" TargetMode="External"/><Relationship Id="rId36" Type="http://schemas.openxmlformats.org/officeDocument/2006/relationships/hyperlink" Target="https://eur-lex.europa.eu/legal-content/EN/TXT/?uri=CELEX:52000DC0001" TargetMode="External"/><Relationship Id="rId10" Type="http://schemas.openxmlformats.org/officeDocument/2006/relationships/hyperlink" Target="https://hadea.ec.europa.eu/index_en" TargetMode="External"/><Relationship Id="rId19" Type="http://schemas.openxmlformats.org/officeDocument/2006/relationships/hyperlink" Target="https://www.efsa.europa.eu/en" TargetMode="External"/><Relationship Id="rId31" Type="http://schemas.openxmlformats.org/officeDocument/2006/relationships/hyperlink" Target="https://webgate.ec.europa.eu/dyna/bp-portal/" TargetMode="External"/><Relationship Id="rId4" Type="http://schemas.openxmlformats.org/officeDocument/2006/relationships/hyperlink" Target="https://health.ec.europa.eu/non-communicable-diseases/cardiovascular-health_en" TargetMode="External"/><Relationship Id="rId9" Type="http://schemas.openxmlformats.org/officeDocument/2006/relationships/hyperlink" Target="https://jacardi.eu/" TargetMode="External"/><Relationship Id="rId14" Type="http://schemas.openxmlformats.org/officeDocument/2006/relationships/hyperlink" Target="https://commission.europa.eu/funding-tenders/find-funding/eu-funding-programmes/horizon-europe_en" TargetMode="External"/><Relationship Id="rId22" Type="http://schemas.openxmlformats.org/officeDocument/2006/relationships/hyperlink" Target="https://ec.europa.eu/eurostat" TargetMode="External"/><Relationship Id="rId27" Type="http://schemas.openxmlformats.org/officeDocument/2006/relationships/hyperlink" Target="https://transition-pathways.europa.eu/agri-food/pledges-best-practices" TargetMode="External"/><Relationship Id="rId30" Type="http://schemas.openxmlformats.org/officeDocument/2006/relationships/hyperlink" Target="https://commission.europa.eu/strategy-and-policy/priorities-2019-2024/promoting-our-european-way-life/european-health-union/comprehensive-approach-mental-health_en" TargetMode="External"/><Relationship Id="rId35" Type="http://schemas.openxmlformats.org/officeDocument/2006/relationships/hyperlink" Target="https://eur-lex.europa.eu/EN/legal-content/summary/the-precautionary-principle.html" TargetMode="External"/><Relationship Id="rId8" Type="http://schemas.openxmlformats.org/officeDocument/2006/relationships/hyperlink" Target="https://www.preventncd.eu/" TargetMode="External"/><Relationship Id="rId3" Type="http://schemas.openxmlformats.org/officeDocument/2006/relationships/hyperlink" Target="https://health.ec.europa.eu/non-communicable-diseases/mental-health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6" ma:contentTypeDescription="Create a new document." ma:contentTypeScope="" ma:versionID="ad58d5acd656c59bdbd3a3944522d26d">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a22f7695b17df345dd0d8642f4e4d54d"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a14750-e7c4-45b6-b8e8-35d587ecf81c}"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f8c89d-4332-4d32-84a3-abf4120a8008" xsi:nil="true"/>
    <lcf76f155ced4ddcb4097134ff3c332f xmlns="9a9637e9-1c11-4ee9-91b8-f060e3608f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E71194CE-5AE7-42A9-965B-D8995DD18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51BA8-A137-4F73-8D40-88C1980D8DB4}">
  <ds:schemaRefs>
    <ds:schemaRef ds:uri="http://schemas.microsoft.com/sharepoint/v3/contenttype/forms"/>
  </ds:schemaRefs>
</ds:datastoreItem>
</file>

<file path=customXml/itemProps3.xml><?xml version="1.0" encoding="utf-8"?>
<ds:datastoreItem xmlns:ds="http://schemas.openxmlformats.org/officeDocument/2006/customXml" ds:itemID="{5ACFE1A9-6310-4DA7-BCBD-ADB665E43AE3}">
  <ds:schemaRefs>
    <ds:schemaRef ds:uri="http://schemas.openxmlformats.org/officeDocument/2006/bibliography"/>
  </ds:schemaRefs>
</ds:datastoreItem>
</file>

<file path=customXml/itemProps4.xml><?xml version="1.0" encoding="utf-8"?>
<ds:datastoreItem xmlns:ds="http://schemas.openxmlformats.org/officeDocument/2006/customXml" ds:itemID="{4612D300-EEF2-4DE6-BCE0-874A764F1C5E}">
  <ds:schemaRefs>
    <ds:schemaRef ds:uri="http://schemas.microsoft.com/office/2006/metadata/properties"/>
    <ds:schemaRef ds:uri="http://schemas.microsoft.com/office/infopath/2007/PartnerControls"/>
    <ds:schemaRef ds:uri="4af8c89d-4332-4d32-84a3-abf4120a8008"/>
    <ds:schemaRef ds:uri="9a9637e9-1c11-4ee9-91b8-f060e3608fb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2390</Words>
  <Characters>13720</Characters>
  <Application>Microsoft Office Word</Application>
  <DocSecurity>0</DocSecurity>
  <Lines>196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16062</CharactersWithSpaces>
  <SharedDoc>false</SharedDoc>
  <HLinks>
    <vt:vector size="294" baseType="variant">
      <vt:variant>
        <vt:i4>8061026</vt:i4>
      </vt:variant>
      <vt:variant>
        <vt:i4>156</vt:i4>
      </vt:variant>
      <vt:variant>
        <vt:i4>0</vt:i4>
      </vt:variant>
      <vt:variant>
        <vt:i4>5</vt:i4>
      </vt:variant>
      <vt:variant>
        <vt:lpwstr>https://eur-lex.europa.eu/eli/reg/2022/2065/oj/eng</vt:lpwstr>
      </vt:variant>
      <vt:variant>
        <vt:lpwstr/>
      </vt:variant>
      <vt:variant>
        <vt:i4>45</vt:i4>
      </vt:variant>
      <vt:variant>
        <vt:i4>153</vt:i4>
      </vt:variant>
      <vt:variant>
        <vt:i4>0</vt:i4>
      </vt:variant>
      <vt:variant>
        <vt:i4>5</vt:i4>
      </vt:variant>
      <vt:variant>
        <vt:lpwstr>https://taxation-customs.ec.europa.eu/news/study-health-taxes-eu-perspective-2025-05-16_en</vt:lpwstr>
      </vt:variant>
      <vt:variant>
        <vt:lpwstr/>
      </vt:variant>
      <vt:variant>
        <vt:i4>1114202</vt:i4>
      </vt:variant>
      <vt:variant>
        <vt:i4>147</vt:i4>
      </vt:variant>
      <vt:variant>
        <vt:i4>0</vt:i4>
      </vt:variant>
      <vt:variant>
        <vt:i4>5</vt:i4>
      </vt:variant>
      <vt:variant>
        <vt:lpwstr>https://eur-lex.europa.eu/legal-content/EN/TXT/PDF/?uri=CELEX:52025DC0075</vt:lpwstr>
      </vt:variant>
      <vt:variant>
        <vt:lpwstr/>
      </vt:variant>
      <vt:variant>
        <vt:i4>6881309</vt:i4>
      </vt:variant>
      <vt:variant>
        <vt:i4>144</vt:i4>
      </vt:variant>
      <vt:variant>
        <vt:i4>0</vt:i4>
      </vt:variant>
      <vt:variant>
        <vt:i4>5</vt:i4>
      </vt:variant>
      <vt:variant>
        <vt:lpwstr>https://food.ec.europa.eu/document/download/069bc2d8-4e48-408c-aeea-158d803cfdd9_en</vt:lpwstr>
      </vt:variant>
      <vt:variant>
        <vt:lpwstr/>
      </vt:variant>
      <vt:variant>
        <vt:i4>2031708</vt:i4>
      </vt:variant>
      <vt:variant>
        <vt:i4>141</vt:i4>
      </vt:variant>
      <vt:variant>
        <vt:i4>0</vt:i4>
      </vt:variant>
      <vt:variant>
        <vt:i4>5</vt:i4>
      </vt:variant>
      <vt:variant>
        <vt:lpwstr>https://eur-lex.europa.eu/eli/reg/2002/178/oj/eng</vt:lpwstr>
      </vt:variant>
      <vt:variant>
        <vt:lpwstr/>
      </vt:variant>
      <vt:variant>
        <vt:i4>131092</vt:i4>
      </vt:variant>
      <vt:variant>
        <vt:i4>135</vt:i4>
      </vt:variant>
      <vt:variant>
        <vt:i4>0</vt:i4>
      </vt:variant>
      <vt:variant>
        <vt:i4>5</vt:i4>
      </vt:variant>
      <vt:variant>
        <vt:lpwstr>https://eur-lex.europa.eu/legal-content/EN/TXT/?uri=CELEX:52000DC0001</vt:lpwstr>
      </vt:variant>
      <vt:variant>
        <vt:lpwstr/>
      </vt:variant>
      <vt:variant>
        <vt:i4>2883641</vt:i4>
      </vt:variant>
      <vt:variant>
        <vt:i4>132</vt:i4>
      </vt:variant>
      <vt:variant>
        <vt:i4>0</vt:i4>
      </vt:variant>
      <vt:variant>
        <vt:i4>5</vt:i4>
      </vt:variant>
      <vt:variant>
        <vt:lpwstr>https://eur-lex.europa.eu/EN/legal-content/summary/the-precautionary-principle.html</vt:lpwstr>
      </vt:variant>
      <vt:variant>
        <vt:lpwstr/>
      </vt:variant>
      <vt:variant>
        <vt:i4>3932242</vt:i4>
      </vt:variant>
      <vt:variant>
        <vt:i4>129</vt:i4>
      </vt:variant>
      <vt:variant>
        <vt:i4>0</vt:i4>
      </vt:variant>
      <vt:variant>
        <vt:i4>5</vt:i4>
      </vt:variant>
      <vt:variant>
        <vt:lpwstr>https://knowledge4policy.ec.europa.eu/health-promotion-knowledge-gateway_en</vt:lpwstr>
      </vt:variant>
      <vt:variant>
        <vt:lpwstr/>
      </vt:variant>
      <vt:variant>
        <vt:i4>4259856</vt:i4>
      </vt:variant>
      <vt:variant>
        <vt:i4>126</vt:i4>
      </vt:variant>
      <vt:variant>
        <vt:i4>0</vt:i4>
      </vt:variant>
      <vt:variant>
        <vt:i4>5</vt:i4>
      </vt:variant>
      <vt:variant>
        <vt:lpwstr>https://www.oecd.org/</vt:lpwstr>
      </vt:variant>
      <vt:variant>
        <vt:lpwstr/>
      </vt:variant>
      <vt:variant>
        <vt:i4>5177413</vt:i4>
      </vt:variant>
      <vt:variant>
        <vt:i4>123</vt:i4>
      </vt:variant>
      <vt:variant>
        <vt:i4>0</vt:i4>
      </vt:variant>
      <vt:variant>
        <vt:i4>5</vt:i4>
      </vt:variant>
      <vt:variant>
        <vt:lpwstr>https://www.who.int/</vt:lpwstr>
      </vt:variant>
      <vt:variant>
        <vt:lpwstr/>
      </vt:variant>
      <vt:variant>
        <vt:i4>3866733</vt:i4>
      </vt:variant>
      <vt:variant>
        <vt:i4>120</vt:i4>
      </vt:variant>
      <vt:variant>
        <vt:i4>0</vt:i4>
      </vt:variant>
      <vt:variant>
        <vt:i4>5</vt:i4>
      </vt:variant>
      <vt:variant>
        <vt:lpwstr>https://data.consilium.europa.eu/doc/document/ST-15315-2024-INIT/en/pdf</vt:lpwstr>
      </vt:variant>
      <vt:variant>
        <vt:lpwstr/>
      </vt:variant>
      <vt:variant>
        <vt:i4>4128842</vt:i4>
      </vt:variant>
      <vt:variant>
        <vt:i4>117</vt:i4>
      </vt:variant>
      <vt:variant>
        <vt:i4>0</vt:i4>
      </vt:variant>
      <vt:variant>
        <vt:i4>5</vt:i4>
      </vt:variant>
      <vt:variant>
        <vt:lpwstr>https://health.ec.europa.eu/non-communicable-diseases/expert-group-public-health_en</vt:lpwstr>
      </vt:variant>
      <vt:variant>
        <vt:lpwstr/>
      </vt:variant>
      <vt:variant>
        <vt:i4>983051</vt:i4>
      </vt:variant>
      <vt:variant>
        <vt:i4>114</vt:i4>
      </vt:variant>
      <vt:variant>
        <vt:i4>0</vt:i4>
      </vt:variant>
      <vt:variant>
        <vt:i4>5</vt:i4>
      </vt:variant>
      <vt:variant>
        <vt:lpwstr>https://webgate.ec.europa.eu/dyna/bp-portal/</vt:lpwstr>
      </vt:variant>
      <vt:variant>
        <vt:lpwstr/>
      </vt:variant>
      <vt:variant>
        <vt:i4>8060949</vt:i4>
      </vt:variant>
      <vt:variant>
        <vt:i4>111</vt:i4>
      </vt:variant>
      <vt:variant>
        <vt:i4>0</vt:i4>
      </vt:variant>
      <vt:variant>
        <vt:i4>5</vt:i4>
      </vt:variant>
      <vt:variant>
        <vt:lpwstr>https://commission.europa.eu/strategy-and-policy/priorities-2019-2024/promoting-our-european-way-life/european-health-union/comprehensive-approach-mental-health_en</vt:lpwstr>
      </vt:variant>
      <vt:variant>
        <vt:lpwstr/>
      </vt:variant>
      <vt:variant>
        <vt:i4>3080319</vt:i4>
      </vt:variant>
      <vt:variant>
        <vt:i4>108</vt:i4>
      </vt:variant>
      <vt:variant>
        <vt:i4>0</vt:i4>
      </vt:variant>
      <vt:variant>
        <vt:i4>5</vt:i4>
      </vt:variant>
      <vt:variant>
        <vt:lpwstr>https://jadementia.eu/</vt:lpwstr>
      </vt:variant>
      <vt:variant>
        <vt:lpwstr/>
      </vt:variant>
      <vt:variant>
        <vt:i4>7012420</vt:i4>
      </vt:variant>
      <vt:variant>
        <vt:i4>105</vt:i4>
      </vt:variant>
      <vt:variant>
        <vt:i4>0</vt:i4>
      </vt:variant>
      <vt:variant>
        <vt:i4>5</vt:i4>
      </vt:variant>
      <vt:variant>
        <vt:lpwstr>https://health.ec.europa.eu/non-communicable-diseases/healthier-together-eu-non-communicable-diseases-initiative_en</vt:lpwstr>
      </vt:variant>
      <vt:variant>
        <vt:lpwstr/>
      </vt:variant>
      <vt:variant>
        <vt:i4>6094922</vt:i4>
      </vt:variant>
      <vt:variant>
        <vt:i4>102</vt:i4>
      </vt:variant>
      <vt:variant>
        <vt:i4>0</vt:i4>
      </vt:variant>
      <vt:variant>
        <vt:i4>5</vt:i4>
      </vt:variant>
      <vt:variant>
        <vt:lpwstr>https://www.dypede.gr/health4eukids/</vt:lpwstr>
      </vt:variant>
      <vt:variant>
        <vt:lpwstr/>
      </vt:variant>
      <vt:variant>
        <vt:i4>7602269</vt:i4>
      </vt:variant>
      <vt:variant>
        <vt:i4>99</vt:i4>
      </vt:variant>
      <vt:variant>
        <vt:i4>0</vt:i4>
      </vt:variant>
      <vt:variant>
        <vt:i4>5</vt:i4>
      </vt:variant>
      <vt:variant>
        <vt:lpwstr>https://health.ec.europa.eu/funding/eu4health-programme-2021-2027-vision-healthier-european-union_en</vt:lpwstr>
      </vt:variant>
      <vt:variant>
        <vt:lpwstr/>
      </vt:variant>
      <vt:variant>
        <vt:i4>7012420</vt:i4>
      </vt:variant>
      <vt:variant>
        <vt:i4>96</vt:i4>
      </vt:variant>
      <vt:variant>
        <vt:i4>0</vt:i4>
      </vt:variant>
      <vt:variant>
        <vt:i4>5</vt:i4>
      </vt:variant>
      <vt:variant>
        <vt:lpwstr>https://health.ec.europa.eu/non-communicable-diseases/healthier-together-eu-non-communicable-diseases-initiative_en</vt:lpwstr>
      </vt:variant>
      <vt:variant>
        <vt:lpwstr/>
      </vt:variant>
      <vt:variant>
        <vt:i4>3932201</vt:i4>
      </vt:variant>
      <vt:variant>
        <vt:i4>93</vt:i4>
      </vt:variant>
      <vt:variant>
        <vt:i4>0</vt:i4>
      </vt:variant>
      <vt:variant>
        <vt:i4>5</vt:i4>
      </vt:variant>
      <vt:variant>
        <vt:lpwstr>https://commission.europa.eu/document/download/e6cd4328-673c-4e7a-8683-f63ffb2cf648_en?filename=Political%20Guidelines%202024-2029_EN.pdf</vt:lpwstr>
      </vt:variant>
      <vt:variant>
        <vt:lpwstr/>
      </vt:variant>
      <vt:variant>
        <vt:i4>6553621</vt:i4>
      </vt:variant>
      <vt:variant>
        <vt:i4>90</vt:i4>
      </vt:variant>
      <vt:variant>
        <vt:i4>0</vt:i4>
      </vt:variant>
      <vt:variant>
        <vt:i4>5</vt:i4>
      </vt:variant>
      <vt:variant>
        <vt:lpwstr>https://commission.europa.eu/news/commission-proposes-extend-coverage-smoke-free-environments-2024-09-17_en</vt:lpwstr>
      </vt:variant>
      <vt:variant>
        <vt:lpwstr>:~:text=The%20revision%20calls%20on%20EU%20countries%20to:%20extend%20the%20coverage</vt:lpwstr>
      </vt:variant>
      <vt:variant>
        <vt:i4>6225979</vt:i4>
      </vt:variant>
      <vt:variant>
        <vt:i4>87</vt:i4>
      </vt:variant>
      <vt:variant>
        <vt:i4>0</vt:i4>
      </vt:variant>
      <vt:variant>
        <vt:i4>5</vt:i4>
      </vt:variant>
      <vt:variant>
        <vt:lpwstr>https://ec.europa.eu/info/law/better-regulation/have-your-say/initiatives/13481-Evaluation-of-the-legislative-framework-for-tobacco-control_en</vt:lpwstr>
      </vt:variant>
      <vt:variant>
        <vt:lpwstr/>
      </vt:variant>
      <vt:variant>
        <vt:i4>7995426</vt:i4>
      </vt:variant>
      <vt:variant>
        <vt:i4>84</vt:i4>
      </vt:variant>
      <vt:variant>
        <vt:i4>0</vt:i4>
      </vt:variant>
      <vt:variant>
        <vt:i4>5</vt:i4>
      </vt:variant>
      <vt:variant>
        <vt:lpwstr>https://transition-pathways.europa.eu/agri-food/pledges-best-practices</vt:lpwstr>
      </vt:variant>
      <vt:variant>
        <vt:lpwstr/>
      </vt:variant>
      <vt:variant>
        <vt:i4>2686991</vt:i4>
      </vt:variant>
      <vt:variant>
        <vt:i4>81</vt:i4>
      </vt:variant>
      <vt:variant>
        <vt:i4>0</vt:i4>
      </vt:variant>
      <vt:variant>
        <vt:i4>5</vt:i4>
      </vt:variant>
      <vt:variant>
        <vt:lpwstr>https://single-market-economy.ec.europa.eu/sectors/agri-food-industrial-ecosystem/agri-food-code_en</vt:lpwstr>
      </vt:variant>
      <vt:variant>
        <vt:lpwstr/>
      </vt:variant>
      <vt:variant>
        <vt:i4>1376327</vt:i4>
      </vt:variant>
      <vt:variant>
        <vt:i4>72</vt:i4>
      </vt:variant>
      <vt:variant>
        <vt:i4>0</vt:i4>
      </vt:variant>
      <vt:variant>
        <vt:i4>5</vt:i4>
      </vt:variant>
      <vt:variant>
        <vt:lpwstr>https://eur-lex.europa.eu/eli/reg/2022/2371/oj/eng</vt:lpwstr>
      </vt:variant>
      <vt:variant>
        <vt:lpwstr>:~:text=Regulation%20%28EU%29%202022%2F2371%20of%20the%20European%20Parliament%20and,Decision%20No%201082%2F2013%2FEU%20%28Text%20with%20EEA%20relevance%29%20PE%2F40%2F2022%2FREV%2F1</vt:lpwstr>
      </vt:variant>
      <vt:variant>
        <vt:i4>6291565</vt:i4>
      </vt:variant>
      <vt:variant>
        <vt:i4>69</vt:i4>
      </vt:variant>
      <vt:variant>
        <vt:i4>0</vt:i4>
      </vt:variant>
      <vt:variant>
        <vt:i4>5</vt:i4>
      </vt:variant>
      <vt:variant>
        <vt:lpwstr>https://eur-lex.europa.eu/legal-content/EN/TXT/?uri=CELEX%3A02004R0851-20221226</vt:lpwstr>
      </vt:variant>
      <vt:variant>
        <vt:lpwstr/>
      </vt:variant>
      <vt:variant>
        <vt:i4>7995492</vt:i4>
      </vt:variant>
      <vt:variant>
        <vt:i4>66</vt:i4>
      </vt:variant>
      <vt:variant>
        <vt:i4>0</vt:i4>
      </vt:variant>
      <vt:variant>
        <vt:i4>5</vt:i4>
      </vt:variant>
      <vt:variant>
        <vt:lpwstr>https://eur-lex.europa.eu/eli/reg/2022/2370/oj/eng</vt:lpwstr>
      </vt:variant>
      <vt:variant>
        <vt:lpwstr/>
      </vt:variant>
      <vt:variant>
        <vt:i4>4915284</vt:i4>
      </vt:variant>
      <vt:variant>
        <vt:i4>63</vt:i4>
      </vt:variant>
      <vt:variant>
        <vt:i4>0</vt:i4>
      </vt:variant>
      <vt:variant>
        <vt:i4>5</vt:i4>
      </vt:variant>
      <vt:variant>
        <vt:lpwstr>https://ec.europa.eu/eurostat</vt:lpwstr>
      </vt:variant>
      <vt:variant>
        <vt:lpwstr/>
      </vt:variant>
      <vt:variant>
        <vt:i4>7340042</vt:i4>
      </vt:variant>
      <vt:variant>
        <vt:i4>60</vt:i4>
      </vt:variant>
      <vt:variant>
        <vt:i4>0</vt:i4>
      </vt:variant>
      <vt:variant>
        <vt:i4>5</vt:i4>
      </vt:variant>
      <vt:variant>
        <vt:lpwstr>https://www.euda.europa.eu/index_en</vt:lpwstr>
      </vt:variant>
      <vt:variant>
        <vt:lpwstr/>
      </vt:variant>
      <vt:variant>
        <vt:i4>2162802</vt:i4>
      </vt:variant>
      <vt:variant>
        <vt:i4>57</vt:i4>
      </vt:variant>
      <vt:variant>
        <vt:i4>0</vt:i4>
      </vt:variant>
      <vt:variant>
        <vt:i4>5</vt:i4>
      </vt:variant>
      <vt:variant>
        <vt:lpwstr>https://eige.europa.eu/</vt:lpwstr>
      </vt:variant>
      <vt:variant>
        <vt:lpwstr/>
      </vt:variant>
      <vt:variant>
        <vt:i4>1441865</vt:i4>
      </vt:variant>
      <vt:variant>
        <vt:i4>54</vt:i4>
      </vt:variant>
      <vt:variant>
        <vt:i4>0</vt:i4>
      </vt:variant>
      <vt:variant>
        <vt:i4>5</vt:i4>
      </vt:variant>
      <vt:variant>
        <vt:lpwstr>https://www.efsa.europa.eu/en</vt:lpwstr>
      </vt:variant>
      <vt:variant>
        <vt:lpwstr/>
      </vt:variant>
      <vt:variant>
        <vt:i4>6029341</vt:i4>
      </vt:variant>
      <vt:variant>
        <vt:i4>51</vt:i4>
      </vt:variant>
      <vt:variant>
        <vt:i4>0</vt:i4>
      </vt:variant>
      <vt:variant>
        <vt:i4>5</vt:i4>
      </vt:variant>
      <vt:variant>
        <vt:lpwstr>https://www.eea.europa.eu/en</vt:lpwstr>
      </vt:variant>
      <vt:variant>
        <vt:lpwstr/>
      </vt:variant>
      <vt:variant>
        <vt:i4>3080317</vt:i4>
      </vt:variant>
      <vt:variant>
        <vt:i4>48</vt:i4>
      </vt:variant>
      <vt:variant>
        <vt:i4>0</vt:i4>
      </vt:variant>
      <vt:variant>
        <vt:i4>5</vt:i4>
      </vt:variant>
      <vt:variant>
        <vt:lpwstr>https://echa.europa.eu/</vt:lpwstr>
      </vt:variant>
      <vt:variant>
        <vt:lpwstr/>
      </vt:variant>
      <vt:variant>
        <vt:i4>5898328</vt:i4>
      </vt:variant>
      <vt:variant>
        <vt:i4>45</vt:i4>
      </vt:variant>
      <vt:variant>
        <vt:i4>0</vt:i4>
      </vt:variant>
      <vt:variant>
        <vt:i4>5</vt:i4>
      </vt:variant>
      <vt:variant>
        <vt:lpwstr>https://osha.europa.eu/en</vt:lpwstr>
      </vt:variant>
      <vt:variant>
        <vt:lpwstr/>
      </vt:variant>
      <vt:variant>
        <vt:i4>4391015</vt:i4>
      </vt:variant>
      <vt:variant>
        <vt:i4>42</vt:i4>
      </vt:variant>
      <vt:variant>
        <vt:i4>0</vt:i4>
      </vt:variant>
      <vt:variant>
        <vt:i4>5</vt:i4>
      </vt:variant>
      <vt:variant>
        <vt:lpwstr>https://commission.europa.eu/funding-tenders/find-funding/eu-funding-programmes/horizon-europe_en</vt:lpwstr>
      </vt:variant>
      <vt:variant>
        <vt:lpwstr/>
      </vt:variant>
      <vt:variant>
        <vt:i4>7340101</vt:i4>
      </vt:variant>
      <vt:variant>
        <vt:i4>39</vt:i4>
      </vt:variant>
      <vt:variant>
        <vt:i4>0</vt:i4>
      </vt:variant>
      <vt:variant>
        <vt:i4>5</vt:i4>
      </vt:variant>
      <vt:variant>
        <vt:lpwstr>https://eur-lex.europa.eu/legal-content/EN/TXT/PDF/?uri=OJ:C_202407425</vt:lpwstr>
      </vt:variant>
      <vt:variant>
        <vt:lpwstr/>
      </vt:variant>
      <vt:variant>
        <vt:i4>6553621</vt:i4>
      </vt:variant>
      <vt:variant>
        <vt:i4>36</vt:i4>
      </vt:variant>
      <vt:variant>
        <vt:i4>0</vt:i4>
      </vt:variant>
      <vt:variant>
        <vt:i4>5</vt:i4>
      </vt:variant>
      <vt:variant>
        <vt:lpwstr>https://commission.europa.eu/news/commission-proposes-extend-coverage-smoke-free-environments-2024-09-17_en</vt:lpwstr>
      </vt:variant>
      <vt:variant>
        <vt:lpwstr>:~:text=The%20revision%20calls%20on%20EU%20countries%20to:%20extend%20the%20coverage</vt:lpwstr>
      </vt:variant>
      <vt:variant>
        <vt:i4>6225979</vt:i4>
      </vt:variant>
      <vt:variant>
        <vt:i4>33</vt:i4>
      </vt:variant>
      <vt:variant>
        <vt:i4>0</vt:i4>
      </vt:variant>
      <vt:variant>
        <vt:i4>5</vt:i4>
      </vt:variant>
      <vt:variant>
        <vt:lpwstr>https://ec.europa.eu/info/law/better-regulation/have-your-say/initiatives/13481-Evaluation-of-the-legislative-framework-for-tobacco-control_en</vt:lpwstr>
      </vt:variant>
      <vt:variant>
        <vt:lpwstr/>
      </vt:variant>
      <vt:variant>
        <vt:i4>6422644</vt:i4>
      </vt:variant>
      <vt:variant>
        <vt:i4>30</vt:i4>
      </vt:variant>
      <vt:variant>
        <vt:i4>0</vt:i4>
      </vt:variant>
      <vt:variant>
        <vt:i4>5</vt:i4>
      </vt:variant>
      <vt:variant>
        <vt:lpwstr>https://www.unicef.org/eca/press-releases/european-commission-and-unicef-announce-new-partnership-improve-health-outcomes</vt:lpwstr>
      </vt:variant>
      <vt:variant>
        <vt:lpwstr>:~:text=The%20three-year%20partnership%20%E2%80%93%20Promoting%20a%20comprehensive%2C%20prevention-oriented,consumption%20among%20children%20in%2029%20countries%20across%20Europe.</vt:lpwstr>
      </vt:variant>
      <vt:variant>
        <vt:i4>7602179</vt:i4>
      </vt:variant>
      <vt:variant>
        <vt:i4>27</vt:i4>
      </vt:variant>
      <vt:variant>
        <vt:i4>0</vt:i4>
      </vt:variant>
      <vt:variant>
        <vt:i4>5</vt:i4>
      </vt:variant>
      <vt:variant>
        <vt:lpwstr>https://hadea.ec.europa.eu/index_en</vt:lpwstr>
      </vt:variant>
      <vt:variant>
        <vt:lpwstr/>
      </vt:variant>
      <vt:variant>
        <vt:i4>3014711</vt:i4>
      </vt:variant>
      <vt:variant>
        <vt:i4>24</vt:i4>
      </vt:variant>
      <vt:variant>
        <vt:i4>0</vt:i4>
      </vt:variant>
      <vt:variant>
        <vt:i4>5</vt:i4>
      </vt:variant>
      <vt:variant>
        <vt:lpwstr>https://jacardi.eu/</vt:lpwstr>
      </vt:variant>
      <vt:variant>
        <vt:lpwstr/>
      </vt:variant>
      <vt:variant>
        <vt:i4>6422652</vt:i4>
      </vt:variant>
      <vt:variant>
        <vt:i4>21</vt:i4>
      </vt:variant>
      <vt:variant>
        <vt:i4>0</vt:i4>
      </vt:variant>
      <vt:variant>
        <vt:i4>5</vt:i4>
      </vt:variant>
      <vt:variant>
        <vt:lpwstr>https://www.preventncd.eu/</vt:lpwstr>
      </vt:variant>
      <vt:variant>
        <vt:lpwstr/>
      </vt:variant>
      <vt:variant>
        <vt:i4>6357006</vt:i4>
      </vt:variant>
      <vt:variant>
        <vt:i4>18</vt:i4>
      </vt:variant>
      <vt:variant>
        <vt:i4>0</vt:i4>
      </vt:variant>
      <vt:variant>
        <vt:i4>5</vt:i4>
      </vt:variant>
      <vt:variant>
        <vt:lpwstr>https://ec.europa.eu/info/law/better-regulation/have-your-say/initiatives/14755-EU-cardiovascular-health-plan_en</vt:lpwstr>
      </vt:variant>
      <vt:variant>
        <vt:lpwstr/>
      </vt:variant>
      <vt:variant>
        <vt:i4>1900588</vt:i4>
      </vt:variant>
      <vt:variant>
        <vt:i4>15</vt:i4>
      </vt:variant>
      <vt:variant>
        <vt:i4>0</vt:i4>
      </vt:variant>
      <vt:variant>
        <vt:i4>5</vt:i4>
      </vt:variant>
      <vt:variant>
        <vt:lpwstr>https://health.ec.europa.eu/events/stakeholder-webinar-eu-cardiovascular-health-plan-2025-09-29_en</vt:lpwstr>
      </vt:variant>
      <vt:variant>
        <vt:lpwstr/>
      </vt:variant>
      <vt:variant>
        <vt:i4>2490454</vt:i4>
      </vt:variant>
      <vt:variant>
        <vt:i4>12</vt:i4>
      </vt:variant>
      <vt:variant>
        <vt:i4>0</vt:i4>
      </vt:variant>
      <vt:variant>
        <vt:i4>5</vt:i4>
      </vt:variant>
      <vt:variant>
        <vt:lpwstr>https://health.ec.europa.eu/events/webinar-prevention-ncds-2025-05-16_en</vt:lpwstr>
      </vt:variant>
      <vt:variant>
        <vt:lpwstr/>
      </vt:variant>
      <vt:variant>
        <vt:i4>4587570</vt:i4>
      </vt:variant>
      <vt:variant>
        <vt:i4>9</vt:i4>
      </vt:variant>
      <vt:variant>
        <vt:i4>0</vt:i4>
      </vt:variant>
      <vt:variant>
        <vt:i4>5</vt:i4>
      </vt:variant>
      <vt:variant>
        <vt:lpwstr>https://health.ec.europa.eu/non-communicable-diseases/cardiovascular-health_en</vt:lpwstr>
      </vt:variant>
      <vt:variant>
        <vt:lpwstr/>
      </vt:variant>
      <vt:variant>
        <vt:i4>5046329</vt:i4>
      </vt:variant>
      <vt:variant>
        <vt:i4>6</vt:i4>
      </vt:variant>
      <vt:variant>
        <vt:i4>0</vt:i4>
      </vt:variant>
      <vt:variant>
        <vt:i4>5</vt:i4>
      </vt:variant>
      <vt:variant>
        <vt:lpwstr>https://health.ec.europa.eu/non-communicable-diseases/mental-health_en</vt:lpwstr>
      </vt:variant>
      <vt:variant>
        <vt:lpwstr/>
      </vt:variant>
      <vt:variant>
        <vt:i4>5898355</vt:i4>
      </vt:variant>
      <vt:variant>
        <vt:i4>3</vt:i4>
      </vt:variant>
      <vt:variant>
        <vt:i4>0</vt:i4>
      </vt:variant>
      <vt:variant>
        <vt:i4>5</vt:i4>
      </vt:variant>
      <vt:variant>
        <vt:lpwstr>https://commission.europa.eu/strategy-and-policy/priorities-2019-2024/promoting-our-european-way-life/european-health-union/cancer-plan-europe_en</vt:lpwstr>
      </vt:variant>
      <vt:variant>
        <vt:lpwstr/>
      </vt:variant>
      <vt:variant>
        <vt:i4>2556011</vt:i4>
      </vt:variant>
      <vt:variant>
        <vt:i4>0</vt:i4>
      </vt:variant>
      <vt:variant>
        <vt:i4>0</vt:i4>
      </vt:variant>
      <vt:variant>
        <vt:i4>5</vt:i4>
      </vt:variant>
      <vt:variant>
        <vt:lpwstr>https://www.who.int/data/gho/data/themes/topics/indicator-groups/indicator-group-details/GHO/sdg-target-3.4-noncommunicable-diseases-and-mental-health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GATTI Cristina (SANTE)</dc:creator>
  <cp:lastModifiedBy>ROSSI Simona (SG-EXT)</cp:lastModifiedBy>
  <cp:revision>2</cp:revision>
  <dcterms:created xsi:type="dcterms:W3CDTF">2026-03-25T14:47:00Z</dcterms:created>
  <dcterms:modified xsi:type="dcterms:W3CDTF">2026-03-25T14:47:00Z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2025-10-24T14:02:23Z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bdaea585-2dfe-4b1e-ac42-5badd824ae0c</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0x0101007697B7BFF882854783B2AFEB81A9CCE9</vt:lpwstr>
  </property>
  <property fmtid="{D5CDD505-2E9C-101B-9397-08002B2CF9AE}" pid="11" name="MediaServiceImageTags">
    <vt:lpwstr/>
  </property>
</Properties>
</file>