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9A3340" w:rsidRDefault="00077C4F" w:rsidP="00554137">
      <w:pPr>
        <w:spacing w:after="0" w:line="240" w:lineRule="auto"/>
        <w:ind w:left="-709"/>
        <w:rPr>
          <w:rFonts w:ascii="Times New Roman" w:hAnsi="Times New Roman"/>
          <w:bCs/>
          <w:sz w:val="4"/>
          <w:szCs w:val="4"/>
          <w:lang w:val="en-IE"/>
        </w:rPr>
      </w:pPr>
    </w:p>
    <w:p w14:paraId="55E209D3" w14:textId="64486A3B" w:rsidR="00751910" w:rsidRPr="00324F19" w:rsidRDefault="00751910" w:rsidP="00324F19">
      <w:pPr>
        <w:spacing w:after="0" w:line="240" w:lineRule="auto"/>
        <w:ind w:left="-709"/>
        <w:rPr>
          <w:rFonts w:ascii="Times New Roman" w:hAnsi="Times New Roman"/>
          <w:bCs/>
          <w:sz w:val="16"/>
          <w:szCs w:val="16"/>
          <w:lang w:val="en-IE"/>
        </w:rPr>
      </w:pPr>
    </w:p>
    <w:tbl>
      <w:tblPr>
        <w:tblW w:w="1031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318"/>
      </w:tblGrid>
      <w:tr w:rsidR="001C4138" w:rsidRPr="009A3340" w14:paraId="30B76F57" w14:textId="77777777" w:rsidTr="7D25B866">
        <w:trPr>
          <w:jc w:val="center"/>
        </w:trPr>
        <w:tc>
          <w:tcPr>
            <w:tcW w:w="10318" w:type="dxa"/>
          </w:tcPr>
          <w:p w14:paraId="3A99935F" w14:textId="63A8782C" w:rsidR="001C4138" w:rsidRPr="009A3340" w:rsidRDefault="0039765F" w:rsidP="0039765F">
            <w:pPr>
              <w:spacing w:before="120" w:after="120"/>
              <w:rPr>
                <w:rFonts w:ascii="Times New Roman" w:hAnsi="Times New Roman"/>
                <w:b/>
                <w:sz w:val="24"/>
                <w:szCs w:val="24"/>
                <w:lang w:val="en-IE"/>
              </w:rPr>
            </w:pPr>
            <w:r w:rsidRPr="009A3340">
              <w:rPr>
                <w:rFonts w:ascii="Times New Roman" w:hAnsi="Times New Roman"/>
                <w:b/>
                <w:sz w:val="24"/>
                <w:szCs w:val="24"/>
                <w:lang w:val="en-IE"/>
              </w:rPr>
              <w:t>The Island Dimension in European Cohesion, Competitiveness and Sustainable Development Policies</w:t>
            </w:r>
            <w:r w:rsidR="00554137" w:rsidRPr="009A3340">
              <w:rPr>
                <w:rFonts w:ascii="Times New Roman" w:hAnsi="Times New Roman"/>
                <w:b/>
                <w:sz w:val="24"/>
                <w:szCs w:val="24"/>
                <w:lang w:val="en-IE"/>
              </w:rPr>
              <w:br/>
              <w:t>(</w:t>
            </w:r>
            <w:r w:rsidR="009535AF" w:rsidRPr="009A3340">
              <w:rPr>
                <w:rFonts w:ascii="Times New Roman" w:hAnsi="Times New Roman"/>
                <w:b/>
                <w:sz w:val="24"/>
                <w:szCs w:val="24"/>
                <w:lang w:val="en-IE"/>
              </w:rPr>
              <w:t>exploratory opinion requested by the Cyprus Presidency of the Council of the EU</w:t>
            </w:r>
            <w:r w:rsidR="00554137" w:rsidRPr="009A3340">
              <w:rPr>
                <w:rFonts w:ascii="Times New Roman" w:hAnsi="Times New Roman"/>
                <w:b/>
                <w:sz w:val="24"/>
                <w:szCs w:val="24"/>
                <w:lang w:val="en-IE"/>
              </w:rPr>
              <w:t>)</w:t>
            </w:r>
            <w:r w:rsidR="00554137" w:rsidRPr="009A3340">
              <w:rPr>
                <w:rFonts w:ascii="Times New Roman" w:hAnsi="Times New Roman"/>
                <w:b/>
                <w:sz w:val="24"/>
                <w:szCs w:val="24"/>
                <w:lang w:val="en-IE"/>
              </w:rPr>
              <w:br/>
            </w:r>
            <w:r w:rsidRPr="009A3340">
              <w:rPr>
                <w:rFonts w:ascii="Times New Roman" w:hAnsi="Times New Roman"/>
                <w:b/>
                <w:sz w:val="24"/>
                <w:szCs w:val="24"/>
                <w:lang w:val="en-IE"/>
              </w:rPr>
              <w:t>EESC-2025-03598</w:t>
            </w:r>
            <w:r w:rsidR="00307D00">
              <w:rPr>
                <w:rFonts w:ascii="Times New Roman" w:hAnsi="Times New Roman"/>
                <w:b/>
                <w:sz w:val="24"/>
                <w:szCs w:val="24"/>
                <w:lang w:val="en-IE"/>
              </w:rPr>
              <w:t xml:space="preserve"> </w:t>
            </w:r>
            <w:r w:rsidR="00554137" w:rsidRPr="009A3340">
              <w:rPr>
                <w:rFonts w:ascii="Times New Roman" w:hAnsi="Times New Roman"/>
                <w:b/>
                <w:sz w:val="24"/>
                <w:szCs w:val="24"/>
                <w:lang w:val="en-IE"/>
              </w:rPr>
              <w:t>‒ ECO/6</w:t>
            </w:r>
            <w:r w:rsidRPr="009A3340">
              <w:rPr>
                <w:rFonts w:ascii="Times New Roman" w:hAnsi="Times New Roman"/>
                <w:b/>
                <w:sz w:val="24"/>
                <w:szCs w:val="24"/>
                <w:lang w:val="en-IE"/>
              </w:rPr>
              <w:t>89</w:t>
            </w:r>
            <w:r w:rsidR="00554137" w:rsidRPr="009A3340">
              <w:rPr>
                <w:rFonts w:ascii="Times New Roman" w:hAnsi="Times New Roman"/>
                <w:b/>
                <w:sz w:val="24"/>
                <w:szCs w:val="24"/>
                <w:lang w:val="en-IE"/>
              </w:rPr>
              <w:br/>
            </w:r>
            <w:r w:rsidRPr="009A3340">
              <w:rPr>
                <w:rFonts w:ascii="Times New Roman" w:hAnsi="Times New Roman"/>
                <w:b/>
                <w:sz w:val="24"/>
                <w:szCs w:val="24"/>
                <w:lang w:val="en-IE"/>
              </w:rPr>
              <w:t>603</w:t>
            </w:r>
            <w:r w:rsidRPr="001A5725">
              <w:rPr>
                <w:rFonts w:ascii="Times New Roman" w:hAnsi="Times New Roman"/>
                <w:b/>
                <w:sz w:val="24"/>
                <w:szCs w:val="24"/>
                <w:vertAlign w:val="superscript"/>
                <w:lang w:val="en-IE"/>
              </w:rPr>
              <w:t>rd</w:t>
            </w:r>
            <w:r w:rsidR="00554137" w:rsidRPr="009A3340">
              <w:rPr>
                <w:rFonts w:ascii="Times New Roman" w:hAnsi="Times New Roman"/>
                <w:b/>
                <w:sz w:val="24"/>
                <w:szCs w:val="24"/>
                <w:lang w:val="en-IE"/>
              </w:rPr>
              <w:t xml:space="preserve"> Plenary Session – </w:t>
            </w:r>
            <w:r w:rsidRPr="009A3340">
              <w:rPr>
                <w:rFonts w:ascii="Times New Roman" w:hAnsi="Times New Roman"/>
                <w:b/>
                <w:sz w:val="24"/>
                <w:szCs w:val="24"/>
                <w:lang w:val="en-IE"/>
              </w:rPr>
              <w:t>February 2026</w:t>
            </w:r>
            <w:r w:rsidR="00554137" w:rsidRPr="009A3340">
              <w:rPr>
                <w:rFonts w:ascii="Times New Roman" w:hAnsi="Times New Roman"/>
                <w:b/>
                <w:sz w:val="24"/>
                <w:szCs w:val="24"/>
                <w:lang w:val="en-IE"/>
              </w:rPr>
              <w:br/>
              <w:t xml:space="preserve">Rapporteur: </w:t>
            </w:r>
            <w:r w:rsidRPr="009A3340">
              <w:rPr>
                <w:rFonts w:ascii="Times New Roman" w:hAnsi="Times New Roman"/>
                <w:b/>
                <w:sz w:val="24"/>
                <w:szCs w:val="24"/>
                <w:lang w:val="en-IE"/>
              </w:rPr>
              <w:t>Ioannis VARDAKASTANIS</w:t>
            </w:r>
            <w:r w:rsidR="008B41EA" w:rsidRPr="009A3340">
              <w:rPr>
                <w:rFonts w:ascii="Times New Roman" w:hAnsi="Times New Roman"/>
                <w:b/>
                <w:sz w:val="24"/>
                <w:szCs w:val="24"/>
                <w:lang w:val="en-IE"/>
              </w:rPr>
              <w:t xml:space="preserve"> (EL-III)</w:t>
            </w:r>
            <w:r w:rsidR="00554137" w:rsidRPr="009A3340">
              <w:rPr>
                <w:rFonts w:ascii="Times New Roman" w:hAnsi="Times New Roman"/>
                <w:b/>
                <w:sz w:val="24"/>
                <w:szCs w:val="24"/>
                <w:lang w:val="en-IE"/>
              </w:rPr>
              <w:br/>
              <w:t xml:space="preserve">DG </w:t>
            </w:r>
            <w:r w:rsidRPr="009A3340">
              <w:rPr>
                <w:rFonts w:ascii="Times New Roman" w:hAnsi="Times New Roman"/>
                <w:b/>
                <w:sz w:val="24"/>
                <w:szCs w:val="24"/>
                <w:lang w:val="en-IE"/>
              </w:rPr>
              <w:t>REGIO</w:t>
            </w:r>
            <w:r w:rsidR="00554137" w:rsidRPr="009A3340">
              <w:rPr>
                <w:rFonts w:ascii="Times New Roman" w:hAnsi="Times New Roman"/>
                <w:b/>
                <w:sz w:val="24"/>
                <w:szCs w:val="24"/>
                <w:lang w:val="en-IE"/>
              </w:rPr>
              <w:t xml:space="preserve"> – </w:t>
            </w:r>
            <w:r w:rsidRPr="009A3340">
              <w:rPr>
                <w:rFonts w:ascii="Times New Roman" w:hAnsi="Times New Roman"/>
                <w:b/>
                <w:sz w:val="24"/>
                <w:szCs w:val="24"/>
                <w:lang w:val="en-IE"/>
              </w:rPr>
              <w:t>Executive Vice-President FITTO</w:t>
            </w:r>
          </w:p>
        </w:tc>
      </w:tr>
      <w:tr w:rsidR="004F6117" w:rsidRPr="009A3340" w14:paraId="041809D9" w14:textId="77777777" w:rsidTr="7D25B866">
        <w:trPr>
          <w:jc w:val="center"/>
        </w:trPr>
        <w:tc>
          <w:tcPr>
            <w:tcW w:w="10318" w:type="dxa"/>
            <w:tcBorders>
              <w:bottom w:val="single" w:sz="6" w:space="0" w:color="auto"/>
            </w:tcBorders>
          </w:tcPr>
          <w:p w14:paraId="52C253DC" w14:textId="6A508979" w:rsidR="004F6117" w:rsidRPr="009A3340" w:rsidRDefault="0049246C" w:rsidP="0049246C">
            <w:pPr>
              <w:spacing w:before="120" w:after="120"/>
              <w:jc w:val="center"/>
              <w:rPr>
                <w:rFonts w:ascii="Times New Roman" w:hAnsi="Times New Roman"/>
                <w:b/>
                <w:sz w:val="24"/>
                <w:szCs w:val="24"/>
                <w:highlight w:val="yellow"/>
                <w:lang w:val="en-IE"/>
              </w:rPr>
            </w:pPr>
            <w:r w:rsidRPr="009A3340">
              <w:rPr>
                <w:rFonts w:ascii="Times New Roman" w:hAnsi="Times New Roman"/>
                <w:b/>
                <w:sz w:val="24"/>
                <w:szCs w:val="24"/>
                <w:lang w:val="en-IE"/>
              </w:rPr>
              <w:t>European Commission position on points</w:t>
            </w:r>
            <w:r w:rsidRPr="009A3340">
              <w:rPr>
                <w:rFonts w:ascii="Times New Roman" w:hAnsi="Times New Roman"/>
                <w:b/>
                <w:sz w:val="24"/>
                <w:szCs w:val="24"/>
                <w:lang w:val="en-IE"/>
              </w:rPr>
              <w:br/>
              <w:t xml:space="preserve">of the European Economic and Social Committee </w:t>
            </w:r>
            <w:r w:rsidR="00554137" w:rsidRPr="009A3340">
              <w:rPr>
                <w:rFonts w:ascii="Times New Roman" w:hAnsi="Times New Roman"/>
                <w:b/>
                <w:sz w:val="24"/>
                <w:szCs w:val="24"/>
                <w:lang w:val="en-IE"/>
              </w:rPr>
              <w:t xml:space="preserve">(EESC) </w:t>
            </w:r>
            <w:r w:rsidRPr="009A3340">
              <w:rPr>
                <w:rFonts w:ascii="Times New Roman" w:hAnsi="Times New Roman"/>
                <w:b/>
                <w:sz w:val="24"/>
                <w:szCs w:val="24"/>
                <w:lang w:val="en-IE"/>
              </w:rPr>
              <w:t>opinion</w:t>
            </w:r>
            <w:r w:rsidR="00E83C12" w:rsidRPr="009A3340">
              <w:rPr>
                <w:rFonts w:ascii="Times New Roman" w:hAnsi="Times New Roman"/>
                <w:b/>
                <w:sz w:val="24"/>
                <w:szCs w:val="24"/>
                <w:lang w:val="en-IE"/>
              </w:rPr>
              <w:t xml:space="preserve"> considered as essential</w:t>
            </w:r>
          </w:p>
        </w:tc>
      </w:tr>
      <w:tr w:rsidR="004F6117" w:rsidRPr="009A3340" w14:paraId="461CAB07" w14:textId="77777777" w:rsidTr="7D25B866">
        <w:trPr>
          <w:jc w:val="center"/>
        </w:trPr>
        <w:tc>
          <w:tcPr>
            <w:tcW w:w="10318" w:type="dxa"/>
            <w:tcBorders>
              <w:top w:val="single" w:sz="6" w:space="0" w:color="auto"/>
              <w:bottom w:val="single" w:sz="6" w:space="0" w:color="auto"/>
            </w:tcBorders>
          </w:tcPr>
          <w:p w14:paraId="298E8169" w14:textId="4515CF1D" w:rsidR="00D40CAD" w:rsidRDefault="2433DD21" w:rsidP="00324F19">
            <w:pPr>
              <w:spacing w:before="120" w:after="120"/>
              <w:jc w:val="both"/>
              <w:rPr>
                <w:rFonts w:ascii="Times New Roman" w:hAnsi="Times New Roman"/>
                <w:sz w:val="24"/>
                <w:szCs w:val="24"/>
                <w:lang w:val="en-IE"/>
              </w:rPr>
            </w:pPr>
            <w:r w:rsidRPr="001628F4">
              <w:rPr>
                <w:rFonts w:ascii="Times New Roman" w:hAnsi="Times New Roman"/>
                <w:sz w:val="24"/>
                <w:szCs w:val="24"/>
                <w:lang w:val="en-IE"/>
              </w:rPr>
              <w:t>The Commission welcomes the Committee’s opinion on the Island Dimension in European Cohesion, Competitiveness and Sustainable Development Policies.</w:t>
            </w:r>
            <w:r w:rsidR="5046DB42" w:rsidRPr="001628F4">
              <w:rPr>
                <w:rFonts w:ascii="Times New Roman" w:hAnsi="Times New Roman"/>
                <w:sz w:val="24"/>
                <w:szCs w:val="24"/>
                <w:lang w:val="en-IE"/>
              </w:rPr>
              <w:t xml:space="preserve"> </w:t>
            </w:r>
            <w:proofErr w:type="gramStart"/>
            <w:r w:rsidR="00606B2A" w:rsidRPr="00606B2A">
              <w:rPr>
                <w:rFonts w:ascii="Times New Roman" w:hAnsi="Times New Roman"/>
                <w:sz w:val="24"/>
                <w:szCs w:val="24"/>
                <w:lang w:val="en-IE"/>
              </w:rPr>
              <w:t>In light of</w:t>
            </w:r>
            <w:proofErr w:type="gramEnd"/>
            <w:r w:rsidR="001628F4">
              <w:rPr>
                <w:rFonts w:ascii="Times New Roman" w:hAnsi="Times New Roman"/>
                <w:sz w:val="24"/>
                <w:szCs w:val="24"/>
                <w:lang w:val="en-IE"/>
              </w:rPr>
              <w:t xml:space="preserve"> the </w:t>
            </w:r>
            <w:r w:rsidR="009B5984" w:rsidRPr="00606B2A">
              <w:rPr>
                <w:rFonts w:ascii="Times New Roman" w:hAnsi="Times New Roman"/>
                <w:sz w:val="24"/>
                <w:szCs w:val="24"/>
                <w:lang w:val="en-IE"/>
              </w:rPr>
              <w:t>Commission’s political guidelines for 2024–2029</w:t>
            </w:r>
            <w:r w:rsidR="001628F4">
              <w:rPr>
                <w:rStyle w:val="FootnoteReference"/>
                <w:rFonts w:ascii="Times New Roman" w:hAnsi="Times New Roman"/>
                <w:sz w:val="24"/>
                <w:szCs w:val="24"/>
                <w:lang w:val="en-IE"/>
              </w:rPr>
              <w:footnoteReference w:id="1"/>
            </w:r>
            <w:r w:rsidR="009B5984" w:rsidRPr="00606B2A">
              <w:rPr>
                <w:rFonts w:ascii="Times New Roman" w:hAnsi="Times New Roman"/>
                <w:sz w:val="24"/>
                <w:szCs w:val="24"/>
                <w:lang w:val="en-IE"/>
              </w:rPr>
              <w:t>, the mission letter</w:t>
            </w:r>
            <w:r w:rsidR="001628F4">
              <w:rPr>
                <w:rStyle w:val="FootnoteReference"/>
                <w:rFonts w:ascii="Times New Roman" w:hAnsi="Times New Roman"/>
                <w:sz w:val="24"/>
                <w:szCs w:val="24"/>
                <w:lang w:val="en-IE"/>
              </w:rPr>
              <w:footnoteReference w:id="2"/>
            </w:r>
            <w:r w:rsidR="009B5984" w:rsidRPr="00606B2A">
              <w:rPr>
                <w:rFonts w:ascii="Times New Roman" w:hAnsi="Times New Roman"/>
                <w:sz w:val="24"/>
                <w:szCs w:val="24"/>
                <w:lang w:val="en-IE"/>
              </w:rPr>
              <w:t xml:space="preserve"> </w:t>
            </w:r>
            <w:r w:rsidR="00E71190" w:rsidRPr="00606B2A">
              <w:rPr>
                <w:rFonts w:ascii="Times New Roman" w:hAnsi="Times New Roman"/>
                <w:sz w:val="24"/>
                <w:szCs w:val="24"/>
                <w:lang w:val="en-IE"/>
              </w:rPr>
              <w:t>of Executive</w:t>
            </w:r>
            <w:r w:rsidR="009B5984" w:rsidRPr="00606B2A">
              <w:rPr>
                <w:rFonts w:ascii="Times New Roman" w:hAnsi="Times New Roman"/>
                <w:sz w:val="24"/>
                <w:szCs w:val="24"/>
                <w:lang w:val="en-IE"/>
              </w:rPr>
              <w:t xml:space="preserve"> Vice-President</w:t>
            </w:r>
            <w:r w:rsidR="31387AA6">
              <w:rPr>
                <w:rFonts w:ascii="Times New Roman" w:hAnsi="Times New Roman"/>
                <w:sz w:val="24"/>
                <w:szCs w:val="24"/>
                <w:lang w:val="en-IE"/>
              </w:rPr>
              <w:t xml:space="preserve"> </w:t>
            </w:r>
            <w:proofErr w:type="spellStart"/>
            <w:r w:rsidR="31387AA6">
              <w:rPr>
                <w:rFonts w:ascii="Times New Roman" w:hAnsi="Times New Roman"/>
                <w:sz w:val="24"/>
                <w:szCs w:val="24"/>
                <w:lang w:val="en-IE"/>
              </w:rPr>
              <w:t>Fitto</w:t>
            </w:r>
            <w:proofErr w:type="spellEnd"/>
            <w:r w:rsidR="009B5984" w:rsidRPr="00606B2A">
              <w:rPr>
                <w:rFonts w:ascii="Times New Roman" w:hAnsi="Times New Roman"/>
                <w:sz w:val="24"/>
                <w:szCs w:val="24"/>
                <w:lang w:val="en-IE"/>
              </w:rPr>
              <w:t>, a</w:t>
            </w:r>
            <w:r w:rsidR="00606B2A">
              <w:rPr>
                <w:rFonts w:ascii="Times New Roman" w:hAnsi="Times New Roman"/>
                <w:sz w:val="24"/>
                <w:szCs w:val="24"/>
                <w:lang w:val="en-IE"/>
              </w:rPr>
              <w:t>s well as</w:t>
            </w:r>
            <w:r w:rsidR="009B5984" w:rsidRPr="00606B2A">
              <w:rPr>
                <w:rFonts w:ascii="Times New Roman" w:hAnsi="Times New Roman"/>
                <w:sz w:val="24"/>
                <w:szCs w:val="24"/>
                <w:lang w:val="en-IE"/>
              </w:rPr>
              <w:t xml:space="preserve"> the</w:t>
            </w:r>
            <w:r w:rsidR="00CC76CF">
              <w:rPr>
                <w:rFonts w:ascii="Times New Roman" w:hAnsi="Times New Roman"/>
                <w:sz w:val="24"/>
                <w:szCs w:val="24"/>
                <w:lang w:val="en-IE"/>
              </w:rPr>
              <w:t> </w:t>
            </w:r>
            <w:r w:rsidR="009B5984" w:rsidRPr="00606B2A">
              <w:rPr>
                <w:rFonts w:ascii="Times New Roman" w:hAnsi="Times New Roman"/>
                <w:sz w:val="24"/>
                <w:szCs w:val="24"/>
                <w:lang w:val="en-IE"/>
              </w:rPr>
              <w:t xml:space="preserve">commitment made during the </w:t>
            </w:r>
            <w:r w:rsidR="00606B2A">
              <w:rPr>
                <w:rFonts w:ascii="Times New Roman" w:hAnsi="Times New Roman"/>
                <w:sz w:val="24"/>
                <w:szCs w:val="24"/>
                <w:lang w:val="en-IE"/>
              </w:rPr>
              <w:t xml:space="preserve">2025 </w:t>
            </w:r>
            <w:r w:rsidR="009B5984" w:rsidRPr="00606B2A">
              <w:rPr>
                <w:rFonts w:ascii="Times New Roman" w:hAnsi="Times New Roman"/>
                <w:sz w:val="24"/>
                <w:szCs w:val="24"/>
                <w:lang w:val="en-IE"/>
              </w:rPr>
              <w:t>cohesion policy mid-term review to launch consultations on the</w:t>
            </w:r>
            <w:r w:rsidR="00CC76CF">
              <w:rPr>
                <w:rFonts w:ascii="Times New Roman" w:hAnsi="Times New Roman"/>
                <w:sz w:val="24"/>
                <w:szCs w:val="24"/>
                <w:lang w:val="en-IE"/>
              </w:rPr>
              <w:t> </w:t>
            </w:r>
            <w:r w:rsidR="009B5984" w:rsidRPr="00606B2A">
              <w:rPr>
                <w:rFonts w:ascii="Times New Roman" w:hAnsi="Times New Roman"/>
                <w:sz w:val="24"/>
                <w:szCs w:val="24"/>
                <w:lang w:val="en-IE"/>
              </w:rPr>
              <w:t xml:space="preserve">development of an EU strategy for islands, the Commission is </w:t>
            </w:r>
            <w:r w:rsidR="00606B2A">
              <w:rPr>
                <w:rFonts w:ascii="Times New Roman" w:hAnsi="Times New Roman"/>
                <w:sz w:val="24"/>
                <w:szCs w:val="24"/>
                <w:lang w:val="en-IE"/>
              </w:rPr>
              <w:t xml:space="preserve">in the process of </w:t>
            </w:r>
            <w:r w:rsidR="009B5984" w:rsidRPr="00606B2A">
              <w:rPr>
                <w:rFonts w:ascii="Times New Roman" w:hAnsi="Times New Roman"/>
                <w:sz w:val="24"/>
                <w:szCs w:val="24"/>
                <w:lang w:val="en-IE"/>
              </w:rPr>
              <w:t>preparing th</w:t>
            </w:r>
            <w:r w:rsidR="00606B2A" w:rsidRPr="00606B2A">
              <w:rPr>
                <w:rFonts w:ascii="Times New Roman" w:hAnsi="Times New Roman"/>
                <w:sz w:val="24"/>
                <w:szCs w:val="24"/>
                <w:lang w:val="en-IE"/>
              </w:rPr>
              <w:t>is</w:t>
            </w:r>
            <w:r w:rsidR="009B5984">
              <w:rPr>
                <w:rFonts w:ascii="Times New Roman" w:hAnsi="Times New Roman"/>
                <w:sz w:val="24"/>
                <w:szCs w:val="24"/>
                <w:lang w:val="en-IE"/>
              </w:rPr>
              <w:t xml:space="preserve"> strategy. </w:t>
            </w:r>
            <w:r w:rsidR="00D40CAD" w:rsidRPr="00606B2A">
              <w:rPr>
                <w:rFonts w:ascii="Times New Roman" w:hAnsi="Times New Roman"/>
                <w:sz w:val="24"/>
                <w:szCs w:val="24"/>
                <w:lang w:val="en-IE"/>
              </w:rPr>
              <w:t>The EU strategy for islands</w:t>
            </w:r>
            <w:r w:rsidR="00606B2A" w:rsidRPr="0045066F">
              <w:rPr>
                <w:rFonts w:ascii="Times New Roman" w:hAnsi="Times New Roman"/>
                <w:sz w:val="24"/>
                <w:szCs w:val="24"/>
                <w:lang w:val="en-IE"/>
              </w:rPr>
              <w:t xml:space="preserve"> will include</w:t>
            </w:r>
            <w:r w:rsidR="00D40CAD" w:rsidRPr="009A3340">
              <w:rPr>
                <w:rFonts w:ascii="Times New Roman" w:hAnsi="Times New Roman"/>
                <w:sz w:val="24"/>
                <w:szCs w:val="24"/>
                <w:lang w:val="en-IE"/>
              </w:rPr>
              <w:t>, among</w:t>
            </w:r>
            <w:r w:rsidR="00D40CAD">
              <w:rPr>
                <w:rFonts w:ascii="Times New Roman" w:hAnsi="Times New Roman"/>
                <w:sz w:val="24"/>
                <w:szCs w:val="24"/>
                <w:lang w:val="en-IE"/>
              </w:rPr>
              <w:t xml:space="preserve"> other elements, actions and recommendations at both EU and</w:t>
            </w:r>
            <w:r w:rsidR="00D40CAD" w:rsidRPr="009A3340">
              <w:rPr>
                <w:rFonts w:ascii="Times New Roman" w:hAnsi="Times New Roman"/>
                <w:sz w:val="24"/>
                <w:szCs w:val="24"/>
                <w:lang w:val="en-IE"/>
              </w:rPr>
              <w:t xml:space="preserve"> national levels to </w:t>
            </w:r>
            <w:r w:rsidR="00606B2A" w:rsidRPr="0099D9C7">
              <w:rPr>
                <w:rFonts w:ascii="Times New Roman" w:hAnsi="Times New Roman"/>
                <w:sz w:val="24"/>
                <w:szCs w:val="24"/>
                <w:lang w:val="en-IE"/>
              </w:rPr>
              <w:t xml:space="preserve">enhance </w:t>
            </w:r>
            <w:r w:rsidR="00D40CAD" w:rsidRPr="0099D9C7">
              <w:rPr>
                <w:rFonts w:ascii="Times New Roman" w:hAnsi="Times New Roman"/>
                <w:sz w:val="24"/>
                <w:szCs w:val="24"/>
                <w:lang w:val="en-IE"/>
              </w:rPr>
              <w:t>the coordination, complementarity, and targeting of policies and funding instruments for islands.</w:t>
            </w:r>
          </w:p>
          <w:p w14:paraId="2FF3D20B" w14:textId="68DE04E0" w:rsidR="001B6B34" w:rsidRDefault="0068287E" w:rsidP="00324F19">
            <w:pPr>
              <w:spacing w:before="120" w:after="120"/>
              <w:jc w:val="both"/>
              <w:rPr>
                <w:rFonts w:ascii="Times New Roman" w:hAnsi="Times New Roman"/>
                <w:sz w:val="24"/>
                <w:szCs w:val="24"/>
              </w:rPr>
            </w:pPr>
            <w:bookmarkStart w:id="0" w:name="_Hlk225350213"/>
            <w:r w:rsidRPr="0068287E">
              <w:rPr>
                <w:rFonts w:ascii="Times New Roman" w:hAnsi="Times New Roman"/>
                <w:sz w:val="24"/>
                <w:szCs w:val="24"/>
                <w:lang w:val="en-IE"/>
              </w:rPr>
              <w:t>The Commission takes note of the EESC’s references to the vulnerability of islands and to the need for climate adaptation and sustainable water management to enhance resilience and prevent water scarcity.</w:t>
            </w:r>
            <w:r w:rsidR="001B6B34">
              <w:rPr>
                <w:rFonts w:ascii="Times New Roman" w:hAnsi="Times New Roman"/>
                <w:sz w:val="24"/>
                <w:szCs w:val="24"/>
                <w:lang w:val="en-IE"/>
              </w:rPr>
              <w:t xml:space="preserve"> </w:t>
            </w:r>
            <w:r w:rsidR="00454D2E">
              <w:rPr>
                <w:rFonts w:ascii="Times New Roman" w:hAnsi="Times New Roman"/>
                <w:sz w:val="24"/>
                <w:szCs w:val="24"/>
                <w:lang w:val="en-IE"/>
              </w:rPr>
              <w:t xml:space="preserve">The </w:t>
            </w:r>
            <w:r w:rsidR="00454D2E" w:rsidRPr="0034784B">
              <w:rPr>
                <w:rFonts w:ascii="Times New Roman" w:hAnsi="Times New Roman"/>
                <w:sz w:val="24"/>
                <w:szCs w:val="24"/>
                <w:lang w:val="en-IE"/>
              </w:rPr>
              <w:t>Water Resilience Strategy</w:t>
            </w:r>
            <w:r>
              <w:rPr>
                <w:rStyle w:val="FootnoteReference"/>
                <w:rFonts w:ascii="Times New Roman" w:hAnsi="Times New Roman"/>
                <w:sz w:val="24"/>
                <w:szCs w:val="24"/>
                <w:lang w:val="en-IE"/>
              </w:rPr>
              <w:footnoteReference w:id="3"/>
            </w:r>
            <w:r w:rsidR="00454D2E" w:rsidRPr="0034784B">
              <w:rPr>
                <w:rFonts w:ascii="Times New Roman" w:hAnsi="Times New Roman"/>
                <w:sz w:val="24"/>
                <w:szCs w:val="24"/>
                <w:lang w:val="en-IE"/>
              </w:rPr>
              <w:t xml:space="preserve"> </w:t>
            </w:r>
            <w:r w:rsidR="001B6B34">
              <w:rPr>
                <w:rFonts w:ascii="Times New Roman" w:hAnsi="Times New Roman"/>
                <w:sz w:val="24"/>
                <w:szCs w:val="24"/>
                <w:lang w:val="en-IE"/>
              </w:rPr>
              <w:t xml:space="preserve">addresses </w:t>
            </w:r>
            <w:r w:rsidR="00454D2E">
              <w:rPr>
                <w:rFonts w:ascii="Times New Roman" w:hAnsi="Times New Roman"/>
                <w:sz w:val="24"/>
                <w:szCs w:val="24"/>
                <w:lang w:val="en-IE"/>
              </w:rPr>
              <w:t>these challenges</w:t>
            </w:r>
            <w:r w:rsidR="001B6B34">
              <w:rPr>
                <w:rFonts w:ascii="Times New Roman" w:hAnsi="Times New Roman"/>
                <w:sz w:val="24"/>
                <w:szCs w:val="24"/>
                <w:lang w:val="en-IE"/>
              </w:rPr>
              <w:t xml:space="preserve"> by</w:t>
            </w:r>
            <w:r w:rsidR="00454D2E">
              <w:rPr>
                <w:rFonts w:ascii="Times New Roman" w:hAnsi="Times New Roman"/>
                <w:sz w:val="24"/>
                <w:szCs w:val="24"/>
                <w:lang w:val="en-IE"/>
              </w:rPr>
              <w:t xml:space="preserve"> aiming to </w:t>
            </w:r>
            <w:r w:rsidR="00454D2E" w:rsidRPr="0034784B">
              <w:rPr>
                <w:rFonts w:ascii="Times New Roman" w:hAnsi="Times New Roman"/>
                <w:sz w:val="24"/>
                <w:szCs w:val="24"/>
                <w:lang w:val="en-IE"/>
              </w:rPr>
              <w:t>restor</w:t>
            </w:r>
            <w:r w:rsidR="00454D2E">
              <w:rPr>
                <w:rFonts w:ascii="Times New Roman" w:hAnsi="Times New Roman"/>
                <w:sz w:val="24"/>
                <w:szCs w:val="24"/>
                <w:lang w:val="en-IE"/>
              </w:rPr>
              <w:t>e</w:t>
            </w:r>
            <w:r w:rsidR="00454D2E" w:rsidRPr="0034784B">
              <w:rPr>
                <w:rFonts w:ascii="Times New Roman" w:hAnsi="Times New Roman"/>
                <w:sz w:val="24"/>
                <w:szCs w:val="24"/>
                <w:lang w:val="en-IE"/>
              </w:rPr>
              <w:t xml:space="preserve"> and protect the water cycle </w:t>
            </w:r>
            <w:r w:rsidR="001B6B34">
              <w:rPr>
                <w:rFonts w:ascii="Times New Roman" w:hAnsi="Times New Roman"/>
                <w:sz w:val="24"/>
                <w:szCs w:val="24"/>
                <w:lang w:val="en-IE"/>
              </w:rPr>
              <w:t xml:space="preserve">for sustainable </w:t>
            </w:r>
            <w:r w:rsidR="00454D2E" w:rsidRPr="0034784B">
              <w:rPr>
                <w:rFonts w:ascii="Times New Roman" w:hAnsi="Times New Roman"/>
                <w:sz w:val="24"/>
                <w:szCs w:val="24"/>
                <w:lang w:val="en-IE"/>
              </w:rPr>
              <w:t>water supply</w:t>
            </w:r>
            <w:r w:rsidR="00454D2E">
              <w:rPr>
                <w:rFonts w:ascii="Times New Roman" w:hAnsi="Times New Roman"/>
                <w:sz w:val="24"/>
                <w:szCs w:val="24"/>
                <w:lang w:val="en-IE"/>
              </w:rPr>
              <w:t xml:space="preserve">. </w:t>
            </w:r>
            <w:bookmarkEnd w:id="0"/>
            <w:r w:rsidR="001B6B34" w:rsidRPr="001B6B34">
              <w:rPr>
                <w:rFonts w:ascii="Times New Roman" w:hAnsi="Times New Roman"/>
                <w:sz w:val="24"/>
                <w:szCs w:val="24"/>
              </w:rPr>
              <w:t>It prioritises nature-based solutions for water retention to replenish groundwater and enhance adaptation to droughts and floods, while also tackling pollution of aquatic ecosystems and drinking water sources. To address water scarcity, the strategy promotes reduced demand, improved efficiency, and water reuse, with many actions already planned or under implementation.</w:t>
            </w:r>
          </w:p>
          <w:p w14:paraId="6D35B89D" w14:textId="0B052710" w:rsidR="00606B2A" w:rsidRPr="00606B2A" w:rsidRDefault="0008143E" w:rsidP="00324F19">
            <w:pPr>
              <w:spacing w:before="120" w:after="120"/>
              <w:jc w:val="both"/>
              <w:rPr>
                <w:rFonts w:ascii="Times New Roman" w:hAnsi="Times New Roman"/>
                <w:sz w:val="24"/>
                <w:szCs w:val="24"/>
                <w:lang w:val="en-IE"/>
              </w:rPr>
            </w:pPr>
            <w:r w:rsidRPr="71807CC1">
              <w:rPr>
                <w:rFonts w:ascii="Times New Roman" w:hAnsi="Times New Roman"/>
                <w:sz w:val="24"/>
                <w:szCs w:val="24"/>
                <w:u w:val="single"/>
                <w:lang w:val="en-IE"/>
              </w:rPr>
              <w:t>On point 1.9</w:t>
            </w:r>
            <w:r w:rsidR="52B7798A" w:rsidRPr="71807CC1">
              <w:rPr>
                <w:rFonts w:ascii="Times New Roman" w:hAnsi="Times New Roman"/>
                <w:sz w:val="24"/>
                <w:szCs w:val="24"/>
                <w:lang w:val="en-IE"/>
              </w:rPr>
              <w:t xml:space="preserve">, </w:t>
            </w:r>
            <w:r w:rsidR="3E0B9740" w:rsidRPr="0099D9C7">
              <w:rPr>
                <w:rFonts w:ascii="Times New Roman" w:hAnsi="Times New Roman"/>
                <w:sz w:val="24"/>
                <w:szCs w:val="24"/>
                <w:lang w:val="en-IE"/>
              </w:rPr>
              <w:t>t</w:t>
            </w:r>
            <w:r w:rsidR="00C25919" w:rsidRPr="0099D9C7">
              <w:rPr>
                <w:rFonts w:ascii="Times New Roman" w:hAnsi="Times New Roman"/>
                <w:sz w:val="24"/>
                <w:szCs w:val="24"/>
                <w:lang w:val="en-IE"/>
              </w:rPr>
              <w:t>he Commission reco</w:t>
            </w:r>
            <w:r w:rsidR="004964D0" w:rsidRPr="0099D9C7">
              <w:rPr>
                <w:rFonts w:ascii="Times New Roman" w:hAnsi="Times New Roman"/>
                <w:sz w:val="24"/>
                <w:szCs w:val="24"/>
                <w:lang w:val="en-IE"/>
              </w:rPr>
              <w:t xml:space="preserve">gnises </w:t>
            </w:r>
            <w:r w:rsidR="001B6B34">
              <w:rPr>
                <w:rFonts w:ascii="Times New Roman" w:hAnsi="Times New Roman"/>
                <w:sz w:val="24"/>
                <w:szCs w:val="24"/>
                <w:lang w:val="en-IE"/>
              </w:rPr>
              <w:t xml:space="preserve">the </w:t>
            </w:r>
            <w:r w:rsidR="004964D0" w:rsidRPr="0099D9C7">
              <w:rPr>
                <w:rFonts w:ascii="Times New Roman" w:hAnsi="Times New Roman"/>
                <w:sz w:val="24"/>
                <w:szCs w:val="24"/>
                <w:lang w:val="en-IE"/>
              </w:rPr>
              <w:t xml:space="preserve">importance of </w:t>
            </w:r>
            <w:r w:rsidR="00CB40A4" w:rsidRPr="0099D9C7">
              <w:rPr>
                <w:rFonts w:ascii="Times New Roman" w:hAnsi="Times New Roman"/>
                <w:sz w:val="24"/>
                <w:szCs w:val="24"/>
                <w:lang w:val="en-IE"/>
              </w:rPr>
              <w:t>monitoring i</w:t>
            </w:r>
            <w:r w:rsidR="7AE819EB" w:rsidRPr="0099D9C7">
              <w:rPr>
                <w:rFonts w:ascii="Times New Roman" w:hAnsi="Times New Roman"/>
                <w:sz w:val="24"/>
                <w:szCs w:val="24"/>
                <w:lang w:val="en-IE"/>
              </w:rPr>
              <w:t>mplementation of</w:t>
            </w:r>
            <w:r w:rsidR="00CB40A4" w:rsidRPr="0099D9C7">
              <w:rPr>
                <w:rFonts w:ascii="Times New Roman" w:hAnsi="Times New Roman"/>
                <w:sz w:val="24"/>
                <w:szCs w:val="24"/>
                <w:lang w:val="en-IE"/>
              </w:rPr>
              <w:t xml:space="preserve"> </w:t>
            </w:r>
            <w:r w:rsidR="00915B3D" w:rsidRPr="0099D9C7">
              <w:rPr>
                <w:rFonts w:ascii="Times New Roman" w:hAnsi="Times New Roman"/>
                <w:sz w:val="24"/>
                <w:szCs w:val="24"/>
                <w:lang w:val="en-IE"/>
              </w:rPr>
              <w:t xml:space="preserve">policies. </w:t>
            </w:r>
            <w:r w:rsidR="00606B2A" w:rsidRPr="0099D9C7">
              <w:rPr>
                <w:rFonts w:ascii="Times New Roman" w:hAnsi="Times New Roman"/>
                <w:sz w:val="24"/>
                <w:szCs w:val="24"/>
                <w:lang w:val="en-IE"/>
              </w:rPr>
              <w:t>Within the European Ocean Pact</w:t>
            </w:r>
            <w:r w:rsidR="008E1A74">
              <w:rPr>
                <w:rStyle w:val="FootnoteReference"/>
                <w:rFonts w:ascii="Times New Roman" w:hAnsi="Times New Roman"/>
                <w:sz w:val="24"/>
                <w:szCs w:val="24"/>
                <w:lang w:val="en-IE"/>
              </w:rPr>
              <w:footnoteReference w:id="4"/>
            </w:r>
            <w:r w:rsidR="00606B2A" w:rsidRPr="0099D9C7">
              <w:rPr>
                <w:rFonts w:ascii="Times New Roman" w:hAnsi="Times New Roman"/>
                <w:sz w:val="24"/>
                <w:szCs w:val="24"/>
                <w:lang w:val="en-IE"/>
              </w:rPr>
              <w:t>, a</w:t>
            </w:r>
            <w:r w:rsidR="000C2894">
              <w:rPr>
                <w:rFonts w:ascii="Times New Roman" w:hAnsi="Times New Roman"/>
                <w:sz w:val="24"/>
                <w:szCs w:val="24"/>
                <w:lang w:val="en-IE"/>
              </w:rPr>
              <w:t>n</w:t>
            </w:r>
            <w:r w:rsidR="00606B2A" w:rsidRPr="0099D9C7">
              <w:rPr>
                <w:rFonts w:ascii="Times New Roman" w:hAnsi="Times New Roman"/>
                <w:sz w:val="24"/>
                <w:szCs w:val="24"/>
                <w:lang w:val="en-IE"/>
              </w:rPr>
              <w:t xml:space="preserve"> </w:t>
            </w:r>
            <w:proofErr w:type="spellStart"/>
            <w:r w:rsidR="008E1A74">
              <w:rPr>
                <w:rFonts w:ascii="Times New Roman" w:hAnsi="Times New Roman"/>
                <w:sz w:val="24"/>
                <w:szCs w:val="24"/>
                <w:lang w:val="en-IE"/>
              </w:rPr>
              <w:t>ʻ</w:t>
            </w:r>
            <w:r w:rsidR="00606B2A" w:rsidRPr="0099D9C7">
              <w:rPr>
                <w:rFonts w:ascii="Times New Roman" w:hAnsi="Times New Roman"/>
                <w:sz w:val="24"/>
                <w:szCs w:val="24"/>
                <w:lang w:val="en-IE"/>
              </w:rPr>
              <w:t>EU</w:t>
            </w:r>
            <w:proofErr w:type="spellEnd"/>
            <w:r w:rsidR="00606B2A" w:rsidRPr="0099D9C7">
              <w:rPr>
                <w:rFonts w:ascii="Times New Roman" w:hAnsi="Times New Roman"/>
                <w:sz w:val="24"/>
                <w:szCs w:val="24"/>
                <w:lang w:val="en-IE"/>
              </w:rPr>
              <w:t xml:space="preserve"> Ocean Pact </w:t>
            </w:r>
            <w:r w:rsidR="00075394">
              <w:rPr>
                <w:rFonts w:ascii="Times New Roman" w:hAnsi="Times New Roman"/>
                <w:sz w:val="24"/>
                <w:szCs w:val="24"/>
                <w:lang w:val="en-IE"/>
              </w:rPr>
              <w:t>D</w:t>
            </w:r>
            <w:r w:rsidR="00606B2A" w:rsidRPr="0099D9C7">
              <w:rPr>
                <w:rFonts w:ascii="Times New Roman" w:hAnsi="Times New Roman"/>
                <w:sz w:val="24"/>
                <w:szCs w:val="24"/>
                <w:lang w:val="en-IE"/>
              </w:rPr>
              <w:t>ashboard</w:t>
            </w:r>
            <w:r w:rsidR="008E1A74">
              <w:rPr>
                <w:rFonts w:ascii="Times New Roman" w:hAnsi="Times New Roman"/>
                <w:sz w:val="24"/>
                <w:szCs w:val="24"/>
                <w:lang w:val="en-IE"/>
              </w:rPr>
              <w:t>’</w:t>
            </w:r>
            <w:r w:rsidR="00606B2A" w:rsidRPr="0099D9C7">
              <w:rPr>
                <w:rFonts w:ascii="Times New Roman" w:hAnsi="Times New Roman"/>
                <w:sz w:val="24"/>
                <w:szCs w:val="24"/>
                <w:lang w:val="en-IE"/>
              </w:rPr>
              <w:t xml:space="preserve"> will be established to contribute to a</w:t>
            </w:r>
            <w:r w:rsidR="008E1A74">
              <w:rPr>
                <w:rFonts w:ascii="Times New Roman" w:hAnsi="Times New Roman"/>
                <w:sz w:val="24"/>
                <w:szCs w:val="24"/>
                <w:lang w:val="en-IE"/>
              </w:rPr>
              <w:t> </w:t>
            </w:r>
            <w:r w:rsidR="00606B2A" w:rsidRPr="0099D9C7">
              <w:rPr>
                <w:rFonts w:ascii="Times New Roman" w:hAnsi="Times New Roman"/>
                <w:sz w:val="24"/>
                <w:szCs w:val="24"/>
                <w:lang w:val="en-IE"/>
              </w:rPr>
              <w:t xml:space="preserve">regular State of the Ocean Pact Report, ensuring effective monitoring of progress towards the Pact's objectives and fostering coordination within the Commission, with Member States, and other stakeholders. The Dashboard and Report, which will address </w:t>
            </w:r>
            <w:r w:rsidR="006E0657">
              <w:rPr>
                <w:rFonts w:ascii="Times New Roman" w:hAnsi="Times New Roman"/>
                <w:sz w:val="24"/>
                <w:szCs w:val="24"/>
                <w:lang w:val="en-IE"/>
              </w:rPr>
              <w:t xml:space="preserve">content related to </w:t>
            </w:r>
            <w:r w:rsidR="00606B2A" w:rsidRPr="0099D9C7">
              <w:rPr>
                <w:rFonts w:ascii="Times New Roman" w:hAnsi="Times New Roman"/>
                <w:sz w:val="24"/>
                <w:szCs w:val="24"/>
                <w:lang w:val="en-IE"/>
              </w:rPr>
              <w:t>islands,</w:t>
            </w:r>
            <w:r w:rsidR="006E0657">
              <w:rPr>
                <w:rFonts w:ascii="Times New Roman" w:hAnsi="Times New Roman"/>
                <w:sz w:val="24"/>
                <w:szCs w:val="24"/>
                <w:lang w:val="en-IE"/>
              </w:rPr>
              <w:t xml:space="preserve"> coastal communities and Outermost Regions (as one of the six priorities of the Pact),</w:t>
            </w:r>
            <w:r w:rsidR="00606B2A" w:rsidRPr="0099D9C7">
              <w:rPr>
                <w:rFonts w:ascii="Times New Roman" w:hAnsi="Times New Roman"/>
                <w:sz w:val="24"/>
                <w:szCs w:val="24"/>
                <w:lang w:val="en-IE"/>
              </w:rPr>
              <w:t xml:space="preserve"> will provide a framework to evaluate their effectiveness and influence </w:t>
            </w:r>
            <w:r w:rsidR="00075394">
              <w:rPr>
                <w:rFonts w:ascii="Times New Roman" w:hAnsi="Times New Roman"/>
                <w:sz w:val="24"/>
                <w:szCs w:val="24"/>
                <w:lang w:val="en-IE"/>
              </w:rPr>
              <w:t xml:space="preserve">on </w:t>
            </w:r>
            <w:r w:rsidR="00606B2A" w:rsidRPr="0099D9C7">
              <w:rPr>
                <w:rFonts w:ascii="Times New Roman" w:hAnsi="Times New Roman"/>
                <w:sz w:val="24"/>
                <w:szCs w:val="24"/>
                <w:lang w:val="en-IE"/>
              </w:rPr>
              <w:t>policy development. The first Report and the Dashboard</w:t>
            </w:r>
            <w:r w:rsidR="006E0657">
              <w:rPr>
                <w:rFonts w:ascii="Times New Roman" w:hAnsi="Times New Roman"/>
                <w:sz w:val="24"/>
                <w:szCs w:val="24"/>
                <w:lang w:val="en-IE"/>
              </w:rPr>
              <w:t xml:space="preserve"> </w:t>
            </w:r>
            <w:r w:rsidR="00606B2A" w:rsidRPr="0099D9C7">
              <w:rPr>
                <w:rFonts w:ascii="Times New Roman" w:hAnsi="Times New Roman"/>
                <w:sz w:val="24"/>
                <w:szCs w:val="24"/>
                <w:lang w:val="en-IE"/>
              </w:rPr>
              <w:t>are scheduled for publication at the end of 2026,</w:t>
            </w:r>
            <w:r w:rsidR="00F36F5E">
              <w:rPr>
                <w:rFonts w:ascii="Times New Roman" w:hAnsi="Times New Roman"/>
                <w:sz w:val="24"/>
                <w:szCs w:val="24"/>
                <w:lang w:val="en-IE"/>
              </w:rPr>
              <w:t xml:space="preserve"> in addition to</w:t>
            </w:r>
            <w:r w:rsidR="006E0657">
              <w:rPr>
                <w:rFonts w:ascii="Times New Roman" w:hAnsi="Times New Roman"/>
                <w:sz w:val="24"/>
                <w:szCs w:val="24"/>
                <w:lang w:val="en-IE"/>
              </w:rPr>
              <w:t xml:space="preserve"> the Ocean Act,</w:t>
            </w:r>
            <w:r w:rsidR="00606B2A" w:rsidRPr="0099D9C7">
              <w:rPr>
                <w:rFonts w:ascii="Times New Roman" w:hAnsi="Times New Roman"/>
                <w:sz w:val="24"/>
                <w:szCs w:val="24"/>
                <w:lang w:val="en-IE"/>
              </w:rPr>
              <w:t xml:space="preserve"> with key Commission services and relevant stakeholders involved in their development to ensure a cohesive and effective result.</w:t>
            </w:r>
          </w:p>
          <w:p w14:paraId="156E8640" w14:textId="5E47A05F" w:rsidR="00C001F6" w:rsidRPr="00C001F6" w:rsidRDefault="00FF22D0" w:rsidP="00324F19">
            <w:pPr>
              <w:spacing w:before="120" w:after="120"/>
              <w:jc w:val="both"/>
              <w:rPr>
                <w:rFonts w:ascii="Times New Roman" w:eastAsia="Times New Roman" w:hAnsi="Times New Roman"/>
                <w:sz w:val="24"/>
                <w:szCs w:val="24"/>
                <w:lang w:val="en-IE"/>
              </w:rPr>
            </w:pPr>
            <w:r w:rsidRPr="001628F4">
              <w:rPr>
                <w:rFonts w:ascii="Times New Roman" w:eastAsia="Times New Roman" w:hAnsi="Times New Roman"/>
                <w:sz w:val="24"/>
                <w:szCs w:val="24"/>
                <w:u w:val="single"/>
                <w:lang w:val="en-IE"/>
              </w:rPr>
              <w:t>On point 2.3</w:t>
            </w:r>
            <w:r w:rsidR="001628F4" w:rsidRPr="001628F4">
              <w:rPr>
                <w:rFonts w:ascii="Times New Roman" w:eastAsia="Times New Roman" w:hAnsi="Times New Roman"/>
                <w:sz w:val="24"/>
                <w:szCs w:val="24"/>
                <w:lang w:val="en-IE"/>
              </w:rPr>
              <w:t xml:space="preserve">, </w:t>
            </w:r>
            <w:r w:rsidR="0F10E3CE" w:rsidRPr="71807CC1">
              <w:rPr>
                <w:rFonts w:ascii="Times New Roman" w:eastAsia="Times New Roman" w:hAnsi="Times New Roman"/>
                <w:sz w:val="24"/>
                <w:szCs w:val="24"/>
                <w:lang w:val="en-IE"/>
              </w:rPr>
              <w:t>t</w:t>
            </w:r>
            <w:r w:rsidR="00637A64" w:rsidRPr="71807CC1">
              <w:rPr>
                <w:rFonts w:ascii="Times New Roman" w:eastAsia="Times New Roman" w:hAnsi="Times New Roman"/>
                <w:sz w:val="24"/>
                <w:szCs w:val="24"/>
                <w:lang w:val="en-IE"/>
              </w:rPr>
              <w:t xml:space="preserve">he Commission takes note of the </w:t>
            </w:r>
            <w:r w:rsidR="00D4590F">
              <w:rPr>
                <w:rFonts w:ascii="Times New Roman" w:eastAsia="Times New Roman" w:hAnsi="Times New Roman"/>
                <w:sz w:val="24"/>
                <w:szCs w:val="24"/>
                <w:lang w:val="en-IE"/>
              </w:rPr>
              <w:t>Committee’s</w:t>
            </w:r>
            <w:r w:rsidR="00637A64" w:rsidRPr="71807CC1">
              <w:rPr>
                <w:rFonts w:ascii="Times New Roman" w:eastAsia="Times New Roman" w:hAnsi="Times New Roman"/>
                <w:sz w:val="24"/>
                <w:szCs w:val="24"/>
                <w:lang w:val="en-IE"/>
              </w:rPr>
              <w:t xml:space="preserve"> concern</w:t>
            </w:r>
            <w:r w:rsidR="003229A0">
              <w:rPr>
                <w:rFonts w:ascii="Times New Roman" w:eastAsia="Times New Roman" w:hAnsi="Times New Roman"/>
                <w:sz w:val="24"/>
                <w:szCs w:val="24"/>
                <w:lang w:val="en-IE"/>
              </w:rPr>
              <w:t>s</w:t>
            </w:r>
            <w:r w:rsidR="00637A64" w:rsidRPr="71807CC1">
              <w:rPr>
                <w:rFonts w:ascii="Times New Roman" w:eastAsia="Times New Roman" w:hAnsi="Times New Roman"/>
                <w:sz w:val="24"/>
                <w:szCs w:val="24"/>
                <w:lang w:val="en-IE"/>
              </w:rPr>
              <w:t xml:space="preserve"> </w:t>
            </w:r>
            <w:r w:rsidR="003229A0">
              <w:rPr>
                <w:rFonts w:ascii="Times New Roman" w:eastAsia="Times New Roman" w:hAnsi="Times New Roman"/>
                <w:sz w:val="24"/>
                <w:szCs w:val="24"/>
                <w:lang w:val="en-IE"/>
              </w:rPr>
              <w:t>relating to</w:t>
            </w:r>
            <w:r w:rsidR="000F4D5F" w:rsidRPr="71807CC1">
              <w:rPr>
                <w:rFonts w:ascii="Times New Roman" w:eastAsia="Times New Roman" w:hAnsi="Times New Roman"/>
                <w:sz w:val="24"/>
                <w:szCs w:val="24"/>
                <w:lang w:val="en-IE"/>
              </w:rPr>
              <w:t xml:space="preserve"> the effects of </w:t>
            </w:r>
            <w:r w:rsidR="008B0649" w:rsidRPr="71807CC1">
              <w:rPr>
                <w:rFonts w:ascii="Times New Roman" w:eastAsia="Times New Roman" w:hAnsi="Times New Roman"/>
                <w:sz w:val="24"/>
                <w:szCs w:val="24"/>
                <w:lang w:val="en-IE"/>
              </w:rPr>
              <w:t xml:space="preserve">insularity </w:t>
            </w:r>
            <w:r w:rsidR="008B0649" w:rsidRPr="71807CC1">
              <w:rPr>
                <w:rFonts w:ascii="Times New Roman" w:eastAsia="Times New Roman" w:hAnsi="Times New Roman"/>
                <w:sz w:val="24"/>
                <w:szCs w:val="24"/>
                <w:lang w:val="en-IE"/>
              </w:rPr>
              <w:lastRenderedPageBreak/>
              <w:t>on islands</w:t>
            </w:r>
            <w:r w:rsidR="552D6A97" w:rsidRPr="00CC76CF">
              <w:rPr>
                <w:rFonts w:ascii="Times New Roman" w:eastAsia="Times New Roman" w:hAnsi="Times New Roman"/>
                <w:sz w:val="24"/>
                <w:szCs w:val="24"/>
                <w:lang w:val="en-IE"/>
              </w:rPr>
              <w:t>’</w:t>
            </w:r>
            <w:r w:rsidR="008B0649" w:rsidRPr="71807CC1">
              <w:rPr>
                <w:rFonts w:ascii="Times New Roman" w:eastAsia="Times New Roman" w:hAnsi="Times New Roman"/>
                <w:sz w:val="24"/>
                <w:szCs w:val="24"/>
                <w:lang w:val="en-IE"/>
              </w:rPr>
              <w:t xml:space="preserve"> structural </w:t>
            </w:r>
            <w:r w:rsidR="003012FA" w:rsidRPr="71807CC1">
              <w:rPr>
                <w:rFonts w:ascii="Times New Roman" w:eastAsia="Times New Roman" w:hAnsi="Times New Roman"/>
                <w:sz w:val="24"/>
                <w:szCs w:val="24"/>
                <w:lang w:val="en-IE"/>
              </w:rPr>
              <w:t xml:space="preserve">disadvantages and the </w:t>
            </w:r>
            <w:r w:rsidR="001B6B34">
              <w:rPr>
                <w:rFonts w:ascii="Times New Roman" w:eastAsia="Times New Roman" w:hAnsi="Times New Roman"/>
                <w:sz w:val="24"/>
                <w:szCs w:val="24"/>
                <w:lang w:val="en-IE"/>
              </w:rPr>
              <w:t>call</w:t>
            </w:r>
            <w:r w:rsidR="003012FA" w:rsidRPr="71807CC1">
              <w:rPr>
                <w:rFonts w:ascii="Times New Roman" w:eastAsia="Times New Roman" w:hAnsi="Times New Roman"/>
                <w:sz w:val="24"/>
                <w:szCs w:val="24"/>
                <w:lang w:val="en-IE"/>
              </w:rPr>
              <w:t xml:space="preserve"> for greater flexibility</w:t>
            </w:r>
            <w:r w:rsidR="00160F40" w:rsidRPr="71807CC1">
              <w:rPr>
                <w:rFonts w:ascii="Times New Roman" w:eastAsia="Times New Roman" w:hAnsi="Times New Roman"/>
                <w:sz w:val="24"/>
                <w:szCs w:val="24"/>
                <w:lang w:val="en-IE"/>
              </w:rPr>
              <w:t xml:space="preserve"> in the deployment of State aid.</w:t>
            </w:r>
            <w:r w:rsidR="00637A64" w:rsidRPr="71807CC1">
              <w:rPr>
                <w:rFonts w:ascii="Times New Roman" w:eastAsia="Times New Roman" w:hAnsi="Times New Roman"/>
                <w:sz w:val="24"/>
                <w:szCs w:val="24"/>
                <w:lang w:val="en-IE"/>
              </w:rPr>
              <w:t xml:space="preserve"> </w:t>
            </w:r>
            <w:r w:rsidR="005B27D7">
              <w:rPr>
                <w:rFonts w:ascii="Times New Roman" w:eastAsia="Times New Roman" w:hAnsi="Times New Roman"/>
                <w:sz w:val="24"/>
                <w:szCs w:val="24"/>
                <w:lang w:val="en-IE"/>
              </w:rPr>
              <w:t>T</w:t>
            </w:r>
            <w:r w:rsidRPr="009A3340">
              <w:rPr>
                <w:rFonts w:ascii="Times New Roman" w:eastAsia="Times New Roman" w:hAnsi="Times New Roman"/>
                <w:sz w:val="24"/>
                <w:szCs w:val="24"/>
                <w:lang w:val="en-IE"/>
              </w:rPr>
              <w:t>he State aid framework</w:t>
            </w:r>
            <w:r w:rsidR="00BF32A7" w:rsidRPr="009A3340">
              <w:rPr>
                <w:rStyle w:val="FootnoteReference"/>
                <w:rFonts w:ascii="Times New Roman" w:eastAsia="Times New Roman" w:hAnsi="Times New Roman"/>
                <w:sz w:val="24"/>
                <w:szCs w:val="24"/>
                <w:lang w:val="en-IE"/>
              </w:rPr>
              <w:footnoteReference w:id="5"/>
            </w:r>
            <w:r w:rsidRPr="009A3340">
              <w:rPr>
                <w:rFonts w:ascii="Times New Roman" w:eastAsia="Times New Roman" w:hAnsi="Times New Roman"/>
                <w:sz w:val="24"/>
                <w:szCs w:val="24"/>
                <w:lang w:val="en-IE"/>
              </w:rPr>
              <w:t xml:space="preserve"> </w:t>
            </w:r>
            <w:r w:rsidR="00606B2A">
              <w:rPr>
                <w:rFonts w:ascii="Times New Roman" w:eastAsia="Times New Roman" w:hAnsi="Times New Roman"/>
                <w:sz w:val="24"/>
                <w:szCs w:val="24"/>
                <w:lang w:val="en-IE"/>
              </w:rPr>
              <w:t xml:space="preserve">is applicable </w:t>
            </w:r>
            <w:r w:rsidRPr="009A3340">
              <w:rPr>
                <w:rFonts w:ascii="Times New Roman" w:eastAsia="Times New Roman" w:hAnsi="Times New Roman"/>
                <w:sz w:val="24"/>
                <w:szCs w:val="24"/>
                <w:lang w:val="en-IE"/>
              </w:rPr>
              <w:t xml:space="preserve">to all Member States and their territories, </w:t>
            </w:r>
            <w:r w:rsidR="009A3340" w:rsidRPr="009A3340">
              <w:rPr>
                <w:rFonts w:ascii="Times New Roman" w:eastAsia="Times New Roman" w:hAnsi="Times New Roman"/>
                <w:sz w:val="24"/>
                <w:szCs w:val="24"/>
                <w:lang w:val="en-IE"/>
              </w:rPr>
              <w:t xml:space="preserve">including </w:t>
            </w:r>
            <w:r w:rsidRPr="009A3340">
              <w:rPr>
                <w:rFonts w:ascii="Times New Roman" w:eastAsia="Times New Roman" w:hAnsi="Times New Roman"/>
                <w:sz w:val="24"/>
                <w:szCs w:val="24"/>
                <w:lang w:val="en-IE"/>
              </w:rPr>
              <w:t xml:space="preserve">islands. To </w:t>
            </w:r>
            <w:r w:rsidR="00606B2A">
              <w:rPr>
                <w:rFonts w:ascii="Times New Roman" w:eastAsia="Times New Roman" w:hAnsi="Times New Roman"/>
                <w:sz w:val="24"/>
                <w:szCs w:val="24"/>
                <w:lang w:val="en-IE"/>
              </w:rPr>
              <w:t xml:space="preserve">foster </w:t>
            </w:r>
            <w:r w:rsidRPr="009A3340">
              <w:rPr>
                <w:rFonts w:ascii="Times New Roman" w:eastAsia="Times New Roman" w:hAnsi="Times New Roman"/>
                <w:sz w:val="24"/>
                <w:szCs w:val="24"/>
                <w:lang w:val="en-IE"/>
              </w:rPr>
              <w:t>the</w:t>
            </w:r>
            <w:r w:rsidR="008E1A74">
              <w:rPr>
                <w:rFonts w:ascii="Times New Roman" w:eastAsia="Times New Roman" w:hAnsi="Times New Roman"/>
                <w:sz w:val="24"/>
                <w:szCs w:val="24"/>
                <w:lang w:val="en-IE"/>
              </w:rPr>
              <w:t> </w:t>
            </w:r>
            <w:r w:rsidRPr="009A3340">
              <w:rPr>
                <w:rFonts w:ascii="Times New Roman" w:eastAsia="Times New Roman" w:hAnsi="Times New Roman"/>
                <w:sz w:val="24"/>
                <w:szCs w:val="24"/>
                <w:lang w:val="en-IE"/>
              </w:rPr>
              <w:t>economic development o</w:t>
            </w:r>
            <w:r w:rsidR="00D4590F">
              <w:rPr>
                <w:rFonts w:ascii="Times New Roman" w:eastAsia="Times New Roman" w:hAnsi="Times New Roman"/>
                <w:sz w:val="24"/>
                <w:szCs w:val="24"/>
                <w:lang w:val="en-IE"/>
              </w:rPr>
              <w:t>f</w:t>
            </w:r>
            <w:r w:rsidRPr="009A3340">
              <w:rPr>
                <w:rFonts w:ascii="Times New Roman" w:eastAsia="Times New Roman" w:hAnsi="Times New Roman"/>
                <w:sz w:val="24"/>
                <w:szCs w:val="24"/>
                <w:lang w:val="en-IE"/>
              </w:rPr>
              <w:t xml:space="preserve"> islands, Member States can designate </w:t>
            </w:r>
            <w:r w:rsidR="00606B2A">
              <w:rPr>
                <w:rFonts w:ascii="Times New Roman" w:eastAsia="Times New Roman" w:hAnsi="Times New Roman"/>
                <w:sz w:val="24"/>
                <w:szCs w:val="24"/>
                <w:lang w:val="en-IE"/>
              </w:rPr>
              <w:t xml:space="preserve">these territories </w:t>
            </w:r>
            <w:r w:rsidRPr="009A3340">
              <w:rPr>
                <w:rFonts w:ascii="Times New Roman" w:eastAsia="Times New Roman" w:hAnsi="Times New Roman"/>
                <w:sz w:val="24"/>
                <w:szCs w:val="24"/>
                <w:lang w:val="en-IE"/>
              </w:rPr>
              <w:t>as assisted areas</w:t>
            </w:r>
            <w:r w:rsidR="001B6B34">
              <w:rPr>
                <w:rFonts w:ascii="Times New Roman" w:eastAsia="Times New Roman" w:hAnsi="Times New Roman"/>
                <w:sz w:val="24"/>
                <w:szCs w:val="24"/>
                <w:lang w:val="en-IE"/>
              </w:rPr>
              <w:t>, either where the</w:t>
            </w:r>
            <w:r w:rsidR="00606B2A">
              <w:rPr>
                <w:rFonts w:ascii="Times New Roman" w:eastAsia="Times New Roman" w:hAnsi="Times New Roman"/>
                <w:sz w:val="24"/>
                <w:szCs w:val="24"/>
                <w:lang w:val="en-IE"/>
              </w:rPr>
              <w:t xml:space="preserve"> living </w:t>
            </w:r>
            <w:r w:rsidRPr="009A3340">
              <w:rPr>
                <w:rFonts w:ascii="Times New Roman" w:eastAsia="Times New Roman" w:hAnsi="Times New Roman"/>
                <w:sz w:val="24"/>
                <w:szCs w:val="24"/>
                <w:lang w:val="en-IE"/>
              </w:rPr>
              <w:t>standard</w:t>
            </w:r>
            <w:r w:rsidR="00606B2A">
              <w:rPr>
                <w:rFonts w:ascii="Times New Roman" w:eastAsia="Times New Roman" w:hAnsi="Times New Roman"/>
                <w:sz w:val="24"/>
                <w:szCs w:val="24"/>
                <w:lang w:val="en-IE"/>
              </w:rPr>
              <w:t>s</w:t>
            </w:r>
            <w:r w:rsidRPr="009A3340">
              <w:rPr>
                <w:rFonts w:ascii="Times New Roman" w:eastAsia="Times New Roman" w:hAnsi="Times New Roman"/>
                <w:sz w:val="24"/>
                <w:szCs w:val="24"/>
                <w:lang w:val="en-IE"/>
              </w:rPr>
              <w:t xml:space="preserve"> </w:t>
            </w:r>
            <w:r w:rsidR="00F32B98">
              <w:rPr>
                <w:rFonts w:ascii="Times New Roman" w:eastAsia="Times New Roman" w:hAnsi="Times New Roman"/>
                <w:sz w:val="24"/>
                <w:szCs w:val="24"/>
                <w:lang w:val="en-IE"/>
              </w:rPr>
              <w:t>are</w:t>
            </w:r>
            <w:r w:rsidR="001B6B34">
              <w:rPr>
                <w:rFonts w:ascii="Times New Roman" w:eastAsia="Times New Roman" w:hAnsi="Times New Roman"/>
                <w:sz w:val="24"/>
                <w:szCs w:val="24"/>
                <w:lang w:val="en-IE"/>
              </w:rPr>
              <w:t xml:space="preserve"> abnormally low </w:t>
            </w:r>
            <w:r w:rsidRPr="009A3340">
              <w:rPr>
                <w:rFonts w:ascii="Times New Roman" w:eastAsia="Times New Roman" w:hAnsi="Times New Roman"/>
                <w:sz w:val="24"/>
                <w:szCs w:val="24"/>
                <w:lang w:val="en-IE"/>
              </w:rPr>
              <w:t xml:space="preserve">or </w:t>
            </w:r>
            <w:r w:rsidR="001B6B34">
              <w:rPr>
                <w:rFonts w:ascii="Times New Roman" w:eastAsia="Times New Roman" w:hAnsi="Times New Roman"/>
                <w:sz w:val="24"/>
                <w:szCs w:val="24"/>
                <w:lang w:val="en-IE"/>
              </w:rPr>
              <w:t xml:space="preserve">where there is </w:t>
            </w:r>
            <w:r w:rsidRPr="009A3340">
              <w:rPr>
                <w:rFonts w:ascii="Times New Roman" w:eastAsia="Times New Roman" w:hAnsi="Times New Roman"/>
                <w:sz w:val="24"/>
                <w:szCs w:val="24"/>
                <w:lang w:val="en-IE"/>
              </w:rPr>
              <w:t>serious underemployment</w:t>
            </w:r>
            <w:r w:rsidR="009A3340" w:rsidRPr="009A3340">
              <w:rPr>
                <w:rStyle w:val="FootnoteReference"/>
                <w:rFonts w:ascii="Times New Roman" w:eastAsia="Times New Roman" w:hAnsi="Times New Roman"/>
                <w:sz w:val="24"/>
                <w:szCs w:val="24"/>
                <w:lang w:val="en-IE"/>
              </w:rPr>
              <w:footnoteReference w:id="6"/>
            </w:r>
            <w:r w:rsidRPr="009A3340">
              <w:rPr>
                <w:rFonts w:ascii="Times New Roman" w:eastAsia="Times New Roman" w:hAnsi="Times New Roman"/>
                <w:sz w:val="24"/>
                <w:szCs w:val="24"/>
                <w:lang w:val="en-IE"/>
              </w:rPr>
              <w:t xml:space="preserve"> or </w:t>
            </w:r>
            <w:r w:rsidR="001B6B34">
              <w:rPr>
                <w:rFonts w:ascii="Times New Roman" w:eastAsia="Times New Roman" w:hAnsi="Times New Roman"/>
                <w:sz w:val="24"/>
                <w:szCs w:val="24"/>
                <w:lang w:val="en-IE"/>
              </w:rPr>
              <w:t xml:space="preserve">where </w:t>
            </w:r>
            <w:r w:rsidR="004425FC">
              <w:rPr>
                <w:rFonts w:ascii="Times New Roman" w:eastAsia="Times New Roman" w:hAnsi="Times New Roman"/>
                <w:sz w:val="24"/>
                <w:szCs w:val="24"/>
                <w:lang w:val="en-IE"/>
              </w:rPr>
              <w:t>Member States</w:t>
            </w:r>
            <w:r w:rsidR="001B6B34">
              <w:rPr>
                <w:rFonts w:ascii="Times New Roman" w:eastAsia="Times New Roman" w:hAnsi="Times New Roman"/>
                <w:sz w:val="24"/>
                <w:szCs w:val="24"/>
                <w:lang w:val="en-IE"/>
              </w:rPr>
              <w:t xml:space="preserve"> intend to facilitate </w:t>
            </w:r>
            <w:r w:rsidRPr="009A3340">
              <w:rPr>
                <w:rFonts w:ascii="Times New Roman" w:eastAsia="Times New Roman" w:hAnsi="Times New Roman"/>
                <w:sz w:val="24"/>
                <w:szCs w:val="24"/>
                <w:lang w:val="en-IE"/>
              </w:rPr>
              <w:t>further economic development</w:t>
            </w:r>
            <w:r w:rsidR="009A3340" w:rsidRPr="009A3340">
              <w:rPr>
                <w:rStyle w:val="FootnoteReference"/>
                <w:rFonts w:ascii="Times New Roman" w:eastAsia="Times New Roman" w:hAnsi="Times New Roman"/>
                <w:sz w:val="24"/>
                <w:szCs w:val="24"/>
                <w:lang w:val="en-IE"/>
              </w:rPr>
              <w:footnoteReference w:id="7"/>
            </w:r>
            <w:r w:rsidR="004425FC">
              <w:rPr>
                <w:rFonts w:ascii="Times New Roman" w:eastAsia="Times New Roman" w:hAnsi="Times New Roman"/>
                <w:sz w:val="24"/>
                <w:szCs w:val="24"/>
                <w:lang w:val="en-IE"/>
              </w:rPr>
              <w:t>.</w:t>
            </w:r>
            <w:r w:rsidRPr="009A3340">
              <w:rPr>
                <w:rFonts w:ascii="Times New Roman" w:eastAsia="Times New Roman" w:hAnsi="Times New Roman"/>
                <w:sz w:val="24"/>
                <w:szCs w:val="24"/>
                <w:lang w:val="en-IE"/>
              </w:rPr>
              <w:t xml:space="preserve"> </w:t>
            </w:r>
            <w:r w:rsidR="001B6B34">
              <w:rPr>
                <w:rFonts w:ascii="Times New Roman" w:eastAsia="Times New Roman" w:hAnsi="Times New Roman"/>
                <w:sz w:val="24"/>
                <w:szCs w:val="24"/>
                <w:lang w:val="en-IE"/>
              </w:rPr>
              <w:t xml:space="preserve">Member States </w:t>
            </w:r>
            <w:r w:rsidR="00075394">
              <w:rPr>
                <w:rFonts w:ascii="Times New Roman" w:eastAsia="Times New Roman" w:hAnsi="Times New Roman"/>
                <w:sz w:val="24"/>
                <w:szCs w:val="24"/>
                <w:lang w:val="en-IE"/>
              </w:rPr>
              <w:t>can then</w:t>
            </w:r>
            <w:r w:rsidRPr="009A3340">
              <w:rPr>
                <w:rFonts w:ascii="Times New Roman" w:eastAsia="Times New Roman" w:hAnsi="Times New Roman"/>
                <w:sz w:val="24"/>
                <w:szCs w:val="24"/>
                <w:lang w:val="en-IE"/>
              </w:rPr>
              <w:t xml:space="preserve"> grant regional aid under the</w:t>
            </w:r>
            <w:r w:rsidR="00BF32A7" w:rsidRPr="009A3340">
              <w:rPr>
                <w:lang w:val="en-IE"/>
              </w:rPr>
              <w:t xml:space="preserve"> </w:t>
            </w:r>
            <w:r w:rsidR="00BF32A7" w:rsidRPr="009A3340">
              <w:rPr>
                <w:rFonts w:ascii="Times New Roman" w:eastAsia="Times New Roman" w:hAnsi="Times New Roman"/>
                <w:sz w:val="24"/>
                <w:szCs w:val="24"/>
                <w:lang w:val="en-IE"/>
              </w:rPr>
              <w:t>General Block Exemption Regulation</w:t>
            </w:r>
            <w:r w:rsidR="008E1A74">
              <w:rPr>
                <w:rFonts w:ascii="Times New Roman" w:eastAsia="Times New Roman" w:hAnsi="Times New Roman"/>
                <w:sz w:val="24"/>
                <w:szCs w:val="24"/>
                <w:lang w:val="en-IE"/>
              </w:rPr>
              <w:t> </w:t>
            </w:r>
            <w:r w:rsidR="00BF32A7" w:rsidRPr="009A3340">
              <w:rPr>
                <w:rFonts w:ascii="Times New Roman" w:eastAsia="Times New Roman" w:hAnsi="Times New Roman"/>
                <w:sz w:val="24"/>
                <w:szCs w:val="24"/>
                <w:lang w:val="en-IE"/>
              </w:rPr>
              <w:t>(</w:t>
            </w:r>
            <w:r w:rsidRPr="009A3340">
              <w:rPr>
                <w:rFonts w:ascii="Times New Roman" w:eastAsia="Times New Roman" w:hAnsi="Times New Roman"/>
                <w:sz w:val="24"/>
                <w:szCs w:val="24"/>
                <w:lang w:val="en-IE"/>
              </w:rPr>
              <w:t>GBER</w:t>
            </w:r>
            <w:r w:rsidR="00BF32A7" w:rsidRPr="009A3340">
              <w:rPr>
                <w:rFonts w:ascii="Times New Roman" w:eastAsia="Times New Roman" w:hAnsi="Times New Roman"/>
                <w:sz w:val="24"/>
                <w:szCs w:val="24"/>
                <w:lang w:val="en-IE"/>
              </w:rPr>
              <w:t>)</w:t>
            </w:r>
            <w:r w:rsidR="008E1A74">
              <w:rPr>
                <w:rStyle w:val="FootnoteReference"/>
                <w:rFonts w:ascii="Times New Roman" w:eastAsia="Times New Roman" w:hAnsi="Times New Roman"/>
                <w:sz w:val="24"/>
                <w:szCs w:val="24"/>
                <w:lang w:val="en-IE"/>
              </w:rPr>
              <w:footnoteReference w:id="8"/>
            </w:r>
            <w:r w:rsidRPr="009A3340">
              <w:rPr>
                <w:rFonts w:ascii="Times New Roman" w:eastAsia="Times New Roman" w:hAnsi="Times New Roman"/>
                <w:sz w:val="24"/>
                <w:szCs w:val="24"/>
                <w:lang w:val="en-IE"/>
              </w:rPr>
              <w:t xml:space="preserve"> or </w:t>
            </w:r>
            <w:r w:rsidR="00BF32A7" w:rsidRPr="009A3340">
              <w:rPr>
                <w:rFonts w:ascii="Times New Roman" w:eastAsia="Times New Roman" w:hAnsi="Times New Roman"/>
                <w:sz w:val="24"/>
                <w:szCs w:val="24"/>
                <w:lang w:val="en-IE"/>
              </w:rPr>
              <w:t>Regional Aid Guidelines</w:t>
            </w:r>
            <w:r w:rsidR="008E1A74">
              <w:rPr>
                <w:rFonts w:ascii="Times New Roman" w:eastAsia="Times New Roman" w:hAnsi="Times New Roman"/>
                <w:sz w:val="24"/>
                <w:szCs w:val="24"/>
                <w:lang w:val="en-IE"/>
              </w:rPr>
              <w:t> </w:t>
            </w:r>
            <w:r w:rsidR="00BF32A7" w:rsidRPr="009A3340">
              <w:rPr>
                <w:rFonts w:ascii="Times New Roman" w:eastAsia="Times New Roman" w:hAnsi="Times New Roman"/>
                <w:sz w:val="24"/>
                <w:szCs w:val="24"/>
                <w:lang w:val="en-IE"/>
              </w:rPr>
              <w:t>(</w:t>
            </w:r>
            <w:r w:rsidRPr="009A3340">
              <w:rPr>
                <w:rFonts w:ascii="Times New Roman" w:eastAsia="Times New Roman" w:hAnsi="Times New Roman"/>
                <w:sz w:val="24"/>
                <w:szCs w:val="24"/>
                <w:lang w:val="en-IE"/>
              </w:rPr>
              <w:t>RAG</w:t>
            </w:r>
            <w:r w:rsidR="00BF32A7" w:rsidRPr="009A3340">
              <w:rPr>
                <w:rFonts w:ascii="Times New Roman" w:eastAsia="Times New Roman" w:hAnsi="Times New Roman"/>
                <w:sz w:val="24"/>
                <w:szCs w:val="24"/>
                <w:lang w:val="en-IE"/>
              </w:rPr>
              <w:t>)</w:t>
            </w:r>
            <w:r w:rsidR="008E1A74">
              <w:rPr>
                <w:rStyle w:val="FootnoteReference"/>
                <w:rFonts w:ascii="Times New Roman" w:eastAsia="Times New Roman" w:hAnsi="Times New Roman"/>
                <w:sz w:val="24"/>
                <w:szCs w:val="24"/>
                <w:lang w:val="en-IE"/>
              </w:rPr>
              <w:footnoteReference w:id="9"/>
            </w:r>
            <w:r w:rsidR="00075394">
              <w:rPr>
                <w:rFonts w:ascii="Times New Roman" w:eastAsia="Times New Roman" w:hAnsi="Times New Roman"/>
                <w:sz w:val="24"/>
                <w:szCs w:val="24"/>
                <w:lang w:val="en-IE"/>
              </w:rPr>
              <w:t xml:space="preserve"> </w:t>
            </w:r>
            <w:r w:rsidR="00E90AAF">
              <w:rPr>
                <w:rFonts w:ascii="Times New Roman" w:eastAsia="Times New Roman" w:hAnsi="Times New Roman"/>
                <w:sz w:val="24"/>
                <w:szCs w:val="24"/>
                <w:lang w:val="en-IE"/>
              </w:rPr>
              <w:t>to</w:t>
            </w:r>
            <w:r w:rsidR="00075394">
              <w:rPr>
                <w:rFonts w:ascii="Times New Roman" w:eastAsia="Times New Roman" w:hAnsi="Times New Roman"/>
                <w:sz w:val="24"/>
                <w:szCs w:val="24"/>
                <w:lang w:val="en-IE"/>
              </w:rPr>
              <w:t xml:space="preserve"> those assisted areas</w:t>
            </w:r>
            <w:r w:rsidRPr="009A3340">
              <w:rPr>
                <w:rFonts w:ascii="Times New Roman" w:eastAsia="Times New Roman" w:hAnsi="Times New Roman"/>
                <w:sz w:val="24"/>
                <w:szCs w:val="24"/>
                <w:lang w:val="en-IE"/>
              </w:rPr>
              <w:t xml:space="preserve">. </w:t>
            </w:r>
            <w:r w:rsidR="009A3340">
              <w:rPr>
                <w:rFonts w:ascii="Times New Roman" w:eastAsia="Times New Roman" w:hAnsi="Times New Roman"/>
                <w:sz w:val="24"/>
                <w:szCs w:val="24"/>
                <w:lang w:val="en-IE"/>
              </w:rPr>
              <w:t>Additionally</w:t>
            </w:r>
            <w:r w:rsidR="00245498" w:rsidRPr="71807CC1">
              <w:rPr>
                <w:rFonts w:ascii="Times New Roman" w:eastAsia="Times New Roman" w:hAnsi="Times New Roman"/>
                <w:sz w:val="24"/>
                <w:szCs w:val="24"/>
                <w:lang w:val="en-IE"/>
              </w:rPr>
              <w:t>,</w:t>
            </w:r>
            <w:r w:rsidR="00160F40" w:rsidRPr="71807CC1">
              <w:rPr>
                <w:rFonts w:ascii="Times New Roman" w:eastAsia="Times New Roman" w:hAnsi="Times New Roman"/>
                <w:sz w:val="24"/>
                <w:szCs w:val="24"/>
                <w:lang w:val="en-IE"/>
              </w:rPr>
              <w:t xml:space="preserve"> the Commission </w:t>
            </w:r>
            <w:r w:rsidR="00245498" w:rsidRPr="71807CC1">
              <w:rPr>
                <w:rFonts w:ascii="Times New Roman" w:eastAsia="Times New Roman" w:hAnsi="Times New Roman"/>
                <w:sz w:val="24"/>
                <w:szCs w:val="24"/>
                <w:lang w:val="en-IE"/>
              </w:rPr>
              <w:t>highlights that</w:t>
            </w:r>
            <w:r w:rsidR="009A3340">
              <w:rPr>
                <w:rFonts w:ascii="Times New Roman" w:eastAsia="Times New Roman" w:hAnsi="Times New Roman"/>
                <w:sz w:val="24"/>
                <w:szCs w:val="24"/>
                <w:lang w:val="en-IE"/>
              </w:rPr>
              <w:t xml:space="preserve"> </w:t>
            </w:r>
            <w:r w:rsidRPr="009A3340">
              <w:rPr>
                <w:rFonts w:ascii="Times New Roman" w:eastAsia="Times New Roman" w:hAnsi="Times New Roman"/>
                <w:sz w:val="24"/>
                <w:szCs w:val="24"/>
                <w:lang w:val="en-IE"/>
              </w:rPr>
              <w:t xml:space="preserve">the State aid framework already includes some tailor-made provisions for islands or outermost regions. The GBER </w:t>
            </w:r>
            <w:r w:rsidR="00606B2A">
              <w:rPr>
                <w:rFonts w:ascii="Times New Roman" w:eastAsia="Times New Roman" w:hAnsi="Times New Roman"/>
                <w:sz w:val="24"/>
                <w:szCs w:val="24"/>
                <w:lang w:val="en-IE"/>
              </w:rPr>
              <w:t>permits</w:t>
            </w:r>
            <w:r w:rsidRPr="009A3340">
              <w:rPr>
                <w:rFonts w:ascii="Times New Roman" w:eastAsia="Times New Roman" w:hAnsi="Times New Roman"/>
                <w:sz w:val="24"/>
                <w:szCs w:val="24"/>
                <w:lang w:val="en-IE"/>
              </w:rPr>
              <w:t xml:space="preserve"> specific support for ‘remote regions’ </w:t>
            </w:r>
            <w:r w:rsidR="00B84C84" w:rsidRPr="009A3340">
              <w:rPr>
                <w:rFonts w:ascii="Times New Roman" w:hAnsi="Times New Roman"/>
                <w:b/>
                <w:sz w:val="24"/>
                <w:szCs w:val="24"/>
                <w:lang w:val="en-IE"/>
              </w:rPr>
              <w:t>–</w:t>
            </w:r>
            <w:r w:rsidRPr="009A3340">
              <w:rPr>
                <w:rFonts w:ascii="Times New Roman" w:eastAsia="Times New Roman" w:hAnsi="Times New Roman"/>
                <w:sz w:val="24"/>
                <w:szCs w:val="24"/>
                <w:lang w:val="en-IE"/>
              </w:rPr>
              <w:t xml:space="preserve"> Malta, Cyprus, </w:t>
            </w:r>
            <w:r w:rsidR="00C001F6">
              <w:rPr>
                <w:rFonts w:ascii="Times New Roman" w:eastAsia="Times New Roman" w:hAnsi="Times New Roman"/>
                <w:sz w:val="24"/>
                <w:szCs w:val="24"/>
                <w:lang w:val="en-IE"/>
              </w:rPr>
              <w:t xml:space="preserve">and </w:t>
            </w:r>
            <w:r w:rsidRPr="009A3340">
              <w:rPr>
                <w:rFonts w:ascii="Times New Roman" w:eastAsia="Times New Roman" w:hAnsi="Times New Roman"/>
                <w:sz w:val="24"/>
                <w:szCs w:val="24"/>
                <w:lang w:val="en-IE"/>
              </w:rPr>
              <w:t xml:space="preserve">islands </w:t>
            </w:r>
            <w:r w:rsidR="00C001F6">
              <w:rPr>
                <w:rFonts w:ascii="Times New Roman" w:eastAsia="Times New Roman" w:hAnsi="Times New Roman"/>
                <w:sz w:val="24"/>
                <w:szCs w:val="24"/>
                <w:lang w:val="en-IE"/>
              </w:rPr>
              <w:t xml:space="preserve">belonging to </w:t>
            </w:r>
            <w:r w:rsidRPr="009A3340">
              <w:rPr>
                <w:rFonts w:ascii="Times New Roman" w:eastAsia="Times New Roman" w:hAnsi="Times New Roman"/>
                <w:sz w:val="24"/>
                <w:szCs w:val="24"/>
                <w:lang w:val="en-IE"/>
              </w:rPr>
              <w:t>Member State</w:t>
            </w:r>
            <w:r w:rsidR="00C001F6">
              <w:rPr>
                <w:rFonts w:ascii="Times New Roman" w:eastAsia="Times New Roman" w:hAnsi="Times New Roman"/>
                <w:sz w:val="24"/>
                <w:szCs w:val="24"/>
                <w:lang w:val="en-IE"/>
              </w:rPr>
              <w:t>s</w:t>
            </w:r>
            <w:r w:rsidRPr="009A3340">
              <w:rPr>
                <w:rFonts w:ascii="Times New Roman" w:eastAsia="Times New Roman" w:hAnsi="Times New Roman"/>
                <w:sz w:val="24"/>
                <w:szCs w:val="24"/>
                <w:lang w:val="en-IE"/>
              </w:rPr>
              <w:t xml:space="preserve"> and outermost regions </w:t>
            </w:r>
            <w:r w:rsidR="00B84C84" w:rsidRPr="009A3340">
              <w:rPr>
                <w:rFonts w:ascii="Times New Roman" w:hAnsi="Times New Roman"/>
                <w:b/>
                <w:sz w:val="24"/>
                <w:szCs w:val="24"/>
                <w:lang w:val="en-IE"/>
              </w:rPr>
              <w:t>–</w:t>
            </w:r>
            <w:r w:rsidRPr="009A3340">
              <w:rPr>
                <w:rFonts w:ascii="Times New Roman" w:eastAsia="Times New Roman" w:hAnsi="Times New Roman"/>
                <w:sz w:val="24"/>
                <w:szCs w:val="24"/>
                <w:lang w:val="en-IE"/>
              </w:rPr>
              <w:t xml:space="preserve"> to improve their connectivity (social aid for transport for residents of remote regions; investment aid for small airports). </w:t>
            </w:r>
            <w:r w:rsidR="00C001F6" w:rsidRPr="00C001F6">
              <w:rPr>
                <w:rFonts w:ascii="Times New Roman" w:eastAsia="Times New Roman" w:hAnsi="Times New Roman"/>
                <w:sz w:val="24"/>
                <w:szCs w:val="24"/>
                <w:lang w:val="en-IE"/>
              </w:rPr>
              <w:t>Additionally, rules for agricultural aid provide specific support for the outermost regions and the smaller Aegean islands.</w:t>
            </w:r>
          </w:p>
          <w:p w14:paraId="71F7083C" w14:textId="7953EDA2" w:rsidR="00FF22D0" w:rsidRDefault="00FF22D0" w:rsidP="00324F19">
            <w:pPr>
              <w:spacing w:before="120" w:after="120"/>
              <w:jc w:val="both"/>
              <w:rPr>
                <w:rFonts w:ascii="Times New Roman" w:hAnsi="Times New Roman"/>
                <w:sz w:val="24"/>
                <w:szCs w:val="24"/>
                <w:lang w:val="en-IE"/>
              </w:rPr>
            </w:pPr>
            <w:r w:rsidRPr="001628F4">
              <w:rPr>
                <w:rFonts w:ascii="Times New Roman" w:hAnsi="Times New Roman"/>
                <w:sz w:val="24"/>
                <w:szCs w:val="24"/>
                <w:u w:val="single"/>
                <w:lang w:val="en-IE"/>
              </w:rPr>
              <w:t>On point 2.4</w:t>
            </w:r>
            <w:r w:rsidR="067B23B8" w:rsidRPr="001628F4">
              <w:rPr>
                <w:rFonts w:ascii="Times New Roman" w:hAnsi="Times New Roman"/>
                <w:sz w:val="24"/>
                <w:szCs w:val="24"/>
                <w:lang w:val="en-IE"/>
              </w:rPr>
              <w:t>,</w:t>
            </w:r>
            <w:r w:rsidR="001628F4" w:rsidRPr="001628F4">
              <w:rPr>
                <w:rFonts w:ascii="Times New Roman" w:hAnsi="Times New Roman"/>
                <w:sz w:val="24"/>
                <w:szCs w:val="24"/>
                <w:lang w:val="en-IE"/>
              </w:rPr>
              <w:t xml:space="preserve"> t</w:t>
            </w:r>
            <w:r w:rsidR="00AB1762" w:rsidRPr="001628F4">
              <w:rPr>
                <w:rFonts w:ascii="Times New Roman" w:hAnsi="Times New Roman"/>
                <w:sz w:val="24"/>
                <w:szCs w:val="24"/>
                <w:lang w:val="en-IE"/>
              </w:rPr>
              <w:t>he</w:t>
            </w:r>
            <w:r w:rsidR="00AB1762" w:rsidRPr="0099D9C7">
              <w:rPr>
                <w:rFonts w:ascii="Times New Roman" w:hAnsi="Times New Roman"/>
                <w:sz w:val="24"/>
                <w:szCs w:val="24"/>
                <w:lang w:val="en-IE"/>
              </w:rPr>
              <w:t xml:space="preserve"> Commission takes note of the EESC’s </w:t>
            </w:r>
            <w:r w:rsidR="00B52E33">
              <w:rPr>
                <w:rFonts w:ascii="Times New Roman" w:hAnsi="Times New Roman"/>
                <w:sz w:val="24"/>
                <w:szCs w:val="24"/>
                <w:lang w:val="en-IE"/>
              </w:rPr>
              <w:t>acknowledgement</w:t>
            </w:r>
            <w:r w:rsidR="00AB1762" w:rsidRPr="0099D9C7">
              <w:rPr>
                <w:rFonts w:ascii="Times New Roman" w:hAnsi="Times New Roman"/>
                <w:sz w:val="24"/>
                <w:szCs w:val="24"/>
                <w:lang w:val="en-IE"/>
              </w:rPr>
              <w:t xml:space="preserve"> that affordable housing contributes to economic, social, and territorial cohesion. </w:t>
            </w:r>
            <w:r w:rsidR="007B4D9F" w:rsidRPr="0099D9C7">
              <w:rPr>
                <w:rFonts w:ascii="Times New Roman" w:hAnsi="Times New Roman"/>
                <w:sz w:val="24"/>
                <w:szCs w:val="24"/>
                <w:lang w:val="en-IE"/>
              </w:rPr>
              <w:t>T</w:t>
            </w:r>
            <w:r w:rsidRPr="0099D9C7">
              <w:rPr>
                <w:rFonts w:ascii="Times New Roman" w:hAnsi="Times New Roman"/>
                <w:sz w:val="24"/>
                <w:szCs w:val="24"/>
                <w:lang w:val="en-IE"/>
              </w:rPr>
              <w:t>he European Affordable Housing Plan</w:t>
            </w:r>
            <w:r w:rsidR="00B84C84">
              <w:rPr>
                <w:rStyle w:val="FootnoteReference"/>
                <w:rFonts w:ascii="Times New Roman" w:hAnsi="Times New Roman"/>
                <w:sz w:val="24"/>
                <w:szCs w:val="24"/>
                <w:lang w:val="en-IE"/>
              </w:rPr>
              <w:footnoteReference w:id="10"/>
            </w:r>
            <w:r w:rsidRPr="0099D9C7">
              <w:rPr>
                <w:rFonts w:ascii="Times New Roman" w:hAnsi="Times New Roman"/>
                <w:sz w:val="24"/>
                <w:szCs w:val="24"/>
                <w:lang w:val="en-IE"/>
              </w:rPr>
              <w:t xml:space="preserve"> recognises the importance of addressing territorial disparities and promoting balanced development, including in rural and peripheral areas. </w:t>
            </w:r>
            <w:r w:rsidR="00C001F6" w:rsidRPr="0099D9C7">
              <w:rPr>
                <w:rFonts w:ascii="Times New Roman" w:hAnsi="Times New Roman"/>
                <w:sz w:val="24"/>
                <w:szCs w:val="24"/>
                <w:lang w:val="en-IE"/>
              </w:rPr>
              <w:t>The Commission believes that strengthening regional social economy ecosystems can stimulate job creation and foster community initiatives that help regions thrive</w:t>
            </w:r>
            <w:r w:rsidRPr="0099D9C7">
              <w:rPr>
                <w:rFonts w:ascii="Times New Roman" w:hAnsi="Times New Roman"/>
                <w:sz w:val="24"/>
                <w:szCs w:val="24"/>
                <w:lang w:val="en-IE"/>
              </w:rPr>
              <w:t xml:space="preserve">. Cohesion policy funds have </w:t>
            </w:r>
            <w:r w:rsidR="007B4D9F" w:rsidRPr="0099D9C7">
              <w:rPr>
                <w:rFonts w:ascii="Times New Roman" w:hAnsi="Times New Roman"/>
                <w:sz w:val="24"/>
                <w:szCs w:val="24"/>
                <w:lang w:val="en-IE"/>
              </w:rPr>
              <w:t xml:space="preserve">continuously </w:t>
            </w:r>
            <w:r w:rsidRPr="0099D9C7">
              <w:rPr>
                <w:rFonts w:ascii="Times New Roman" w:hAnsi="Times New Roman"/>
                <w:sz w:val="24"/>
                <w:szCs w:val="24"/>
                <w:lang w:val="en-IE"/>
              </w:rPr>
              <w:t xml:space="preserve">supported housing, transport, and other services to improve </w:t>
            </w:r>
            <w:r w:rsidR="00D4590F">
              <w:rPr>
                <w:rFonts w:ascii="Times New Roman" w:hAnsi="Times New Roman"/>
                <w:sz w:val="24"/>
                <w:szCs w:val="24"/>
                <w:lang w:val="en-IE"/>
              </w:rPr>
              <w:t xml:space="preserve">the </w:t>
            </w:r>
            <w:r w:rsidRPr="0099D9C7">
              <w:rPr>
                <w:rFonts w:ascii="Times New Roman" w:hAnsi="Times New Roman"/>
                <w:sz w:val="24"/>
                <w:szCs w:val="24"/>
                <w:lang w:val="en-IE"/>
              </w:rPr>
              <w:t>quality of life and attractiveness</w:t>
            </w:r>
            <w:r w:rsidR="00D4590F">
              <w:rPr>
                <w:rFonts w:ascii="Times New Roman" w:hAnsi="Times New Roman"/>
                <w:sz w:val="24"/>
                <w:szCs w:val="24"/>
                <w:lang w:val="en-IE"/>
              </w:rPr>
              <w:t xml:space="preserve"> of the areas concerned</w:t>
            </w:r>
            <w:r w:rsidRPr="0099D9C7">
              <w:rPr>
                <w:rFonts w:ascii="Times New Roman" w:hAnsi="Times New Roman"/>
                <w:sz w:val="24"/>
                <w:szCs w:val="24"/>
                <w:lang w:val="en-IE"/>
              </w:rPr>
              <w:t xml:space="preserve">. </w:t>
            </w:r>
            <w:r w:rsidR="00C001F6" w:rsidRPr="0099D9C7">
              <w:rPr>
                <w:rFonts w:ascii="Times New Roman" w:hAnsi="Times New Roman"/>
                <w:sz w:val="24"/>
                <w:szCs w:val="24"/>
                <w:lang w:val="en-IE"/>
              </w:rPr>
              <w:t>Additionally, the mid-term review of the cohesion policy</w:t>
            </w:r>
            <w:r w:rsidR="006456FF">
              <w:rPr>
                <w:rStyle w:val="FootnoteReference"/>
                <w:rFonts w:ascii="Times New Roman" w:hAnsi="Times New Roman"/>
                <w:sz w:val="24"/>
                <w:szCs w:val="24"/>
                <w:lang w:val="en-IE"/>
              </w:rPr>
              <w:footnoteReference w:id="11"/>
            </w:r>
            <w:r w:rsidR="00C001F6" w:rsidRPr="0099D9C7">
              <w:rPr>
                <w:rFonts w:ascii="Times New Roman" w:hAnsi="Times New Roman"/>
                <w:sz w:val="24"/>
                <w:szCs w:val="24"/>
                <w:lang w:val="en-IE"/>
              </w:rPr>
              <w:t xml:space="preserve"> published in 2025 allow</w:t>
            </w:r>
            <w:r w:rsidR="7E5E93A0" w:rsidRPr="0099D9C7">
              <w:rPr>
                <w:rFonts w:ascii="Times New Roman" w:hAnsi="Times New Roman"/>
                <w:sz w:val="24"/>
                <w:szCs w:val="24"/>
                <w:lang w:val="en-IE"/>
              </w:rPr>
              <w:t>ed</w:t>
            </w:r>
            <w:r w:rsidR="00C001F6" w:rsidRPr="0099D9C7">
              <w:rPr>
                <w:rFonts w:ascii="Times New Roman" w:hAnsi="Times New Roman"/>
                <w:sz w:val="24"/>
                <w:szCs w:val="24"/>
                <w:lang w:val="en-IE"/>
              </w:rPr>
              <w:t xml:space="preserve"> Member States to allocate additional funding for affordable housing</w:t>
            </w:r>
            <w:r w:rsidRPr="0099D9C7">
              <w:rPr>
                <w:rFonts w:ascii="Times New Roman" w:hAnsi="Times New Roman"/>
                <w:sz w:val="24"/>
                <w:szCs w:val="24"/>
                <w:lang w:val="en-IE"/>
              </w:rPr>
              <w:t xml:space="preserve">. Rural development support under the Common Agriculture Policy </w:t>
            </w:r>
            <w:r w:rsidR="007B4D9F" w:rsidRPr="0099D9C7">
              <w:rPr>
                <w:rFonts w:ascii="Times New Roman" w:hAnsi="Times New Roman"/>
                <w:sz w:val="24"/>
                <w:szCs w:val="24"/>
                <w:lang w:val="en-IE"/>
              </w:rPr>
              <w:t xml:space="preserve">contributes </w:t>
            </w:r>
            <w:r w:rsidRPr="0099D9C7">
              <w:rPr>
                <w:rFonts w:ascii="Times New Roman" w:hAnsi="Times New Roman"/>
                <w:sz w:val="24"/>
                <w:szCs w:val="24"/>
                <w:lang w:val="en-IE"/>
              </w:rPr>
              <w:t xml:space="preserve">to </w:t>
            </w:r>
            <w:r w:rsidR="007B4D9F" w:rsidRPr="0099D9C7">
              <w:rPr>
                <w:rFonts w:ascii="Times New Roman" w:hAnsi="Times New Roman"/>
                <w:sz w:val="24"/>
                <w:szCs w:val="24"/>
                <w:lang w:val="en-IE"/>
              </w:rPr>
              <w:t xml:space="preserve">enhancing </w:t>
            </w:r>
            <w:r w:rsidRPr="0099D9C7">
              <w:rPr>
                <w:rFonts w:ascii="Times New Roman" w:hAnsi="Times New Roman"/>
                <w:sz w:val="24"/>
                <w:szCs w:val="24"/>
                <w:lang w:val="en-IE"/>
              </w:rPr>
              <w:t>the quality of life and promoti</w:t>
            </w:r>
            <w:r w:rsidR="007B4D9F" w:rsidRPr="0099D9C7">
              <w:rPr>
                <w:rFonts w:ascii="Times New Roman" w:hAnsi="Times New Roman"/>
                <w:sz w:val="24"/>
                <w:szCs w:val="24"/>
                <w:lang w:val="en-IE"/>
              </w:rPr>
              <w:t>ng</w:t>
            </w:r>
            <w:r w:rsidRPr="0099D9C7">
              <w:rPr>
                <w:rFonts w:ascii="Times New Roman" w:hAnsi="Times New Roman"/>
                <w:sz w:val="24"/>
                <w:szCs w:val="24"/>
                <w:lang w:val="en-IE"/>
              </w:rPr>
              <w:t xml:space="preserve"> economic activity in </w:t>
            </w:r>
            <w:r w:rsidR="007B4D9F" w:rsidRPr="0099D9C7">
              <w:rPr>
                <w:rFonts w:ascii="Times New Roman" w:hAnsi="Times New Roman"/>
                <w:sz w:val="24"/>
                <w:szCs w:val="24"/>
                <w:lang w:val="en-IE"/>
              </w:rPr>
              <w:t xml:space="preserve">islands’ </w:t>
            </w:r>
            <w:r w:rsidRPr="0099D9C7">
              <w:rPr>
                <w:rFonts w:ascii="Times New Roman" w:hAnsi="Times New Roman"/>
                <w:sz w:val="24"/>
                <w:szCs w:val="24"/>
                <w:lang w:val="en-IE"/>
              </w:rPr>
              <w:t xml:space="preserve">rural areas, notably under </w:t>
            </w:r>
            <w:r w:rsidR="00D4590F">
              <w:rPr>
                <w:rFonts w:ascii="Times New Roman" w:hAnsi="Times New Roman"/>
                <w:sz w:val="24"/>
                <w:szCs w:val="24"/>
                <w:lang w:val="en-IE"/>
              </w:rPr>
              <w:t xml:space="preserve">the </w:t>
            </w:r>
            <w:r w:rsidRPr="0099D9C7">
              <w:rPr>
                <w:rFonts w:ascii="Times New Roman" w:hAnsi="Times New Roman"/>
                <w:sz w:val="24"/>
                <w:szCs w:val="24"/>
                <w:lang w:val="en-IE"/>
              </w:rPr>
              <w:t>LEADER approach</w:t>
            </w:r>
            <w:r w:rsidR="007B4D9F" w:rsidRPr="0099D9C7">
              <w:rPr>
                <w:rFonts w:ascii="Times New Roman" w:hAnsi="Times New Roman"/>
                <w:sz w:val="24"/>
                <w:szCs w:val="24"/>
                <w:lang w:val="en-IE"/>
              </w:rPr>
              <w:t>.</w:t>
            </w:r>
          </w:p>
          <w:p w14:paraId="2EAFE4A4" w14:textId="7CE05225" w:rsidR="00C6050E" w:rsidRPr="0045066F" w:rsidRDefault="00BB0ADD" w:rsidP="00324F19">
            <w:pPr>
              <w:spacing w:before="120" w:after="120"/>
              <w:jc w:val="both"/>
              <w:rPr>
                <w:rFonts w:ascii="Times New Roman" w:hAnsi="Times New Roman"/>
                <w:sz w:val="24"/>
                <w:szCs w:val="24"/>
              </w:rPr>
            </w:pPr>
            <w:r w:rsidRPr="6DB6287C">
              <w:rPr>
                <w:rFonts w:ascii="Times New Roman" w:eastAsia="Times New Roman" w:hAnsi="Times New Roman"/>
                <w:sz w:val="24"/>
                <w:szCs w:val="24"/>
                <w:u w:val="single"/>
                <w:lang w:val="en-IE"/>
              </w:rPr>
              <w:t>On point 2.5</w:t>
            </w:r>
            <w:r w:rsidR="001628F4">
              <w:rPr>
                <w:rFonts w:ascii="Times New Roman" w:eastAsia="Times New Roman" w:hAnsi="Times New Roman"/>
                <w:sz w:val="24"/>
                <w:szCs w:val="24"/>
                <w:lang w:val="en-IE"/>
              </w:rPr>
              <w:t>, t</w:t>
            </w:r>
            <w:r w:rsidR="00C6050E" w:rsidRPr="0045066F">
              <w:rPr>
                <w:rFonts w:ascii="Times New Roman" w:hAnsi="Times New Roman"/>
                <w:sz w:val="24"/>
                <w:szCs w:val="24"/>
              </w:rPr>
              <w:t>he Commission's ‘Clean energy for EU islands’ initiative</w:t>
            </w:r>
            <w:r w:rsidR="00C6050E" w:rsidRPr="0045066F">
              <w:rPr>
                <w:rFonts w:ascii="Times New Roman" w:hAnsi="Times New Roman"/>
                <w:sz w:val="24"/>
                <w:szCs w:val="24"/>
                <w:vertAlign w:val="superscript"/>
              </w:rPr>
              <w:footnoteReference w:id="12"/>
            </w:r>
            <w:r w:rsidR="00C6050E" w:rsidRPr="0045066F">
              <w:rPr>
                <w:rFonts w:ascii="Times New Roman" w:hAnsi="Times New Roman"/>
                <w:sz w:val="24"/>
                <w:szCs w:val="24"/>
              </w:rPr>
              <w:t xml:space="preserve"> accelerates decarbonisation of islands’ energy systems and facilitates exchange of best practices. Furthermore, the EU's trans-European transport network policy</w:t>
            </w:r>
            <w:r w:rsidR="00C6050E" w:rsidRPr="0045066F">
              <w:rPr>
                <w:rFonts w:ascii="Times New Roman" w:hAnsi="Times New Roman"/>
                <w:sz w:val="24"/>
                <w:szCs w:val="24"/>
                <w:vertAlign w:val="superscript"/>
              </w:rPr>
              <w:footnoteReference w:id="13"/>
            </w:r>
            <w:r w:rsidR="00C6050E" w:rsidRPr="0045066F">
              <w:rPr>
                <w:rFonts w:ascii="Times New Roman" w:hAnsi="Times New Roman"/>
                <w:sz w:val="24"/>
                <w:szCs w:val="24"/>
              </w:rPr>
              <w:t xml:space="preserve"> incorporates the new concept of a European Maritime Space to strengthen the</w:t>
            </w:r>
            <w:r w:rsidR="00CC76CF">
              <w:rPr>
                <w:rFonts w:ascii="Times New Roman" w:hAnsi="Times New Roman"/>
                <w:sz w:val="24"/>
                <w:szCs w:val="24"/>
              </w:rPr>
              <w:t> </w:t>
            </w:r>
            <w:r w:rsidR="00C6050E" w:rsidRPr="0045066F">
              <w:rPr>
                <w:rFonts w:ascii="Times New Roman" w:hAnsi="Times New Roman"/>
                <w:sz w:val="24"/>
                <w:szCs w:val="24"/>
              </w:rPr>
              <w:t>integration of islands into the European Single Market and advance territorial cohesion.</w:t>
            </w:r>
          </w:p>
          <w:p w14:paraId="051C9E3C" w14:textId="0931210D" w:rsidR="00BB0ADD" w:rsidRDefault="00BB0ADD" w:rsidP="00324F19">
            <w:pPr>
              <w:spacing w:before="120" w:after="120"/>
              <w:jc w:val="both"/>
              <w:rPr>
                <w:rFonts w:ascii="Times New Roman" w:eastAsia="Times New Roman" w:hAnsi="Times New Roman"/>
                <w:sz w:val="24"/>
                <w:szCs w:val="24"/>
                <w:lang w:val="en-IE"/>
              </w:rPr>
            </w:pPr>
            <w:r>
              <w:rPr>
                <w:rFonts w:ascii="Times New Roman" w:eastAsia="Times New Roman" w:hAnsi="Times New Roman"/>
                <w:sz w:val="24"/>
                <w:szCs w:val="24"/>
                <w:lang w:val="en-IE"/>
              </w:rPr>
              <w:t>T</w:t>
            </w:r>
            <w:r w:rsidRPr="009A3340">
              <w:rPr>
                <w:rFonts w:ascii="Times New Roman" w:eastAsia="Times New Roman" w:hAnsi="Times New Roman"/>
                <w:sz w:val="24"/>
                <w:szCs w:val="24"/>
                <w:lang w:val="en-IE"/>
              </w:rPr>
              <w:t xml:space="preserve">he Commission </w:t>
            </w:r>
            <w:r>
              <w:rPr>
                <w:rFonts w:ascii="Times New Roman" w:eastAsia="Times New Roman" w:hAnsi="Times New Roman"/>
                <w:sz w:val="24"/>
                <w:szCs w:val="24"/>
                <w:lang w:val="en-IE"/>
              </w:rPr>
              <w:t xml:space="preserve">supports Member States though </w:t>
            </w:r>
            <w:r w:rsidRPr="009A3340">
              <w:rPr>
                <w:rFonts w:ascii="Times New Roman" w:eastAsia="Times New Roman" w:hAnsi="Times New Roman"/>
                <w:sz w:val="24"/>
                <w:szCs w:val="24"/>
                <w:lang w:val="en-IE"/>
              </w:rPr>
              <w:t>EU Solidarity schemes</w:t>
            </w:r>
            <w:r>
              <w:rPr>
                <w:rFonts w:ascii="Times New Roman" w:eastAsia="Times New Roman" w:hAnsi="Times New Roman"/>
                <w:sz w:val="24"/>
                <w:szCs w:val="24"/>
                <w:lang w:val="en-IE"/>
              </w:rPr>
              <w:t xml:space="preserve">, such as </w:t>
            </w:r>
            <w:r w:rsidRPr="009A3340">
              <w:rPr>
                <w:rFonts w:ascii="Times New Roman" w:eastAsia="Times New Roman" w:hAnsi="Times New Roman"/>
                <w:sz w:val="24"/>
                <w:szCs w:val="24"/>
                <w:lang w:val="en-IE"/>
              </w:rPr>
              <w:t xml:space="preserve">relocation of asylum seekers to other Member </w:t>
            </w:r>
            <w:r w:rsidR="007B4D9F">
              <w:rPr>
                <w:rFonts w:ascii="Times New Roman" w:eastAsia="Times New Roman" w:hAnsi="Times New Roman"/>
                <w:sz w:val="24"/>
                <w:szCs w:val="24"/>
                <w:lang w:val="en-IE"/>
              </w:rPr>
              <w:t>S</w:t>
            </w:r>
            <w:r w:rsidRPr="009A3340">
              <w:rPr>
                <w:rFonts w:ascii="Times New Roman" w:eastAsia="Times New Roman" w:hAnsi="Times New Roman"/>
                <w:sz w:val="24"/>
                <w:szCs w:val="24"/>
                <w:lang w:val="en-IE"/>
              </w:rPr>
              <w:t xml:space="preserve">tates and </w:t>
            </w:r>
            <w:r>
              <w:rPr>
                <w:rFonts w:ascii="Times New Roman" w:eastAsia="Times New Roman" w:hAnsi="Times New Roman"/>
                <w:sz w:val="24"/>
                <w:szCs w:val="24"/>
                <w:lang w:val="en-IE"/>
              </w:rPr>
              <w:t xml:space="preserve">dedicated </w:t>
            </w:r>
            <w:r w:rsidRPr="009A3340">
              <w:rPr>
                <w:rFonts w:ascii="Times New Roman" w:eastAsia="Times New Roman" w:hAnsi="Times New Roman"/>
                <w:sz w:val="24"/>
                <w:szCs w:val="24"/>
                <w:lang w:val="en-IE"/>
              </w:rPr>
              <w:t>financial support</w:t>
            </w:r>
            <w:r>
              <w:rPr>
                <w:rFonts w:ascii="Times New Roman" w:eastAsia="Times New Roman" w:hAnsi="Times New Roman"/>
                <w:sz w:val="24"/>
                <w:szCs w:val="24"/>
                <w:lang w:val="en-IE"/>
              </w:rPr>
              <w:t>, helping them address issues related to migration.</w:t>
            </w:r>
            <w:r w:rsidRPr="009A3340">
              <w:rPr>
                <w:rFonts w:ascii="Times New Roman" w:eastAsia="Times New Roman" w:hAnsi="Times New Roman"/>
                <w:sz w:val="24"/>
                <w:szCs w:val="24"/>
                <w:lang w:val="en-IE"/>
              </w:rPr>
              <w:t xml:space="preserve"> </w:t>
            </w:r>
            <w:r>
              <w:rPr>
                <w:rFonts w:ascii="Times New Roman" w:eastAsia="Times New Roman" w:hAnsi="Times New Roman"/>
                <w:sz w:val="24"/>
                <w:szCs w:val="24"/>
                <w:lang w:val="en-IE"/>
              </w:rPr>
              <w:t>Th</w:t>
            </w:r>
            <w:r w:rsidR="00D4590F">
              <w:rPr>
                <w:rFonts w:ascii="Times New Roman" w:eastAsia="Times New Roman" w:hAnsi="Times New Roman"/>
                <w:sz w:val="24"/>
                <w:szCs w:val="24"/>
                <w:lang w:val="en-IE"/>
              </w:rPr>
              <w:t>r</w:t>
            </w:r>
            <w:r>
              <w:rPr>
                <w:rFonts w:ascii="Times New Roman" w:eastAsia="Times New Roman" w:hAnsi="Times New Roman"/>
                <w:sz w:val="24"/>
                <w:szCs w:val="24"/>
                <w:lang w:val="en-IE"/>
              </w:rPr>
              <w:t>ough contingency plans for migration management required under the</w:t>
            </w:r>
            <w:r w:rsidRPr="00386D4A">
              <w:rPr>
                <w:rFonts w:ascii="Times New Roman" w:eastAsia="Times New Roman" w:hAnsi="Times New Roman"/>
                <w:sz w:val="24"/>
                <w:szCs w:val="24"/>
                <w:lang w:val="en-IE"/>
              </w:rPr>
              <w:t xml:space="preserve"> Asylum and Migration Management framework </w:t>
            </w:r>
            <w:r w:rsidR="006456FF">
              <w:rPr>
                <w:rFonts w:ascii="Times New Roman" w:eastAsia="Times New Roman" w:hAnsi="Times New Roman"/>
                <w:sz w:val="24"/>
                <w:szCs w:val="24"/>
                <w:lang w:val="en-IE"/>
              </w:rPr>
              <w:t>M</w:t>
            </w:r>
            <w:r>
              <w:rPr>
                <w:rFonts w:ascii="Times New Roman" w:eastAsia="Times New Roman" w:hAnsi="Times New Roman"/>
                <w:sz w:val="24"/>
                <w:szCs w:val="24"/>
                <w:lang w:val="en-IE"/>
              </w:rPr>
              <w:t xml:space="preserve">ember </w:t>
            </w:r>
            <w:r w:rsidR="006456FF">
              <w:rPr>
                <w:rFonts w:ascii="Times New Roman" w:eastAsia="Times New Roman" w:hAnsi="Times New Roman"/>
                <w:sz w:val="24"/>
                <w:szCs w:val="24"/>
                <w:lang w:val="en-IE"/>
              </w:rPr>
              <w:t>S</w:t>
            </w:r>
            <w:r>
              <w:rPr>
                <w:rFonts w:ascii="Times New Roman" w:eastAsia="Times New Roman" w:hAnsi="Times New Roman"/>
                <w:sz w:val="24"/>
                <w:szCs w:val="24"/>
                <w:lang w:val="en-IE"/>
              </w:rPr>
              <w:t xml:space="preserve">tates ensure better preparedness to manage migration </w:t>
            </w:r>
            <w:r>
              <w:rPr>
                <w:rFonts w:ascii="Times New Roman" w:eastAsia="Times New Roman" w:hAnsi="Times New Roman"/>
                <w:sz w:val="24"/>
                <w:szCs w:val="24"/>
                <w:lang w:val="en-IE"/>
              </w:rPr>
              <w:lastRenderedPageBreak/>
              <w:t>flows.</w:t>
            </w:r>
          </w:p>
          <w:p w14:paraId="2E7F7F92" w14:textId="41F8FC3C" w:rsidR="00BB0ADD" w:rsidRPr="009A3340" w:rsidRDefault="00BB0ADD" w:rsidP="00324F19">
            <w:pPr>
              <w:spacing w:before="120" w:after="120"/>
              <w:jc w:val="both"/>
              <w:rPr>
                <w:rFonts w:ascii="Times New Roman" w:eastAsia="Times New Roman" w:hAnsi="Times New Roman"/>
                <w:sz w:val="24"/>
                <w:szCs w:val="24"/>
                <w:lang w:val="en-IE"/>
              </w:rPr>
            </w:pPr>
            <w:r w:rsidRPr="009E2257">
              <w:rPr>
                <w:rFonts w:ascii="Times New Roman" w:eastAsia="Times New Roman" w:hAnsi="Times New Roman"/>
                <w:sz w:val="24"/>
                <w:szCs w:val="24"/>
              </w:rPr>
              <w:t xml:space="preserve">While these policies and legal frameworks primarily </w:t>
            </w:r>
            <w:r>
              <w:rPr>
                <w:rFonts w:ascii="Times New Roman" w:eastAsia="Times New Roman" w:hAnsi="Times New Roman"/>
                <w:sz w:val="24"/>
                <w:szCs w:val="24"/>
              </w:rPr>
              <w:t>address migration a</w:t>
            </w:r>
            <w:r w:rsidRPr="009E2257">
              <w:rPr>
                <w:rFonts w:ascii="Times New Roman" w:eastAsia="Times New Roman" w:hAnsi="Times New Roman"/>
                <w:sz w:val="24"/>
                <w:szCs w:val="24"/>
              </w:rPr>
              <w:t>t national level, the</w:t>
            </w:r>
            <w:r w:rsidR="006456FF">
              <w:rPr>
                <w:rFonts w:ascii="Times New Roman" w:eastAsia="Times New Roman" w:hAnsi="Times New Roman"/>
                <w:sz w:val="24"/>
                <w:szCs w:val="24"/>
              </w:rPr>
              <w:t> </w:t>
            </w:r>
            <w:r w:rsidRPr="009E2257">
              <w:rPr>
                <w:rFonts w:ascii="Times New Roman" w:eastAsia="Times New Roman" w:hAnsi="Times New Roman"/>
                <w:sz w:val="24"/>
                <w:szCs w:val="24"/>
              </w:rPr>
              <w:t xml:space="preserve">implementation of </w:t>
            </w:r>
            <w:r w:rsidR="007B4D9F">
              <w:rPr>
                <w:rFonts w:ascii="Times New Roman" w:eastAsia="Times New Roman" w:hAnsi="Times New Roman"/>
                <w:sz w:val="24"/>
                <w:szCs w:val="24"/>
              </w:rPr>
              <w:t>th</w:t>
            </w:r>
            <w:r w:rsidR="00D4590F">
              <w:rPr>
                <w:rFonts w:ascii="Times New Roman" w:eastAsia="Times New Roman" w:hAnsi="Times New Roman"/>
                <w:sz w:val="24"/>
                <w:szCs w:val="24"/>
              </w:rPr>
              <w:t>e relevant</w:t>
            </w:r>
            <w:r w:rsidR="007B4D9F">
              <w:rPr>
                <w:rFonts w:ascii="Times New Roman" w:eastAsia="Times New Roman" w:hAnsi="Times New Roman"/>
                <w:sz w:val="24"/>
                <w:szCs w:val="24"/>
              </w:rPr>
              <w:t xml:space="preserve"> </w:t>
            </w:r>
            <w:r w:rsidRPr="009E2257">
              <w:rPr>
                <w:rFonts w:ascii="Times New Roman" w:eastAsia="Times New Roman" w:hAnsi="Times New Roman"/>
                <w:sz w:val="24"/>
                <w:szCs w:val="24"/>
              </w:rPr>
              <w:t>provisions</w:t>
            </w:r>
            <w:r>
              <w:rPr>
                <w:rFonts w:ascii="Times New Roman" w:eastAsia="Times New Roman" w:hAnsi="Times New Roman"/>
                <w:sz w:val="24"/>
                <w:szCs w:val="24"/>
              </w:rPr>
              <w:t xml:space="preserve">, </w:t>
            </w:r>
            <w:r w:rsidRPr="009E2257">
              <w:rPr>
                <w:rFonts w:ascii="Times New Roman" w:eastAsia="Times New Roman" w:hAnsi="Times New Roman"/>
                <w:sz w:val="24"/>
                <w:szCs w:val="24"/>
              </w:rPr>
              <w:t xml:space="preserve">such as screening, border procedures, reception and integration, is operationalised </w:t>
            </w:r>
            <w:r>
              <w:rPr>
                <w:rFonts w:ascii="Times New Roman" w:eastAsia="Times New Roman" w:hAnsi="Times New Roman"/>
                <w:sz w:val="24"/>
                <w:szCs w:val="24"/>
              </w:rPr>
              <w:t>i</w:t>
            </w:r>
            <w:r w:rsidRPr="009E2257">
              <w:rPr>
                <w:rFonts w:ascii="Times New Roman" w:eastAsia="Times New Roman" w:hAnsi="Times New Roman"/>
                <w:sz w:val="24"/>
                <w:szCs w:val="24"/>
              </w:rPr>
              <w:t xml:space="preserve">n </w:t>
            </w:r>
            <w:r w:rsidR="007B4D9F">
              <w:rPr>
                <w:rFonts w:ascii="Times New Roman" w:eastAsia="Times New Roman" w:hAnsi="Times New Roman"/>
                <w:sz w:val="24"/>
                <w:szCs w:val="24"/>
              </w:rPr>
              <w:t xml:space="preserve">regions and </w:t>
            </w:r>
            <w:r w:rsidRPr="009E2257">
              <w:rPr>
                <w:rFonts w:ascii="Times New Roman" w:eastAsia="Times New Roman" w:hAnsi="Times New Roman"/>
                <w:sz w:val="24"/>
                <w:szCs w:val="24"/>
              </w:rPr>
              <w:t>island</w:t>
            </w:r>
            <w:r w:rsidR="007B4D9F">
              <w:rPr>
                <w:rFonts w:ascii="Times New Roman" w:eastAsia="Times New Roman" w:hAnsi="Times New Roman"/>
                <w:sz w:val="24"/>
                <w:szCs w:val="24"/>
              </w:rPr>
              <w:t>s</w:t>
            </w:r>
            <w:r w:rsidRPr="009E2257">
              <w:rPr>
                <w:rFonts w:ascii="Times New Roman" w:eastAsia="Times New Roman" w:hAnsi="Times New Roman"/>
                <w:sz w:val="24"/>
                <w:szCs w:val="24"/>
              </w:rPr>
              <w:t xml:space="preserve"> of Member States, including, inter alia, the Greek islands, the</w:t>
            </w:r>
            <w:r w:rsidR="006456FF">
              <w:rPr>
                <w:rFonts w:ascii="Times New Roman" w:eastAsia="Times New Roman" w:hAnsi="Times New Roman"/>
                <w:sz w:val="24"/>
                <w:szCs w:val="24"/>
              </w:rPr>
              <w:t> </w:t>
            </w:r>
            <w:r w:rsidRPr="009E2257">
              <w:rPr>
                <w:rFonts w:ascii="Times New Roman" w:eastAsia="Times New Roman" w:hAnsi="Times New Roman"/>
                <w:sz w:val="24"/>
                <w:szCs w:val="24"/>
              </w:rPr>
              <w:t>Canary Islands, the</w:t>
            </w:r>
            <w:r w:rsidR="006456FF">
              <w:rPr>
                <w:rFonts w:ascii="Times New Roman" w:eastAsia="Times New Roman" w:hAnsi="Times New Roman"/>
                <w:sz w:val="24"/>
                <w:szCs w:val="24"/>
              </w:rPr>
              <w:t> </w:t>
            </w:r>
            <w:r w:rsidRPr="009E2257">
              <w:rPr>
                <w:rFonts w:ascii="Times New Roman" w:eastAsia="Times New Roman" w:hAnsi="Times New Roman"/>
                <w:sz w:val="24"/>
                <w:szCs w:val="24"/>
              </w:rPr>
              <w:t>Balearic Islands and Sicily</w:t>
            </w:r>
            <w:r w:rsidR="007B4D9F">
              <w:rPr>
                <w:rFonts w:ascii="Times New Roman" w:eastAsia="Times New Roman" w:hAnsi="Times New Roman"/>
                <w:sz w:val="24"/>
                <w:szCs w:val="24"/>
              </w:rPr>
              <w:t>.</w:t>
            </w:r>
            <w:r>
              <w:rPr>
                <w:rFonts w:ascii="Times New Roman" w:eastAsia="Times New Roman" w:hAnsi="Times New Roman"/>
                <w:sz w:val="24"/>
                <w:szCs w:val="24"/>
              </w:rPr>
              <w:t xml:space="preserve"> </w:t>
            </w:r>
            <w:r w:rsidRPr="009E2257">
              <w:rPr>
                <w:rFonts w:ascii="Times New Roman" w:eastAsia="Times New Roman" w:hAnsi="Times New Roman"/>
                <w:sz w:val="24"/>
                <w:szCs w:val="24"/>
                <w:lang w:val="en-IE"/>
              </w:rPr>
              <w:t xml:space="preserve">Additionally, the Commission provides operational support to Member States </w:t>
            </w:r>
            <w:r w:rsidR="007B4D9F">
              <w:rPr>
                <w:rFonts w:ascii="Times New Roman" w:eastAsia="Times New Roman" w:hAnsi="Times New Roman"/>
                <w:sz w:val="24"/>
                <w:szCs w:val="24"/>
                <w:lang w:val="en-IE"/>
              </w:rPr>
              <w:t>though</w:t>
            </w:r>
            <w:r w:rsidRPr="009E2257">
              <w:rPr>
                <w:rFonts w:ascii="Times New Roman" w:eastAsia="Times New Roman" w:hAnsi="Times New Roman"/>
                <w:sz w:val="24"/>
                <w:szCs w:val="24"/>
                <w:lang w:val="en-IE"/>
              </w:rPr>
              <w:t xml:space="preserve"> EU Agencies</w:t>
            </w:r>
            <w:r w:rsidR="006456FF">
              <w:rPr>
                <w:rFonts w:ascii="Times New Roman" w:eastAsia="Times New Roman" w:hAnsi="Times New Roman"/>
                <w:sz w:val="24"/>
                <w:szCs w:val="24"/>
                <w:lang w:val="en-IE"/>
              </w:rPr>
              <w:t> </w:t>
            </w:r>
            <w:r w:rsidRPr="009E2257">
              <w:rPr>
                <w:rFonts w:ascii="Times New Roman" w:eastAsia="Times New Roman" w:hAnsi="Times New Roman"/>
                <w:sz w:val="24"/>
                <w:szCs w:val="24"/>
                <w:lang w:val="en-IE"/>
              </w:rPr>
              <w:t>(</w:t>
            </w:r>
            <w:r w:rsidR="006456FF">
              <w:rPr>
                <w:rFonts w:ascii="Times New Roman" w:eastAsia="Times New Roman" w:hAnsi="Times New Roman"/>
                <w:sz w:val="24"/>
                <w:szCs w:val="24"/>
                <w:lang w:val="en-IE"/>
              </w:rPr>
              <w:t>the</w:t>
            </w:r>
            <w:r w:rsidR="006456FF" w:rsidRPr="006456FF">
              <w:rPr>
                <w:rFonts w:ascii="Times New Roman" w:eastAsia="Times New Roman" w:hAnsi="Times New Roman"/>
                <w:sz w:val="24"/>
                <w:szCs w:val="24"/>
              </w:rPr>
              <w:t xml:space="preserve"> European Border and Coast Guard Agency</w:t>
            </w:r>
            <w:r w:rsidR="006456FF">
              <w:rPr>
                <w:rFonts w:ascii="Times New Roman" w:eastAsia="Times New Roman" w:hAnsi="Times New Roman"/>
                <w:sz w:val="24"/>
                <w:szCs w:val="24"/>
                <w:lang w:val="en-IE"/>
              </w:rPr>
              <w:t> (</w:t>
            </w:r>
            <w:r w:rsidRPr="009E2257">
              <w:rPr>
                <w:rFonts w:ascii="Times New Roman" w:eastAsia="Times New Roman" w:hAnsi="Times New Roman"/>
                <w:sz w:val="24"/>
                <w:szCs w:val="24"/>
                <w:lang w:val="en-IE"/>
              </w:rPr>
              <w:t>Frontex</w:t>
            </w:r>
            <w:r w:rsidR="006456FF">
              <w:rPr>
                <w:rFonts w:ascii="Times New Roman" w:eastAsia="Times New Roman" w:hAnsi="Times New Roman"/>
                <w:sz w:val="24"/>
                <w:szCs w:val="24"/>
                <w:lang w:val="en-IE"/>
              </w:rPr>
              <w:t>)</w:t>
            </w:r>
            <w:r w:rsidRPr="009E2257">
              <w:rPr>
                <w:rFonts w:ascii="Times New Roman" w:eastAsia="Times New Roman" w:hAnsi="Times New Roman"/>
                <w:sz w:val="24"/>
                <w:szCs w:val="24"/>
                <w:lang w:val="en-IE"/>
              </w:rPr>
              <w:t xml:space="preserve">, </w:t>
            </w:r>
            <w:r w:rsidR="006A6C09" w:rsidRPr="006A6C09">
              <w:rPr>
                <w:rFonts w:ascii="Times New Roman" w:eastAsia="Times New Roman" w:hAnsi="Times New Roman"/>
                <w:sz w:val="24"/>
                <w:szCs w:val="24"/>
              </w:rPr>
              <w:t>the</w:t>
            </w:r>
            <w:r w:rsidR="006A6C09">
              <w:rPr>
                <w:rFonts w:ascii="Times New Roman" w:eastAsia="Times New Roman" w:hAnsi="Times New Roman"/>
                <w:sz w:val="24"/>
                <w:szCs w:val="24"/>
              </w:rPr>
              <w:t xml:space="preserve"> </w:t>
            </w:r>
            <w:r w:rsidR="006A6C09" w:rsidRPr="001A5725">
              <w:rPr>
                <w:rFonts w:ascii="Times New Roman" w:eastAsia="Times New Roman" w:hAnsi="Times New Roman"/>
                <w:sz w:val="24"/>
                <w:szCs w:val="24"/>
              </w:rPr>
              <w:t>European Union Agency for Law Enforcement Cooperation</w:t>
            </w:r>
            <w:r w:rsidR="006A6C09">
              <w:rPr>
                <w:rFonts w:ascii="Times New Roman" w:eastAsia="Times New Roman" w:hAnsi="Times New Roman"/>
                <w:sz w:val="24"/>
                <w:szCs w:val="24"/>
                <w:lang w:val="en-IE"/>
              </w:rPr>
              <w:t> (</w:t>
            </w:r>
            <w:r w:rsidRPr="009E2257">
              <w:rPr>
                <w:rFonts w:ascii="Times New Roman" w:eastAsia="Times New Roman" w:hAnsi="Times New Roman"/>
                <w:sz w:val="24"/>
                <w:szCs w:val="24"/>
                <w:lang w:val="en-IE"/>
              </w:rPr>
              <w:t>Europol</w:t>
            </w:r>
            <w:r w:rsidR="00D4590F">
              <w:rPr>
                <w:rFonts w:ascii="Times New Roman" w:eastAsia="Times New Roman" w:hAnsi="Times New Roman"/>
                <w:sz w:val="24"/>
                <w:szCs w:val="24"/>
                <w:lang w:val="en-IE"/>
              </w:rPr>
              <w:t>)</w:t>
            </w:r>
            <w:r w:rsidRPr="009E2257">
              <w:rPr>
                <w:rFonts w:ascii="Times New Roman" w:eastAsia="Times New Roman" w:hAnsi="Times New Roman"/>
                <w:sz w:val="24"/>
                <w:szCs w:val="24"/>
                <w:lang w:val="en-IE"/>
              </w:rPr>
              <w:t xml:space="preserve">, </w:t>
            </w:r>
            <w:r w:rsidR="00D4590F">
              <w:rPr>
                <w:rFonts w:ascii="Times New Roman" w:eastAsia="Times New Roman" w:hAnsi="Times New Roman"/>
                <w:sz w:val="24"/>
                <w:szCs w:val="24"/>
                <w:lang w:val="en-IE"/>
              </w:rPr>
              <w:t xml:space="preserve">the </w:t>
            </w:r>
            <w:r w:rsidR="006456FF" w:rsidRPr="001A5725">
              <w:rPr>
                <w:rFonts w:ascii="Times New Roman" w:eastAsia="Times New Roman" w:hAnsi="Times New Roman"/>
                <w:sz w:val="24"/>
                <w:szCs w:val="24"/>
              </w:rPr>
              <w:t>European Union Agency for Asylum</w:t>
            </w:r>
            <w:r w:rsidR="006456FF">
              <w:rPr>
                <w:rFonts w:ascii="Times New Roman" w:eastAsia="Times New Roman" w:hAnsi="Times New Roman"/>
                <w:sz w:val="24"/>
                <w:szCs w:val="24"/>
                <w:lang w:val="en-IE"/>
              </w:rPr>
              <w:t> (</w:t>
            </w:r>
            <w:r w:rsidRPr="009E2257">
              <w:rPr>
                <w:rFonts w:ascii="Times New Roman" w:eastAsia="Times New Roman" w:hAnsi="Times New Roman"/>
                <w:sz w:val="24"/>
                <w:szCs w:val="24"/>
                <w:lang w:val="en-IE"/>
              </w:rPr>
              <w:t>EUAA</w:t>
            </w:r>
            <w:r w:rsidR="006456FF">
              <w:rPr>
                <w:rFonts w:ascii="Times New Roman" w:eastAsia="Times New Roman" w:hAnsi="Times New Roman"/>
                <w:sz w:val="24"/>
                <w:szCs w:val="24"/>
                <w:lang w:val="en-IE"/>
              </w:rPr>
              <w:t>)</w:t>
            </w:r>
            <w:r w:rsidRPr="009E2257">
              <w:rPr>
                <w:rFonts w:ascii="Times New Roman" w:eastAsia="Times New Roman" w:hAnsi="Times New Roman"/>
                <w:sz w:val="24"/>
                <w:szCs w:val="24"/>
                <w:lang w:val="en-IE"/>
              </w:rPr>
              <w:t xml:space="preserve"> on migration management and security on the ground</w:t>
            </w:r>
            <w:r w:rsidR="007B4D9F">
              <w:rPr>
                <w:rFonts w:ascii="Times New Roman" w:eastAsia="Times New Roman" w:hAnsi="Times New Roman"/>
                <w:sz w:val="24"/>
                <w:szCs w:val="24"/>
                <w:lang w:val="en-IE"/>
              </w:rPr>
              <w:t xml:space="preserve">, </w:t>
            </w:r>
            <w:r w:rsidRPr="009E2257">
              <w:rPr>
                <w:rFonts w:ascii="Times New Roman" w:eastAsia="Times New Roman" w:hAnsi="Times New Roman"/>
                <w:sz w:val="24"/>
                <w:szCs w:val="24"/>
                <w:lang w:val="en-IE"/>
              </w:rPr>
              <w:t>including trainings.</w:t>
            </w:r>
          </w:p>
          <w:p w14:paraId="43E36B78" w14:textId="7A558B6E" w:rsidR="00BB0ADD" w:rsidRDefault="00BB0ADD" w:rsidP="00324F19">
            <w:pPr>
              <w:spacing w:before="120" w:after="120"/>
              <w:jc w:val="both"/>
              <w:rPr>
                <w:rFonts w:ascii="Times New Roman" w:hAnsi="Times New Roman"/>
                <w:b/>
                <w:sz w:val="24"/>
                <w:szCs w:val="24"/>
                <w:lang w:val="en-IE"/>
              </w:rPr>
            </w:pPr>
            <w:r w:rsidRPr="003A2B11">
              <w:rPr>
                <w:rFonts w:ascii="Times New Roman" w:eastAsia="Times New Roman" w:hAnsi="Times New Roman"/>
                <w:sz w:val="24"/>
                <w:szCs w:val="24"/>
                <w:lang w:val="en-IE"/>
              </w:rPr>
              <w:t xml:space="preserve">To support Member States in addressing security challenges and </w:t>
            </w:r>
            <w:r w:rsidR="00D4590F">
              <w:rPr>
                <w:rFonts w:ascii="Times New Roman" w:eastAsia="Times New Roman" w:hAnsi="Times New Roman"/>
                <w:sz w:val="24"/>
                <w:szCs w:val="24"/>
                <w:lang w:val="en-IE"/>
              </w:rPr>
              <w:t xml:space="preserve">drug </w:t>
            </w:r>
            <w:r w:rsidRPr="003A2B11">
              <w:rPr>
                <w:rFonts w:ascii="Times New Roman" w:eastAsia="Times New Roman" w:hAnsi="Times New Roman"/>
                <w:sz w:val="24"/>
                <w:szCs w:val="24"/>
                <w:lang w:val="en-IE"/>
              </w:rPr>
              <w:t xml:space="preserve">trafficking in maritime and coastal areas, the Commission has implemented several measures to </w:t>
            </w:r>
            <w:r w:rsidR="007B4D9F">
              <w:rPr>
                <w:rFonts w:ascii="Times New Roman" w:eastAsia="Times New Roman" w:hAnsi="Times New Roman"/>
                <w:sz w:val="24"/>
                <w:szCs w:val="24"/>
                <w:lang w:val="en-IE"/>
              </w:rPr>
              <w:t>support</w:t>
            </w:r>
            <w:r w:rsidRPr="003A2B11">
              <w:rPr>
                <w:rFonts w:ascii="Times New Roman" w:eastAsia="Times New Roman" w:hAnsi="Times New Roman"/>
                <w:sz w:val="24"/>
                <w:szCs w:val="24"/>
                <w:lang w:val="en-IE"/>
              </w:rPr>
              <w:t xml:space="preserve"> islands. These include the Action Plan against Drug Trafficking</w:t>
            </w:r>
            <w:r w:rsidR="006A6C09">
              <w:rPr>
                <w:rStyle w:val="FootnoteReference"/>
                <w:rFonts w:ascii="Times New Roman" w:eastAsia="Times New Roman" w:hAnsi="Times New Roman"/>
                <w:sz w:val="24"/>
                <w:szCs w:val="24"/>
                <w:lang w:val="en-IE"/>
              </w:rPr>
              <w:footnoteReference w:id="14"/>
            </w:r>
            <w:r w:rsidRPr="003A2B11">
              <w:rPr>
                <w:rFonts w:ascii="Times New Roman" w:eastAsia="Times New Roman" w:hAnsi="Times New Roman"/>
                <w:sz w:val="24"/>
                <w:szCs w:val="24"/>
                <w:lang w:val="en-IE"/>
              </w:rPr>
              <w:t>, initiatives under the European Ports Alliance Public-Private Partnership</w:t>
            </w:r>
            <w:r w:rsidR="006A6C09">
              <w:rPr>
                <w:rStyle w:val="FootnoteReference"/>
                <w:rFonts w:ascii="Times New Roman" w:eastAsia="Times New Roman" w:hAnsi="Times New Roman"/>
                <w:sz w:val="24"/>
                <w:szCs w:val="24"/>
                <w:lang w:val="en-IE"/>
              </w:rPr>
              <w:footnoteReference w:id="15"/>
            </w:r>
            <w:r w:rsidRPr="003A2B11">
              <w:rPr>
                <w:rFonts w:ascii="Times New Roman" w:eastAsia="Times New Roman" w:hAnsi="Times New Roman"/>
                <w:sz w:val="24"/>
                <w:szCs w:val="24"/>
                <w:lang w:val="en-IE"/>
              </w:rPr>
              <w:t>, law enforcement and judicial actions against organised drug-related crimes through the</w:t>
            </w:r>
            <w:r w:rsidR="00CC76CF">
              <w:rPr>
                <w:rFonts w:ascii="Times New Roman" w:eastAsia="Times New Roman" w:hAnsi="Times New Roman"/>
                <w:sz w:val="24"/>
                <w:szCs w:val="24"/>
                <w:lang w:val="en-IE"/>
              </w:rPr>
              <w:t> </w:t>
            </w:r>
            <w:r w:rsidRPr="003A2B11">
              <w:rPr>
                <w:rFonts w:ascii="Times New Roman" w:eastAsia="Times New Roman" w:hAnsi="Times New Roman"/>
                <w:sz w:val="24"/>
                <w:szCs w:val="24"/>
                <w:lang w:val="en-IE"/>
              </w:rPr>
              <w:t>EMPACT instrument</w:t>
            </w:r>
            <w:r w:rsidR="006A6C09">
              <w:rPr>
                <w:rStyle w:val="FootnoteReference"/>
                <w:rFonts w:ascii="Times New Roman" w:eastAsia="Times New Roman" w:hAnsi="Times New Roman"/>
                <w:sz w:val="24"/>
                <w:szCs w:val="24"/>
                <w:lang w:val="en-IE"/>
              </w:rPr>
              <w:footnoteReference w:id="16"/>
            </w:r>
            <w:r w:rsidRPr="003A2B11">
              <w:rPr>
                <w:rFonts w:ascii="Times New Roman" w:eastAsia="Times New Roman" w:hAnsi="Times New Roman"/>
                <w:sz w:val="24"/>
                <w:szCs w:val="24"/>
                <w:lang w:val="en-IE"/>
              </w:rPr>
              <w:t>, and efforts by the international Maritime Analysis and Operations Centre for Narcotics</w:t>
            </w:r>
            <w:r w:rsidR="006A6C09">
              <w:rPr>
                <w:rFonts w:ascii="Times New Roman" w:eastAsia="Times New Roman" w:hAnsi="Times New Roman"/>
                <w:sz w:val="24"/>
                <w:szCs w:val="24"/>
                <w:lang w:val="en-IE"/>
              </w:rPr>
              <w:t> </w:t>
            </w:r>
            <w:r w:rsidRPr="003A2B11">
              <w:rPr>
                <w:rFonts w:ascii="Times New Roman" w:eastAsia="Times New Roman" w:hAnsi="Times New Roman"/>
                <w:sz w:val="24"/>
                <w:szCs w:val="24"/>
                <w:lang w:val="en-IE"/>
              </w:rPr>
              <w:t>(MAOC-N).</w:t>
            </w:r>
          </w:p>
          <w:p w14:paraId="0EB847EA" w14:textId="58F33F7B" w:rsidR="00BB0ADD" w:rsidRDefault="00BB0ADD" w:rsidP="00324F19">
            <w:pPr>
              <w:spacing w:before="120" w:after="120"/>
              <w:jc w:val="both"/>
              <w:rPr>
                <w:rFonts w:ascii="Times New Roman" w:eastAsia="Times New Roman" w:hAnsi="Times New Roman"/>
                <w:sz w:val="24"/>
                <w:szCs w:val="24"/>
                <w:lang w:val="en-IE"/>
              </w:rPr>
            </w:pPr>
            <w:r w:rsidRPr="001628F4">
              <w:rPr>
                <w:rFonts w:ascii="Times New Roman" w:eastAsia="Times New Roman" w:hAnsi="Times New Roman"/>
                <w:sz w:val="24"/>
                <w:szCs w:val="24"/>
                <w:u w:val="single"/>
                <w:lang w:val="en-IE"/>
              </w:rPr>
              <w:t>On point 3.1</w:t>
            </w:r>
            <w:r w:rsidR="001628F4" w:rsidRPr="001628F4">
              <w:rPr>
                <w:rFonts w:ascii="Times New Roman" w:eastAsia="Times New Roman" w:hAnsi="Times New Roman"/>
                <w:sz w:val="24"/>
                <w:szCs w:val="24"/>
                <w:lang w:val="en-IE"/>
              </w:rPr>
              <w:t>, c</w:t>
            </w:r>
            <w:r w:rsidRPr="001628F4">
              <w:rPr>
                <w:rFonts w:ascii="Times New Roman" w:eastAsia="Times New Roman" w:hAnsi="Times New Roman"/>
                <w:sz w:val="24"/>
                <w:szCs w:val="24"/>
                <w:lang w:val="en-IE"/>
              </w:rPr>
              <w:t>onsidering</w:t>
            </w:r>
            <w:r w:rsidRPr="00CF680D">
              <w:rPr>
                <w:rFonts w:ascii="Times New Roman" w:eastAsia="Times New Roman" w:hAnsi="Times New Roman"/>
                <w:sz w:val="24"/>
                <w:szCs w:val="24"/>
                <w:lang w:val="en-IE"/>
              </w:rPr>
              <w:t xml:space="preserve"> their territorial specificities, the EU Strategy for Islands will support authorities in planning and implementing policies tailored to the distinct geographical, economic and social conditions of island territories, thereby fostering resilience, promoting sustainable development, strengthening social cohesion, and enhancing quality of life. It will also support the design of national and regional partnership plans in the next programming period.</w:t>
            </w:r>
          </w:p>
          <w:p w14:paraId="29228407" w14:textId="6EB171ED" w:rsidR="0045066F" w:rsidRDefault="00316E57" w:rsidP="00324F19">
            <w:pPr>
              <w:spacing w:before="120" w:after="120"/>
              <w:jc w:val="both"/>
              <w:rPr>
                <w:rFonts w:ascii="Times New Roman" w:hAnsi="Times New Roman"/>
                <w:sz w:val="24"/>
                <w:szCs w:val="24"/>
                <w:lang w:val="en-IE"/>
              </w:rPr>
            </w:pPr>
            <w:r>
              <w:rPr>
                <w:rFonts w:ascii="Times New Roman" w:hAnsi="Times New Roman"/>
                <w:sz w:val="24"/>
                <w:szCs w:val="24"/>
                <w:u w:val="single"/>
                <w:lang w:val="en-IE"/>
              </w:rPr>
              <w:t>On p</w:t>
            </w:r>
            <w:r w:rsidR="0045066F" w:rsidRPr="6DB6287C">
              <w:rPr>
                <w:rFonts w:ascii="Times New Roman" w:hAnsi="Times New Roman"/>
                <w:sz w:val="24"/>
                <w:szCs w:val="24"/>
                <w:u w:val="single"/>
                <w:lang w:val="en-IE"/>
              </w:rPr>
              <w:t>oint 3.3</w:t>
            </w:r>
            <w:r w:rsidR="001628F4">
              <w:rPr>
                <w:rFonts w:ascii="Times New Roman" w:hAnsi="Times New Roman"/>
                <w:sz w:val="24"/>
                <w:szCs w:val="24"/>
                <w:lang w:val="en-IE"/>
              </w:rPr>
              <w:t>, t</w:t>
            </w:r>
            <w:r w:rsidR="009F4E3C" w:rsidRPr="009F4E3C">
              <w:rPr>
                <w:rFonts w:ascii="Times New Roman" w:hAnsi="Times New Roman"/>
                <w:sz w:val="24"/>
                <w:szCs w:val="24"/>
                <w:lang w:val="en-IE"/>
              </w:rPr>
              <w:t xml:space="preserve">he Commission welcomes the EESC's </w:t>
            </w:r>
            <w:r w:rsidR="00AA359A">
              <w:rPr>
                <w:rFonts w:ascii="Times New Roman" w:hAnsi="Times New Roman"/>
                <w:sz w:val="24"/>
                <w:szCs w:val="24"/>
                <w:lang w:val="en-IE"/>
              </w:rPr>
              <w:t>recognit</w:t>
            </w:r>
            <w:r w:rsidR="003A3C58">
              <w:rPr>
                <w:rFonts w:ascii="Times New Roman" w:hAnsi="Times New Roman"/>
                <w:sz w:val="24"/>
                <w:szCs w:val="24"/>
                <w:lang w:val="en-IE"/>
              </w:rPr>
              <w:t>ion</w:t>
            </w:r>
            <w:r w:rsidR="009F4E3C">
              <w:rPr>
                <w:rFonts w:ascii="Times New Roman" w:hAnsi="Times New Roman"/>
                <w:sz w:val="24"/>
                <w:szCs w:val="24"/>
                <w:lang w:val="en-IE"/>
              </w:rPr>
              <w:t xml:space="preserve"> </w:t>
            </w:r>
            <w:r w:rsidR="005B0D1B">
              <w:rPr>
                <w:rFonts w:ascii="Times New Roman" w:hAnsi="Times New Roman"/>
                <w:sz w:val="24"/>
                <w:szCs w:val="24"/>
                <w:lang w:val="en-IE"/>
              </w:rPr>
              <w:t>o</w:t>
            </w:r>
            <w:r>
              <w:rPr>
                <w:rFonts w:ascii="Times New Roman" w:hAnsi="Times New Roman"/>
                <w:sz w:val="24"/>
                <w:szCs w:val="24"/>
                <w:lang w:val="en-IE"/>
              </w:rPr>
              <w:t>f</w:t>
            </w:r>
            <w:r w:rsidR="005B0D1B">
              <w:rPr>
                <w:rFonts w:ascii="Times New Roman" w:hAnsi="Times New Roman"/>
                <w:sz w:val="24"/>
                <w:szCs w:val="24"/>
                <w:lang w:val="en-IE"/>
              </w:rPr>
              <w:t xml:space="preserve"> </w:t>
            </w:r>
            <w:r w:rsidR="000F472D" w:rsidRPr="000F472D">
              <w:rPr>
                <w:rFonts w:ascii="Times New Roman" w:hAnsi="Times New Roman"/>
                <w:sz w:val="24"/>
                <w:szCs w:val="24"/>
                <w:lang w:val="en-IE"/>
              </w:rPr>
              <w:t>the importance of land-sea interaction in Maritime Spatial Planning</w:t>
            </w:r>
            <w:r w:rsidR="00B84C84">
              <w:rPr>
                <w:rFonts w:ascii="Times New Roman" w:hAnsi="Times New Roman"/>
                <w:sz w:val="24"/>
                <w:szCs w:val="24"/>
                <w:lang w:val="en-IE"/>
              </w:rPr>
              <w:t> </w:t>
            </w:r>
            <w:r w:rsidR="000F472D" w:rsidRPr="000F472D">
              <w:rPr>
                <w:rFonts w:ascii="Times New Roman" w:hAnsi="Times New Roman"/>
                <w:sz w:val="24"/>
                <w:szCs w:val="24"/>
                <w:lang w:val="en-IE"/>
              </w:rPr>
              <w:t xml:space="preserve">(MSP). </w:t>
            </w:r>
            <w:r w:rsidR="0045066F">
              <w:rPr>
                <w:rFonts w:ascii="Times New Roman" w:hAnsi="Times New Roman"/>
                <w:sz w:val="24"/>
                <w:szCs w:val="24"/>
                <w:lang w:val="en-IE"/>
              </w:rPr>
              <w:t xml:space="preserve">Within the framework of the </w:t>
            </w:r>
            <w:r w:rsidR="0045066F" w:rsidRPr="009A3340">
              <w:rPr>
                <w:rFonts w:ascii="Times New Roman" w:hAnsi="Times New Roman"/>
                <w:sz w:val="24"/>
                <w:szCs w:val="24"/>
                <w:lang w:val="en-IE"/>
              </w:rPr>
              <w:t xml:space="preserve">European Ocean Pact </w:t>
            </w:r>
            <w:r w:rsidR="0045066F">
              <w:rPr>
                <w:rFonts w:ascii="Times New Roman" w:hAnsi="Times New Roman"/>
                <w:sz w:val="24"/>
                <w:szCs w:val="24"/>
                <w:lang w:val="en-IE"/>
              </w:rPr>
              <w:t xml:space="preserve">adopted </w:t>
            </w:r>
            <w:r w:rsidR="0045066F" w:rsidRPr="009A3340">
              <w:rPr>
                <w:rFonts w:ascii="Times New Roman" w:hAnsi="Times New Roman"/>
                <w:sz w:val="24"/>
                <w:szCs w:val="24"/>
                <w:lang w:val="en-IE"/>
              </w:rPr>
              <w:t>in June 2025</w:t>
            </w:r>
            <w:r w:rsidR="0045066F" w:rsidRPr="009A3340">
              <w:rPr>
                <w:rStyle w:val="FootnoteReference"/>
                <w:rFonts w:ascii="Times New Roman" w:hAnsi="Times New Roman"/>
                <w:sz w:val="24"/>
                <w:szCs w:val="24"/>
                <w:lang w:val="en-IE"/>
              </w:rPr>
              <w:footnoteReference w:id="17"/>
            </w:r>
            <w:r w:rsidR="0045066F" w:rsidRPr="009A3340">
              <w:rPr>
                <w:rFonts w:ascii="Times New Roman" w:hAnsi="Times New Roman"/>
                <w:sz w:val="24"/>
                <w:szCs w:val="24"/>
                <w:lang w:val="en-IE"/>
              </w:rPr>
              <w:t>, the Commission will propose an Ocean Act, building on a revision of the MSP Directive</w:t>
            </w:r>
            <w:r w:rsidR="006A6C09">
              <w:rPr>
                <w:rStyle w:val="FootnoteReference"/>
                <w:rFonts w:ascii="Times New Roman" w:hAnsi="Times New Roman"/>
                <w:sz w:val="24"/>
                <w:szCs w:val="24"/>
                <w:lang w:val="en-IE"/>
              </w:rPr>
              <w:footnoteReference w:id="18"/>
            </w:r>
            <w:r w:rsidR="0045066F">
              <w:rPr>
                <w:rFonts w:ascii="Times New Roman" w:hAnsi="Times New Roman"/>
                <w:sz w:val="24"/>
                <w:szCs w:val="24"/>
                <w:lang w:val="en-IE"/>
              </w:rPr>
              <w:t>.</w:t>
            </w:r>
            <w:r w:rsidR="0045066F" w:rsidRPr="009A3340">
              <w:rPr>
                <w:rFonts w:ascii="Times New Roman" w:hAnsi="Times New Roman"/>
                <w:sz w:val="24"/>
                <w:szCs w:val="24"/>
                <w:lang w:val="en-IE"/>
              </w:rPr>
              <w:t xml:space="preserve"> It will encompass land-sea interaction, together with the other key areas of maritime spatial planning: ecosystem-based approach, transboundary cooperation, public and stakeholder participation, and use of best available data.</w:t>
            </w:r>
          </w:p>
          <w:p w14:paraId="714B6399" w14:textId="20F51652" w:rsidR="00BB0ADD" w:rsidRDefault="0045066F" w:rsidP="00324F19">
            <w:pPr>
              <w:spacing w:before="120" w:after="120"/>
              <w:jc w:val="both"/>
              <w:rPr>
                <w:rFonts w:ascii="Times New Roman" w:hAnsi="Times New Roman"/>
                <w:sz w:val="24"/>
                <w:szCs w:val="24"/>
                <w:lang w:val="en-IE"/>
              </w:rPr>
            </w:pPr>
            <w:r w:rsidRPr="00BE6597">
              <w:rPr>
                <w:rFonts w:ascii="Times New Roman" w:hAnsi="Times New Roman"/>
                <w:sz w:val="24"/>
                <w:szCs w:val="24"/>
                <w:lang w:val="en-IE"/>
              </w:rPr>
              <w:t xml:space="preserve">Based on the </w:t>
            </w:r>
            <w:r w:rsidR="00075394">
              <w:rPr>
                <w:rFonts w:ascii="Times New Roman" w:hAnsi="Times New Roman"/>
                <w:sz w:val="24"/>
                <w:szCs w:val="24"/>
                <w:lang w:val="en-IE"/>
              </w:rPr>
              <w:t xml:space="preserve">European </w:t>
            </w:r>
            <w:r w:rsidRPr="00BE6597">
              <w:rPr>
                <w:rFonts w:ascii="Times New Roman" w:hAnsi="Times New Roman"/>
                <w:sz w:val="24"/>
                <w:szCs w:val="24"/>
                <w:lang w:val="en-IE"/>
              </w:rPr>
              <w:t xml:space="preserve">Ocean Pact, the Commission is </w:t>
            </w:r>
            <w:r w:rsidR="00355AF6">
              <w:rPr>
                <w:rFonts w:ascii="Times New Roman" w:hAnsi="Times New Roman"/>
                <w:sz w:val="24"/>
                <w:szCs w:val="24"/>
                <w:lang w:val="en-IE"/>
              </w:rPr>
              <w:t xml:space="preserve">also </w:t>
            </w:r>
            <w:r w:rsidRPr="00BE6597">
              <w:rPr>
                <w:rFonts w:ascii="Times New Roman" w:hAnsi="Times New Roman"/>
                <w:sz w:val="24"/>
                <w:szCs w:val="24"/>
                <w:lang w:val="en-IE"/>
              </w:rPr>
              <w:t>developing an EU Coastal Communities Strategy</w:t>
            </w:r>
            <w:r w:rsidR="006A6C09">
              <w:rPr>
                <w:rStyle w:val="FootnoteReference"/>
                <w:rFonts w:ascii="Times New Roman" w:hAnsi="Times New Roman"/>
                <w:sz w:val="24"/>
                <w:szCs w:val="24"/>
                <w:lang w:val="en-IE"/>
              </w:rPr>
              <w:footnoteReference w:id="19"/>
            </w:r>
            <w:r w:rsidRPr="00BE6597">
              <w:rPr>
                <w:rFonts w:ascii="Times New Roman" w:hAnsi="Times New Roman"/>
                <w:sz w:val="24"/>
                <w:szCs w:val="24"/>
                <w:lang w:val="en-IE"/>
              </w:rPr>
              <w:t xml:space="preserve"> to enhance support for </w:t>
            </w:r>
            <w:r w:rsidR="00355AF6">
              <w:rPr>
                <w:rFonts w:ascii="Times New Roman" w:hAnsi="Times New Roman"/>
                <w:sz w:val="24"/>
                <w:szCs w:val="24"/>
                <w:lang w:val="en-IE"/>
              </w:rPr>
              <w:t xml:space="preserve">all kind of </w:t>
            </w:r>
            <w:r w:rsidRPr="00BE6597">
              <w:rPr>
                <w:rFonts w:ascii="Times New Roman" w:hAnsi="Times New Roman"/>
                <w:sz w:val="24"/>
                <w:szCs w:val="24"/>
                <w:lang w:val="en-IE"/>
              </w:rPr>
              <w:t xml:space="preserve">coastal </w:t>
            </w:r>
            <w:r w:rsidR="00355AF6">
              <w:rPr>
                <w:rFonts w:ascii="Times New Roman" w:hAnsi="Times New Roman"/>
                <w:sz w:val="24"/>
                <w:szCs w:val="24"/>
                <w:lang w:val="en-IE"/>
              </w:rPr>
              <w:t>areas</w:t>
            </w:r>
            <w:r w:rsidRPr="00BE6597">
              <w:rPr>
                <w:rFonts w:ascii="Times New Roman" w:hAnsi="Times New Roman"/>
                <w:sz w:val="24"/>
                <w:szCs w:val="24"/>
                <w:lang w:val="en-IE"/>
              </w:rPr>
              <w:t>, aiming to address their structural challenges while unlocking their development potential</w:t>
            </w:r>
            <w:r>
              <w:rPr>
                <w:rFonts w:ascii="Times New Roman" w:hAnsi="Times New Roman"/>
                <w:sz w:val="24"/>
                <w:szCs w:val="24"/>
                <w:lang w:val="en-IE"/>
              </w:rPr>
              <w:t xml:space="preserve">. </w:t>
            </w:r>
            <w:r w:rsidRPr="00BE6597">
              <w:rPr>
                <w:rFonts w:ascii="Times New Roman" w:hAnsi="Times New Roman"/>
                <w:sz w:val="24"/>
                <w:szCs w:val="24"/>
                <w:lang w:val="en-IE"/>
              </w:rPr>
              <w:t>It aims to strengthen economic competitiveness, boost resilience to climate change, and ensure socially cohesive and vibrant communities.</w:t>
            </w:r>
          </w:p>
          <w:p w14:paraId="4440B51E" w14:textId="0917A33C" w:rsidR="00504DE2" w:rsidRPr="00506C69" w:rsidRDefault="00504DE2" w:rsidP="00324F19">
            <w:pPr>
              <w:spacing w:before="120" w:after="120"/>
              <w:jc w:val="both"/>
              <w:rPr>
                <w:rFonts w:ascii="Times New Roman" w:hAnsi="Times New Roman"/>
                <w:sz w:val="24"/>
                <w:szCs w:val="24"/>
              </w:rPr>
            </w:pPr>
            <w:r w:rsidRPr="6DB6287C">
              <w:rPr>
                <w:rFonts w:ascii="Times New Roman" w:hAnsi="Times New Roman"/>
                <w:sz w:val="24"/>
                <w:szCs w:val="24"/>
                <w:u w:val="single"/>
                <w:lang w:val="en-IE"/>
              </w:rPr>
              <w:t>On point 4.5</w:t>
            </w:r>
            <w:r w:rsidR="001628F4" w:rsidRPr="004F6638">
              <w:rPr>
                <w:rFonts w:ascii="Times New Roman" w:hAnsi="Times New Roman"/>
                <w:sz w:val="24"/>
                <w:szCs w:val="24"/>
                <w:lang w:val="en-IE"/>
              </w:rPr>
              <w:t xml:space="preserve">, </w:t>
            </w:r>
            <w:r>
              <w:rPr>
                <w:rFonts w:ascii="Times New Roman" w:hAnsi="Times New Roman"/>
                <w:sz w:val="24"/>
                <w:szCs w:val="24"/>
              </w:rPr>
              <w:t>EU i</w:t>
            </w:r>
            <w:r w:rsidRPr="76839281">
              <w:rPr>
                <w:rFonts w:ascii="Times New Roman" w:hAnsi="Times New Roman"/>
                <w:sz w:val="24"/>
                <w:szCs w:val="24"/>
              </w:rPr>
              <w:t xml:space="preserve">slands have always benefitted from </w:t>
            </w:r>
            <w:r>
              <w:rPr>
                <w:rFonts w:ascii="Times New Roman" w:hAnsi="Times New Roman"/>
                <w:sz w:val="24"/>
                <w:szCs w:val="24"/>
              </w:rPr>
              <w:t>c</w:t>
            </w:r>
            <w:r w:rsidRPr="76839281">
              <w:rPr>
                <w:rFonts w:ascii="Times New Roman" w:hAnsi="Times New Roman"/>
                <w:sz w:val="24"/>
                <w:szCs w:val="24"/>
              </w:rPr>
              <w:t xml:space="preserve">ohesion policy in line with the provisions of Article 174 TFEU, which underlines the need to pay </w:t>
            </w:r>
            <w:proofErr w:type="spellStart"/>
            <w:r w:rsidR="006A6C09">
              <w:rPr>
                <w:rFonts w:ascii="Times New Roman" w:hAnsi="Times New Roman"/>
                <w:sz w:val="24"/>
                <w:szCs w:val="24"/>
              </w:rPr>
              <w:t>ʻ</w:t>
            </w:r>
            <w:r w:rsidRPr="76839281">
              <w:rPr>
                <w:rFonts w:ascii="Times New Roman" w:hAnsi="Times New Roman"/>
                <w:sz w:val="24"/>
                <w:szCs w:val="24"/>
              </w:rPr>
              <w:t>particular</w:t>
            </w:r>
            <w:proofErr w:type="spellEnd"/>
            <w:r w:rsidRPr="76839281">
              <w:rPr>
                <w:rFonts w:ascii="Times New Roman" w:hAnsi="Times New Roman"/>
                <w:sz w:val="24"/>
                <w:szCs w:val="24"/>
              </w:rPr>
              <w:t xml:space="preserve"> attention</w:t>
            </w:r>
            <w:r w:rsidR="006A6C09">
              <w:rPr>
                <w:rFonts w:ascii="Times New Roman" w:hAnsi="Times New Roman"/>
                <w:sz w:val="24"/>
                <w:szCs w:val="24"/>
              </w:rPr>
              <w:t>’</w:t>
            </w:r>
            <w:r w:rsidRPr="76839281">
              <w:rPr>
                <w:rFonts w:ascii="Times New Roman" w:hAnsi="Times New Roman"/>
                <w:sz w:val="24"/>
                <w:szCs w:val="24"/>
              </w:rPr>
              <w:t xml:space="preserve"> to territories beset by serious or permanent geographic or demographic </w:t>
            </w:r>
            <w:r w:rsidR="00FF5274">
              <w:rPr>
                <w:rFonts w:ascii="Times New Roman" w:hAnsi="Times New Roman"/>
                <w:sz w:val="24"/>
                <w:szCs w:val="24"/>
              </w:rPr>
              <w:t>disadvantage</w:t>
            </w:r>
            <w:r w:rsidRPr="76839281">
              <w:rPr>
                <w:rFonts w:ascii="Times New Roman" w:hAnsi="Times New Roman"/>
                <w:sz w:val="24"/>
                <w:szCs w:val="24"/>
              </w:rPr>
              <w:t>s, including islands.</w:t>
            </w:r>
            <w:r>
              <w:t xml:space="preserve"> </w:t>
            </w:r>
            <w:r w:rsidRPr="0045066F">
              <w:rPr>
                <w:rFonts w:ascii="Times New Roman" w:hAnsi="Times New Roman"/>
                <w:sz w:val="24"/>
                <w:szCs w:val="24"/>
              </w:rPr>
              <w:t>In the 2021–2027 period, at least EUR</w:t>
            </w:r>
            <w:r w:rsidR="00E5647F">
              <w:rPr>
                <w:rFonts w:ascii="Times New Roman" w:hAnsi="Times New Roman"/>
                <w:sz w:val="24"/>
                <w:szCs w:val="24"/>
              </w:rPr>
              <w:t> </w:t>
            </w:r>
            <w:r w:rsidRPr="0045066F">
              <w:rPr>
                <w:rFonts w:ascii="Times New Roman" w:hAnsi="Times New Roman"/>
                <w:sz w:val="24"/>
                <w:szCs w:val="24"/>
              </w:rPr>
              <w:t>19.3</w:t>
            </w:r>
            <w:r w:rsidR="00E5647F">
              <w:rPr>
                <w:rFonts w:ascii="Times New Roman" w:hAnsi="Times New Roman"/>
                <w:sz w:val="24"/>
                <w:szCs w:val="24"/>
              </w:rPr>
              <w:t> </w:t>
            </w:r>
            <w:r w:rsidRPr="0045066F">
              <w:rPr>
                <w:rFonts w:ascii="Times New Roman" w:hAnsi="Times New Roman"/>
                <w:sz w:val="24"/>
                <w:szCs w:val="24"/>
              </w:rPr>
              <w:t>billion is allocated from cohesion policy</w:t>
            </w:r>
            <w:r w:rsidR="00FF5274">
              <w:rPr>
                <w:rFonts w:ascii="Times New Roman" w:hAnsi="Times New Roman"/>
                <w:sz w:val="24"/>
                <w:szCs w:val="24"/>
              </w:rPr>
              <w:t>,</w:t>
            </w:r>
            <w:r w:rsidRPr="0045066F">
              <w:rPr>
                <w:rFonts w:ascii="Times New Roman" w:hAnsi="Times New Roman"/>
                <w:sz w:val="24"/>
                <w:szCs w:val="24"/>
              </w:rPr>
              <w:t xml:space="preserve"> including </w:t>
            </w:r>
            <w:r w:rsidR="00E5647F">
              <w:rPr>
                <w:rFonts w:ascii="Times New Roman" w:hAnsi="Times New Roman"/>
                <w:sz w:val="24"/>
                <w:szCs w:val="24"/>
              </w:rPr>
              <w:t>t</w:t>
            </w:r>
            <w:r w:rsidR="00E5647F" w:rsidRPr="00E5647F">
              <w:rPr>
                <w:rFonts w:ascii="Times New Roman" w:hAnsi="Times New Roman"/>
                <w:sz w:val="24"/>
                <w:szCs w:val="24"/>
              </w:rPr>
              <w:t>he </w:t>
            </w:r>
            <w:r w:rsidR="00E5647F" w:rsidRPr="001A5725">
              <w:rPr>
                <w:rFonts w:ascii="Times New Roman" w:hAnsi="Times New Roman"/>
                <w:sz w:val="24"/>
                <w:szCs w:val="24"/>
              </w:rPr>
              <w:t>European Regional Development Fund</w:t>
            </w:r>
            <w:r w:rsidR="00E5647F">
              <w:rPr>
                <w:rFonts w:ascii="Times New Roman" w:hAnsi="Times New Roman"/>
                <w:sz w:val="24"/>
                <w:szCs w:val="24"/>
              </w:rPr>
              <w:t> (</w:t>
            </w:r>
            <w:r w:rsidRPr="0045066F">
              <w:rPr>
                <w:rFonts w:ascii="Times New Roman" w:hAnsi="Times New Roman"/>
                <w:sz w:val="24"/>
                <w:szCs w:val="24"/>
              </w:rPr>
              <w:t>ERDF</w:t>
            </w:r>
            <w:r w:rsidR="00E5647F">
              <w:rPr>
                <w:rFonts w:ascii="Times New Roman" w:hAnsi="Times New Roman"/>
                <w:sz w:val="24"/>
                <w:szCs w:val="24"/>
              </w:rPr>
              <w:t>)</w:t>
            </w:r>
            <w:r w:rsidRPr="0045066F">
              <w:rPr>
                <w:rFonts w:ascii="Times New Roman" w:hAnsi="Times New Roman"/>
                <w:sz w:val="24"/>
                <w:szCs w:val="24"/>
              </w:rPr>
              <w:t xml:space="preserve">, </w:t>
            </w:r>
            <w:r w:rsidR="00E5647F">
              <w:rPr>
                <w:rFonts w:ascii="Times New Roman" w:hAnsi="Times New Roman"/>
                <w:sz w:val="24"/>
                <w:szCs w:val="24"/>
              </w:rPr>
              <w:t>t</w:t>
            </w:r>
            <w:r w:rsidR="00E5647F" w:rsidRPr="00E5647F">
              <w:rPr>
                <w:rFonts w:ascii="Times New Roman" w:hAnsi="Times New Roman"/>
                <w:sz w:val="24"/>
                <w:szCs w:val="24"/>
              </w:rPr>
              <w:t>he </w:t>
            </w:r>
            <w:r w:rsidR="00E5647F" w:rsidRPr="001A5725">
              <w:rPr>
                <w:rFonts w:ascii="Times New Roman" w:hAnsi="Times New Roman"/>
                <w:sz w:val="24"/>
                <w:szCs w:val="24"/>
              </w:rPr>
              <w:t>Cohesion Fund</w:t>
            </w:r>
            <w:r w:rsidR="00E5647F" w:rsidRPr="00E5647F">
              <w:rPr>
                <w:rFonts w:ascii="Times New Roman" w:hAnsi="Times New Roman"/>
                <w:sz w:val="24"/>
                <w:szCs w:val="24"/>
              </w:rPr>
              <w:t> </w:t>
            </w:r>
            <w:r w:rsidR="00E5647F">
              <w:rPr>
                <w:rFonts w:ascii="Times New Roman" w:hAnsi="Times New Roman"/>
                <w:sz w:val="24"/>
                <w:szCs w:val="24"/>
              </w:rPr>
              <w:t>(</w:t>
            </w:r>
            <w:r w:rsidRPr="0045066F">
              <w:rPr>
                <w:rFonts w:ascii="Times New Roman" w:hAnsi="Times New Roman"/>
                <w:sz w:val="24"/>
                <w:szCs w:val="24"/>
              </w:rPr>
              <w:t>CF</w:t>
            </w:r>
            <w:r w:rsidR="00E5647F">
              <w:rPr>
                <w:rFonts w:ascii="Times New Roman" w:hAnsi="Times New Roman"/>
                <w:sz w:val="24"/>
                <w:szCs w:val="24"/>
              </w:rPr>
              <w:t>)</w:t>
            </w:r>
            <w:r w:rsidRPr="0045066F">
              <w:rPr>
                <w:rFonts w:ascii="Times New Roman" w:hAnsi="Times New Roman"/>
                <w:sz w:val="24"/>
                <w:szCs w:val="24"/>
              </w:rPr>
              <w:t xml:space="preserve">, </w:t>
            </w:r>
            <w:r w:rsidR="00E5647F">
              <w:rPr>
                <w:rFonts w:ascii="Times New Roman" w:hAnsi="Times New Roman"/>
                <w:sz w:val="24"/>
                <w:szCs w:val="24"/>
              </w:rPr>
              <w:t>t</w:t>
            </w:r>
            <w:r w:rsidR="00E5647F" w:rsidRPr="00E5647F">
              <w:rPr>
                <w:rFonts w:ascii="Times New Roman" w:hAnsi="Times New Roman"/>
                <w:sz w:val="24"/>
                <w:szCs w:val="24"/>
              </w:rPr>
              <w:t>he</w:t>
            </w:r>
            <w:r w:rsidR="00E5647F">
              <w:rPr>
                <w:rFonts w:ascii="Times New Roman" w:hAnsi="Times New Roman"/>
                <w:sz w:val="24"/>
                <w:szCs w:val="24"/>
              </w:rPr>
              <w:t> </w:t>
            </w:r>
            <w:r w:rsidR="00E5647F" w:rsidRPr="00E5647F">
              <w:rPr>
                <w:rFonts w:ascii="Times New Roman" w:hAnsi="Times New Roman"/>
                <w:sz w:val="24"/>
                <w:szCs w:val="24"/>
              </w:rPr>
              <w:t>Just Transition Fund</w:t>
            </w:r>
            <w:r w:rsidR="00E5647F">
              <w:rPr>
                <w:rFonts w:ascii="Times New Roman" w:hAnsi="Times New Roman"/>
                <w:sz w:val="24"/>
                <w:szCs w:val="24"/>
              </w:rPr>
              <w:t> (</w:t>
            </w:r>
            <w:r w:rsidRPr="0045066F">
              <w:rPr>
                <w:rFonts w:ascii="Times New Roman" w:hAnsi="Times New Roman"/>
                <w:sz w:val="24"/>
                <w:szCs w:val="24"/>
              </w:rPr>
              <w:t>JTF</w:t>
            </w:r>
            <w:r w:rsidR="00E5647F">
              <w:rPr>
                <w:rFonts w:ascii="Times New Roman" w:hAnsi="Times New Roman"/>
                <w:sz w:val="24"/>
                <w:szCs w:val="24"/>
              </w:rPr>
              <w:t>)</w:t>
            </w:r>
            <w:r w:rsidRPr="0045066F">
              <w:rPr>
                <w:rFonts w:ascii="Times New Roman" w:hAnsi="Times New Roman"/>
                <w:sz w:val="24"/>
                <w:szCs w:val="24"/>
              </w:rPr>
              <w:t>,</w:t>
            </w:r>
            <w:r w:rsidR="00FF5274">
              <w:rPr>
                <w:rFonts w:ascii="Times New Roman" w:hAnsi="Times New Roman"/>
                <w:sz w:val="24"/>
                <w:szCs w:val="24"/>
              </w:rPr>
              <w:t xml:space="preserve"> and</w:t>
            </w:r>
            <w:r w:rsidRPr="0045066F">
              <w:rPr>
                <w:rFonts w:ascii="Times New Roman" w:hAnsi="Times New Roman"/>
                <w:sz w:val="24"/>
                <w:szCs w:val="24"/>
              </w:rPr>
              <w:t xml:space="preserve"> </w:t>
            </w:r>
            <w:r w:rsidR="00E5647F">
              <w:rPr>
                <w:rFonts w:ascii="Times New Roman" w:hAnsi="Times New Roman"/>
                <w:sz w:val="24"/>
                <w:szCs w:val="24"/>
              </w:rPr>
              <w:t>t</w:t>
            </w:r>
            <w:r w:rsidR="00E5647F" w:rsidRPr="00E5647F">
              <w:rPr>
                <w:rFonts w:ascii="Times New Roman" w:hAnsi="Times New Roman"/>
                <w:sz w:val="24"/>
                <w:szCs w:val="24"/>
              </w:rPr>
              <w:t>he</w:t>
            </w:r>
            <w:r w:rsidR="00E5647F">
              <w:rPr>
                <w:rFonts w:ascii="Times New Roman" w:hAnsi="Times New Roman"/>
                <w:sz w:val="24"/>
                <w:szCs w:val="24"/>
              </w:rPr>
              <w:t> </w:t>
            </w:r>
            <w:r w:rsidR="00E5647F" w:rsidRPr="00E5647F">
              <w:rPr>
                <w:rFonts w:ascii="Times New Roman" w:hAnsi="Times New Roman"/>
                <w:sz w:val="24"/>
                <w:szCs w:val="24"/>
              </w:rPr>
              <w:t xml:space="preserve">European Social Fund </w:t>
            </w:r>
            <w:r w:rsidR="00E5647F" w:rsidRPr="00E5647F">
              <w:rPr>
                <w:rFonts w:ascii="Times New Roman" w:hAnsi="Times New Roman"/>
                <w:sz w:val="24"/>
                <w:szCs w:val="24"/>
              </w:rPr>
              <w:lastRenderedPageBreak/>
              <w:t>Plus</w:t>
            </w:r>
            <w:r w:rsidR="00E5647F">
              <w:rPr>
                <w:rFonts w:ascii="Times New Roman" w:hAnsi="Times New Roman"/>
                <w:sz w:val="24"/>
                <w:szCs w:val="24"/>
              </w:rPr>
              <w:t> (</w:t>
            </w:r>
            <w:r w:rsidRPr="0045066F">
              <w:rPr>
                <w:rFonts w:ascii="Times New Roman" w:hAnsi="Times New Roman"/>
                <w:sz w:val="24"/>
                <w:szCs w:val="24"/>
              </w:rPr>
              <w:t>ESF+</w:t>
            </w:r>
            <w:r w:rsidR="00E5647F">
              <w:rPr>
                <w:rFonts w:ascii="Times New Roman" w:hAnsi="Times New Roman"/>
                <w:sz w:val="24"/>
                <w:szCs w:val="24"/>
              </w:rPr>
              <w:t>)</w:t>
            </w:r>
            <w:r w:rsidRPr="0045066F">
              <w:rPr>
                <w:rFonts w:ascii="Times New Roman" w:hAnsi="Times New Roman"/>
                <w:sz w:val="24"/>
                <w:szCs w:val="24"/>
              </w:rPr>
              <w:t>) to investments supporting islands. This funding aims to support all aspects of island and coastal development, notably competitiveness, green transition, improved connectivity, housing, sustainable tourism and inclusive growth.</w:t>
            </w:r>
          </w:p>
          <w:p w14:paraId="6E6D6954" w14:textId="7733F132" w:rsidR="001628F4" w:rsidRDefault="00504DE2" w:rsidP="00324F19">
            <w:pPr>
              <w:pStyle w:val="Text"/>
              <w:spacing w:before="120" w:line="276" w:lineRule="auto"/>
            </w:pPr>
            <w:r w:rsidRPr="0099D9C7">
              <w:t>In accordance with the political commitment to address the unique economic and social challenges faced by islands, the Commission, through the forthcoming EU strategy for islands, aims to further bolster island development. The strategy seeks to foster a more cohesive approach to EU sectoral policies and initiatives, supporting the design and implementation of national plans or strategies for islands, particularly by smaller authorities. To support the preparation of the strategy, the Commission has launched</w:t>
            </w:r>
            <w:r w:rsidR="2A4FF191" w:rsidRPr="0099D9C7">
              <w:t xml:space="preserve"> on</w:t>
            </w:r>
            <w:r w:rsidR="004F6638">
              <w:t xml:space="preserve"> </w:t>
            </w:r>
            <w:r w:rsidR="004E29F5">
              <w:t>4</w:t>
            </w:r>
            <w:r w:rsidR="001B609F" w:rsidRPr="001B609F">
              <w:t xml:space="preserve"> </w:t>
            </w:r>
            <w:r w:rsidR="2A4FF191" w:rsidRPr="004F6638">
              <w:t>March</w:t>
            </w:r>
            <w:r w:rsidRPr="004F6638">
              <w:t xml:space="preserve"> </w:t>
            </w:r>
            <w:r w:rsidR="00E5647F" w:rsidRPr="004F6638">
              <w:t>2026</w:t>
            </w:r>
            <w:r w:rsidR="00E5647F">
              <w:t xml:space="preserve"> </w:t>
            </w:r>
            <w:r w:rsidRPr="0099D9C7">
              <w:t xml:space="preserve">a public call for evidence, open to institutions, organisations and citizens, with </w:t>
            </w:r>
            <w:proofErr w:type="gramStart"/>
            <w:r w:rsidRPr="0099D9C7">
              <w:t>particular encouragement</w:t>
            </w:r>
            <w:proofErr w:type="gramEnd"/>
            <w:r w:rsidRPr="0099D9C7">
              <w:t xml:space="preserve"> for contributions from stakeholders based in island territories.</w:t>
            </w:r>
          </w:p>
          <w:p w14:paraId="41ADDDA4" w14:textId="2E38DC14" w:rsidR="00504DE2" w:rsidRPr="005B27D7" w:rsidRDefault="005B27D7" w:rsidP="00324F19">
            <w:pPr>
              <w:pStyle w:val="Text"/>
              <w:spacing w:before="120" w:line="276" w:lineRule="auto"/>
              <w:rPr>
                <w:bCs/>
                <w:lang w:val="en-GB"/>
              </w:rPr>
            </w:pPr>
            <w:r w:rsidRPr="6DB6287C">
              <w:rPr>
                <w:u w:val="single"/>
              </w:rPr>
              <w:t>On point 7.4</w:t>
            </w:r>
            <w:r w:rsidR="001628F4" w:rsidRPr="004F6638">
              <w:t>, p</w:t>
            </w:r>
            <w:r w:rsidRPr="00415A0E">
              <w:rPr>
                <w:bCs/>
              </w:rPr>
              <w:t xml:space="preserve">rogramming and implementation of </w:t>
            </w:r>
            <w:r>
              <w:rPr>
                <w:bCs/>
              </w:rPr>
              <w:t xml:space="preserve">the EU </w:t>
            </w:r>
            <w:r w:rsidRPr="00415A0E">
              <w:rPr>
                <w:bCs/>
              </w:rPr>
              <w:t xml:space="preserve">policies </w:t>
            </w:r>
            <w:r>
              <w:rPr>
                <w:bCs/>
              </w:rPr>
              <w:t xml:space="preserve">under shared management are based </w:t>
            </w:r>
            <w:r w:rsidR="00FF5274">
              <w:rPr>
                <w:bCs/>
              </w:rPr>
              <w:t>o</w:t>
            </w:r>
            <w:r>
              <w:rPr>
                <w:bCs/>
              </w:rPr>
              <w:t xml:space="preserve">n </w:t>
            </w:r>
            <w:r w:rsidRPr="0090267C">
              <w:rPr>
                <w:bCs/>
                <w:lang w:val="en-GB"/>
              </w:rPr>
              <w:t>the partnership principle</w:t>
            </w:r>
            <w:r>
              <w:rPr>
                <w:bCs/>
                <w:lang w:val="en-GB"/>
              </w:rPr>
              <w:t xml:space="preserve">. For instance, regarding cohesion policy programmes, </w:t>
            </w:r>
            <w:r w:rsidRPr="0090267C">
              <w:rPr>
                <w:bCs/>
                <w:lang w:val="en-GB"/>
              </w:rPr>
              <w:t>Article</w:t>
            </w:r>
            <w:r w:rsidR="00E5647F">
              <w:rPr>
                <w:bCs/>
                <w:lang w:val="en-GB"/>
              </w:rPr>
              <w:t> </w:t>
            </w:r>
            <w:r w:rsidRPr="0090267C">
              <w:rPr>
                <w:bCs/>
                <w:lang w:val="en-GB"/>
              </w:rPr>
              <w:t>8 of the Common Provisions Regulation</w:t>
            </w:r>
            <w:r>
              <w:rPr>
                <w:rStyle w:val="FootnoteReference"/>
                <w:bCs/>
                <w:lang w:val="en-GB"/>
              </w:rPr>
              <w:footnoteReference w:id="20"/>
            </w:r>
            <w:r w:rsidRPr="0090267C">
              <w:rPr>
                <w:bCs/>
                <w:lang w:val="en-GB"/>
              </w:rPr>
              <w:t xml:space="preserve"> requires Member States to organise comprehensive and inclusive multi-level governance arrangements. This entails the involvement of regional and local authorities, economic and social partners, and relevant civil society organisations throughout the preparation, implementation, monitoring, and evaluation of programmes. </w:t>
            </w:r>
            <w:r w:rsidRPr="005B27D7">
              <w:rPr>
                <w:bCs/>
                <w:lang w:val="en-GB"/>
              </w:rPr>
              <w:t>Such stakeholder participation enhances the</w:t>
            </w:r>
            <w:r w:rsidR="00E5647F">
              <w:rPr>
                <w:bCs/>
                <w:lang w:val="en-GB"/>
              </w:rPr>
              <w:t> </w:t>
            </w:r>
            <w:r w:rsidRPr="005B27D7">
              <w:rPr>
                <w:bCs/>
                <w:lang w:val="en-GB"/>
              </w:rPr>
              <w:t>quality, ownership, and effectiveness of interventions, ensuring that actions are better tailored to specific territorial needs</w:t>
            </w:r>
            <w:r>
              <w:rPr>
                <w:bCs/>
                <w:lang w:val="en-GB"/>
              </w:rPr>
              <w:t xml:space="preserve"> of islands</w:t>
            </w:r>
            <w:r w:rsidRPr="005B27D7">
              <w:rPr>
                <w:bCs/>
                <w:lang w:val="en-GB"/>
              </w:rPr>
              <w:t>.</w:t>
            </w:r>
          </w:p>
        </w:tc>
      </w:tr>
    </w:tbl>
    <w:p w14:paraId="41D86A3C" w14:textId="77777777" w:rsidR="00554137" w:rsidRPr="00324F19" w:rsidRDefault="00554137" w:rsidP="00324F19">
      <w:pPr>
        <w:spacing w:after="0" w:line="240" w:lineRule="auto"/>
        <w:ind w:left="-567"/>
        <w:rPr>
          <w:rFonts w:ascii="Times New Roman" w:hAnsi="Times New Roman"/>
          <w:bCs/>
          <w:sz w:val="16"/>
          <w:szCs w:val="16"/>
          <w:lang w:val="en-IE"/>
        </w:rPr>
      </w:pPr>
    </w:p>
    <w:sectPr w:rsidR="00554137" w:rsidRPr="00324F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FDC1" w14:textId="77777777" w:rsidR="00114274" w:rsidRDefault="00114274" w:rsidP="00FF63EA">
      <w:pPr>
        <w:spacing w:after="0" w:line="240" w:lineRule="auto"/>
      </w:pPr>
      <w:r>
        <w:separator/>
      </w:r>
    </w:p>
  </w:endnote>
  <w:endnote w:type="continuationSeparator" w:id="0">
    <w:p w14:paraId="376501E6" w14:textId="77777777" w:rsidR="00114274" w:rsidRDefault="00114274"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F51E7" w14:textId="77777777" w:rsidR="00114274" w:rsidRDefault="00114274" w:rsidP="00FF63EA">
      <w:pPr>
        <w:spacing w:after="0" w:line="240" w:lineRule="auto"/>
      </w:pPr>
      <w:r>
        <w:separator/>
      </w:r>
    </w:p>
  </w:footnote>
  <w:footnote w:type="continuationSeparator" w:id="0">
    <w:p w14:paraId="6DCF1033" w14:textId="77777777" w:rsidR="00114274" w:rsidRDefault="00114274" w:rsidP="00FF63EA">
      <w:pPr>
        <w:spacing w:after="0" w:line="240" w:lineRule="auto"/>
      </w:pPr>
      <w:r>
        <w:continuationSeparator/>
      </w:r>
    </w:p>
  </w:footnote>
  <w:footnote w:id="1">
    <w:p w14:paraId="04F51467" w14:textId="229F70EC" w:rsidR="001628F4" w:rsidRPr="008E1A74" w:rsidRDefault="001628F4" w:rsidP="001A5725">
      <w:pPr>
        <w:pStyle w:val="FootnoteText"/>
        <w:widowControl w:val="0"/>
        <w:spacing w:after="0" w:line="240" w:lineRule="auto"/>
        <w:ind w:left="-141" w:right="-567" w:hanging="284"/>
        <w:jc w:val="both"/>
        <w:rPr>
          <w:rFonts w:ascii="Times New Roman" w:hAnsi="Times New Roman"/>
        </w:rPr>
      </w:pPr>
      <w:r w:rsidRPr="008E1A74">
        <w:rPr>
          <w:rStyle w:val="FootnoteReference"/>
          <w:rFonts w:ascii="Times New Roman" w:hAnsi="Times New Roman"/>
        </w:rPr>
        <w:footnoteRef/>
      </w:r>
      <w:r w:rsidRPr="008E1A74">
        <w:rPr>
          <w:rFonts w:ascii="Times New Roman" w:hAnsi="Times New Roman"/>
        </w:rPr>
        <w:t xml:space="preserve"> </w:t>
      </w:r>
      <w:r w:rsidR="008E1A74" w:rsidRPr="008E1A74">
        <w:rPr>
          <w:rFonts w:ascii="Times New Roman" w:hAnsi="Times New Roman"/>
        </w:rPr>
        <w:tab/>
      </w:r>
      <w:hyperlink r:id="rId1" w:history="1">
        <w:r w:rsidRPr="008E1A74">
          <w:rPr>
            <w:rStyle w:val="Hyperlink"/>
            <w:rFonts w:ascii="Times New Roman" w:hAnsi="Times New Roman"/>
            <w:lang w:val="en-IE"/>
          </w:rPr>
          <w:t>Political Guidelines 2024-2029</w:t>
        </w:r>
      </w:hyperlink>
      <w:r w:rsidR="008E1A74">
        <w:rPr>
          <w:rFonts w:ascii="Times New Roman" w:hAnsi="Times New Roman"/>
        </w:rPr>
        <w:t>.</w:t>
      </w:r>
    </w:p>
  </w:footnote>
  <w:footnote w:id="2">
    <w:p w14:paraId="1407ABFB" w14:textId="07F4A2BE" w:rsidR="001628F4" w:rsidRPr="008E1A74" w:rsidRDefault="001628F4" w:rsidP="001A5725">
      <w:pPr>
        <w:pStyle w:val="FootnoteText"/>
        <w:widowControl w:val="0"/>
        <w:spacing w:after="0" w:line="240" w:lineRule="auto"/>
        <w:ind w:left="-141" w:right="-567" w:hanging="284"/>
        <w:jc w:val="both"/>
        <w:rPr>
          <w:rFonts w:ascii="Times New Roman" w:hAnsi="Times New Roman"/>
        </w:rPr>
      </w:pPr>
      <w:r w:rsidRPr="008E1A74">
        <w:rPr>
          <w:rStyle w:val="FootnoteReference"/>
          <w:rFonts w:ascii="Times New Roman" w:hAnsi="Times New Roman"/>
        </w:rPr>
        <w:footnoteRef/>
      </w:r>
      <w:r w:rsidRPr="008E1A74">
        <w:rPr>
          <w:rFonts w:ascii="Times New Roman" w:hAnsi="Times New Roman"/>
        </w:rPr>
        <w:t xml:space="preserve"> </w:t>
      </w:r>
      <w:r w:rsidR="008E1A74" w:rsidRPr="008E1A74">
        <w:rPr>
          <w:rFonts w:ascii="Times New Roman" w:hAnsi="Times New Roman"/>
        </w:rPr>
        <w:tab/>
      </w:r>
      <w:hyperlink r:id="rId2" w:history="1">
        <w:r w:rsidRPr="008E1A74">
          <w:rPr>
            <w:rStyle w:val="Hyperlink"/>
            <w:rFonts w:ascii="Times New Roman" w:hAnsi="Times New Roman"/>
          </w:rPr>
          <w:t xml:space="preserve">The Mission Letter of EVP </w:t>
        </w:r>
        <w:proofErr w:type="spellStart"/>
        <w:r w:rsidRPr="008E1A74">
          <w:rPr>
            <w:rStyle w:val="Hyperlink"/>
            <w:rFonts w:ascii="Times New Roman" w:hAnsi="Times New Roman"/>
          </w:rPr>
          <w:t>Fitto</w:t>
        </w:r>
        <w:proofErr w:type="spellEnd"/>
      </w:hyperlink>
      <w:r w:rsidR="008E1A74">
        <w:rPr>
          <w:rFonts w:ascii="Times New Roman" w:hAnsi="Times New Roman"/>
        </w:rPr>
        <w:t>.</w:t>
      </w:r>
    </w:p>
  </w:footnote>
  <w:footnote w:id="3">
    <w:p w14:paraId="4785558C" w14:textId="22345A74" w:rsidR="0068287E" w:rsidRPr="001A5725" w:rsidRDefault="0068287E" w:rsidP="001A5725">
      <w:pPr>
        <w:pStyle w:val="FootnoteText"/>
        <w:widowControl w:val="0"/>
        <w:spacing w:after="0" w:line="240" w:lineRule="auto"/>
        <w:ind w:left="-141" w:right="-567" w:hanging="284"/>
        <w:jc w:val="both"/>
        <w:rPr>
          <w:rFonts w:ascii="Times New Roman" w:hAnsi="Times New Roman"/>
          <w:lang w:val="fr-BE"/>
        </w:rPr>
      </w:pPr>
      <w:r w:rsidRPr="008E1A74">
        <w:rPr>
          <w:rStyle w:val="FootnoteReference"/>
          <w:rFonts w:ascii="Times New Roman" w:hAnsi="Times New Roman"/>
        </w:rPr>
        <w:footnoteRef/>
      </w:r>
      <w:r w:rsidRPr="001A5725">
        <w:rPr>
          <w:rFonts w:ascii="Times New Roman" w:hAnsi="Times New Roman"/>
          <w:lang w:val="fr-BE"/>
        </w:rPr>
        <w:t xml:space="preserve"> </w:t>
      </w:r>
      <w:r w:rsidR="008E1A74" w:rsidRPr="001A5725">
        <w:rPr>
          <w:rFonts w:ascii="Times New Roman" w:hAnsi="Times New Roman"/>
          <w:lang w:val="fr-BE"/>
        </w:rPr>
        <w:tab/>
      </w:r>
      <w:proofErr w:type="gramStart"/>
      <w:r w:rsidRPr="001A5725">
        <w:rPr>
          <w:rFonts w:ascii="Times New Roman" w:hAnsi="Times New Roman"/>
          <w:lang w:val="fr-BE"/>
        </w:rPr>
        <w:t>COM(</w:t>
      </w:r>
      <w:proofErr w:type="gramEnd"/>
      <w:r w:rsidRPr="001A5725">
        <w:rPr>
          <w:rFonts w:ascii="Times New Roman" w:hAnsi="Times New Roman"/>
          <w:lang w:val="fr-BE"/>
        </w:rPr>
        <w:t>2025) 280 final</w:t>
      </w:r>
      <w:r w:rsidR="008E1A74" w:rsidRPr="001A5725">
        <w:rPr>
          <w:rFonts w:ascii="Times New Roman" w:hAnsi="Times New Roman"/>
          <w:lang w:val="fr-BE"/>
        </w:rPr>
        <w:t xml:space="preserve"> (</w:t>
      </w:r>
      <w:r w:rsidR="008E1A74">
        <w:fldChar w:fldCharType="begin"/>
      </w:r>
      <w:r w:rsidR="008E1A74" w:rsidRPr="00D46269">
        <w:rPr>
          <w:lang w:val="fr-BE"/>
        </w:rPr>
        <w:instrText>HYPERLINK "https://eur-lex.europa.eu/legal-content/EN/TXT/?uri=CELEX:52025DC0280"</w:instrText>
      </w:r>
      <w:r w:rsidR="008E1A74">
        <w:fldChar w:fldCharType="separate"/>
      </w:r>
      <w:r w:rsidR="008E1A74" w:rsidRPr="001A5725">
        <w:rPr>
          <w:rStyle w:val="Hyperlink"/>
          <w:rFonts w:ascii="Times New Roman" w:hAnsi="Times New Roman"/>
          <w:lang w:val="fr-BE"/>
        </w:rPr>
        <w:t>EUR-Lex - 52025DC0280 - EN - EUR-Lex</w:t>
      </w:r>
      <w:r w:rsidR="008E1A74">
        <w:fldChar w:fldCharType="end"/>
      </w:r>
      <w:r w:rsidR="008E1A74" w:rsidRPr="001A5725">
        <w:rPr>
          <w:rFonts w:ascii="Times New Roman" w:hAnsi="Times New Roman"/>
          <w:lang w:val="fr-BE"/>
        </w:rPr>
        <w:t>)</w:t>
      </w:r>
      <w:r w:rsidR="008E1A74">
        <w:rPr>
          <w:rFonts w:ascii="Times New Roman" w:hAnsi="Times New Roman"/>
          <w:lang w:val="fr-BE"/>
        </w:rPr>
        <w:t>.</w:t>
      </w:r>
    </w:p>
  </w:footnote>
  <w:footnote w:id="4">
    <w:p w14:paraId="1047834F" w14:textId="6233C3F5" w:rsidR="008E1A74" w:rsidRPr="001A5725" w:rsidRDefault="008E1A74" w:rsidP="001A5725">
      <w:pPr>
        <w:pStyle w:val="FootnoteText"/>
        <w:widowControl w:val="0"/>
        <w:spacing w:after="0" w:line="240" w:lineRule="auto"/>
        <w:ind w:left="-141" w:right="-567" w:hanging="284"/>
        <w:jc w:val="both"/>
        <w:rPr>
          <w:rFonts w:ascii="Times New Roman" w:hAnsi="Times New Roman"/>
          <w:lang w:val="fr-BE"/>
        </w:rPr>
      </w:pPr>
      <w:r w:rsidRPr="001A5725">
        <w:rPr>
          <w:rStyle w:val="FootnoteReference"/>
          <w:rFonts w:ascii="Times New Roman" w:hAnsi="Times New Roman"/>
        </w:rPr>
        <w:footnoteRef/>
      </w:r>
      <w:r w:rsidRPr="001A5725">
        <w:rPr>
          <w:rFonts w:ascii="Times New Roman" w:hAnsi="Times New Roman"/>
          <w:lang w:val="fr-BE"/>
        </w:rPr>
        <w:t xml:space="preserve"> </w:t>
      </w:r>
      <w:r w:rsidRPr="001A5725">
        <w:rPr>
          <w:rFonts w:ascii="Times New Roman" w:hAnsi="Times New Roman"/>
          <w:lang w:val="fr-BE"/>
        </w:rPr>
        <w:tab/>
      </w:r>
      <w:proofErr w:type="gramStart"/>
      <w:r w:rsidRPr="001A5725">
        <w:rPr>
          <w:rFonts w:ascii="Times New Roman" w:hAnsi="Times New Roman"/>
          <w:lang w:val="fr-BE"/>
        </w:rPr>
        <w:t>COM(</w:t>
      </w:r>
      <w:proofErr w:type="gramEnd"/>
      <w:r w:rsidRPr="001A5725">
        <w:rPr>
          <w:rFonts w:ascii="Times New Roman" w:hAnsi="Times New Roman"/>
          <w:lang w:val="fr-BE"/>
        </w:rPr>
        <w:t>2025) 281 final (</w:t>
      </w:r>
      <w:r>
        <w:fldChar w:fldCharType="begin"/>
      </w:r>
      <w:r w:rsidRPr="00D46269">
        <w:rPr>
          <w:lang w:val="fr-BE"/>
        </w:rPr>
        <w:instrText>HYPERLINK "https://eur-lex.europa.eu/legal-content/EN/TXT/?uri=celex:52025DC0281"</w:instrText>
      </w:r>
      <w:r>
        <w:fldChar w:fldCharType="separate"/>
      </w:r>
      <w:r w:rsidRPr="001A5725">
        <w:rPr>
          <w:rStyle w:val="Hyperlink"/>
          <w:rFonts w:ascii="Times New Roman" w:hAnsi="Times New Roman"/>
          <w:lang w:val="fr-BE"/>
        </w:rPr>
        <w:t>EUR-Lex - 52025DC0281 - EN - EUR-Lex</w:t>
      </w:r>
      <w:r>
        <w:fldChar w:fldCharType="end"/>
      </w:r>
      <w:r w:rsidRPr="001A5725">
        <w:rPr>
          <w:rFonts w:ascii="Times New Roman" w:hAnsi="Times New Roman"/>
          <w:lang w:val="fr-BE"/>
        </w:rPr>
        <w:t>).</w:t>
      </w:r>
    </w:p>
  </w:footnote>
  <w:footnote w:id="5">
    <w:p w14:paraId="53B4F4B7" w14:textId="302C88C7" w:rsidR="00BF32A7" w:rsidRPr="006456FF" w:rsidRDefault="00BF32A7" w:rsidP="001A5725">
      <w:pPr>
        <w:pStyle w:val="FootnoteText"/>
        <w:widowControl w:val="0"/>
        <w:spacing w:after="0" w:line="240" w:lineRule="auto"/>
        <w:ind w:left="-141" w:right="-567" w:hanging="284"/>
        <w:jc w:val="both"/>
        <w:rPr>
          <w:rFonts w:ascii="Times New Roman" w:hAnsi="Times New Roman"/>
        </w:rPr>
      </w:pPr>
      <w:r w:rsidRPr="006456FF">
        <w:rPr>
          <w:rStyle w:val="FootnoteReference"/>
          <w:rFonts w:ascii="Times New Roman" w:hAnsi="Times New Roman"/>
        </w:rPr>
        <w:footnoteRef/>
      </w:r>
      <w:r w:rsidRPr="006456FF">
        <w:rPr>
          <w:rFonts w:ascii="Times New Roman" w:hAnsi="Times New Roman"/>
        </w:rPr>
        <w:t xml:space="preserve"> </w:t>
      </w:r>
      <w:r w:rsidR="008E1A74" w:rsidRPr="006456FF">
        <w:rPr>
          <w:rFonts w:ascii="Times New Roman" w:hAnsi="Times New Roman"/>
        </w:rPr>
        <w:tab/>
      </w:r>
      <w:r w:rsidR="009A3340" w:rsidRPr="006456FF">
        <w:rPr>
          <w:rFonts w:ascii="Times New Roman" w:hAnsi="Times New Roman"/>
        </w:rPr>
        <w:t>S</w:t>
      </w:r>
      <w:r w:rsidRPr="006456FF">
        <w:rPr>
          <w:rFonts w:ascii="Times New Roman" w:hAnsi="Times New Roman"/>
        </w:rPr>
        <w:t>uch as the General Block Exemption Regulation, Regional Aid Guidelines, de minimis Regulations, Agriculture Block Exemption Regulation, agriculture, forestry and rural development Guidelines, Fisheries Block Exemption Regulation, Guidelines for State aid in the fishery and aquaculture sector or other guidelines concerning different policy objectives</w:t>
      </w:r>
      <w:r w:rsidR="009A3340" w:rsidRPr="006456FF">
        <w:rPr>
          <w:rFonts w:ascii="Times New Roman" w:hAnsi="Times New Roman"/>
        </w:rPr>
        <w:t>.</w:t>
      </w:r>
    </w:p>
  </w:footnote>
  <w:footnote w:id="6">
    <w:p w14:paraId="4D1E8E70" w14:textId="175843C5" w:rsidR="009A3340" w:rsidRPr="006456FF" w:rsidRDefault="009A3340" w:rsidP="001A5725">
      <w:pPr>
        <w:pStyle w:val="FootnoteText"/>
        <w:widowControl w:val="0"/>
        <w:spacing w:after="0" w:line="240" w:lineRule="auto"/>
        <w:ind w:left="-141" w:right="-567" w:hanging="284"/>
        <w:jc w:val="both"/>
        <w:rPr>
          <w:rFonts w:ascii="Times New Roman" w:hAnsi="Times New Roman"/>
          <w:lang w:val="en-IE"/>
        </w:rPr>
      </w:pPr>
      <w:r w:rsidRPr="006456FF">
        <w:rPr>
          <w:rStyle w:val="FootnoteReference"/>
          <w:rFonts w:ascii="Times New Roman" w:hAnsi="Times New Roman"/>
        </w:rPr>
        <w:footnoteRef/>
      </w:r>
      <w:r w:rsidRPr="006456FF">
        <w:rPr>
          <w:rFonts w:ascii="Times New Roman" w:hAnsi="Times New Roman"/>
        </w:rPr>
        <w:t xml:space="preserve"> </w:t>
      </w:r>
      <w:r w:rsidR="008E1A74" w:rsidRPr="006456FF">
        <w:rPr>
          <w:rFonts w:ascii="Times New Roman" w:hAnsi="Times New Roman"/>
        </w:rPr>
        <w:tab/>
      </w:r>
      <w:r w:rsidRPr="006456FF">
        <w:rPr>
          <w:rFonts w:ascii="Times New Roman" w:hAnsi="Times New Roman"/>
        </w:rPr>
        <w:t>Article 107(3)(a) of the Treaty on the Functioning the European Union (TFEU).</w:t>
      </w:r>
    </w:p>
  </w:footnote>
  <w:footnote w:id="7">
    <w:p w14:paraId="6AE1CA9E" w14:textId="2740AFFB" w:rsidR="009A3340" w:rsidRPr="001A5725" w:rsidRDefault="009A3340" w:rsidP="001A5725">
      <w:pPr>
        <w:pStyle w:val="FootnoteText"/>
        <w:widowControl w:val="0"/>
        <w:spacing w:after="0" w:line="240" w:lineRule="auto"/>
        <w:ind w:left="-141" w:right="-567" w:hanging="284"/>
        <w:jc w:val="both"/>
        <w:rPr>
          <w:rFonts w:ascii="Times New Roman" w:hAnsi="Times New Roman"/>
          <w:lang w:val="en-IE"/>
        </w:rPr>
      </w:pPr>
      <w:r w:rsidRPr="006456FF">
        <w:rPr>
          <w:rStyle w:val="FootnoteReference"/>
          <w:rFonts w:ascii="Times New Roman" w:hAnsi="Times New Roman"/>
        </w:rPr>
        <w:footnoteRef/>
      </w:r>
      <w:r w:rsidRPr="006456FF">
        <w:rPr>
          <w:rFonts w:ascii="Times New Roman" w:hAnsi="Times New Roman"/>
        </w:rPr>
        <w:t xml:space="preserve"> </w:t>
      </w:r>
      <w:r w:rsidR="001D512C" w:rsidRPr="006456FF">
        <w:rPr>
          <w:rFonts w:ascii="Times New Roman" w:hAnsi="Times New Roman"/>
        </w:rPr>
        <w:tab/>
      </w:r>
      <w:r w:rsidRPr="006456FF">
        <w:rPr>
          <w:rFonts w:ascii="Times New Roman" w:hAnsi="Times New Roman"/>
        </w:rPr>
        <w:t>Article 107(3)(c) of the TFEU.</w:t>
      </w:r>
    </w:p>
  </w:footnote>
  <w:footnote w:id="8">
    <w:p w14:paraId="00281E41" w14:textId="347F676C" w:rsidR="008E1A74" w:rsidRPr="001A5725" w:rsidRDefault="008E1A74" w:rsidP="001A5725">
      <w:pPr>
        <w:pStyle w:val="FootnoteText"/>
        <w:widowControl w:val="0"/>
        <w:spacing w:after="0" w:line="240" w:lineRule="auto"/>
        <w:ind w:left="-141" w:right="-567" w:hanging="284"/>
        <w:jc w:val="both"/>
        <w:rPr>
          <w:rFonts w:ascii="Times New Roman" w:hAnsi="Times New Roman"/>
        </w:rPr>
      </w:pPr>
      <w:r w:rsidRPr="001A5725">
        <w:rPr>
          <w:rStyle w:val="FootnoteReference"/>
          <w:rFonts w:ascii="Times New Roman" w:hAnsi="Times New Roman"/>
        </w:rPr>
        <w:footnoteRef/>
      </w:r>
      <w:r w:rsidRPr="001A5725">
        <w:rPr>
          <w:rFonts w:ascii="Times New Roman" w:hAnsi="Times New Roman"/>
        </w:rPr>
        <w:t xml:space="preserve"> </w:t>
      </w:r>
      <w:r w:rsidRPr="001A5725">
        <w:rPr>
          <w:rFonts w:ascii="Times New Roman" w:hAnsi="Times New Roman"/>
        </w:rPr>
        <w:tab/>
        <w:t>Commission Regulation (EU) No 651/2014 of 17 June 2014 declaring certain categories of aid compatible with the internal market in application of Articles 107 and 108 of the Treaty (</w:t>
      </w:r>
      <w:hyperlink r:id="rId3" w:tooltip="Gives access to this document through its ELI URI." w:history="1">
        <w:r w:rsidRPr="001A5725">
          <w:rPr>
            <w:rStyle w:val="Hyperlink"/>
            <w:rFonts w:ascii="Times New Roman" w:hAnsi="Times New Roman"/>
          </w:rPr>
          <w:t>http://data.europa.eu/eli/reg/2014/651/oj</w:t>
        </w:r>
      </w:hyperlink>
      <w:r w:rsidRPr="001A5725">
        <w:rPr>
          <w:rFonts w:ascii="Times New Roman" w:hAnsi="Times New Roman"/>
        </w:rPr>
        <w:t>).</w:t>
      </w:r>
    </w:p>
  </w:footnote>
  <w:footnote w:id="9">
    <w:p w14:paraId="5AEE43E9" w14:textId="68B6C1B3" w:rsidR="008E1A74" w:rsidRPr="001A5725" w:rsidRDefault="008E1A74" w:rsidP="001A5725">
      <w:pPr>
        <w:pStyle w:val="FootnoteText"/>
        <w:widowControl w:val="0"/>
        <w:spacing w:after="0" w:line="240" w:lineRule="auto"/>
        <w:ind w:left="-141" w:right="-567" w:hanging="284"/>
        <w:jc w:val="both"/>
        <w:rPr>
          <w:rFonts w:ascii="Times New Roman" w:hAnsi="Times New Roman"/>
        </w:rPr>
      </w:pPr>
      <w:r w:rsidRPr="001A5725">
        <w:rPr>
          <w:rStyle w:val="FootnoteReference"/>
          <w:rFonts w:ascii="Times New Roman" w:hAnsi="Times New Roman"/>
        </w:rPr>
        <w:footnoteRef/>
      </w:r>
      <w:r w:rsidRPr="001A5725">
        <w:rPr>
          <w:rFonts w:ascii="Times New Roman" w:hAnsi="Times New Roman"/>
        </w:rPr>
        <w:t xml:space="preserve"> </w:t>
      </w:r>
      <w:r w:rsidRPr="001A5725">
        <w:rPr>
          <w:rFonts w:ascii="Times New Roman" w:hAnsi="Times New Roman"/>
        </w:rPr>
        <w:tab/>
        <w:t>Communication from the Commission Guidelines on regional State aid 2021/C 153/01; C/2021/2594 (</w:t>
      </w:r>
      <w:hyperlink r:id="rId4" w:history="1">
        <w:r w:rsidRPr="001A5725">
          <w:rPr>
            <w:rStyle w:val="Hyperlink"/>
            <w:rFonts w:ascii="Times New Roman" w:hAnsi="Times New Roman"/>
          </w:rPr>
          <w:t>EUR-Lex - 52021XC0429(01) - EN - EUR-Lex</w:t>
        </w:r>
      </w:hyperlink>
      <w:r w:rsidRPr="001A5725">
        <w:rPr>
          <w:rFonts w:ascii="Times New Roman" w:hAnsi="Times New Roman"/>
        </w:rPr>
        <w:t>).</w:t>
      </w:r>
    </w:p>
  </w:footnote>
  <w:footnote w:id="10">
    <w:p w14:paraId="3EC71967" w14:textId="316FCDAC" w:rsidR="00B84C84" w:rsidRPr="001A5725" w:rsidRDefault="00B84C84" w:rsidP="001A5725">
      <w:pPr>
        <w:pStyle w:val="FootnoteText"/>
        <w:spacing w:after="0" w:line="240" w:lineRule="auto"/>
        <w:ind w:left="-141" w:right="-567" w:hanging="284"/>
        <w:jc w:val="both"/>
        <w:rPr>
          <w:rFonts w:ascii="Times New Roman" w:hAnsi="Times New Roman"/>
          <w:lang w:val="fr-BE"/>
        </w:rPr>
      </w:pPr>
      <w:r w:rsidRPr="001A5725">
        <w:rPr>
          <w:rStyle w:val="FootnoteReference"/>
          <w:rFonts w:ascii="Times New Roman" w:hAnsi="Times New Roman"/>
        </w:rPr>
        <w:footnoteRef/>
      </w:r>
      <w:r w:rsidRPr="001A5725">
        <w:rPr>
          <w:rFonts w:ascii="Times New Roman" w:hAnsi="Times New Roman"/>
          <w:lang w:val="fr-BE"/>
        </w:rPr>
        <w:t xml:space="preserve"> </w:t>
      </w:r>
      <w:r w:rsidRPr="001A5725">
        <w:rPr>
          <w:rFonts w:ascii="Times New Roman" w:hAnsi="Times New Roman"/>
          <w:lang w:val="fr-BE"/>
        </w:rPr>
        <w:tab/>
      </w:r>
      <w:proofErr w:type="gramStart"/>
      <w:r w:rsidRPr="001A5725">
        <w:rPr>
          <w:rFonts w:ascii="Times New Roman" w:hAnsi="Times New Roman"/>
          <w:lang w:val="fr-BE"/>
        </w:rPr>
        <w:t>COM(</w:t>
      </w:r>
      <w:proofErr w:type="gramEnd"/>
      <w:r w:rsidRPr="001A5725">
        <w:rPr>
          <w:rFonts w:ascii="Times New Roman" w:hAnsi="Times New Roman"/>
          <w:lang w:val="fr-BE"/>
        </w:rPr>
        <w:t>2025) 1025 final (</w:t>
      </w:r>
      <w:r>
        <w:fldChar w:fldCharType="begin"/>
      </w:r>
      <w:r w:rsidRPr="00D46269">
        <w:rPr>
          <w:lang w:val="fr-BE"/>
        </w:rPr>
        <w:instrText>HYPERLINK "https://eur-lex.europa.eu/legal-content/EN/TXT/?uri=CELEX:52025DC1025"</w:instrText>
      </w:r>
      <w:r>
        <w:fldChar w:fldCharType="separate"/>
      </w:r>
      <w:r w:rsidRPr="001A5725">
        <w:rPr>
          <w:rStyle w:val="Hyperlink"/>
          <w:rFonts w:ascii="Times New Roman" w:hAnsi="Times New Roman"/>
          <w:lang w:val="fr-BE"/>
        </w:rPr>
        <w:t>EUR-Lex - 52025DC1025 - EN - EUR-Lex</w:t>
      </w:r>
      <w:r>
        <w:fldChar w:fldCharType="end"/>
      </w:r>
      <w:r w:rsidRPr="001A5725">
        <w:rPr>
          <w:rFonts w:ascii="Times New Roman" w:hAnsi="Times New Roman"/>
          <w:lang w:val="fr-BE"/>
        </w:rPr>
        <w:t>).</w:t>
      </w:r>
    </w:p>
  </w:footnote>
  <w:footnote w:id="11">
    <w:p w14:paraId="350F6218" w14:textId="00449122" w:rsidR="006456FF" w:rsidRPr="001A5725" w:rsidRDefault="006456FF" w:rsidP="001A5725">
      <w:pPr>
        <w:pStyle w:val="FootnoteText"/>
        <w:spacing w:after="0" w:line="240" w:lineRule="auto"/>
        <w:ind w:left="-141" w:right="-567" w:hanging="284"/>
        <w:jc w:val="both"/>
        <w:rPr>
          <w:rFonts w:ascii="Times New Roman" w:hAnsi="Times New Roman"/>
          <w:lang w:val="fr-BE"/>
        </w:rPr>
      </w:pPr>
      <w:r w:rsidRPr="001A5725">
        <w:rPr>
          <w:rStyle w:val="FootnoteReference"/>
          <w:rFonts w:ascii="Times New Roman" w:hAnsi="Times New Roman"/>
        </w:rPr>
        <w:footnoteRef/>
      </w:r>
      <w:r w:rsidRPr="001A5725">
        <w:rPr>
          <w:rFonts w:ascii="Times New Roman" w:hAnsi="Times New Roman"/>
          <w:lang w:val="fr-BE"/>
        </w:rPr>
        <w:t xml:space="preserve"> </w:t>
      </w:r>
      <w:r w:rsidRPr="001A5725">
        <w:rPr>
          <w:rFonts w:ascii="Times New Roman" w:hAnsi="Times New Roman"/>
          <w:lang w:val="fr-BE"/>
        </w:rPr>
        <w:tab/>
      </w:r>
      <w:proofErr w:type="gramStart"/>
      <w:r w:rsidRPr="001A5725">
        <w:rPr>
          <w:rFonts w:ascii="Times New Roman" w:hAnsi="Times New Roman"/>
          <w:lang w:val="fr-BE"/>
        </w:rPr>
        <w:t>COM(</w:t>
      </w:r>
      <w:proofErr w:type="gramEnd"/>
      <w:r w:rsidRPr="001A5725">
        <w:rPr>
          <w:rFonts w:ascii="Times New Roman" w:hAnsi="Times New Roman"/>
          <w:lang w:val="fr-BE"/>
        </w:rPr>
        <w:t>2025) 163 final (</w:t>
      </w:r>
      <w:r>
        <w:fldChar w:fldCharType="begin"/>
      </w:r>
      <w:r w:rsidRPr="00D46269">
        <w:rPr>
          <w:lang w:val="fr-BE"/>
        </w:rPr>
        <w:instrText>HYPERLINK "https://eur-lex.europa.eu/legal-content/EN/TXT/?uri=celex:52025DC0163"</w:instrText>
      </w:r>
      <w:r>
        <w:fldChar w:fldCharType="separate"/>
      </w:r>
      <w:r w:rsidRPr="001A5725">
        <w:rPr>
          <w:rStyle w:val="Hyperlink"/>
          <w:rFonts w:ascii="Times New Roman" w:hAnsi="Times New Roman"/>
          <w:lang w:val="fr-BE"/>
        </w:rPr>
        <w:t>EUR-Lex - 52025DC0163 - EN - EUR-Lex</w:t>
      </w:r>
      <w:r>
        <w:fldChar w:fldCharType="end"/>
      </w:r>
      <w:r w:rsidRPr="001A5725">
        <w:rPr>
          <w:rFonts w:ascii="Times New Roman" w:hAnsi="Times New Roman"/>
          <w:lang w:val="fr-BE"/>
        </w:rPr>
        <w:t>).</w:t>
      </w:r>
    </w:p>
  </w:footnote>
  <w:footnote w:id="12">
    <w:p w14:paraId="2CE33727" w14:textId="565FBF1C" w:rsidR="00C6050E" w:rsidRPr="001A5725" w:rsidRDefault="00C6050E" w:rsidP="001A5725">
      <w:pPr>
        <w:pStyle w:val="FootnoteText"/>
        <w:widowControl w:val="0"/>
        <w:spacing w:after="0" w:line="240" w:lineRule="auto"/>
        <w:ind w:left="-141" w:right="-567" w:hanging="284"/>
        <w:jc w:val="both"/>
        <w:rPr>
          <w:rFonts w:ascii="Times New Roman" w:hAnsi="Times New Roman"/>
          <w:lang w:val="fr-BE"/>
        </w:rPr>
      </w:pPr>
      <w:r w:rsidRPr="006456FF">
        <w:rPr>
          <w:rStyle w:val="FootnoteReference"/>
          <w:rFonts w:ascii="Times New Roman" w:hAnsi="Times New Roman"/>
        </w:rPr>
        <w:footnoteRef/>
      </w:r>
      <w:r w:rsidRPr="001A5725">
        <w:rPr>
          <w:rFonts w:ascii="Times New Roman" w:hAnsi="Times New Roman"/>
          <w:lang w:val="fr-BE"/>
        </w:rPr>
        <w:t xml:space="preserve"> </w:t>
      </w:r>
      <w:r w:rsidR="001D512C" w:rsidRPr="001A5725">
        <w:rPr>
          <w:rFonts w:ascii="Times New Roman" w:hAnsi="Times New Roman"/>
          <w:lang w:val="fr-BE"/>
        </w:rPr>
        <w:tab/>
      </w:r>
      <w:r w:rsidR="001D512C">
        <w:fldChar w:fldCharType="begin"/>
      </w:r>
      <w:r w:rsidR="001D512C" w:rsidRPr="00D46269">
        <w:rPr>
          <w:lang w:val="fr-BE"/>
        </w:rPr>
        <w:instrText>HYPERLINK "https://clean-energy-islands.ec.europa.eu/"</w:instrText>
      </w:r>
      <w:r w:rsidR="001D512C">
        <w:fldChar w:fldCharType="separate"/>
      </w:r>
      <w:r w:rsidR="001D512C" w:rsidRPr="001A5725">
        <w:rPr>
          <w:rStyle w:val="Hyperlink"/>
          <w:rFonts w:ascii="Times New Roman" w:hAnsi="Times New Roman"/>
          <w:lang w:val="fr-BE"/>
        </w:rPr>
        <w:t>https://clean-energy-islands.ec.europa.eu/</w:t>
      </w:r>
      <w:r w:rsidR="001D512C">
        <w:fldChar w:fldCharType="end"/>
      </w:r>
      <w:r w:rsidR="001D512C" w:rsidRPr="001A5725">
        <w:rPr>
          <w:rFonts w:ascii="Times New Roman" w:hAnsi="Times New Roman"/>
          <w:lang w:val="fr-BE"/>
        </w:rPr>
        <w:t>.</w:t>
      </w:r>
    </w:p>
  </w:footnote>
  <w:footnote w:id="13">
    <w:p w14:paraId="23C7A943" w14:textId="055DB6D9" w:rsidR="00C6050E" w:rsidRPr="001A5725" w:rsidRDefault="00C6050E" w:rsidP="001A5725">
      <w:pPr>
        <w:pStyle w:val="FootnoteText"/>
        <w:widowControl w:val="0"/>
        <w:spacing w:after="0" w:line="240" w:lineRule="auto"/>
        <w:ind w:left="-141" w:right="-567" w:hanging="284"/>
        <w:jc w:val="both"/>
        <w:rPr>
          <w:rFonts w:ascii="Times New Roman" w:hAnsi="Times New Roman"/>
          <w:lang w:val="en-IE"/>
        </w:rPr>
      </w:pPr>
      <w:r w:rsidRPr="006456FF">
        <w:rPr>
          <w:rStyle w:val="FootnoteReference"/>
          <w:rFonts w:ascii="Times New Roman" w:hAnsi="Times New Roman"/>
        </w:rPr>
        <w:footnoteRef/>
      </w:r>
      <w:r w:rsidRPr="006456FF">
        <w:rPr>
          <w:rFonts w:ascii="Times New Roman" w:hAnsi="Times New Roman"/>
        </w:rPr>
        <w:t xml:space="preserve"> </w:t>
      </w:r>
      <w:r w:rsidR="001D512C" w:rsidRPr="006456FF">
        <w:rPr>
          <w:rFonts w:ascii="Times New Roman" w:hAnsi="Times New Roman"/>
        </w:rPr>
        <w:tab/>
      </w:r>
      <w:r w:rsidRPr="006456FF">
        <w:rPr>
          <w:rFonts w:ascii="Times New Roman" w:hAnsi="Times New Roman"/>
        </w:rPr>
        <w:t>Regulation (EU) 2024/1679 of the European Parliament and of the Council of 13 June 2024 on Union guidelines for the development of the trans-European transport network, amending Regulations (EU) 2021/1153 and (EU) No 913/2010 and repealing Regulation (EU) No 1315/2013, OJ L, 2024/1679, 28.6.2024</w:t>
      </w:r>
      <w:r w:rsidR="006456FF" w:rsidRPr="006456FF">
        <w:rPr>
          <w:rFonts w:ascii="Times New Roman" w:hAnsi="Times New Roman"/>
        </w:rPr>
        <w:t xml:space="preserve"> ( </w:t>
      </w:r>
      <w:hyperlink r:id="rId5" w:tooltip="Gives access to this document through its ELI URI." w:history="1">
        <w:r w:rsidR="006456FF" w:rsidRPr="006456FF">
          <w:rPr>
            <w:rStyle w:val="Hyperlink"/>
            <w:rFonts w:ascii="Times New Roman" w:hAnsi="Times New Roman"/>
          </w:rPr>
          <w:t>http://data.europa.eu/eli/reg/2024/1679/oj</w:t>
        </w:r>
      </w:hyperlink>
      <w:r w:rsidR="006456FF" w:rsidRPr="006456FF">
        <w:rPr>
          <w:rFonts w:ascii="Times New Roman" w:hAnsi="Times New Roman"/>
        </w:rPr>
        <w:t>)</w:t>
      </w:r>
      <w:r w:rsidRPr="006456FF">
        <w:rPr>
          <w:rFonts w:ascii="Times New Roman" w:hAnsi="Times New Roman"/>
        </w:rPr>
        <w:t>.</w:t>
      </w:r>
    </w:p>
  </w:footnote>
  <w:footnote w:id="14">
    <w:p w14:paraId="2465403F" w14:textId="69E6B073" w:rsidR="006A6C09" w:rsidRPr="001A5725" w:rsidRDefault="006A6C09" w:rsidP="001A5725">
      <w:pPr>
        <w:pStyle w:val="FootnoteText"/>
        <w:spacing w:after="0" w:line="240" w:lineRule="auto"/>
        <w:ind w:left="-141" w:right="-567" w:hanging="284"/>
        <w:jc w:val="both"/>
        <w:rPr>
          <w:rFonts w:ascii="Times New Roman" w:hAnsi="Times New Roman"/>
          <w:lang w:val="fr-BE"/>
        </w:rPr>
      </w:pPr>
      <w:r w:rsidRPr="001A5725">
        <w:rPr>
          <w:rStyle w:val="FootnoteReference"/>
          <w:rFonts w:ascii="Times New Roman" w:hAnsi="Times New Roman"/>
        </w:rPr>
        <w:footnoteRef/>
      </w:r>
      <w:r w:rsidRPr="001A5725">
        <w:rPr>
          <w:rFonts w:ascii="Times New Roman" w:hAnsi="Times New Roman"/>
          <w:lang w:val="fr-BE"/>
        </w:rPr>
        <w:t xml:space="preserve"> </w:t>
      </w:r>
      <w:r w:rsidRPr="001A5725">
        <w:rPr>
          <w:rFonts w:ascii="Times New Roman" w:hAnsi="Times New Roman"/>
          <w:lang w:val="fr-BE"/>
        </w:rPr>
        <w:tab/>
      </w:r>
      <w:proofErr w:type="gramStart"/>
      <w:r w:rsidRPr="001A5725">
        <w:rPr>
          <w:rFonts w:ascii="Times New Roman" w:hAnsi="Times New Roman"/>
          <w:lang w:val="fr-BE"/>
        </w:rPr>
        <w:t>COM(</w:t>
      </w:r>
      <w:proofErr w:type="gramEnd"/>
      <w:r w:rsidRPr="001A5725">
        <w:rPr>
          <w:rFonts w:ascii="Times New Roman" w:hAnsi="Times New Roman"/>
          <w:lang w:val="fr-BE"/>
        </w:rPr>
        <w:t>2025) 744 final (</w:t>
      </w:r>
      <w:r>
        <w:fldChar w:fldCharType="begin"/>
      </w:r>
      <w:r w:rsidRPr="00D46269">
        <w:rPr>
          <w:lang w:val="fr-BE"/>
        </w:rPr>
        <w:instrText>HYPERLINK "https://eur-lex.europa.eu/legal-content/EN/TXT/?uri=celex:52025DC0744"</w:instrText>
      </w:r>
      <w:r>
        <w:fldChar w:fldCharType="separate"/>
      </w:r>
      <w:r w:rsidRPr="001A5725">
        <w:rPr>
          <w:rStyle w:val="Hyperlink"/>
          <w:rFonts w:ascii="Times New Roman" w:hAnsi="Times New Roman"/>
          <w:lang w:val="fr-BE"/>
        </w:rPr>
        <w:t>EUR-Lex - 52025DC0744 - EN - EUR-Lex</w:t>
      </w:r>
      <w:r>
        <w:fldChar w:fldCharType="end"/>
      </w:r>
      <w:r w:rsidRPr="001A5725">
        <w:rPr>
          <w:rFonts w:ascii="Times New Roman" w:hAnsi="Times New Roman"/>
          <w:lang w:val="fr-BE"/>
        </w:rPr>
        <w:t>).</w:t>
      </w:r>
    </w:p>
  </w:footnote>
  <w:footnote w:id="15">
    <w:p w14:paraId="7359FC7B" w14:textId="0AC1FFE4" w:rsidR="006A6C09" w:rsidRPr="001A5725" w:rsidRDefault="006A6C09" w:rsidP="001A5725">
      <w:pPr>
        <w:pStyle w:val="FootnoteText"/>
        <w:spacing w:after="0" w:line="240" w:lineRule="auto"/>
        <w:ind w:left="-141" w:right="-567" w:hanging="284"/>
        <w:jc w:val="both"/>
        <w:rPr>
          <w:rFonts w:ascii="Times New Roman" w:hAnsi="Times New Roman"/>
          <w:lang w:val="en-IE"/>
        </w:rPr>
      </w:pPr>
      <w:r w:rsidRPr="001A5725">
        <w:rPr>
          <w:rStyle w:val="FootnoteReference"/>
          <w:rFonts w:ascii="Times New Roman" w:hAnsi="Times New Roman"/>
        </w:rPr>
        <w:footnoteRef/>
      </w:r>
      <w:r w:rsidRPr="001A5725">
        <w:rPr>
          <w:rFonts w:ascii="Times New Roman" w:hAnsi="Times New Roman"/>
        </w:rPr>
        <w:t xml:space="preserve"> </w:t>
      </w:r>
      <w:r w:rsidRPr="001A5725">
        <w:rPr>
          <w:rFonts w:ascii="Times New Roman" w:hAnsi="Times New Roman"/>
          <w:lang w:val="en-IE"/>
        </w:rPr>
        <w:tab/>
      </w:r>
      <w:hyperlink r:id="rId6" w:history="1">
        <w:r w:rsidRPr="001A5725">
          <w:rPr>
            <w:rStyle w:val="Hyperlink"/>
            <w:rFonts w:ascii="Times New Roman" w:hAnsi="Times New Roman"/>
          </w:rPr>
          <w:t xml:space="preserve">European Ports Alliance to fight drug trafficking and organised </w:t>
        </w:r>
        <w:proofErr w:type="gramStart"/>
        <w:r w:rsidR="00E5647F" w:rsidRPr="00E5647F">
          <w:rPr>
            <w:rStyle w:val="Hyperlink"/>
            <w:rFonts w:ascii="Times New Roman" w:hAnsi="Times New Roman"/>
          </w:rPr>
          <w:t>crime</w:t>
        </w:r>
        <w:r w:rsidR="00E5647F">
          <w:rPr>
            <w:rStyle w:val="Hyperlink"/>
            <w:rFonts w:ascii="Times New Roman" w:hAnsi="Times New Roman"/>
          </w:rPr>
          <w:t xml:space="preserve"> </w:t>
        </w:r>
        <w:r w:rsidR="00E5647F" w:rsidRPr="00E5647F">
          <w:rPr>
            <w:rStyle w:val="Hyperlink"/>
            <w:rFonts w:ascii="Times New Roman" w:hAnsi="Times New Roman"/>
          </w:rPr>
          <w:t> -</w:t>
        </w:r>
        <w:proofErr w:type="gramEnd"/>
        <w:r w:rsidRPr="001A5725">
          <w:rPr>
            <w:rStyle w:val="Hyperlink"/>
            <w:rFonts w:ascii="Times New Roman" w:hAnsi="Times New Roman"/>
          </w:rPr>
          <w:t xml:space="preserve"> Migration and Home Affairs</w:t>
        </w:r>
      </w:hyperlink>
      <w:r w:rsidRPr="001A5725">
        <w:rPr>
          <w:rFonts w:ascii="Times New Roman" w:hAnsi="Times New Roman"/>
          <w:lang w:val="en-IE"/>
        </w:rPr>
        <w:t>.</w:t>
      </w:r>
    </w:p>
  </w:footnote>
  <w:footnote w:id="16">
    <w:p w14:paraId="3F38F58C" w14:textId="4C93D9D6" w:rsidR="006A6C09" w:rsidRPr="001A5725" w:rsidRDefault="006A6C09" w:rsidP="001A5725">
      <w:pPr>
        <w:pStyle w:val="FootnoteText"/>
        <w:spacing w:after="0" w:line="240" w:lineRule="auto"/>
        <w:ind w:left="-141" w:right="-567" w:hanging="284"/>
        <w:jc w:val="both"/>
        <w:rPr>
          <w:rFonts w:ascii="Times New Roman" w:hAnsi="Times New Roman"/>
          <w:lang w:val="en-IE"/>
        </w:rPr>
      </w:pPr>
      <w:r w:rsidRPr="001A5725">
        <w:rPr>
          <w:rStyle w:val="FootnoteReference"/>
          <w:rFonts w:ascii="Times New Roman" w:hAnsi="Times New Roman"/>
        </w:rPr>
        <w:footnoteRef/>
      </w:r>
      <w:r w:rsidRPr="001A5725">
        <w:rPr>
          <w:rFonts w:ascii="Times New Roman" w:hAnsi="Times New Roman"/>
        </w:rPr>
        <w:t xml:space="preserve"> </w:t>
      </w:r>
      <w:r w:rsidRPr="001A5725">
        <w:rPr>
          <w:rFonts w:ascii="Times New Roman" w:hAnsi="Times New Roman"/>
          <w:lang w:val="en-IE"/>
        </w:rPr>
        <w:tab/>
      </w:r>
      <w:hyperlink r:id="rId7" w:history="1">
        <w:r w:rsidRPr="001A5725">
          <w:rPr>
            <w:rStyle w:val="Hyperlink"/>
            <w:rFonts w:ascii="Times New Roman" w:hAnsi="Times New Roman"/>
          </w:rPr>
          <w:t>EMPACT fighting crime together - Migration and Home Affairs</w:t>
        </w:r>
      </w:hyperlink>
      <w:r w:rsidRPr="001A5725">
        <w:rPr>
          <w:rFonts w:ascii="Times New Roman" w:hAnsi="Times New Roman"/>
          <w:lang w:val="en-IE"/>
        </w:rPr>
        <w:t>.</w:t>
      </w:r>
    </w:p>
  </w:footnote>
  <w:footnote w:id="17">
    <w:p w14:paraId="425E18D6" w14:textId="4FE32B51" w:rsidR="0045066F" w:rsidRPr="001A5725" w:rsidRDefault="0045066F" w:rsidP="001A5725">
      <w:pPr>
        <w:pStyle w:val="FootnoteText"/>
        <w:spacing w:after="0" w:line="240" w:lineRule="auto"/>
        <w:ind w:left="-141" w:right="-567" w:hanging="284"/>
        <w:jc w:val="both"/>
        <w:rPr>
          <w:rFonts w:ascii="Times New Roman" w:hAnsi="Times New Roman"/>
          <w:lang w:val="en-IE"/>
        </w:rPr>
      </w:pPr>
      <w:r w:rsidRPr="006A6C09">
        <w:rPr>
          <w:rStyle w:val="FootnoteReference"/>
          <w:rFonts w:ascii="Times New Roman" w:hAnsi="Times New Roman"/>
        </w:rPr>
        <w:footnoteRef/>
      </w:r>
      <w:r w:rsidRPr="001A5725">
        <w:rPr>
          <w:rFonts w:ascii="Times New Roman" w:hAnsi="Times New Roman"/>
          <w:lang w:val="en-IE"/>
        </w:rPr>
        <w:t xml:space="preserve"> </w:t>
      </w:r>
      <w:r w:rsidR="00B84C84" w:rsidRPr="001A5725">
        <w:rPr>
          <w:rFonts w:ascii="Times New Roman" w:hAnsi="Times New Roman"/>
          <w:lang w:val="en-IE"/>
        </w:rPr>
        <w:tab/>
      </w:r>
      <w:r w:rsidRPr="001A5725">
        <w:rPr>
          <w:rFonts w:ascii="Times New Roman" w:hAnsi="Times New Roman"/>
          <w:lang w:val="en-IE"/>
        </w:rPr>
        <w:t>(</w:t>
      </w:r>
      <w:proofErr w:type="gramStart"/>
      <w:r w:rsidRPr="001A5725">
        <w:rPr>
          <w:rFonts w:ascii="Times New Roman" w:hAnsi="Times New Roman"/>
          <w:lang w:val="en-IE"/>
        </w:rPr>
        <w:t>COM(</w:t>
      </w:r>
      <w:proofErr w:type="gramEnd"/>
      <w:r w:rsidRPr="001A5725">
        <w:rPr>
          <w:rFonts w:ascii="Times New Roman" w:hAnsi="Times New Roman"/>
          <w:lang w:val="en-IE"/>
        </w:rPr>
        <w:t>2025) 281 final)</w:t>
      </w:r>
      <w:r w:rsidR="006A6C09" w:rsidRPr="001A5725">
        <w:rPr>
          <w:rFonts w:ascii="Times New Roman" w:hAnsi="Times New Roman"/>
          <w:lang w:val="en-IE"/>
        </w:rPr>
        <w:t>.</w:t>
      </w:r>
    </w:p>
  </w:footnote>
  <w:footnote w:id="18">
    <w:p w14:paraId="33445016" w14:textId="36AC4C8D" w:rsidR="006A6C09" w:rsidRPr="001A5725" w:rsidRDefault="006A6C09" w:rsidP="001A5725">
      <w:pPr>
        <w:pStyle w:val="FootnoteText"/>
        <w:spacing w:after="0" w:line="240" w:lineRule="auto"/>
        <w:ind w:left="-141" w:right="-567" w:hanging="284"/>
        <w:jc w:val="both"/>
        <w:rPr>
          <w:rFonts w:ascii="Times New Roman" w:hAnsi="Times New Roman"/>
          <w:lang w:val="en-IE"/>
        </w:rPr>
      </w:pPr>
      <w:r w:rsidRPr="001A5725">
        <w:rPr>
          <w:rStyle w:val="FootnoteReference"/>
          <w:rFonts w:ascii="Times New Roman" w:hAnsi="Times New Roman"/>
        </w:rPr>
        <w:footnoteRef/>
      </w:r>
      <w:r w:rsidRPr="001A5725">
        <w:rPr>
          <w:rFonts w:ascii="Times New Roman" w:hAnsi="Times New Roman"/>
        </w:rPr>
        <w:t xml:space="preserve"> </w:t>
      </w:r>
      <w:r w:rsidRPr="001A5725">
        <w:rPr>
          <w:rFonts w:ascii="Times New Roman" w:hAnsi="Times New Roman"/>
          <w:lang w:val="en-IE"/>
        </w:rPr>
        <w:tab/>
      </w:r>
      <w:r w:rsidRPr="001A5725">
        <w:rPr>
          <w:rFonts w:ascii="Times New Roman" w:hAnsi="Times New Roman"/>
        </w:rPr>
        <w:t>Directive 2014/89/EU of the European Parliament and of the Council of 23 July 2014 establishing a framework for maritime spatial planning (</w:t>
      </w:r>
      <w:hyperlink r:id="rId8" w:tooltip="Gives access to this document through its ELI URI." w:history="1">
        <w:r w:rsidRPr="001A5725">
          <w:rPr>
            <w:rStyle w:val="Hyperlink"/>
            <w:rFonts w:ascii="Times New Roman" w:hAnsi="Times New Roman"/>
          </w:rPr>
          <w:t>http://data.europa.eu/eli/dir/2014/89/oj</w:t>
        </w:r>
      </w:hyperlink>
      <w:r w:rsidRPr="001A5725">
        <w:rPr>
          <w:rFonts w:ascii="Times New Roman" w:hAnsi="Times New Roman"/>
        </w:rPr>
        <w:t>).</w:t>
      </w:r>
    </w:p>
  </w:footnote>
  <w:footnote w:id="19">
    <w:p w14:paraId="7565FFC2" w14:textId="1B9B46FE" w:rsidR="006A6C09" w:rsidRPr="001A5725" w:rsidRDefault="006A6C09" w:rsidP="001A5725">
      <w:pPr>
        <w:pStyle w:val="FootnoteText"/>
        <w:spacing w:after="0" w:line="240" w:lineRule="auto"/>
        <w:ind w:left="-141" w:right="-567" w:hanging="284"/>
        <w:jc w:val="both"/>
        <w:rPr>
          <w:rFonts w:ascii="Times New Roman" w:hAnsi="Times New Roman"/>
          <w:lang w:val="en-IE"/>
        </w:rPr>
      </w:pPr>
      <w:r w:rsidRPr="001A5725">
        <w:rPr>
          <w:rStyle w:val="FootnoteReference"/>
          <w:rFonts w:ascii="Times New Roman" w:hAnsi="Times New Roman"/>
        </w:rPr>
        <w:footnoteRef/>
      </w:r>
      <w:r w:rsidRPr="001A5725">
        <w:rPr>
          <w:rFonts w:ascii="Times New Roman" w:hAnsi="Times New Roman"/>
        </w:rPr>
        <w:t xml:space="preserve"> </w:t>
      </w:r>
      <w:r w:rsidRPr="001A5725">
        <w:rPr>
          <w:rFonts w:ascii="Times New Roman" w:hAnsi="Times New Roman"/>
          <w:lang w:val="en-IE"/>
        </w:rPr>
        <w:tab/>
      </w:r>
      <w:hyperlink r:id="rId9" w:history="1">
        <w:r w:rsidRPr="001A5725">
          <w:rPr>
            <w:rStyle w:val="Hyperlink"/>
            <w:rFonts w:ascii="Times New Roman" w:hAnsi="Times New Roman"/>
          </w:rPr>
          <w:t>Call for Evidence | EU Coastal Communities Strategy | Atlantic Strategy</w:t>
        </w:r>
      </w:hyperlink>
      <w:r w:rsidRPr="001A5725">
        <w:rPr>
          <w:rFonts w:ascii="Times New Roman" w:hAnsi="Times New Roman"/>
          <w:lang w:val="en-IE"/>
        </w:rPr>
        <w:t>.</w:t>
      </w:r>
    </w:p>
  </w:footnote>
  <w:footnote w:id="20">
    <w:p w14:paraId="736D7DDE" w14:textId="323378D4" w:rsidR="005B27D7" w:rsidRPr="001A5725" w:rsidRDefault="005B27D7" w:rsidP="001A5725">
      <w:pPr>
        <w:pStyle w:val="FootnoteText"/>
        <w:spacing w:after="0" w:line="240" w:lineRule="auto"/>
        <w:ind w:left="-141" w:right="-567" w:hanging="284"/>
        <w:jc w:val="both"/>
        <w:rPr>
          <w:rFonts w:ascii="Times New Roman" w:hAnsi="Times New Roman"/>
          <w:bCs/>
          <w:lang w:val="en-IE"/>
        </w:rPr>
      </w:pPr>
      <w:r w:rsidRPr="007B4D9F">
        <w:rPr>
          <w:rStyle w:val="FootnoteReference"/>
          <w:rFonts w:ascii="Times New Roman" w:hAnsi="Times New Roman"/>
        </w:rPr>
        <w:footnoteRef/>
      </w:r>
      <w:r w:rsidRPr="001A5725">
        <w:rPr>
          <w:rFonts w:ascii="Times New Roman" w:hAnsi="Times New Roman"/>
          <w:lang w:val="en-IE"/>
        </w:rPr>
        <w:t xml:space="preserve"> </w:t>
      </w:r>
      <w:r w:rsidR="00B84C84" w:rsidRPr="001A5725">
        <w:rPr>
          <w:rFonts w:ascii="Times New Roman" w:hAnsi="Times New Roman"/>
          <w:lang w:val="en-IE"/>
        </w:rPr>
        <w:tab/>
      </w:r>
      <w:r w:rsidR="00CC76CF" w:rsidRPr="001A5725">
        <w:rPr>
          <w:rFonts w:ascii="Times New Roman" w:hAnsi="Times New Roman"/>
          <w:bCs/>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w:t>
      </w:r>
      <w:hyperlink r:id="rId10" w:tooltip="Gives access to this document through its ELI URI." w:history="1">
        <w:r w:rsidR="00CC76CF" w:rsidRPr="001A5725">
          <w:rPr>
            <w:rStyle w:val="Hyperlink"/>
            <w:rFonts w:ascii="Times New Roman" w:hAnsi="Times New Roman"/>
            <w:bCs/>
          </w:rPr>
          <w:t>http://data.europa.eu/eli/reg/2021/1060/oj</w:t>
        </w:r>
      </w:hyperlink>
      <w:r w:rsidR="00CC76CF" w:rsidRPr="001A5725">
        <w:rPr>
          <w:rFonts w:ascii="Times New Roman" w:hAnsi="Times New Roman"/>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A06C"/>
    <w:multiLevelType w:val="hybridMultilevel"/>
    <w:tmpl w:val="56B4AE2E"/>
    <w:lvl w:ilvl="0" w:tplc="CB4801BE">
      <w:start w:val="1"/>
      <w:numFmt w:val="bullet"/>
      <w:lvlText w:val=""/>
      <w:lvlJc w:val="left"/>
      <w:pPr>
        <w:ind w:left="720" w:hanging="360"/>
      </w:pPr>
      <w:rPr>
        <w:rFonts w:ascii="Symbol" w:hAnsi="Symbol" w:hint="default"/>
      </w:rPr>
    </w:lvl>
    <w:lvl w:ilvl="1" w:tplc="22580490">
      <w:start w:val="1"/>
      <w:numFmt w:val="bullet"/>
      <w:lvlText w:val="o"/>
      <w:lvlJc w:val="left"/>
      <w:pPr>
        <w:ind w:left="1440" w:hanging="360"/>
      </w:pPr>
      <w:rPr>
        <w:rFonts w:ascii="Courier New" w:hAnsi="Courier New" w:hint="default"/>
      </w:rPr>
    </w:lvl>
    <w:lvl w:ilvl="2" w:tplc="888CE100">
      <w:start w:val="1"/>
      <w:numFmt w:val="bullet"/>
      <w:lvlText w:val=""/>
      <w:lvlJc w:val="left"/>
      <w:pPr>
        <w:ind w:left="2160" w:hanging="360"/>
      </w:pPr>
      <w:rPr>
        <w:rFonts w:ascii="Wingdings" w:hAnsi="Wingdings" w:hint="default"/>
      </w:rPr>
    </w:lvl>
    <w:lvl w:ilvl="3" w:tplc="764CBD96">
      <w:start w:val="1"/>
      <w:numFmt w:val="bullet"/>
      <w:lvlText w:val=""/>
      <w:lvlJc w:val="left"/>
      <w:pPr>
        <w:ind w:left="2880" w:hanging="360"/>
      </w:pPr>
      <w:rPr>
        <w:rFonts w:ascii="Symbol" w:hAnsi="Symbol" w:hint="default"/>
      </w:rPr>
    </w:lvl>
    <w:lvl w:ilvl="4" w:tplc="CEBE05A8">
      <w:start w:val="1"/>
      <w:numFmt w:val="bullet"/>
      <w:lvlText w:val="o"/>
      <w:lvlJc w:val="left"/>
      <w:pPr>
        <w:ind w:left="3600" w:hanging="360"/>
      </w:pPr>
      <w:rPr>
        <w:rFonts w:ascii="Courier New" w:hAnsi="Courier New" w:hint="default"/>
      </w:rPr>
    </w:lvl>
    <w:lvl w:ilvl="5" w:tplc="37B6D3D6">
      <w:start w:val="1"/>
      <w:numFmt w:val="bullet"/>
      <w:lvlText w:val=""/>
      <w:lvlJc w:val="left"/>
      <w:pPr>
        <w:ind w:left="4320" w:hanging="360"/>
      </w:pPr>
      <w:rPr>
        <w:rFonts w:ascii="Wingdings" w:hAnsi="Wingdings" w:hint="default"/>
      </w:rPr>
    </w:lvl>
    <w:lvl w:ilvl="6" w:tplc="5A200942">
      <w:start w:val="1"/>
      <w:numFmt w:val="bullet"/>
      <w:lvlText w:val=""/>
      <w:lvlJc w:val="left"/>
      <w:pPr>
        <w:ind w:left="5040" w:hanging="360"/>
      </w:pPr>
      <w:rPr>
        <w:rFonts w:ascii="Symbol" w:hAnsi="Symbol" w:hint="default"/>
      </w:rPr>
    </w:lvl>
    <w:lvl w:ilvl="7" w:tplc="64881ECA">
      <w:start w:val="1"/>
      <w:numFmt w:val="bullet"/>
      <w:lvlText w:val="o"/>
      <w:lvlJc w:val="left"/>
      <w:pPr>
        <w:ind w:left="5760" w:hanging="360"/>
      </w:pPr>
      <w:rPr>
        <w:rFonts w:ascii="Courier New" w:hAnsi="Courier New" w:hint="default"/>
      </w:rPr>
    </w:lvl>
    <w:lvl w:ilvl="8" w:tplc="71F081F8">
      <w:start w:val="1"/>
      <w:numFmt w:val="bullet"/>
      <w:lvlText w:val=""/>
      <w:lvlJc w:val="left"/>
      <w:pPr>
        <w:ind w:left="6480" w:hanging="360"/>
      </w:pPr>
      <w:rPr>
        <w:rFonts w:ascii="Wingdings" w:hAnsi="Wingdings" w:hint="default"/>
      </w:rPr>
    </w:lvl>
  </w:abstractNum>
  <w:abstractNum w:abstractNumId="1" w15:restartNumberingAfterBreak="0">
    <w:nsid w:val="0ACF754A"/>
    <w:multiLevelType w:val="hybridMultilevel"/>
    <w:tmpl w:val="E38C163C"/>
    <w:lvl w:ilvl="0" w:tplc="747E8DA4">
      <w:start w:val="1"/>
      <w:numFmt w:val="bullet"/>
      <w:lvlText w:val=""/>
      <w:lvlJc w:val="left"/>
      <w:pPr>
        <w:ind w:left="720" w:hanging="360"/>
      </w:pPr>
      <w:rPr>
        <w:rFonts w:ascii="Symbol" w:hAnsi="Symbol" w:hint="default"/>
      </w:rPr>
    </w:lvl>
    <w:lvl w:ilvl="1" w:tplc="46E8B030">
      <w:start w:val="1"/>
      <w:numFmt w:val="bullet"/>
      <w:lvlText w:val="o"/>
      <w:lvlJc w:val="left"/>
      <w:pPr>
        <w:ind w:left="1440" w:hanging="360"/>
      </w:pPr>
      <w:rPr>
        <w:rFonts w:ascii="Courier New" w:hAnsi="Courier New" w:hint="default"/>
      </w:rPr>
    </w:lvl>
    <w:lvl w:ilvl="2" w:tplc="AE429632">
      <w:start w:val="1"/>
      <w:numFmt w:val="bullet"/>
      <w:lvlText w:val=""/>
      <w:lvlJc w:val="left"/>
      <w:pPr>
        <w:ind w:left="2160" w:hanging="360"/>
      </w:pPr>
      <w:rPr>
        <w:rFonts w:ascii="Wingdings" w:hAnsi="Wingdings" w:hint="default"/>
      </w:rPr>
    </w:lvl>
    <w:lvl w:ilvl="3" w:tplc="A4606F2C">
      <w:start w:val="1"/>
      <w:numFmt w:val="bullet"/>
      <w:lvlText w:val=""/>
      <w:lvlJc w:val="left"/>
      <w:pPr>
        <w:ind w:left="2880" w:hanging="360"/>
      </w:pPr>
      <w:rPr>
        <w:rFonts w:ascii="Symbol" w:hAnsi="Symbol" w:hint="default"/>
      </w:rPr>
    </w:lvl>
    <w:lvl w:ilvl="4" w:tplc="6CBCE590">
      <w:start w:val="1"/>
      <w:numFmt w:val="bullet"/>
      <w:lvlText w:val="o"/>
      <w:lvlJc w:val="left"/>
      <w:pPr>
        <w:ind w:left="3600" w:hanging="360"/>
      </w:pPr>
      <w:rPr>
        <w:rFonts w:ascii="Courier New" w:hAnsi="Courier New" w:hint="default"/>
      </w:rPr>
    </w:lvl>
    <w:lvl w:ilvl="5" w:tplc="7DC681CE">
      <w:start w:val="1"/>
      <w:numFmt w:val="bullet"/>
      <w:lvlText w:val=""/>
      <w:lvlJc w:val="left"/>
      <w:pPr>
        <w:ind w:left="4320" w:hanging="360"/>
      </w:pPr>
      <w:rPr>
        <w:rFonts w:ascii="Wingdings" w:hAnsi="Wingdings" w:hint="default"/>
      </w:rPr>
    </w:lvl>
    <w:lvl w:ilvl="6" w:tplc="2594E7E2">
      <w:start w:val="1"/>
      <w:numFmt w:val="bullet"/>
      <w:lvlText w:val=""/>
      <w:lvlJc w:val="left"/>
      <w:pPr>
        <w:ind w:left="5040" w:hanging="360"/>
      </w:pPr>
      <w:rPr>
        <w:rFonts w:ascii="Symbol" w:hAnsi="Symbol" w:hint="default"/>
      </w:rPr>
    </w:lvl>
    <w:lvl w:ilvl="7" w:tplc="83FE2E28">
      <w:start w:val="1"/>
      <w:numFmt w:val="bullet"/>
      <w:lvlText w:val="o"/>
      <w:lvlJc w:val="left"/>
      <w:pPr>
        <w:ind w:left="5760" w:hanging="360"/>
      </w:pPr>
      <w:rPr>
        <w:rFonts w:ascii="Courier New" w:hAnsi="Courier New" w:hint="default"/>
      </w:rPr>
    </w:lvl>
    <w:lvl w:ilvl="8" w:tplc="4510E948">
      <w:start w:val="1"/>
      <w:numFmt w:val="bullet"/>
      <w:lvlText w:val=""/>
      <w:lvlJc w:val="left"/>
      <w:pPr>
        <w:ind w:left="6480" w:hanging="360"/>
      </w:pPr>
      <w:rPr>
        <w:rFonts w:ascii="Wingdings" w:hAnsi="Wingdings" w:hint="default"/>
      </w:rPr>
    </w:lvl>
  </w:abstractNum>
  <w:abstractNum w:abstractNumId="2" w15:restartNumberingAfterBreak="0">
    <w:nsid w:val="0B9B7DDD"/>
    <w:multiLevelType w:val="hybridMultilevel"/>
    <w:tmpl w:val="10DE5AF8"/>
    <w:lvl w:ilvl="0" w:tplc="43A69A36">
      <w:start w:val="1"/>
      <w:numFmt w:val="bullet"/>
      <w:lvlText w:val=""/>
      <w:lvlJc w:val="left"/>
      <w:pPr>
        <w:ind w:left="720" w:hanging="360"/>
      </w:pPr>
      <w:rPr>
        <w:rFonts w:ascii="Symbol" w:hAnsi="Symbol" w:hint="default"/>
      </w:rPr>
    </w:lvl>
    <w:lvl w:ilvl="1" w:tplc="870694A6">
      <w:start w:val="1"/>
      <w:numFmt w:val="bullet"/>
      <w:lvlText w:val="o"/>
      <w:lvlJc w:val="left"/>
      <w:pPr>
        <w:ind w:left="1440" w:hanging="360"/>
      </w:pPr>
      <w:rPr>
        <w:rFonts w:ascii="Courier New" w:hAnsi="Courier New" w:hint="default"/>
      </w:rPr>
    </w:lvl>
    <w:lvl w:ilvl="2" w:tplc="09D8E042">
      <w:start w:val="1"/>
      <w:numFmt w:val="bullet"/>
      <w:lvlText w:val=""/>
      <w:lvlJc w:val="left"/>
      <w:pPr>
        <w:ind w:left="2160" w:hanging="360"/>
      </w:pPr>
      <w:rPr>
        <w:rFonts w:ascii="Wingdings" w:hAnsi="Wingdings" w:hint="default"/>
      </w:rPr>
    </w:lvl>
    <w:lvl w:ilvl="3" w:tplc="F4564FEA">
      <w:start w:val="1"/>
      <w:numFmt w:val="bullet"/>
      <w:lvlText w:val=""/>
      <w:lvlJc w:val="left"/>
      <w:pPr>
        <w:ind w:left="2880" w:hanging="360"/>
      </w:pPr>
      <w:rPr>
        <w:rFonts w:ascii="Symbol" w:hAnsi="Symbol" w:hint="default"/>
      </w:rPr>
    </w:lvl>
    <w:lvl w:ilvl="4" w:tplc="143CA804">
      <w:start w:val="1"/>
      <w:numFmt w:val="bullet"/>
      <w:lvlText w:val="o"/>
      <w:lvlJc w:val="left"/>
      <w:pPr>
        <w:ind w:left="3600" w:hanging="360"/>
      </w:pPr>
      <w:rPr>
        <w:rFonts w:ascii="Courier New" w:hAnsi="Courier New" w:hint="default"/>
      </w:rPr>
    </w:lvl>
    <w:lvl w:ilvl="5" w:tplc="3B70C114">
      <w:start w:val="1"/>
      <w:numFmt w:val="bullet"/>
      <w:lvlText w:val=""/>
      <w:lvlJc w:val="left"/>
      <w:pPr>
        <w:ind w:left="4320" w:hanging="360"/>
      </w:pPr>
      <w:rPr>
        <w:rFonts w:ascii="Wingdings" w:hAnsi="Wingdings" w:hint="default"/>
      </w:rPr>
    </w:lvl>
    <w:lvl w:ilvl="6" w:tplc="A9C0957A">
      <w:start w:val="1"/>
      <w:numFmt w:val="bullet"/>
      <w:lvlText w:val=""/>
      <w:lvlJc w:val="left"/>
      <w:pPr>
        <w:ind w:left="5040" w:hanging="360"/>
      </w:pPr>
      <w:rPr>
        <w:rFonts w:ascii="Symbol" w:hAnsi="Symbol" w:hint="default"/>
      </w:rPr>
    </w:lvl>
    <w:lvl w:ilvl="7" w:tplc="F946BB36">
      <w:start w:val="1"/>
      <w:numFmt w:val="bullet"/>
      <w:lvlText w:val="o"/>
      <w:lvlJc w:val="left"/>
      <w:pPr>
        <w:ind w:left="5760" w:hanging="360"/>
      </w:pPr>
      <w:rPr>
        <w:rFonts w:ascii="Courier New" w:hAnsi="Courier New" w:hint="default"/>
      </w:rPr>
    </w:lvl>
    <w:lvl w:ilvl="8" w:tplc="A76EABB6">
      <w:start w:val="1"/>
      <w:numFmt w:val="bullet"/>
      <w:lvlText w:val=""/>
      <w:lvlJc w:val="left"/>
      <w:pPr>
        <w:ind w:left="6480" w:hanging="360"/>
      </w:pPr>
      <w:rPr>
        <w:rFonts w:ascii="Wingdings" w:hAnsi="Wingdings" w:hint="default"/>
      </w:rPr>
    </w:lvl>
  </w:abstractNum>
  <w:abstractNum w:abstractNumId="3" w15:restartNumberingAfterBreak="0">
    <w:nsid w:val="3C245557"/>
    <w:multiLevelType w:val="hybridMultilevel"/>
    <w:tmpl w:val="46629648"/>
    <w:lvl w:ilvl="0" w:tplc="C7E63DA2">
      <w:start w:val="1"/>
      <w:numFmt w:val="bullet"/>
      <w:lvlText w:val=""/>
      <w:lvlJc w:val="left"/>
      <w:pPr>
        <w:ind w:left="720" w:hanging="360"/>
      </w:pPr>
      <w:rPr>
        <w:rFonts w:ascii="Symbol" w:hAnsi="Symbol" w:hint="default"/>
      </w:rPr>
    </w:lvl>
    <w:lvl w:ilvl="1" w:tplc="E5929466">
      <w:start w:val="1"/>
      <w:numFmt w:val="bullet"/>
      <w:lvlText w:val="o"/>
      <w:lvlJc w:val="left"/>
      <w:pPr>
        <w:ind w:left="1440" w:hanging="360"/>
      </w:pPr>
      <w:rPr>
        <w:rFonts w:ascii="Courier New" w:hAnsi="Courier New" w:hint="default"/>
      </w:rPr>
    </w:lvl>
    <w:lvl w:ilvl="2" w:tplc="85B4D114">
      <w:start w:val="1"/>
      <w:numFmt w:val="bullet"/>
      <w:lvlText w:val=""/>
      <w:lvlJc w:val="left"/>
      <w:pPr>
        <w:ind w:left="2160" w:hanging="360"/>
      </w:pPr>
      <w:rPr>
        <w:rFonts w:ascii="Wingdings" w:hAnsi="Wingdings" w:hint="default"/>
      </w:rPr>
    </w:lvl>
    <w:lvl w:ilvl="3" w:tplc="83F0096E">
      <w:start w:val="1"/>
      <w:numFmt w:val="bullet"/>
      <w:lvlText w:val=""/>
      <w:lvlJc w:val="left"/>
      <w:pPr>
        <w:ind w:left="2880" w:hanging="360"/>
      </w:pPr>
      <w:rPr>
        <w:rFonts w:ascii="Symbol" w:hAnsi="Symbol" w:hint="default"/>
      </w:rPr>
    </w:lvl>
    <w:lvl w:ilvl="4" w:tplc="121064F6">
      <w:start w:val="1"/>
      <w:numFmt w:val="bullet"/>
      <w:lvlText w:val="o"/>
      <w:lvlJc w:val="left"/>
      <w:pPr>
        <w:ind w:left="3600" w:hanging="360"/>
      </w:pPr>
      <w:rPr>
        <w:rFonts w:ascii="Courier New" w:hAnsi="Courier New" w:hint="default"/>
      </w:rPr>
    </w:lvl>
    <w:lvl w:ilvl="5" w:tplc="C00C32B2">
      <w:start w:val="1"/>
      <w:numFmt w:val="bullet"/>
      <w:lvlText w:val=""/>
      <w:lvlJc w:val="left"/>
      <w:pPr>
        <w:ind w:left="4320" w:hanging="360"/>
      </w:pPr>
      <w:rPr>
        <w:rFonts w:ascii="Wingdings" w:hAnsi="Wingdings" w:hint="default"/>
      </w:rPr>
    </w:lvl>
    <w:lvl w:ilvl="6" w:tplc="335EF75C">
      <w:start w:val="1"/>
      <w:numFmt w:val="bullet"/>
      <w:lvlText w:val=""/>
      <w:lvlJc w:val="left"/>
      <w:pPr>
        <w:ind w:left="5040" w:hanging="360"/>
      </w:pPr>
      <w:rPr>
        <w:rFonts w:ascii="Symbol" w:hAnsi="Symbol" w:hint="default"/>
      </w:rPr>
    </w:lvl>
    <w:lvl w:ilvl="7" w:tplc="13560EE4">
      <w:start w:val="1"/>
      <w:numFmt w:val="bullet"/>
      <w:lvlText w:val="o"/>
      <w:lvlJc w:val="left"/>
      <w:pPr>
        <w:ind w:left="5760" w:hanging="360"/>
      </w:pPr>
      <w:rPr>
        <w:rFonts w:ascii="Courier New" w:hAnsi="Courier New" w:hint="default"/>
      </w:rPr>
    </w:lvl>
    <w:lvl w:ilvl="8" w:tplc="973C4ECA">
      <w:start w:val="1"/>
      <w:numFmt w:val="bullet"/>
      <w:lvlText w:val=""/>
      <w:lvlJc w:val="left"/>
      <w:pPr>
        <w:ind w:left="6480" w:hanging="360"/>
      </w:pPr>
      <w:rPr>
        <w:rFonts w:ascii="Wingdings" w:hAnsi="Wingdings" w:hint="default"/>
      </w:rPr>
    </w:lvl>
  </w:abstractNum>
  <w:abstractNum w:abstractNumId="4" w15:restartNumberingAfterBreak="0">
    <w:nsid w:val="6F2E166D"/>
    <w:multiLevelType w:val="hybridMultilevel"/>
    <w:tmpl w:val="E1086A70"/>
    <w:lvl w:ilvl="0" w:tplc="B55045C8">
      <w:start w:val="1"/>
      <w:numFmt w:val="bullet"/>
      <w:lvlText w:val=""/>
      <w:lvlJc w:val="left"/>
      <w:pPr>
        <w:ind w:left="720" w:hanging="360"/>
      </w:pPr>
      <w:rPr>
        <w:rFonts w:ascii="Symbol" w:hAnsi="Symbol" w:hint="default"/>
      </w:rPr>
    </w:lvl>
    <w:lvl w:ilvl="1" w:tplc="5F3CE198">
      <w:start w:val="1"/>
      <w:numFmt w:val="bullet"/>
      <w:lvlText w:val="o"/>
      <w:lvlJc w:val="left"/>
      <w:pPr>
        <w:ind w:left="1440" w:hanging="360"/>
      </w:pPr>
      <w:rPr>
        <w:rFonts w:ascii="Courier New" w:hAnsi="Courier New" w:hint="default"/>
      </w:rPr>
    </w:lvl>
    <w:lvl w:ilvl="2" w:tplc="49908532">
      <w:start w:val="1"/>
      <w:numFmt w:val="bullet"/>
      <w:lvlText w:val=""/>
      <w:lvlJc w:val="left"/>
      <w:pPr>
        <w:ind w:left="2160" w:hanging="360"/>
      </w:pPr>
      <w:rPr>
        <w:rFonts w:ascii="Wingdings" w:hAnsi="Wingdings" w:hint="default"/>
      </w:rPr>
    </w:lvl>
    <w:lvl w:ilvl="3" w:tplc="6764F5EE">
      <w:start w:val="1"/>
      <w:numFmt w:val="bullet"/>
      <w:lvlText w:val=""/>
      <w:lvlJc w:val="left"/>
      <w:pPr>
        <w:ind w:left="2880" w:hanging="360"/>
      </w:pPr>
      <w:rPr>
        <w:rFonts w:ascii="Symbol" w:hAnsi="Symbol" w:hint="default"/>
      </w:rPr>
    </w:lvl>
    <w:lvl w:ilvl="4" w:tplc="41221C66">
      <w:start w:val="1"/>
      <w:numFmt w:val="bullet"/>
      <w:lvlText w:val="o"/>
      <w:lvlJc w:val="left"/>
      <w:pPr>
        <w:ind w:left="3600" w:hanging="360"/>
      </w:pPr>
      <w:rPr>
        <w:rFonts w:ascii="Courier New" w:hAnsi="Courier New" w:hint="default"/>
      </w:rPr>
    </w:lvl>
    <w:lvl w:ilvl="5" w:tplc="C11A72BC">
      <w:start w:val="1"/>
      <w:numFmt w:val="bullet"/>
      <w:lvlText w:val=""/>
      <w:lvlJc w:val="left"/>
      <w:pPr>
        <w:ind w:left="4320" w:hanging="360"/>
      </w:pPr>
      <w:rPr>
        <w:rFonts w:ascii="Wingdings" w:hAnsi="Wingdings" w:hint="default"/>
      </w:rPr>
    </w:lvl>
    <w:lvl w:ilvl="6" w:tplc="FB0A3928">
      <w:start w:val="1"/>
      <w:numFmt w:val="bullet"/>
      <w:lvlText w:val=""/>
      <w:lvlJc w:val="left"/>
      <w:pPr>
        <w:ind w:left="5040" w:hanging="360"/>
      </w:pPr>
      <w:rPr>
        <w:rFonts w:ascii="Symbol" w:hAnsi="Symbol" w:hint="default"/>
      </w:rPr>
    </w:lvl>
    <w:lvl w:ilvl="7" w:tplc="2E6C3EA6">
      <w:start w:val="1"/>
      <w:numFmt w:val="bullet"/>
      <w:lvlText w:val="o"/>
      <w:lvlJc w:val="left"/>
      <w:pPr>
        <w:ind w:left="5760" w:hanging="360"/>
      </w:pPr>
      <w:rPr>
        <w:rFonts w:ascii="Courier New" w:hAnsi="Courier New" w:hint="default"/>
      </w:rPr>
    </w:lvl>
    <w:lvl w:ilvl="8" w:tplc="BD5E41C6">
      <w:start w:val="1"/>
      <w:numFmt w:val="bullet"/>
      <w:lvlText w:val=""/>
      <w:lvlJc w:val="left"/>
      <w:pPr>
        <w:ind w:left="6480" w:hanging="360"/>
      </w:pPr>
      <w:rPr>
        <w:rFonts w:ascii="Wingdings" w:hAnsi="Wingdings" w:hint="default"/>
      </w:rPr>
    </w:lvl>
  </w:abstractNum>
  <w:abstractNum w:abstractNumId="5" w15:restartNumberingAfterBreak="0">
    <w:nsid w:val="7DF902FB"/>
    <w:multiLevelType w:val="hybridMultilevel"/>
    <w:tmpl w:val="16BA6578"/>
    <w:lvl w:ilvl="0" w:tplc="08090001">
      <w:start w:val="1"/>
      <w:numFmt w:val="bullet"/>
      <w:lvlText w:val=""/>
      <w:lvlJc w:val="left"/>
      <w:pPr>
        <w:ind w:left="357" w:hanging="360"/>
      </w:pPr>
      <w:rPr>
        <w:rFonts w:ascii="Symbol" w:hAnsi="Symbol" w:hint="default"/>
      </w:rPr>
    </w:lvl>
    <w:lvl w:ilvl="1" w:tplc="08090003">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num w:numId="1" w16cid:durableId="1613172248">
    <w:abstractNumId w:val="2"/>
  </w:num>
  <w:num w:numId="2" w16cid:durableId="1341275303">
    <w:abstractNumId w:val="4"/>
  </w:num>
  <w:num w:numId="3" w16cid:durableId="1732726873">
    <w:abstractNumId w:val="3"/>
  </w:num>
  <w:num w:numId="4" w16cid:durableId="539175036">
    <w:abstractNumId w:val="1"/>
  </w:num>
  <w:num w:numId="5" w16cid:durableId="117992143">
    <w:abstractNumId w:val="0"/>
  </w:num>
  <w:num w:numId="6" w16cid:durableId="1375614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3CEC"/>
    <w:rsid w:val="0001131F"/>
    <w:rsid w:val="00012A37"/>
    <w:rsid w:val="000324D4"/>
    <w:rsid w:val="00032C6A"/>
    <w:rsid w:val="00046B15"/>
    <w:rsid w:val="00050DC7"/>
    <w:rsid w:val="00051192"/>
    <w:rsid w:val="00062B1A"/>
    <w:rsid w:val="0006728C"/>
    <w:rsid w:val="00074EE1"/>
    <w:rsid w:val="00075394"/>
    <w:rsid w:val="00076109"/>
    <w:rsid w:val="00077C4F"/>
    <w:rsid w:val="0008143E"/>
    <w:rsid w:val="00093E9E"/>
    <w:rsid w:val="000A5829"/>
    <w:rsid w:val="000C2894"/>
    <w:rsid w:val="000D6E54"/>
    <w:rsid w:val="000E2F52"/>
    <w:rsid w:val="000E6D92"/>
    <w:rsid w:val="000F0274"/>
    <w:rsid w:val="000F472D"/>
    <w:rsid w:val="000F4D5F"/>
    <w:rsid w:val="000F5FD8"/>
    <w:rsid w:val="00114274"/>
    <w:rsid w:val="001167C0"/>
    <w:rsid w:val="00121708"/>
    <w:rsid w:val="00135C2A"/>
    <w:rsid w:val="00135E67"/>
    <w:rsid w:val="00157929"/>
    <w:rsid w:val="00160F40"/>
    <w:rsid w:val="001628F4"/>
    <w:rsid w:val="00181B83"/>
    <w:rsid w:val="00187E73"/>
    <w:rsid w:val="001A5725"/>
    <w:rsid w:val="001A77AD"/>
    <w:rsid w:val="001B0E0B"/>
    <w:rsid w:val="001B609F"/>
    <w:rsid w:val="001B6B34"/>
    <w:rsid w:val="001C082F"/>
    <w:rsid w:val="001C2D42"/>
    <w:rsid w:val="001C4138"/>
    <w:rsid w:val="001D512C"/>
    <w:rsid w:val="001D540B"/>
    <w:rsid w:val="001E2B39"/>
    <w:rsid w:val="001F13CC"/>
    <w:rsid w:val="001F2EC6"/>
    <w:rsid w:val="001F65D0"/>
    <w:rsid w:val="00202D53"/>
    <w:rsid w:val="00211DED"/>
    <w:rsid w:val="002169EC"/>
    <w:rsid w:val="00217E59"/>
    <w:rsid w:val="00221E50"/>
    <w:rsid w:val="00242C68"/>
    <w:rsid w:val="00245498"/>
    <w:rsid w:val="00245DE3"/>
    <w:rsid w:val="002740AA"/>
    <w:rsid w:val="002779D6"/>
    <w:rsid w:val="002927C2"/>
    <w:rsid w:val="00292CEE"/>
    <w:rsid w:val="002B5A54"/>
    <w:rsid w:val="002F03FA"/>
    <w:rsid w:val="003004D2"/>
    <w:rsid w:val="003012FA"/>
    <w:rsid w:val="00307D00"/>
    <w:rsid w:val="00312A4A"/>
    <w:rsid w:val="00316E57"/>
    <w:rsid w:val="00317B3D"/>
    <w:rsid w:val="003220E7"/>
    <w:rsid w:val="003229A0"/>
    <w:rsid w:val="00324F19"/>
    <w:rsid w:val="003349A3"/>
    <w:rsid w:val="003546AE"/>
    <w:rsid w:val="00355AF6"/>
    <w:rsid w:val="0037441C"/>
    <w:rsid w:val="00377967"/>
    <w:rsid w:val="00377E94"/>
    <w:rsid w:val="00385BEA"/>
    <w:rsid w:val="00386143"/>
    <w:rsid w:val="00386D4A"/>
    <w:rsid w:val="00391DA4"/>
    <w:rsid w:val="00395433"/>
    <w:rsid w:val="0039765F"/>
    <w:rsid w:val="003A25A7"/>
    <w:rsid w:val="003A2B11"/>
    <w:rsid w:val="003A3C58"/>
    <w:rsid w:val="003A72AB"/>
    <w:rsid w:val="003B58DC"/>
    <w:rsid w:val="003D430B"/>
    <w:rsid w:val="003E3297"/>
    <w:rsid w:val="003E4672"/>
    <w:rsid w:val="003F5504"/>
    <w:rsid w:val="003F686E"/>
    <w:rsid w:val="00403DC5"/>
    <w:rsid w:val="00416118"/>
    <w:rsid w:val="00425E98"/>
    <w:rsid w:val="00442552"/>
    <w:rsid w:val="004425FC"/>
    <w:rsid w:val="0045066F"/>
    <w:rsid w:val="00451120"/>
    <w:rsid w:val="00454D2E"/>
    <w:rsid w:val="00455A1C"/>
    <w:rsid w:val="004675B5"/>
    <w:rsid w:val="00476D02"/>
    <w:rsid w:val="004770D6"/>
    <w:rsid w:val="0049246C"/>
    <w:rsid w:val="0049395D"/>
    <w:rsid w:val="004964D0"/>
    <w:rsid w:val="004A7932"/>
    <w:rsid w:val="004B19A6"/>
    <w:rsid w:val="004C7604"/>
    <w:rsid w:val="004E29F5"/>
    <w:rsid w:val="004E3DAF"/>
    <w:rsid w:val="004F6117"/>
    <w:rsid w:val="004F63F1"/>
    <w:rsid w:val="004F651E"/>
    <w:rsid w:val="004F6638"/>
    <w:rsid w:val="00504DE2"/>
    <w:rsid w:val="005141DF"/>
    <w:rsid w:val="0052596B"/>
    <w:rsid w:val="00530139"/>
    <w:rsid w:val="00541742"/>
    <w:rsid w:val="00541BAF"/>
    <w:rsid w:val="00541C38"/>
    <w:rsid w:val="00553252"/>
    <w:rsid w:val="00554137"/>
    <w:rsid w:val="00554D8D"/>
    <w:rsid w:val="005713BB"/>
    <w:rsid w:val="00573835"/>
    <w:rsid w:val="00581306"/>
    <w:rsid w:val="005B0D1B"/>
    <w:rsid w:val="005B27D7"/>
    <w:rsid w:val="005B5765"/>
    <w:rsid w:val="005C3105"/>
    <w:rsid w:val="005C6A3A"/>
    <w:rsid w:val="005E7400"/>
    <w:rsid w:val="005F0236"/>
    <w:rsid w:val="00606B2A"/>
    <w:rsid w:val="00623BEB"/>
    <w:rsid w:val="00637A64"/>
    <w:rsid w:val="006456FF"/>
    <w:rsid w:val="0066045C"/>
    <w:rsid w:val="00680E2D"/>
    <w:rsid w:val="0068287E"/>
    <w:rsid w:val="00692C2F"/>
    <w:rsid w:val="00693A5A"/>
    <w:rsid w:val="00695797"/>
    <w:rsid w:val="00696A5E"/>
    <w:rsid w:val="006A3758"/>
    <w:rsid w:val="006A6C09"/>
    <w:rsid w:val="006B03BE"/>
    <w:rsid w:val="006B248F"/>
    <w:rsid w:val="006B3B69"/>
    <w:rsid w:val="006C35DA"/>
    <w:rsid w:val="006E0657"/>
    <w:rsid w:val="006E244E"/>
    <w:rsid w:val="006F2D29"/>
    <w:rsid w:val="00734613"/>
    <w:rsid w:val="00745790"/>
    <w:rsid w:val="007511E3"/>
    <w:rsid w:val="00751910"/>
    <w:rsid w:val="00751E60"/>
    <w:rsid w:val="007547B5"/>
    <w:rsid w:val="00754866"/>
    <w:rsid w:val="00773CA9"/>
    <w:rsid w:val="007750E6"/>
    <w:rsid w:val="007907AA"/>
    <w:rsid w:val="00795A9E"/>
    <w:rsid w:val="007A606D"/>
    <w:rsid w:val="007B4D9F"/>
    <w:rsid w:val="007B685F"/>
    <w:rsid w:val="007C2214"/>
    <w:rsid w:val="007C292D"/>
    <w:rsid w:val="0080232F"/>
    <w:rsid w:val="0080525E"/>
    <w:rsid w:val="00807B48"/>
    <w:rsid w:val="008135CA"/>
    <w:rsid w:val="0081584F"/>
    <w:rsid w:val="00850C44"/>
    <w:rsid w:val="00853D62"/>
    <w:rsid w:val="008703BF"/>
    <w:rsid w:val="008750B3"/>
    <w:rsid w:val="00886457"/>
    <w:rsid w:val="008925CE"/>
    <w:rsid w:val="008A4216"/>
    <w:rsid w:val="008B0649"/>
    <w:rsid w:val="008B0B50"/>
    <w:rsid w:val="008B41EA"/>
    <w:rsid w:val="008B5CF2"/>
    <w:rsid w:val="008B7C9C"/>
    <w:rsid w:val="008C4D41"/>
    <w:rsid w:val="008E1A74"/>
    <w:rsid w:val="0090267C"/>
    <w:rsid w:val="00915B3D"/>
    <w:rsid w:val="009175C1"/>
    <w:rsid w:val="00917AB7"/>
    <w:rsid w:val="00921E78"/>
    <w:rsid w:val="00927EDE"/>
    <w:rsid w:val="00936AE1"/>
    <w:rsid w:val="00951961"/>
    <w:rsid w:val="009535AF"/>
    <w:rsid w:val="0096269E"/>
    <w:rsid w:val="00967B9E"/>
    <w:rsid w:val="00981F45"/>
    <w:rsid w:val="00985499"/>
    <w:rsid w:val="00994D12"/>
    <w:rsid w:val="0099D9C7"/>
    <w:rsid w:val="009A021A"/>
    <w:rsid w:val="009A212E"/>
    <w:rsid w:val="009A3340"/>
    <w:rsid w:val="009A3524"/>
    <w:rsid w:val="009B128B"/>
    <w:rsid w:val="009B5984"/>
    <w:rsid w:val="009D637D"/>
    <w:rsid w:val="009D7A3E"/>
    <w:rsid w:val="009E2257"/>
    <w:rsid w:val="009F2922"/>
    <w:rsid w:val="009F36A3"/>
    <w:rsid w:val="009F4E3C"/>
    <w:rsid w:val="00A16F07"/>
    <w:rsid w:val="00A268C7"/>
    <w:rsid w:val="00A37A2B"/>
    <w:rsid w:val="00A41B50"/>
    <w:rsid w:val="00A53B24"/>
    <w:rsid w:val="00A54CEB"/>
    <w:rsid w:val="00A62C7B"/>
    <w:rsid w:val="00A653C0"/>
    <w:rsid w:val="00A7709A"/>
    <w:rsid w:val="00A82EFC"/>
    <w:rsid w:val="00A835D5"/>
    <w:rsid w:val="00A97261"/>
    <w:rsid w:val="00AA0D0B"/>
    <w:rsid w:val="00AA359A"/>
    <w:rsid w:val="00AA4B25"/>
    <w:rsid w:val="00AB1762"/>
    <w:rsid w:val="00AB319B"/>
    <w:rsid w:val="00AB54B0"/>
    <w:rsid w:val="00AB6C72"/>
    <w:rsid w:val="00AC2EA6"/>
    <w:rsid w:val="00AE1842"/>
    <w:rsid w:val="00AE3C7C"/>
    <w:rsid w:val="00B04F2F"/>
    <w:rsid w:val="00B31306"/>
    <w:rsid w:val="00B42814"/>
    <w:rsid w:val="00B50EBC"/>
    <w:rsid w:val="00B52E33"/>
    <w:rsid w:val="00B55D38"/>
    <w:rsid w:val="00B609F4"/>
    <w:rsid w:val="00B61426"/>
    <w:rsid w:val="00B64713"/>
    <w:rsid w:val="00B83936"/>
    <w:rsid w:val="00B84C84"/>
    <w:rsid w:val="00B86223"/>
    <w:rsid w:val="00B968FE"/>
    <w:rsid w:val="00B97FE7"/>
    <w:rsid w:val="00BB0ADD"/>
    <w:rsid w:val="00BD6EB7"/>
    <w:rsid w:val="00BE422C"/>
    <w:rsid w:val="00BE6597"/>
    <w:rsid w:val="00BF32A7"/>
    <w:rsid w:val="00BF473F"/>
    <w:rsid w:val="00C001F6"/>
    <w:rsid w:val="00C12359"/>
    <w:rsid w:val="00C16653"/>
    <w:rsid w:val="00C17C13"/>
    <w:rsid w:val="00C25919"/>
    <w:rsid w:val="00C2760E"/>
    <w:rsid w:val="00C37BDD"/>
    <w:rsid w:val="00C40680"/>
    <w:rsid w:val="00C40D07"/>
    <w:rsid w:val="00C54D27"/>
    <w:rsid w:val="00C6050E"/>
    <w:rsid w:val="00C61A7C"/>
    <w:rsid w:val="00C76EEB"/>
    <w:rsid w:val="00CB113B"/>
    <w:rsid w:val="00CB40A4"/>
    <w:rsid w:val="00CB6AE6"/>
    <w:rsid w:val="00CC76CF"/>
    <w:rsid w:val="00CD54E8"/>
    <w:rsid w:val="00CD5FF6"/>
    <w:rsid w:val="00CE13EE"/>
    <w:rsid w:val="00CE339D"/>
    <w:rsid w:val="00CF680D"/>
    <w:rsid w:val="00D01F5A"/>
    <w:rsid w:val="00D04CCE"/>
    <w:rsid w:val="00D1323B"/>
    <w:rsid w:val="00D1716E"/>
    <w:rsid w:val="00D23A39"/>
    <w:rsid w:val="00D40066"/>
    <w:rsid w:val="00D40CAD"/>
    <w:rsid w:val="00D4590F"/>
    <w:rsid w:val="00D46269"/>
    <w:rsid w:val="00D555B4"/>
    <w:rsid w:val="00D56C30"/>
    <w:rsid w:val="00D64E05"/>
    <w:rsid w:val="00D67FD8"/>
    <w:rsid w:val="00D74DAB"/>
    <w:rsid w:val="00D7708F"/>
    <w:rsid w:val="00D806E1"/>
    <w:rsid w:val="00D92FD3"/>
    <w:rsid w:val="00DA3B6E"/>
    <w:rsid w:val="00DB66A4"/>
    <w:rsid w:val="00DB7581"/>
    <w:rsid w:val="00DC70C1"/>
    <w:rsid w:val="00DD31D4"/>
    <w:rsid w:val="00E00468"/>
    <w:rsid w:val="00E01CEA"/>
    <w:rsid w:val="00E127A3"/>
    <w:rsid w:val="00E234CD"/>
    <w:rsid w:val="00E3034D"/>
    <w:rsid w:val="00E52935"/>
    <w:rsid w:val="00E5647F"/>
    <w:rsid w:val="00E71190"/>
    <w:rsid w:val="00E72D0F"/>
    <w:rsid w:val="00E755D8"/>
    <w:rsid w:val="00E83C12"/>
    <w:rsid w:val="00E904C8"/>
    <w:rsid w:val="00E90AAF"/>
    <w:rsid w:val="00EA1BBF"/>
    <w:rsid w:val="00EA47AA"/>
    <w:rsid w:val="00EA7547"/>
    <w:rsid w:val="00EB1A66"/>
    <w:rsid w:val="00EB29A9"/>
    <w:rsid w:val="00EB77D2"/>
    <w:rsid w:val="00EC7D5C"/>
    <w:rsid w:val="00F150BC"/>
    <w:rsid w:val="00F316C8"/>
    <w:rsid w:val="00F32B98"/>
    <w:rsid w:val="00F36F5E"/>
    <w:rsid w:val="00F632DE"/>
    <w:rsid w:val="00F666A4"/>
    <w:rsid w:val="00F735E4"/>
    <w:rsid w:val="00F856E1"/>
    <w:rsid w:val="00FA2A2D"/>
    <w:rsid w:val="00FB56E0"/>
    <w:rsid w:val="00FB7834"/>
    <w:rsid w:val="00FD4B6A"/>
    <w:rsid w:val="00FE4320"/>
    <w:rsid w:val="00FF03A8"/>
    <w:rsid w:val="00FF22D0"/>
    <w:rsid w:val="00FF5274"/>
    <w:rsid w:val="00FF63EA"/>
    <w:rsid w:val="036D2150"/>
    <w:rsid w:val="03B0F870"/>
    <w:rsid w:val="03B3EC64"/>
    <w:rsid w:val="067A061D"/>
    <w:rsid w:val="067B23B8"/>
    <w:rsid w:val="0F10E3CE"/>
    <w:rsid w:val="0F5E7286"/>
    <w:rsid w:val="112A12E1"/>
    <w:rsid w:val="17FB4FA3"/>
    <w:rsid w:val="1ADD8AD9"/>
    <w:rsid w:val="1DFB61F6"/>
    <w:rsid w:val="1E3E55F5"/>
    <w:rsid w:val="2433DD21"/>
    <w:rsid w:val="2A4A0E79"/>
    <w:rsid w:val="2A4FF191"/>
    <w:rsid w:val="304025A2"/>
    <w:rsid w:val="31387AA6"/>
    <w:rsid w:val="37295C79"/>
    <w:rsid w:val="38253179"/>
    <w:rsid w:val="3B779C05"/>
    <w:rsid w:val="3E0B9740"/>
    <w:rsid w:val="416F73F9"/>
    <w:rsid w:val="418FEBF0"/>
    <w:rsid w:val="49C87961"/>
    <w:rsid w:val="5046DB42"/>
    <w:rsid w:val="505ADC5C"/>
    <w:rsid w:val="5084C7AB"/>
    <w:rsid w:val="50F849C8"/>
    <w:rsid w:val="51C62C2D"/>
    <w:rsid w:val="52B7798A"/>
    <w:rsid w:val="552D6A97"/>
    <w:rsid w:val="57769A0C"/>
    <w:rsid w:val="58306B01"/>
    <w:rsid w:val="58DA128C"/>
    <w:rsid w:val="61E17179"/>
    <w:rsid w:val="6260E5D0"/>
    <w:rsid w:val="6A0A6FDC"/>
    <w:rsid w:val="6A47AE53"/>
    <w:rsid w:val="6DB6287C"/>
    <w:rsid w:val="6E28FC30"/>
    <w:rsid w:val="71807CC1"/>
    <w:rsid w:val="75548C92"/>
    <w:rsid w:val="764D0A78"/>
    <w:rsid w:val="7946FB7C"/>
    <w:rsid w:val="7AE819EB"/>
    <w:rsid w:val="7D25B866"/>
    <w:rsid w:val="7E5E93A0"/>
    <w:rsid w:val="7ECE3F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FEAE87EE-B0FA-4C65-96BE-58356CFF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A2A2D"/>
    <w:rPr>
      <w:sz w:val="22"/>
      <w:szCs w:val="22"/>
      <w:lang w:val="en-GB" w:eastAsia="en-US"/>
    </w:rPr>
  </w:style>
  <w:style w:type="paragraph" w:styleId="ListParagraph">
    <w:name w:val="List Paragraph"/>
    <w:aliases w:val="Normal bullet 2,Bullet list,List Paragraph1,Numbered List,1st level - Bullet List Paragraph,Lettre d'introduction,Paragrafo elenco,List Paragraph11,Normal bullet 21,List Paragraph111,Bullet list1,List Paragraph (numbered (a)),Dot pt,L,EC"/>
    <w:basedOn w:val="Normal"/>
    <w:link w:val="ListParagraphChar"/>
    <w:uiPriority w:val="34"/>
    <w:qFormat/>
    <w:rsid w:val="50F849C8"/>
    <w:pPr>
      <w:ind w:left="720"/>
      <w:contextualSpacing/>
    </w:pPr>
  </w:style>
  <w:style w:type="character" w:styleId="Hyperlink">
    <w:name w:val="Hyperlink"/>
    <w:uiPriority w:val="99"/>
    <w:unhideWhenUsed/>
    <w:rsid w:val="006A3758"/>
    <w:rPr>
      <w:color w:val="0563C1"/>
      <w:u w:val="single"/>
    </w:rPr>
  </w:style>
  <w:style w:type="character" w:styleId="UnresolvedMention">
    <w:name w:val="Unresolved Mention"/>
    <w:uiPriority w:val="99"/>
    <w:semiHidden/>
    <w:unhideWhenUsed/>
    <w:rsid w:val="006A3758"/>
    <w:rPr>
      <w:color w:val="605E5C"/>
      <w:shd w:val="clear" w:color="auto" w:fill="E1DFDD"/>
    </w:rPr>
  </w:style>
  <w:style w:type="character" w:styleId="CommentReference">
    <w:name w:val="annotation reference"/>
    <w:uiPriority w:val="99"/>
    <w:semiHidden/>
    <w:unhideWhenUsed/>
    <w:rsid w:val="00425E98"/>
    <w:rPr>
      <w:sz w:val="16"/>
      <w:szCs w:val="16"/>
    </w:rPr>
  </w:style>
  <w:style w:type="paragraph" w:styleId="CommentText">
    <w:name w:val="annotation text"/>
    <w:basedOn w:val="Normal"/>
    <w:link w:val="CommentTextChar"/>
    <w:uiPriority w:val="99"/>
    <w:unhideWhenUsed/>
    <w:rsid w:val="00425E98"/>
    <w:rPr>
      <w:sz w:val="20"/>
      <w:szCs w:val="20"/>
    </w:rPr>
  </w:style>
  <w:style w:type="character" w:customStyle="1" w:styleId="CommentTextChar">
    <w:name w:val="Comment Text Char"/>
    <w:link w:val="CommentText"/>
    <w:uiPriority w:val="99"/>
    <w:rsid w:val="00425E98"/>
    <w:rPr>
      <w:lang w:val="en-GB" w:eastAsia="en-US"/>
    </w:rPr>
  </w:style>
  <w:style w:type="paragraph" w:styleId="CommentSubject">
    <w:name w:val="annotation subject"/>
    <w:basedOn w:val="CommentText"/>
    <w:next w:val="CommentText"/>
    <w:link w:val="CommentSubjectChar"/>
    <w:uiPriority w:val="99"/>
    <w:semiHidden/>
    <w:unhideWhenUsed/>
    <w:rsid w:val="00425E98"/>
    <w:rPr>
      <w:b/>
      <w:bCs/>
    </w:rPr>
  </w:style>
  <w:style w:type="character" w:customStyle="1" w:styleId="CommentSubjectChar">
    <w:name w:val="Comment Subject Char"/>
    <w:link w:val="CommentSubject"/>
    <w:uiPriority w:val="99"/>
    <w:semiHidden/>
    <w:rsid w:val="00425E98"/>
    <w:rPr>
      <w:b/>
      <w:bCs/>
      <w:lang w:val="en-GB" w:eastAsia="en-US"/>
    </w:rPr>
  </w:style>
  <w:style w:type="paragraph" w:styleId="FootnoteText">
    <w:name w:val="footnote text"/>
    <w:basedOn w:val="Normal"/>
    <w:link w:val="FootnoteTextChar"/>
    <w:uiPriority w:val="99"/>
    <w:unhideWhenUsed/>
    <w:rsid w:val="00C17C13"/>
    <w:rPr>
      <w:sz w:val="20"/>
      <w:szCs w:val="20"/>
    </w:rPr>
  </w:style>
  <w:style w:type="character" w:customStyle="1" w:styleId="FootnoteTextChar">
    <w:name w:val="Footnote Text Char"/>
    <w:link w:val="FootnoteText"/>
    <w:uiPriority w:val="99"/>
    <w:rsid w:val="00C17C13"/>
    <w:rPr>
      <w:lang w:val="en-GB" w:eastAsia="en-US"/>
    </w:rPr>
  </w:style>
  <w:style w:type="character" w:styleId="FootnoteReference">
    <w:name w:val="footnote reference"/>
    <w:uiPriority w:val="99"/>
    <w:unhideWhenUsed/>
    <w:rsid w:val="00C17C13"/>
    <w:rPr>
      <w:vertAlign w:val="superscript"/>
    </w:rPr>
  </w:style>
  <w:style w:type="character" w:customStyle="1" w:styleId="ListParagraphChar">
    <w:name w:val="List Paragraph Char"/>
    <w:aliases w:val="Normal bullet 2 Char,Bullet list Char,List Paragraph1 Char,Numbered List Char,1st level - Bullet List Paragraph Char,Lettre d'introduction Char,Paragrafo elenco Char,List Paragraph11 Char,Normal bullet 21 Char,List Paragraph111 Char"/>
    <w:link w:val="ListParagraph"/>
    <w:uiPriority w:val="34"/>
    <w:qFormat/>
    <w:locked/>
    <w:rsid w:val="0045066F"/>
    <w:rPr>
      <w:sz w:val="22"/>
      <w:szCs w:val="22"/>
      <w:lang w:val="en-GB" w:eastAsia="en-US"/>
    </w:rPr>
  </w:style>
  <w:style w:type="character" w:styleId="FollowedHyperlink">
    <w:name w:val="FollowedHyperlink"/>
    <w:uiPriority w:val="99"/>
    <w:semiHidden/>
    <w:unhideWhenUsed/>
    <w:rsid w:val="0045066F"/>
    <w:rPr>
      <w:color w:val="954F72"/>
      <w:u w:val="single"/>
    </w:rPr>
  </w:style>
  <w:style w:type="paragraph" w:customStyle="1" w:styleId="Text">
    <w:name w:val="Text"/>
    <w:basedOn w:val="Normal"/>
    <w:link w:val="TextChar"/>
    <w:qFormat/>
    <w:rsid w:val="00504DE2"/>
    <w:pPr>
      <w:spacing w:after="120" w:line="240" w:lineRule="auto"/>
      <w:jc w:val="both"/>
    </w:pPr>
    <w:rPr>
      <w:rFonts w:ascii="Times New Roman" w:eastAsia="Times New Roman" w:hAnsi="Times New Roman"/>
      <w:kern w:val="2"/>
      <w:sz w:val="24"/>
      <w:szCs w:val="24"/>
      <w:lang w:val="en-IE"/>
    </w:rPr>
  </w:style>
  <w:style w:type="character" w:customStyle="1" w:styleId="TextChar">
    <w:name w:val="Text Char"/>
    <w:link w:val="Text"/>
    <w:rsid w:val="00504DE2"/>
    <w:rPr>
      <w:rFonts w:ascii="Times New Roman" w:eastAsia="Times New Roman" w:hAnsi="Times New Roman"/>
      <w:kern w:val="2"/>
      <w:sz w:val="24"/>
      <w:szCs w:val="24"/>
      <w:lang w:eastAsia="en-US"/>
    </w:rPr>
  </w:style>
  <w:style w:type="paragraph" w:styleId="Header">
    <w:name w:val="header"/>
    <w:basedOn w:val="Normal"/>
    <w:link w:val="HeaderChar"/>
    <w:uiPriority w:val="99"/>
    <w:semiHidden/>
    <w:unhideWhenUsed/>
    <w:rsid w:val="0096269E"/>
    <w:pPr>
      <w:tabs>
        <w:tab w:val="center" w:pos="4513"/>
        <w:tab w:val="right" w:pos="9026"/>
      </w:tabs>
    </w:pPr>
  </w:style>
  <w:style w:type="character" w:customStyle="1" w:styleId="HeaderChar">
    <w:name w:val="Header Char"/>
    <w:link w:val="Header"/>
    <w:uiPriority w:val="99"/>
    <w:semiHidden/>
    <w:rsid w:val="0096269E"/>
    <w:rPr>
      <w:sz w:val="22"/>
      <w:szCs w:val="22"/>
      <w:lang w:val="en-GB" w:eastAsia="en-US"/>
    </w:rPr>
  </w:style>
  <w:style w:type="paragraph" w:styleId="Footer">
    <w:name w:val="footer"/>
    <w:basedOn w:val="Normal"/>
    <w:link w:val="FooterChar"/>
    <w:uiPriority w:val="99"/>
    <w:semiHidden/>
    <w:unhideWhenUsed/>
    <w:rsid w:val="0096269E"/>
    <w:pPr>
      <w:tabs>
        <w:tab w:val="center" w:pos="4513"/>
        <w:tab w:val="right" w:pos="9026"/>
      </w:tabs>
    </w:pPr>
  </w:style>
  <w:style w:type="character" w:customStyle="1" w:styleId="FooterChar">
    <w:name w:val="Footer Char"/>
    <w:link w:val="Footer"/>
    <w:uiPriority w:val="99"/>
    <w:semiHidden/>
    <w:rsid w:val="0096269E"/>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1491">
      <w:bodyDiv w:val="1"/>
      <w:marLeft w:val="0"/>
      <w:marRight w:val="0"/>
      <w:marTop w:val="0"/>
      <w:marBottom w:val="0"/>
      <w:divBdr>
        <w:top w:val="none" w:sz="0" w:space="0" w:color="auto"/>
        <w:left w:val="none" w:sz="0" w:space="0" w:color="auto"/>
        <w:bottom w:val="none" w:sz="0" w:space="0" w:color="auto"/>
        <w:right w:val="none" w:sz="0" w:space="0" w:color="auto"/>
      </w:divBdr>
    </w:div>
    <w:div w:id="615067508">
      <w:bodyDiv w:val="1"/>
      <w:marLeft w:val="0"/>
      <w:marRight w:val="0"/>
      <w:marTop w:val="0"/>
      <w:marBottom w:val="0"/>
      <w:divBdr>
        <w:top w:val="none" w:sz="0" w:space="0" w:color="auto"/>
        <w:left w:val="none" w:sz="0" w:space="0" w:color="auto"/>
        <w:bottom w:val="none" w:sz="0" w:space="0" w:color="auto"/>
        <w:right w:val="none" w:sz="0" w:space="0" w:color="auto"/>
      </w:divBdr>
    </w:div>
    <w:div w:id="699358507">
      <w:bodyDiv w:val="1"/>
      <w:marLeft w:val="0"/>
      <w:marRight w:val="0"/>
      <w:marTop w:val="0"/>
      <w:marBottom w:val="0"/>
      <w:divBdr>
        <w:top w:val="none" w:sz="0" w:space="0" w:color="auto"/>
        <w:left w:val="none" w:sz="0" w:space="0" w:color="auto"/>
        <w:bottom w:val="none" w:sz="0" w:space="0" w:color="auto"/>
        <w:right w:val="none" w:sz="0" w:space="0" w:color="auto"/>
      </w:divBdr>
    </w:div>
    <w:div w:id="805127985">
      <w:bodyDiv w:val="1"/>
      <w:marLeft w:val="0"/>
      <w:marRight w:val="0"/>
      <w:marTop w:val="0"/>
      <w:marBottom w:val="0"/>
      <w:divBdr>
        <w:top w:val="none" w:sz="0" w:space="0" w:color="auto"/>
        <w:left w:val="none" w:sz="0" w:space="0" w:color="auto"/>
        <w:bottom w:val="none" w:sz="0" w:space="0" w:color="auto"/>
        <w:right w:val="none" w:sz="0" w:space="0" w:color="auto"/>
      </w:divBdr>
    </w:div>
    <w:div w:id="848254277">
      <w:bodyDiv w:val="1"/>
      <w:marLeft w:val="0"/>
      <w:marRight w:val="0"/>
      <w:marTop w:val="0"/>
      <w:marBottom w:val="0"/>
      <w:divBdr>
        <w:top w:val="none" w:sz="0" w:space="0" w:color="auto"/>
        <w:left w:val="none" w:sz="0" w:space="0" w:color="auto"/>
        <w:bottom w:val="none" w:sz="0" w:space="0" w:color="auto"/>
        <w:right w:val="none" w:sz="0" w:space="0" w:color="auto"/>
      </w:divBdr>
    </w:div>
    <w:div w:id="1213469453">
      <w:bodyDiv w:val="1"/>
      <w:marLeft w:val="0"/>
      <w:marRight w:val="0"/>
      <w:marTop w:val="0"/>
      <w:marBottom w:val="0"/>
      <w:divBdr>
        <w:top w:val="none" w:sz="0" w:space="0" w:color="auto"/>
        <w:left w:val="none" w:sz="0" w:space="0" w:color="auto"/>
        <w:bottom w:val="none" w:sz="0" w:space="0" w:color="auto"/>
        <w:right w:val="none" w:sz="0" w:space="0" w:color="auto"/>
      </w:divBdr>
    </w:div>
    <w:div w:id="1395615952">
      <w:bodyDiv w:val="1"/>
      <w:marLeft w:val="0"/>
      <w:marRight w:val="0"/>
      <w:marTop w:val="0"/>
      <w:marBottom w:val="0"/>
      <w:divBdr>
        <w:top w:val="none" w:sz="0" w:space="0" w:color="auto"/>
        <w:left w:val="none" w:sz="0" w:space="0" w:color="auto"/>
        <w:bottom w:val="none" w:sz="0" w:space="0" w:color="auto"/>
        <w:right w:val="none" w:sz="0" w:space="0" w:color="auto"/>
      </w:divBdr>
    </w:div>
    <w:div w:id="190664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ir/2014/89/oj" TargetMode="External"/><Relationship Id="rId3" Type="http://schemas.openxmlformats.org/officeDocument/2006/relationships/hyperlink" Target="http://data.europa.eu/eli/reg/2014/651/oj" TargetMode="External"/><Relationship Id="rId7" Type="http://schemas.openxmlformats.org/officeDocument/2006/relationships/hyperlink" Target="https://home-affairs.ec.europa.eu/policies/internal-security/law-enforcement-cooperation/empact-fighting-crime-together_en" TargetMode="External"/><Relationship Id="rId2" Type="http://schemas.openxmlformats.org/officeDocument/2006/relationships/hyperlink" Target="https://commission.europa.eu/document/download/1bf50cbe-45a4-4dc5-9922-52c6c2d3959f_en?filename=Mission%20letter%20-%20FITTO.pdf" TargetMode="External"/><Relationship Id="rId1" Type="http://schemas.openxmlformats.org/officeDocument/2006/relationships/hyperlink" Target="https://commission.europa.eu/document/e6cd4328-673c-4e7a-8683-f63ffb2cf648_en" TargetMode="External"/><Relationship Id="rId6" Type="http://schemas.openxmlformats.org/officeDocument/2006/relationships/hyperlink" Target="https://home-affairs.ec.europa.eu/news/european-ports-alliance-fight-drug-trafficking-and-organised-crime-2024-01-24_en" TargetMode="External"/><Relationship Id="rId5" Type="http://schemas.openxmlformats.org/officeDocument/2006/relationships/hyperlink" Target="http://data.europa.eu/eli/reg/2024/1679/oj" TargetMode="External"/><Relationship Id="rId10" Type="http://schemas.openxmlformats.org/officeDocument/2006/relationships/hyperlink" Target="http://data.europa.eu/eli/reg/2021/1060/oj" TargetMode="External"/><Relationship Id="rId4" Type="http://schemas.openxmlformats.org/officeDocument/2006/relationships/hyperlink" Target="https://eur-lex.europa.eu/legal-content/EN/TXT/?uri=oj:JOC_2021_153_R_0001" TargetMode="External"/><Relationship Id="rId9" Type="http://schemas.openxmlformats.org/officeDocument/2006/relationships/hyperlink" Target="https://atlantic-maritime-strategy.ec.europa.eu/en/news/call-evidence-eu-coastal-communities-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196DC3F03B3B40AC07EA36E337EF2E" ma:contentTypeVersion="6" ma:contentTypeDescription="Create a new document." ma:contentTypeScope="" ma:versionID="bfd84668e5714b1f2e3f124c679d5a8d">
  <xsd:schema xmlns:xsd="http://www.w3.org/2001/XMLSchema" xmlns:xs="http://www.w3.org/2001/XMLSchema" xmlns:p="http://schemas.microsoft.com/office/2006/metadata/properties" xmlns:ns2="01a0fdfd-ac06-4db1-bb7b-65cdf86bab59" xmlns:ns3="3d773fd8-5df6-4e26-b464-76be9c5c7a6f" targetNamespace="http://schemas.microsoft.com/office/2006/metadata/properties" ma:root="true" ma:fieldsID="94f61e43bec6f66d509ddf81357221c7" ns2:_="" ns3:_="">
    <xsd:import namespace="01a0fdfd-ac06-4db1-bb7b-65cdf86bab59"/>
    <xsd:import namespace="3d773fd8-5df6-4e26-b464-76be9c5c7a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0fdfd-ac06-4db1-bb7b-65cdf86ba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773fd8-5df6-4e26-b464-76be9c5c7a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ECEEE-22E6-44FB-9016-FB14672E4B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41FD45-78CA-4EC0-87BB-FCA1C705A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0fdfd-ac06-4db1-bb7b-65cdf86bab59"/>
    <ds:schemaRef ds:uri="3d773fd8-5df6-4e26-b464-76be9c5c7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3AF73E-8EC7-4219-81B2-4EFBD6ACB6E0}">
  <ds:schemaRefs>
    <ds:schemaRef ds:uri="http://schemas.microsoft.com/sharepoint/v3/contenttype/forms"/>
  </ds:schemaRefs>
</ds:datastoreItem>
</file>

<file path=customXml/itemProps4.xml><?xml version="1.0" encoding="utf-8"?>
<ds:datastoreItem xmlns:ds="http://schemas.openxmlformats.org/officeDocument/2006/customXml" ds:itemID="{CC93558E-2D31-4876-B5D9-45159744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1488</Words>
  <Characters>9157</Characters>
  <Application>Microsoft Office Word</Application>
  <DocSecurity>0</DocSecurity>
  <Lines>122</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cp:lastModifiedBy>
  <cp:revision>2</cp:revision>
  <cp:lastPrinted>2026-03-18T20:07:00Z</cp:lastPrinted>
  <dcterms:created xsi:type="dcterms:W3CDTF">2026-04-28T07:40:00Z</dcterms:created>
  <dcterms:modified xsi:type="dcterms:W3CDTF">2026-04-28T07:40:00Z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0x01010079196DC3F03B3B40AC07EA36E337EF2E</vt:lpwstr>
  </property>
  <property fmtid="{D5CDD505-2E9C-101B-9397-08002B2CF9AE}" pid="10" name="MediaServiceImageTags">
    <vt:lpwstr/>
  </property>
</Properties>
</file>