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574C5" w14:textId="4169DCDA" w:rsidR="000F515D" w:rsidRPr="008F6362" w:rsidRDefault="00442EED" w:rsidP="00B36A04">
      <w:pPr>
        <w:ind w:right="-108"/>
        <w:jc w:val="center"/>
        <w:rPr>
          <w:rFonts w:ascii="Arial" w:hAnsi="Arial" w:cs="Arial"/>
          <w:b/>
          <w:i/>
          <w:sz w:val="20"/>
        </w:rPr>
      </w:pPr>
      <w:r>
        <w:rPr>
          <w:noProof/>
          <w:sz w:val="20"/>
        </w:rPr>
        <mc:AlternateContent>
          <mc:Choice Requires="wps">
            <w:drawing>
              <wp:anchor distT="0" distB="0" distL="114300" distR="114300" simplePos="0" relativeHeight="251660288" behindDoc="1" locked="0" layoutInCell="0" allowOverlap="1" wp14:anchorId="25C48FE5" wp14:editId="00D10A8E">
                <wp:simplePos x="0" y="0"/>
                <wp:positionH relativeFrom="page">
                  <wp:posOffset>6767830</wp:posOffset>
                </wp:positionH>
                <wp:positionV relativeFrom="page">
                  <wp:posOffset>10079990</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EC69F" w14:textId="77777777" w:rsidR="00F819A7" w:rsidRPr="00442EED" w:rsidRDefault="00F819A7" w:rsidP="00442EED">
                            <w:pPr>
                              <w:jc w:val="center"/>
                              <w:rPr>
                                <w:rFonts w:ascii="Arial" w:hAnsi="Arial"/>
                                <w:b/>
                                <w:sz w:val="48"/>
                              </w:rP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48FE5" id="_x0000_t202" coordsize="21600,21600" o:spt="202" path="m,l,21600r21600,l21600,xe">
                <v:stroke joinstyle="miter"/>
                <v:path gradientshapeok="t" o:connecttype="rect"/>
              </v:shapetype>
              <v:shape id="Text Box 17" o:spid="_x0000_s1026" type="#_x0000_t202" style="position:absolute;left:0;text-align:left;margin-left:532.9pt;margin-top:793.7pt;width:51pt;height:3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" o:allowincell="f" filled="f" stroked="f">
                <v:textbox>
                  <w:txbxContent>
                    <w:p w14:paraId="56CEC69F" w14:textId="77777777" w:rsidR="00F819A7" w:rsidRPr="00442EED" w:rsidRDefault="00F819A7" w:rsidP="00442EED">
                      <w:pPr>
                        <w:jc w:val="center"/>
                        <w:rPr>
                          <w:rFonts w:ascii="Arial" w:hAnsi="Arial"/>
                          <w:b/>
                          <w:sz w:val="48"/>
                        </w:rPr>
                      </w:pPr>
                      <w:r>
                        <w:rPr>
                          <w:rFonts w:ascii="Arial" w:hAnsi="Arial"/>
                          <w:b/>
                          <w:sz w:val="48"/>
                        </w:rPr>
                        <w:t>FR</w:t>
                      </w:r>
                    </w:p>
                  </w:txbxContent>
                </v:textbox>
                <w10:wrap anchorx="page" anchory="page"/>
              </v:shape>
            </w:pict>
          </mc:Fallback>
        </mc:AlternateContent>
      </w:r>
      <w:r w:rsidR="00256DD1">
        <w:rPr>
          <w:noProof/>
        </w:rPr>
        <w:drawing>
          <wp:inline distT="0" distB="0" distL="0" distR="0" wp14:anchorId="4A24BFAE" wp14:editId="56958706">
            <wp:extent cx="1792605" cy="1239520"/>
            <wp:effectExtent l="0" t="0" r="0" b="0"/>
            <wp:docPr id="1" name="Picture 1" title="EESCLogo_FR"/>
            <wp:cNvGraphicFramePr/>
            <a:graphic xmlns:a="http://schemas.openxmlformats.org/drawingml/2006/main">
              <a:graphicData uri="http://schemas.openxmlformats.org/drawingml/2006/picture">
                <pic:pic xmlns:pic="http://schemas.openxmlformats.org/drawingml/2006/picture">
                  <pic:nvPicPr>
                    <pic:cNvPr id="1" name="Picture 1" title="EESCLogo_F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p>
    <w:p w14:paraId="1FCDA0C8" w14:textId="77777777" w:rsidR="000F515D" w:rsidRPr="008F6362" w:rsidRDefault="000F515D" w:rsidP="00B36A04">
      <w:pPr>
        <w:jc w:val="center"/>
        <w:rPr>
          <w:rFonts w:ascii="Arial" w:hAnsi="Arial" w:cs="Arial"/>
          <w:b/>
          <w:i/>
          <w:sz w:val="20"/>
        </w:rPr>
      </w:pPr>
      <w:r>
        <w:rPr>
          <w:rFonts w:ascii="Arial" w:hAnsi="Arial"/>
          <w:b/>
          <w:i/>
          <w:sz w:val="20"/>
        </w:rPr>
        <w:t>Section «Union économique et monétaire et cohésion économique et sociale»</w:t>
      </w:r>
    </w:p>
    <w:p w14:paraId="2E9DCBC2" w14:textId="77777777" w:rsidR="000F515D" w:rsidRPr="008F6362" w:rsidRDefault="000F515D" w:rsidP="00B36A04">
      <w:pPr>
        <w:rPr>
          <w:rFonts w:eastAsia="PMingLiU"/>
        </w:rPr>
      </w:pPr>
    </w:p>
    <w:p w14:paraId="769EA6AB" w14:textId="77777777" w:rsidR="006C2A78" w:rsidRPr="008F6362" w:rsidRDefault="006C2A78" w:rsidP="00B36A04">
      <w:pPr>
        <w:rPr>
          <w:rFonts w:eastAsia="PMingLiU"/>
        </w:rPr>
      </w:pPr>
    </w:p>
    <w:p w14:paraId="3F6CDC1E" w14:textId="21CB5B0E" w:rsidR="00996CF4" w:rsidRPr="008F6362" w:rsidRDefault="00996CF4" w:rsidP="00B36A04">
      <w:pPr>
        <w:jc w:val="center"/>
        <w:rPr>
          <w:rFonts w:eastAsia="PMingLiU"/>
          <w:b/>
        </w:rPr>
      </w:pPr>
      <w:r>
        <w:rPr>
          <w:b/>
        </w:rPr>
        <w:t>Priorités de la section ECO pour 2026 et au-delà</w:t>
      </w:r>
    </w:p>
    <w:p w14:paraId="7F8658D0" w14:textId="032349FE" w:rsidR="00342BC4" w:rsidRPr="008F6362" w:rsidRDefault="00342BC4" w:rsidP="00B36A04">
      <w:pPr>
        <w:rPr>
          <w:i/>
        </w:rPr>
      </w:pPr>
    </w:p>
    <w:p w14:paraId="72AE77F5" w14:textId="1BDF4E70" w:rsidR="00A47CDF" w:rsidRDefault="00A47CDF" w:rsidP="00B36A04">
      <w:pPr>
        <w:rPr>
          <w:i/>
        </w:rPr>
      </w:pPr>
      <w:r>
        <w:rPr>
          <w:i/>
        </w:rPr>
        <w:t>Les enjeux auxquels l’Europe est confrontée en matière de politique économique se sont intensifiés et ont considérablement évolué depuis que ce Comité a adopté les priorités du précédent mandat de la section ECO. La guerre menée par la Russie contre l’Ukraine se poursuit sans perspective de résolution, entraînant une augmentation soutenue des dépenses de défense et une restructuration du marché de l’énergie. L’inflation, bien que modérée par rapport aux pics de 2022-2023, continue de peser sur le budget des ménages dans l’ensemble des États membres. Les finances publiques, déjà mises à rude épreuve par les dépenses de relance post-pandémie et les réactions aux crises, doivent désormais concilier des demandes simultanées d’assainissement budgétaire et d’investissements massifs dans la défense, la compétitivité et la transition écologique. Dans le même temps, la fragmentation politique et la montée des mouvements populistes dans plusieurs États membres s’intensifient, exploitant souvent les inquiétudes économiques et dirigeant la frustration vers les institutions européennes.</w:t>
      </w:r>
    </w:p>
    <w:p w14:paraId="20519C65" w14:textId="77777777" w:rsidR="00EF2733" w:rsidRPr="00A47CDF" w:rsidRDefault="00EF2733" w:rsidP="00B36A04">
      <w:pPr>
        <w:rPr>
          <w:i/>
        </w:rPr>
      </w:pPr>
    </w:p>
    <w:p w14:paraId="328C8EC3" w14:textId="314A485A" w:rsidR="00A47CDF" w:rsidRDefault="00A47CDF" w:rsidP="00B36A04">
      <w:pPr>
        <w:rPr>
          <w:i/>
        </w:rPr>
      </w:pPr>
      <w:r>
        <w:rPr>
          <w:i/>
        </w:rPr>
        <w:t>Ces pressions qui se cumulent génèrent à la fois des risques et des opportunités pour le Comité économique et social européen. Le risque est celui d’une marginalisation: si la politique économique de l’Union continue à se définir sans véritable participation citoyenne, le CESE pourrait progressivement se retrouver relégué à la périphérie de la gouvernance européenne. L’opportunité, au contraire, consiste à démontrer la valeur essentielle du Comité en tant que relais institutionnel entre l’élaboration des politiques à Bruxelles et la société civile organisée, qui en ressent concrètement les effets dans son activité économique quotidienne.</w:t>
      </w:r>
    </w:p>
    <w:p w14:paraId="208096C8" w14:textId="54CEF97C" w:rsidR="00A47CDF" w:rsidRDefault="00A47CDF" w:rsidP="00B36A04">
      <w:pPr>
        <w:rPr>
          <w:i/>
        </w:rPr>
      </w:pPr>
    </w:p>
    <w:p w14:paraId="6D570F41" w14:textId="0A7BF0DE" w:rsidR="00BB4E1F" w:rsidRPr="008F6362" w:rsidRDefault="00BB4E1F" w:rsidP="00B36A04">
      <w:pPr>
        <w:rPr>
          <w:i/>
        </w:rPr>
      </w:pPr>
      <w:r>
        <w:rPr>
          <w:i/>
        </w:rPr>
        <w:t>Des efforts collectifs et constants dans les domaines d’action relevant de la compétence de la section ECO — l’Union économique et monétaire, le Semestre européen, les marchés financiers, le budget de l’UE, la fiscalité et la politique de cohésion — sont donc essentiels pour permettre à l’Union d’atteindre ses objectifs communs, de renforcer sa résilience et son autonomie stratégique, et d’assurer la prospérité de tous ses citoyens. Les priorités de la section ECO pour 2026 et au‑delà visent à saisir cette occasion à un moment où l’Europe devra opérer des choix décisifs quant à son avenir économique, à travers les négociations du cadre financier pluriannuel, la mise en œuvre de la gouvernance économique, la restructuration de la politique de cohésion et la réforme de la fiscalité. Ces choix détermineront en substance si les politiques économiques européennes généreront une prospérité qui conforte les institutions démocratiques ou, au contraire, une frustration propice à leur délégitimation.</w:t>
      </w:r>
    </w:p>
    <w:p w14:paraId="34D76B48" w14:textId="77777777" w:rsidR="00BB4E1F" w:rsidRPr="008F6362" w:rsidRDefault="00BB4E1F" w:rsidP="00B36A04">
      <w:pPr>
        <w:rPr>
          <w:i/>
        </w:rPr>
      </w:pPr>
    </w:p>
    <w:p w14:paraId="456A8E28" w14:textId="1C22021F" w:rsidR="00E932A6" w:rsidRPr="008F6362" w:rsidRDefault="00BB4E1F" w:rsidP="00B36A04">
      <w:pPr>
        <w:rPr>
          <w:i/>
        </w:rPr>
      </w:pPr>
      <w:r>
        <w:rPr>
          <w:i/>
        </w:rPr>
        <w:t xml:space="preserve">Dans son programme de travail, le président du CESE, Séamus Boland, a souligné la nécessité de collaborer étroitement avec les institutions européennes, les autres organes de l’UE et les États membres. Il a également insisté sur l’importance de la société civile européenne et sur la nécessité pour </w:t>
      </w:r>
      <w:r>
        <w:rPr>
          <w:i/>
        </w:rPr>
        <w:lastRenderedPageBreak/>
        <w:t>le CESE de renforcer son engagement auprès de l’ensemble de la société civile, au‑delà de ses frontières institutionnelles. Dans cet esprit, tout au long de ce mandat, la section ECO s’emploiera à consolider encore davantage ses liens existants avec les institutions internationales — telles que la BCE, le FMI, la Banque mondiale ou encore l’OCDE — afin de travailler conjointement à façonner les politiques économiques européennes dans les années à venir.</w:t>
      </w:r>
    </w:p>
    <w:p w14:paraId="0B3F09FD" w14:textId="77777777" w:rsidR="00BB4E1F" w:rsidRPr="008F6362" w:rsidRDefault="00BB4E1F" w:rsidP="00B36A04">
      <w:pPr>
        <w:rPr>
          <w:i/>
        </w:rPr>
      </w:pPr>
    </w:p>
    <w:p w14:paraId="4EA82F2C" w14:textId="4274023B" w:rsidR="006253FC" w:rsidRPr="008F6362" w:rsidRDefault="006253FC" w:rsidP="00B36A04">
      <w:pPr>
        <w:pStyle w:val="Heading1"/>
        <w:keepNext/>
        <w:keepLines/>
        <w:ind w:left="567" w:hanging="567"/>
      </w:pPr>
      <w:r>
        <w:rPr>
          <w:b/>
        </w:rPr>
        <w:t>Budget de l’Union et ressources propres</w:t>
      </w:r>
    </w:p>
    <w:p w14:paraId="25269CF4" w14:textId="77777777" w:rsidR="006253FC" w:rsidRPr="008F6362" w:rsidRDefault="006253FC" w:rsidP="00B36A04">
      <w:pPr>
        <w:keepNext/>
        <w:keepLines/>
      </w:pPr>
    </w:p>
    <w:p w14:paraId="555FFAAE" w14:textId="4F61131D" w:rsidR="006253FC" w:rsidRDefault="006253FC" w:rsidP="00B36A04">
      <w:r>
        <w:t xml:space="preserve">Les années 2026 et 2027 seront marquées par la poursuite des négociations sur le prochain </w:t>
      </w:r>
      <w:r>
        <w:rPr>
          <w:b/>
        </w:rPr>
        <w:t>cadre financier pluriannuel (CFP)</w:t>
      </w:r>
      <w:r>
        <w:t>, avec la nécessité d’aboutir à un accord avant le 1</w:t>
      </w:r>
      <w:r>
        <w:rPr>
          <w:vertAlign w:val="superscript"/>
        </w:rPr>
        <w:t>er</w:t>
      </w:r>
      <w:r>
        <w:t xml:space="preserve"> janvier 2028 au plus tard, date à laquelle le cadre actuel arrivera à expiration. Les négociations sur le CFP 2028-2034 vont bien au-delà d’une simple répartition budgétaire: elles détermineront l’architecture des priorités politiques de l’Union européenne pour les sept prochaines années et au-delà.</w:t>
      </w:r>
    </w:p>
    <w:p w14:paraId="7BB25594" w14:textId="77777777" w:rsidR="00F21B1F" w:rsidRDefault="00F21B1F" w:rsidP="00B36A04"/>
    <w:p w14:paraId="6FE8BF05" w14:textId="2D5014F2" w:rsidR="00F025CD" w:rsidRDefault="00AB6E5B" w:rsidP="00B36A04">
      <w:r>
        <w:t>La section ECO contribuera aux négociations sur le CFP par plusieurs approches complémentaires:</w:t>
      </w:r>
    </w:p>
    <w:p w14:paraId="40FA081A" w14:textId="77777777" w:rsidR="00477180" w:rsidRDefault="00477180" w:rsidP="00B36A04">
      <w:pPr>
        <w:rPr>
          <w:u w:val="single"/>
        </w:rPr>
      </w:pPr>
    </w:p>
    <w:p w14:paraId="5E20CE55" w14:textId="5A27298F" w:rsidR="006253FC" w:rsidRDefault="0020531D" w:rsidP="00B36A04">
      <w:r>
        <w:rPr>
          <w:b/>
        </w:rPr>
        <w:t>Le processus formel d’avis du CESE</w:t>
      </w:r>
      <w:r>
        <w:t>: d’ici janvier 2026, le CESE aura adopté ses propositions stratégiques relatives au CFP et contribuera activement aux négociations et aux discussions, en veillant à ce que la voix de la société civile organisée européenne soit entendue et prise en compte. La question des recettes du budget (</w:t>
      </w:r>
      <w:r>
        <w:rPr>
          <w:b/>
        </w:rPr>
        <w:t>ressources propres de l’UE</w:t>
      </w:r>
      <w:r>
        <w:t xml:space="preserve">) fera également l’objet d’un examen approfondi par le CESE. </w:t>
      </w:r>
    </w:p>
    <w:p w14:paraId="010DCDDB" w14:textId="77777777" w:rsidR="00477180" w:rsidRPr="00DC050D" w:rsidRDefault="00477180" w:rsidP="00B36A04"/>
    <w:p w14:paraId="2B988D03" w14:textId="46A4A3FC" w:rsidR="006253FC" w:rsidRPr="00DC050D" w:rsidRDefault="006253FC" w:rsidP="00B36A04">
      <w:r>
        <w:t xml:space="preserve">Un </w:t>
      </w:r>
      <w:r>
        <w:rPr>
          <w:b/>
        </w:rPr>
        <w:t>suivi décisif</w:t>
      </w:r>
      <w:r>
        <w:t xml:space="preserve"> des avis adoptés par le CESE sur le CFP sera d’une importance capitale. Outre le rôle des rapporteurs du CESE, qui défendront les positions stratégiques du Comité dans les débats sur le CFP — tant à Bruxelles qu’au‑delà — la section ECO organisera des </w:t>
      </w:r>
      <w:r>
        <w:rPr>
          <w:b/>
        </w:rPr>
        <w:t>«dialogues CFP» réguliers avec des parties prenantes externes</w:t>
      </w:r>
      <w:r>
        <w:t>, afin d’examiner les différents aspects du budget pluriannuel de l’Union et l’évolution des négociations.</w:t>
      </w:r>
    </w:p>
    <w:p w14:paraId="4A97D853" w14:textId="77777777" w:rsidR="004E186D" w:rsidRDefault="004E186D" w:rsidP="00B36A04"/>
    <w:p w14:paraId="0EF25891" w14:textId="233401D9" w:rsidR="004E186D" w:rsidRPr="00686302" w:rsidRDefault="004E186D" w:rsidP="00B36A04">
      <w:pPr>
        <w:spacing w:after="160"/>
      </w:pPr>
      <w:r>
        <w:rPr>
          <w:b/>
        </w:rPr>
        <w:t>Coordination de coalition:</w:t>
      </w:r>
      <w:r>
        <w:t xml:space="preserve"> le CESE ne peut pas influencer seul les négociations sur le CFP. La section ECO travaillera donc systématiquement avec des partenaires institutionnels et de la société civile clés:</w:t>
      </w:r>
    </w:p>
    <w:p w14:paraId="023C6601" w14:textId="7558F774" w:rsidR="004E186D" w:rsidRPr="00686302" w:rsidRDefault="0020531D" w:rsidP="00B36A04">
      <w:pPr>
        <w:numPr>
          <w:ilvl w:val="0"/>
          <w:numId w:val="7"/>
        </w:numPr>
        <w:spacing w:after="160"/>
        <w:jc w:val="left"/>
      </w:pPr>
      <w:r>
        <w:t xml:space="preserve">le Parlement européen (notamment sa commission des budgets - BUDG), en soutenant les négociations par des analyses et la mobilisation de la société civile; </w:t>
      </w:r>
    </w:p>
    <w:p w14:paraId="6221F819" w14:textId="3533C9AC" w:rsidR="004E186D" w:rsidRPr="00686302" w:rsidRDefault="0020531D" w:rsidP="00B36A04">
      <w:pPr>
        <w:numPr>
          <w:ilvl w:val="0"/>
          <w:numId w:val="7"/>
        </w:numPr>
        <w:spacing w:after="160"/>
        <w:jc w:val="left"/>
      </w:pPr>
      <w:r>
        <w:t xml:space="preserve">le Comité des régions, en coordonnant la préservation de la gouvernance multi-niveaux et l’élaboration des </w:t>
      </w:r>
      <w:r>
        <w:rPr>
          <w:b/>
        </w:rPr>
        <w:t>plans de partenariat nationaux et régionaux (plans PNR)</w:t>
      </w:r>
      <w:r>
        <w:t>;</w:t>
      </w:r>
    </w:p>
    <w:p w14:paraId="4C37B8B7" w14:textId="79D973B3" w:rsidR="004E186D" w:rsidRPr="00686302" w:rsidRDefault="004E186D" w:rsidP="00B36A04">
      <w:pPr>
        <w:numPr>
          <w:ilvl w:val="0"/>
          <w:numId w:val="7"/>
        </w:numPr>
        <w:spacing w:after="160"/>
        <w:jc w:val="left"/>
      </w:pPr>
      <w:r>
        <w:t>les réseaux européens de la société civile, en facilitant un plaidoyer collectif sur des priorités communes;</w:t>
      </w:r>
    </w:p>
    <w:p w14:paraId="10B628F6" w14:textId="13E58D1F" w:rsidR="004E186D" w:rsidRDefault="004E186D" w:rsidP="00B36A04">
      <w:pPr>
        <w:numPr>
          <w:ilvl w:val="0"/>
          <w:numId w:val="7"/>
        </w:numPr>
        <w:spacing w:after="160"/>
        <w:jc w:val="left"/>
      </w:pPr>
      <w:r>
        <w:t>les conseils économiques et sociaux nationaux, via CESLink, en veillant à ce que les voix de la société civile des États membres puissent nourrir les positions du CESE; et</w:t>
      </w:r>
    </w:p>
    <w:p w14:paraId="2F6841D0" w14:textId="3595955F" w:rsidR="0013339B" w:rsidRPr="0013339B" w:rsidRDefault="0013339B" w:rsidP="00B36A04">
      <w:pPr>
        <w:numPr>
          <w:ilvl w:val="0"/>
          <w:numId w:val="7"/>
        </w:numPr>
        <w:spacing w:after="160"/>
        <w:jc w:val="left"/>
      </w:pPr>
      <w:r>
        <w:t>les partenaires sociaux et la société civile, afin de faire respecter le principe de partenariat et de consolider un cadre de gouvernance multi-niveaux.</w:t>
      </w:r>
    </w:p>
    <w:p w14:paraId="4366A420" w14:textId="77777777" w:rsidR="004E186D" w:rsidRPr="0013339B" w:rsidRDefault="004E186D" w:rsidP="00B36A04"/>
    <w:p w14:paraId="166688C7" w14:textId="2ADB3F3E" w:rsidR="006253FC" w:rsidRDefault="006253FC" w:rsidP="00B36A04">
      <w:r>
        <w:t xml:space="preserve">Le CESE sera un allié essentiel du Parlement européen pour </w:t>
      </w:r>
      <w:r>
        <w:rPr>
          <w:b/>
        </w:rPr>
        <w:t>défendre un budget de l’UE ambitieux</w:t>
      </w:r>
      <w:r>
        <w:t xml:space="preserve">, capable de doter l’Union des moyens financiers nécessaires pour réaliser ses ambitions politiques. Il </w:t>
      </w:r>
      <w:r>
        <w:lastRenderedPageBreak/>
        <w:t>défendra également le rôle indispensable des partenaires sociaux ainsi que des autorités régionales et locales dans la planification et la mise en œuvre des programmes de dépenses de l’Union, car l’inclusivité, le partenariat et la participation démocratique sont au cœur du projet européen et doivent être protégés.</w:t>
      </w:r>
    </w:p>
    <w:p w14:paraId="4C23CA0C" w14:textId="77777777" w:rsidR="009D1D03" w:rsidRDefault="009D1D03" w:rsidP="00B36A04"/>
    <w:p w14:paraId="399E418B" w14:textId="6360B17F" w:rsidR="009D1D03" w:rsidRDefault="00946731" w:rsidP="00B36A04">
      <w:r>
        <w:t xml:space="preserve">À cette fin, tout au long du processus menant à un accord sur le prochain CFP, la section ECO dialoguera avec les services de la Commission, les États membres et les parties prenantes sur la conception et la mise en œuvre des plans PNR, afin que, lors de l’entrée en vigueur du nouveau cadre en janvier 2028, les mécanismes de partenariat et l’infrastructure de participation de la société civile soient pleinement opérationnels plutôt qu’à l’état d’ambition. La gouvernance multi-niveaux est également essentielle pour placer l’économie européenne sur une trajectoire d’innovation et de durabilité environnementale grâce à l’investissement public et privé, à la création d’emplois et à des emplois de qualité. </w:t>
      </w:r>
    </w:p>
    <w:p w14:paraId="6FA6F5CF" w14:textId="77777777" w:rsidR="009D1D03" w:rsidRDefault="009D1D03" w:rsidP="00B36A04"/>
    <w:p w14:paraId="769A0837" w14:textId="54798E86" w:rsidR="006253FC" w:rsidRPr="00DC050D" w:rsidRDefault="009C1008" w:rsidP="00B36A04">
      <w:r>
        <w:t xml:space="preserve">La proposition de CFP présentée par la Commission devrait évoluer de manière substantielle au cours des négociations, en réponse aux demandes du Parlement, aux positions exprimées au sein du Conseil et aux contributions des parties prenantes. La section ECO maintiendra un </w:t>
      </w:r>
      <w:r>
        <w:rPr>
          <w:b/>
        </w:rPr>
        <w:t>suivi analytique soutenu tout au long de la période de négociation</w:t>
      </w:r>
      <w:r>
        <w:t xml:space="preserve">. Cela permettra au Comité d’apporter des contributions en temps utile au moment où les positions se cristallisent sur certains éléments spécifiques. Le bureau de la section ECO déterminera si certaines évolutions des négociations nécessitent des avis formels supplémentaires ou si elles peuvent être traitées au moyen de briefings analytiques, de contributions aux travaux parlementaires et de consultations avec les parties prenantes qui viendraient compléter les positions fondamentales du CESE adoptées en 2026. </w:t>
      </w:r>
    </w:p>
    <w:p w14:paraId="34CEBCFB" w14:textId="77777777" w:rsidR="006253FC" w:rsidRPr="008F6362" w:rsidRDefault="006253FC" w:rsidP="00B36A04">
      <w:pPr>
        <w:rPr>
          <w:rFonts w:eastAsia="PMingLiU"/>
        </w:rPr>
      </w:pPr>
    </w:p>
    <w:p w14:paraId="4100C38D" w14:textId="2692D25E" w:rsidR="00EF2BB7" w:rsidRPr="008F6362" w:rsidRDefault="00182244" w:rsidP="00B36A04">
      <w:pPr>
        <w:pStyle w:val="Heading1"/>
        <w:keepNext/>
        <w:ind w:left="567" w:hanging="567"/>
      </w:pPr>
      <w:r>
        <w:rPr>
          <w:b/>
        </w:rPr>
        <w:t>L’Union économique et monétaire</w:t>
      </w:r>
    </w:p>
    <w:p w14:paraId="555AC147" w14:textId="77777777" w:rsidR="00EF2BB7" w:rsidRPr="008F6362" w:rsidRDefault="00EF2BB7" w:rsidP="00B36A04">
      <w:pPr>
        <w:keepNext/>
        <w:rPr>
          <w:rFonts w:eastAsia="PMingLiU"/>
        </w:rPr>
      </w:pPr>
    </w:p>
    <w:p w14:paraId="730DE5B9" w14:textId="1D9D6FE1" w:rsidR="00E932A6" w:rsidRPr="008F6362" w:rsidRDefault="00A501DA" w:rsidP="00B36A04">
      <w:r>
        <w:t xml:space="preserve">Les défis auxquels l’Union a été confrontée ces dernières années, qu’il s’agisse de la reprise après la pandémie de COVID‑19, des répercussions socio‑économiques de la guerre en Ukraine ou encore de l’intensification des tensions géopolitiques, ont renforcé l’idée qu’une économie européenne résiliente et durable constitue un préalable fondamental et une base essentielle pour atteindre nombre des ambitions de l’Union: assurer une transition verte et numérique juste, réduire les inégalités en matière de perspectives et de résultats, et garantir une prospérité partagée pour tous les citoyens de l’Union, pour n’en citer que quelques‑unes. L’expérience de ces dernières années a également montré que de nouveaux enjeux, parfois inattendus, peuvent surgir rapidement et exiger une réévaluation immédiate des politiques macroéconomiques. Face à la multiplicité de ces enjeux, l’Union a dû fonder sa réponse sur des cadres d’urgence et des pouvoirs temporaires, ce qui a conduit à des décisions sous-optimales. Pour que la gouvernance économique de l’Union fonctionne efficacement, il est indispensable de créer de nouveaux espaces permettant aux institutions européennes de réagir de manière flexible et crédible aux nouveaux défis et aux évolutions en cours. La section ECO restera vigilante et prête à actualiser et réorienter ses recommandations stratégiques si les conditions macroéconomiques venaient à changer, contribuant ainsi à doter l’UE de la flexibilité nécessaire pour faire face à de nouveaux défis et rester compétitive dans la nouvelle réalité issue des crises actuelles aux multiples facettes. </w:t>
      </w:r>
    </w:p>
    <w:p w14:paraId="5DECEAF0" w14:textId="77777777" w:rsidR="00CD4E49" w:rsidRPr="008F6362" w:rsidRDefault="00CD4E49" w:rsidP="00B36A04"/>
    <w:p w14:paraId="7AE5AA92" w14:textId="177961B1" w:rsidR="00CD4E49" w:rsidRPr="008F6362" w:rsidRDefault="00CD4E49" w:rsidP="00B36A04">
      <w:r>
        <w:t xml:space="preserve">Au cours du dernier mandat, la section ECO a mené une réflexion approfondie au sein du CESE sur la </w:t>
      </w:r>
      <w:r>
        <w:rPr>
          <w:b/>
        </w:rPr>
        <w:t>crise du coût de la vie</w:t>
      </w:r>
      <w:r>
        <w:t xml:space="preserve">, ce qui a abouti à l’adoption de sept avis sectoriels consacrés à l’examen des différentes dimensions de ce défi politique, ainsi qu’à un avis-cadre s’appuyant sur leurs conclusions afin de présenter une liste complète et étendue de recommandations du CESE à l’intention des </w:t>
      </w:r>
      <w:r>
        <w:lastRenderedPageBreak/>
        <w:t xml:space="preserve">responsables politiques européens et nationaux, des organisations de la société civile et d’autres parties prenantes. En s’appuyant sur les recommandations fondamentales formulées dans cet ensemble d’avis, et compte tenu de la persistance de la fragilité de l’économie mondiale, il est essentiel que la section ECO continue de défendre les politiques indispensables pour protéger les groupes vulnérables, promouvoir l’équité et renforcer la résilience économique et sociale à long terme. </w:t>
      </w:r>
    </w:p>
    <w:p w14:paraId="612095F9" w14:textId="77777777" w:rsidR="00A501DA" w:rsidRPr="008F6362" w:rsidRDefault="00A501DA" w:rsidP="00B36A04"/>
    <w:p w14:paraId="28F3338B" w14:textId="361E37C1" w:rsidR="00C25842" w:rsidRPr="008F6362" w:rsidRDefault="00A501DA" w:rsidP="00B36A04">
      <w:r>
        <w:t xml:space="preserve">La section ECO poursuivra ses efforts pour bâtir une base économique solide pour l’Europe, fondée sur la durabilité, la productivité, l’équité et la stabilité macroéconomique, afin de permettre à l’Union de soutenir ses ambitions de grande portée, à savoir maîtriser la transition verte et numérique, garantir la compétitivité et l’autonomie stratégique de l’Europe et renforcer sa sécurité. Pour contribuer à définir les politiques économiques européennes, la section ECO continuera d’élaborer deux avis par an sur la </w:t>
      </w:r>
      <w:r>
        <w:rPr>
          <w:b/>
        </w:rPr>
        <w:t>recommandation concernant la politique économique de la zone euro</w:t>
      </w:r>
      <w:r>
        <w:t xml:space="preserve">, afin de fournir en temps utile une contribution actualisée au processus de coordination de la politique (macro)économique dans le cadre du cycle annuel du Semestre européen. </w:t>
      </w:r>
    </w:p>
    <w:p w14:paraId="770E6993" w14:textId="77777777" w:rsidR="00C25842" w:rsidRPr="008F6362" w:rsidRDefault="00C25842" w:rsidP="00B36A04"/>
    <w:p w14:paraId="157949A3" w14:textId="1607E157" w:rsidR="00C25842" w:rsidRPr="008F6362" w:rsidRDefault="00C25842" w:rsidP="00B36A04">
      <w:r>
        <w:t xml:space="preserve">Pour garantir la résilience et la durabilité des économies européennes, la stabilité macroéconomique et la solidité des finances publiques sont indispensables, car elles permettent aux États membres et à l’Union de mobiliser et d’allouer efficacement les ressources financières nécessaires, tant au niveau européen que national, afin d’atteindre nos objectifs communs. La </w:t>
      </w:r>
      <w:r>
        <w:rPr>
          <w:b/>
        </w:rPr>
        <w:t>révision du cadre de gouvernance économique européen</w:t>
      </w:r>
      <w:r>
        <w:t xml:space="preserve"> a constitué une étape essentielle dans la refonte des règles et procédures de coordination des politiques économiques et budgétaires des États membres, afin d’assurer stabilité et croissance. Toutefois, c’est bien la mise en œuvre de ces règles qui déterminera leur capacité à atteindre les objectifs fixés. Le CESE a appelé à associer les partenaires sociaux et les organisations de la société civile à toutes les étapes du nouveau cadre de gouvernance économique, de sa conception à son application, et la section ECO est prête à jouer pleinement son rôle dans le suivi de la mise en œuvre de ce nouveau cadre.</w:t>
      </w:r>
    </w:p>
    <w:p w14:paraId="0C1F59F2" w14:textId="77777777" w:rsidR="00D346AA" w:rsidRPr="008F6362" w:rsidRDefault="00D346AA" w:rsidP="00B36A04"/>
    <w:p w14:paraId="53934AF6" w14:textId="782A8AD0" w:rsidR="00D346AA" w:rsidRPr="008F6362" w:rsidRDefault="00D346AA" w:rsidP="00B36A04">
      <w:r>
        <w:t xml:space="preserve">Ces dernières années, une discussion s’est engagée sur l’introduction d’un </w:t>
      </w:r>
      <w:r>
        <w:rPr>
          <w:b/>
        </w:rPr>
        <w:t>euro numérique</w:t>
      </w:r>
      <w:r>
        <w:t>. La section ECO s’est investie dans ce dossier dès le début et a contribué au débat à l’échelle de l’Union au moyen de deux avis adoptés lors du précédent mandat. Alors que la phase de préparation, entamée en novembre 2023 et destinée à poser les bases d’une éventuelle émission d’un euro numérique, touche à sa fin, la section ECO est déterminée à poursuivre ses travaux et sa coopération étroite avec la Banque centrale européenne et la Commission européenne, si la décision devait être prise de lancer l’euro numérique. La section ECO continuera de promouvoir l’inclusion financière et numérique, la stabilité financière ainsi qu’un système de paiement plus efficace et compétitif. L’implication de la société civile organisée est essentielle pour garantir que ces préoccupations sont pleinement prises en compte et pour contribuer à une meilleure compréhension, par le public, des raisons motivant l’introduction de l’euro numérique et de ses différentes caractéristiques.</w:t>
      </w:r>
    </w:p>
    <w:p w14:paraId="3608EE8F" w14:textId="5DA23D2D" w:rsidR="00CD4E49" w:rsidRPr="008F6362" w:rsidRDefault="00CD4E49" w:rsidP="00B36A04"/>
    <w:p w14:paraId="0A5B52D7" w14:textId="31C1D4DB" w:rsidR="00540E14" w:rsidRPr="008F6362" w:rsidRDefault="0061593A" w:rsidP="00B36A04">
      <w:pPr>
        <w:pStyle w:val="Heading1"/>
        <w:keepNext/>
        <w:keepLines/>
        <w:ind w:left="567" w:hanging="567"/>
      </w:pPr>
      <w:r>
        <w:rPr>
          <w:b/>
        </w:rPr>
        <w:t xml:space="preserve">Le Semestre européen </w:t>
      </w:r>
    </w:p>
    <w:p w14:paraId="31502969" w14:textId="77777777" w:rsidR="00CC00FF" w:rsidRPr="008F6362" w:rsidRDefault="00CC00FF" w:rsidP="00B36A04">
      <w:pPr>
        <w:keepNext/>
        <w:keepLines/>
      </w:pPr>
    </w:p>
    <w:p w14:paraId="38BB118B" w14:textId="41B22B9B" w:rsidR="007E01F5" w:rsidRPr="008F6362" w:rsidRDefault="007E01F5" w:rsidP="00B36A04">
      <w:pPr>
        <w:overflowPunct w:val="0"/>
        <w:autoSpaceDE w:val="0"/>
        <w:autoSpaceDN w:val="0"/>
        <w:textAlignment w:val="baseline"/>
        <w:rPr>
          <w:strike/>
        </w:rPr>
      </w:pPr>
      <w:r>
        <w:t xml:space="preserve">Le Semestre européen s’inscrit dans le cadre de la gouvernance économique de l’UE. Il permet une surveillance et une coordination intégrées des politiques économiques, budgétaires, sociales et de l’emploi des États membres de l’Union. Le renforcement de la coordination entre les États membres est devenu essentiel face à l’intensification des enjeux économiques et sociaux. Pour y répondre, le Semestre européen s’est adapté à l’évolution de l’environnement politique, en y </w:t>
      </w:r>
      <w:r>
        <w:rPr>
          <w:b/>
        </w:rPr>
        <w:t xml:space="preserve">intégrant le socle </w:t>
      </w:r>
      <w:r>
        <w:rPr>
          <w:b/>
        </w:rPr>
        <w:lastRenderedPageBreak/>
        <w:t>européen des droits sociaux</w:t>
      </w:r>
      <w:r>
        <w:t xml:space="preserve"> et </w:t>
      </w:r>
      <w:r>
        <w:rPr>
          <w:b/>
        </w:rPr>
        <w:t>le pacte vert pour l’Europe</w:t>
      </w:r>
      <w:r>
        <w:t xml:space="preserve">. En outre, depuis la pandémie de COVID-19, le Semestre européen a été ajusté pour tenir compte de la création de la </w:t>
      </w:r>
      <w:r>
        <w:rPr>
          <w:b/>
        </w:rPr>
        <w:t>facilité pour la reprise et la résilience</w:t>
      </w:r>
      <w:r>
        <w:t xml:space="preserve">. Plus récemment, le Semestre européen a encore évolué en réponse au train de mesures législatives de la Commission européenne visant à réformer le cadre de gouvernance économique de l’Union afin de renforcer la compétitivité de l’UE et de mieux la préparer aux défis futurs en soutenant les progrès vers une économie verte, numérique, inclusive et résiliente. Ainsi, le Semestre européen est devenu un instrument solide et bien établi pour la gouvernance économique de l’UE et sa coordination avec les États membres. Il est actuellement en cours d’évolution, ce qui nécessite une forte mobilisation de la section ECO et de son </w:t>
      </w:r>
      <w:r>
        <w:rPr>
          <w:b/>
        </w:rPr>
        <w:t>groupe ad hoc sur le Semestre européen</w:t>
      </w:r>
      <w:r>
        <w:t xml:space="preserve">. </w:t>
      </w:r>
    </w:p>
    <w:p w14:paraId="7B9CC11B" w14:textId="77777777" w:rsidR="007E01F5" w:rsidRPr="008F6362" w:rsidRDefault="007E01F5" w:rsidP="00B36A04">
      <w:pPr>
        <w:rPr>
          <w14:ligatures w14:val="standardContextual"/>
        </w:rPr>
      </w:pPr>
    </w:p>
    <w:p w14:paraId="1EED3981" w14:textId="28851076" w:rsidR="003A196F" w:rsidRDefault="007E01F5" w:rsidP="00B36A04">
      <w:r>
        <w:t xml:space="preserve">Au cours du présent mandat, les conclusions des discussions du groupe seront prises en compte dans les avis et rapports préparés pour contribuer au </w:t>
      </w:r>
      <w:r>
        <w:rPr>
          <w:b/>
        </w:rPr>
        <w:t>cycle du Semestre européen</w:t>
      </w:r>
      <w:r>
        <w:t xml:space="preserve">: en particulier dans les avis relatifs au paquet d’automne du Semestre européen, ainsi que dans le rapport d’information et l’avis d’initiative, fondés sur une consultation de la société civile organisée dans les États membres. À cette fin, le groupe ad hoc sur le Semestre européen de la section ECO entend poursuivre son important travail de collecte, de transmission et de valorisation des avis politiques de la société civile organisée, en organisant des visites dans les pays et en diffusant un questionnaire. </w:t>
      </w:r>
    </w:p>
    <w:p w14:paraId="2CFDD958" w14:textId="77777777" w:rsidR="003A196F" w:rsidRDefault="003A196F" w:rsidP="00B36A04"/>
    <w:p w14:paraId="20CAEBAF" w14:textId="05FEDCC4" w:rsidR="002E615A" w:rsidRDefault="00BD56F6" w:rsidP="00B36A04">
      <w:r>
        <w:t>Par ailleurs, l’engagement systématique du groupe auprès de la société civile organisée dans tous les États membres garantit que la position de la section ECO sur le CFP reflète les véritables préoccupations de la société civile paneuropéenne, et pas uniquement des perspectives centrées sur Bruxelles. De plus, après la fin de la FRR en 2026, une évaluation de cet instrument est attendue; elle pourrait alimenter les négociations finales sur la conception des nouveaux plans de partenariat nationaux et régionaux, et fournir des enseignements précieux pour la participation citoyenne dans le nouveau cycle financier.</w:t>
      </w:r>
    </w:p>
    <w:p w14:paraId="7854D5C0" w14:textId="77777777" w:rsidR="002E615A" w:rsidRDefault="002E615A" w:rsidP="00B36A04"/>
    <w:p w14:paraId="148DC5F0" w14:textId="1D68049A" w:rsidR="00102C7F" w:rsidRDefault="007E01F5" w:rsidP="00B36A04">
      <w:r>
        <w:t>Nous continuerons également à organiser des réunions de groupe régulières ainsi qu’une conférence annuelle afin de discuter des documents clés et des évolutions intervenant dans le cadre du cycle du Semestre européen.</w:t>
      </w:r>
    </w:p>
    <w:p w14:paraId="2DF82F6E" w14:textId="77777777" w:rsidR="00996695" w:rsidRDefault="00996695" w:rsidP="00B36A04"/>
    <w:p w14:paraId="57008818" w14:textId="209F75F9" w:rsidR="00996CF4" w:rsidRPr="008F6362" w:rsidRDefault="001007A3" w:rsidP="00B36A04">
      <w:pPr>
        <w:pStyle w:val="Heading1"/>
        <w:keepNext/>
        <w:ind w:left="567" w:hanging="567"/>
      </w:pPr>
      <w:r>
        <w:rPr>
          <w:b/>
        </w:rPr>
        <w:t>Les marchés financiers européens</w:t>
      </w:r>
    </w:p>
    <w:p w14:paraId="7A2AA26D" w14:textId="77777777" w:rsidR="00E063C2" w:rsidRPr="008F6362" w:rsidRDefault="00E063C2" w:rsidP="00B36A04">
      <w:pPr>
        <w:keepNext/>
      </w:pPr>
    </w:p>
    <w:p w14:paraId="10FB69F4" w14:textId="39E6379C" w:rsidR="002B2975" w:rsidRPr="004A16C7" w:rsidRDefault="002B2975" w:rsidP="00B36A04">
      <w:r>
        <w:t xml:space="preserve">Le </w:t>
      </w:r>
      <w:r>
        <w:rPr>
          <w:b/>
        </w:rPr>
        <w:t>déficit de financement</w:t>
      </w:r>
      <w:r>
        <w:t xml:space="preserve"> constitue le principal obstacle à la réalisation des objectifs ambitieux de l’Union en matière de transition équitable, de numérisation, de résilience, d’autonomie stratégique, de compétitivité durable ainsi que de sécurité et de défense. C’est pourquoi il est impératif de mobiliser l’épargne nationale en faveur de l’investissement, en particulier de l’investissement à long terme. Dans ce contexte, la section ECO souligne l’urgence d’une harmonisation accrue de la réglementation et de la supervision, ainsi que de la suppression des nombreux obstacles aux activités transfrontières, tout en préservant une réglementation et une surveillance rigoureuses, en vue de maintenir la </w:t>
      </w:r>
      <w:r>
        <w:rPr>
          <w:b/>
        </w:rPr>
        <w:t>stabilité financière</w:t>
      </w:r>
      <w:r>
        <w:t xml:space="preserve"> et de protéger les consommateurs et les investisseurs. Cela contribuera à instaurer un marché unique robuste, au profit tant des entreprises que des ménages, en leur offrant davantage de possibilités d’épargner, d’investir, de se développer et d’innover. </w:t>
      </w:r>
    </w:p>
    <w:p w14:paraId="181C734F" w14:textId="77777777" w:rsidR="002B2975" w:rsidRPr="004A16C7" w:rsidRDefault="002B2975" w:rsidP="00B36A04"/>
    <w:p w14:paraId="168063FC" w14:textId="13D5398A" w:rsidR="002B2975" w:rsidRPr="004A16C7" w:rsidRDefault="002B2975" w:rsidP="00B36A04">
      <w:r>
        <w:t xml:space="preserve">Les plans d’action pour l’UMC de 2015 et 2020 n’ont pas permis de réaliser des progrès satisfaisants. La section ECO concentrera désormais ses travaux sur sa contribution à la </w:t>
      </w:r>
      <w:r>
        <w:rPr>
          <w:b/>
        </w:rPr>
        <w:t>conception d’une union de l’épargne et des investissements réussie</w:t>
      </w:r>
      <w:r>
        <w:t xml:space="preserve">. Pour y parvenir, il importe de concevoir l’union de l’épargne et des investissements en l’assortissant des objectifs sans équivoque consistant à procurer de véritables </w:t>
      </w:r>
      <w:r>
        <w:lastRenderedPageBreak/>
        <w:t xml:space="preserve">avantages concrets aux citoyens de l’Union et aux entreprises en Europe, ainsi qu’à financer l’économie réelle, à favoriser une transition juste, à réaliser une répartition équitable des coûts, des retours sur investissement et des risques, et à préserver la stabilité des marchés financiers. Dans le cadre de cet effort, la section ECO assurera également le suivi de la </w:t>
      </w:r>
      <w:r>
        <w:rPr>
          <w:b/>
        </w:rPr>
        <w:t>mise en œuvre de la</w:t>
      </w:r>
      <w:r>
        <w:t xml:space="preserve"> </w:t>
      </w:r>
      <w:r>
        <w:rPr>
          <w:b/>
        </w:rPr>
        <w:t>stratégie en matière d’éducation financière</w:t>
      </w:r>
      <w:r>
        <w:t xml:space="preserve"> et se tiendra prête à collaborer avec la Commission européenne et d’autres parties prenantes. Elle travaillera en coordination avec la section INT afin de coopérer sur les questions d’investissement de détail et de services financiers.</w:t>
      </w:r>
    </w:p>
    <w:p w14:paraId="56887C8F" w14:textId="77777777" w:rsidR="002B2975" w:rsidRPr="004A16C7" w:rsidRDefault="002B2975" w:rsidP="00B36A04"/>
    <w:p w14:paraId="4D1F54C3" w14:textId="77777777" w:rsidR="002B2975" w:rsidRPr="004A16C7" w:rsidRDefault="002B2975" w:rsidP="00B36A04">
      <w:r>
        <w:t>Plus concrètement, les travaux de la section ECO en faveur d’une union de l’épargne et des investissements comprendront les actions suivantes:</w:t>
      </w:r>
    </w:p>
    <w:p w14:paraId="46039C60" w14:textId="77777777" w:rsidR="002B2975" w:rsidRPr="004A16C7" w:rsidRDefault="002B2975" w:rsidP="00B36A04"/>
    <w:p w14:paraId="1392D90F" w14:textId="22005530" w:rsidR="002B2975" w:rsidRDefault="002B2975" w:rsidP="00B36A04">
      <w:r>
        <w:t xml:space="preserve">S’agissant des marchés de capitaux, nous travaillerons sur le prochain </w:t>
      </w:r>
      <w:r>
        <w:rPr>
          <w:b/>
        </w:rPr>
        <w:t>paquet «pensions complémentaires»</w:t>
      </w:r>
      <w:r>
        <w:t>, qui devrait inclure la révision du règlement relatif à un produit paneuropéen d’épargne-retraite individuelle (</w:t>
      </w:r>
      <w:r>
        <w:rPr>
          <w:b/>
        </w:rPr>
        <w:t>PEPP</w:t>
      </w:r>
      <w:r>
        <w:t>) et de la directive concernant les activités et la surveillance des institutions de retraite professionnelle (</w:t>
      </w:r>
      <w:r>
        <w:rPr>
          <w:b/>
        </w:rPr>
        <w:t>IRP</w:t>
      </w:r>
      <w:r>
        <w:t xml:space="preserve">), la révision du </w:t>
      </w:r>
      <w:r>
        <w:rPr>
          <w:b/>
        </w:rPr>
        <w:t>règlement sur la publication d’informations en matière de durabilité dans le secteur des services financiers (SFDR)</w:t>
      </w:r>
      <w:r>
        <w:t xml:space="preserve">, ainsi que de nouvelles initiatives concernant les </w:t>
      </w:r>
      <w:r>
        <w:rPr>
          <w:b/>
        </w:rPr>
        <w:t>infrastructures des marchés de capitaux,</w:t>
      </w:r>
      <w:r>
        <w:t xml:space="preserve"> </w:t>
      </w:r>
      <w:r>
        <w:rPr>
          <w:b/>
        </w:rPr>
        <w:t>l’harmonisation de la supervision</w:t>
      </w:r>
      <w:r>
        <w:t>, la révision du règlement relatif aux fonds de capital-risque européens (</w:t>
      </w:r>
      <w:r>
        <w:rPr>
          <w:b/>
        </w:rPr>
        <w:t>EuVECA</w:t>
      </w:r>
      <w:r>
        <w:t xml:space="preserve">) et la révision de la </w:t>
      </w:r>
      <w:r>
        <w:rPr>
          <w:b/>
        </w:rPr>
        <w:t>directive sur les droits des actionnaires</w:t>
      </w:r>
      <w:r>
        <w:t xml:space="preserve">. La section ECO prêtera également attention à tout développement lié à la création future d’un </w:t>
      </w:r>
      <w:r>
        <w:rPr>
          <w:b/>
        </w:rPr>
        <w:t>28</w:t>
      </w:r>
      <w:r>
        <w:rPr>
          <w:b/>
          <w:vertAlign w:val="superscript"/>
        </w:rPr>
        <w:t>e</w:t>
      </w:r>
      <w:r>
        <w:rPr>
          <w:b/>
        </w:rPr>
        <w:t> régime</w:t>
      </w:r>
      <w:r>
        <w:t xml:space="preserve"> applicable au secteur financier.</w:t>
      </w:r>
    </w:p>
    <w:p w14:paraId="1D89B76A" w14:textId="77777777" w:rsidR="003600C0" w:rsidRDefault="003600C0" w:rsidP="00B36A04"/>
    <w:p w14:paraId="1A69D426" w14:textId="396D8A23" w:rsidR="003600C0" w:rsidRPr="004A16C7" w:rsidRDefault="003600C0" w:rsidP="00B36A04">
      <w:r>
        <w:t>Dans ce contexte, la finance durable restera un sujet important pour le CESE et, en particulier, la révision du SFDR constituera une occasion de donner suite aux propositions politiques sur l’avenir du cadre de la finance durable que le CESE a approuvées à la demande de la présidence danoise du Conseil.</w:t>
      </w:r>
    </w:p>
    <w:p w14:paraId="039DC12F" w14:textId="77777777" w:rsidR="002B2975" w:rsidRPr="004A16C7" w:rsidRDefault="002B2975" w:rsidP="00B36A04"/>
    <w:p w14:paraId="7488CCEE" w14:textId="501E9959" w:rsidR="00CA45AA" w:rsidRPr="008F6362" w:rsidRDefault="002B2975" w:rsidP="00B36A04">
      <w:r>
        <w:t>S’agissant de l’</w:t>
      </w:r>
      <w:r>
        <w:rPr>
          <w:b/>
        </w:rPr>
        <w:t>union bancaire</w:t>
      </w:r>
      <w:r>
        <w:t xml:space="preserve">, la section ECO continuera de </w:t>
      </w:r>
      <w:r>
        <w:rPr>
          <w:b/>
        </w:rPr>
        <w:t>suivre</w:t>
      </w:r>
      <w:r>
        <w:t xml:space="preserve"> les travaux des colégislateurs concernant la création d’un système européen d’assurance des dépôts (</w:t>
      </w:r>
      <w:r>
        <w:rPr>
          <w:b/>
        </w:rPr>
        <w:t>SEAD</w:t>
      </w:r>
      <w:r>
        <w:t xml:space="preserve">), ainsi que l’accord final sur le </w:t>
      </w:r>
      <w:r>
        <w:rPr>
          <w:b/>
        </w:rPr>
        <w:t>cadre pour la gestion des crises bancaires et la garantie des dépôts</w:t>
      </w:r>
      <w:r>
        <w:t>. La section ECO sera également attentive au rapport sur le système bancaire et à l’évaluation de sa compétitivité, notamment en ce qui concerne ses conclusions, les éventuelles recommandations politiques et les actions de suivi.</w:t>
      </w:r>
    </w:p>
    <w:p w14:paraId="1685ABDF" w14:textId="3600F7DB" w:rsidR="00EF7124" w:rsidRPr="00CA1F08" w:rsidRDefault="00EF7124" w:rsidP="00B36A04">
      <w:pPr>
        <w:pStyle w:val="ListParagraph"/>
        <w:ind w:left="0"/>
        <w:rPr>
          <w:lang w:val="fr-BE"/>
        </w:rPr>
      </w:pPr>
    </w:p>
    <w:p w14:paraId="6DE251BC" w14:textId="77F4E85F" w:rsidR="00350BB6" w:rsidRDefault="00A3706F" w:rsidP="00B36A04">
      <w:pPr>
        <w:pStyle w:val="ListParagraph"/>
        <w:ind w:left="0"/>
      </w:pPr>
      <w:r>
        <w:t xml:space="preserve">Dans l’ensemble de ces travaux, la section ECO examinera les réformes des marchés des capitaux non seulement sous l’angle </w:t>
      </w:r>
      <w:r>
        <w:rPr>
          <w:b/>
        </w:rPr>
        <w:t>de l’efficacité et de la stabilité</w:t>
      </w:r>
      <w:r>
        <w:t xml:space="preserve">, mais aussi sous celui de la </w:t>
      </w:r>
      <w:r>
        <w:rPr>
          <w:b/>
        </w:rPr>
        <w:t>légitimité démocratique</w:t>
      </w:r>
      <w:r>
        <w:t xml:space="preserve">. Pour que les initiatives visant à créer une union de l’épargne et des investissements </w:t>
      </w:r>
      <w:r>
        <w:rPr>
          <w:b/>
        </w:rPr>
        <w:t>renforcent</w:t>
      </w:r>
      <w:r>
        <w:t xml:space="preserve">, plutôt qu’elles ne minent, la </w:t>
      </w:r>
      <w:r>
        <w:rPr>
          <w:b/>
        </w:rPr>
        <w:t>confiance du public</w:t>
      </w:r>
      <w:r>
        <w:t xml:space="preserve"> dans le marché unique et dans l’idée de véritables marchés financiers européens intégrés, elles doivent apporter des </w:t>
      </w:r>
      <w:r>
        <w:rPr>
          <w:b/>
        </w:rPr>
        <w:t>avantages concrets</w:t>
      </w:r>
      <w:r>
        <w:t xml:space="preserve"> aux </w:t>
      </w:r>
      <w:r>
        <w:rPr>
          <w:b/>
        </w:rPr>
        <w:t>citoyens</w:t>
      </w:r>
      <w:r>
        <w:t xml:space="preserve"> ordinaires et aux </w:t>
      </w:r>
      <w:r>
        <w:rPr>
          <w:b/>
        </w:rPr>
        <w:t>PME</w:t>
      </w:r>
      <w:r>
        <w:t xml:space="preserve">, au même titre qu’aux </w:t>
      </w:r>
      <w:r>
        <w:rPr>
          <w:b/>
        </w:rPr>
        <w:t>investisseurs institutionnels</w:t>
      </w:r>
      <w:r>
        <w:t xml:space="preserve"> et aux grandes </w:t>
      </w:r>
      <w:r>
        <w:rPr>
          <w:b/>
        </w:rPr>
        <w:t>entreprises</w:t>
      </w:r>
      <w:r>
        <w:t>. Cela implique de donner la priorité à la protection des investisseurs de détail, à l’éducation financière, à l’adéquation des pensions et à l’accès des PME aux capitaux, en veillant à ce que l’union des marchés des capitaux contribue à une prospérité largement partagée, plutôt qu’en renforçant la perception selon laquelle la politique financière de l’UE sert des élites restreintes. Le rôle de la société civile dans le suivi et l’examen de la mise en œuvre de l’union de l’épargne et des investissements est donc essentiel, tant pour l’efficacité technique que pour la légitimité démocratique. Dans ce contexte, la section ECO sera attentive à la répartition des actifs financiers et non financiers dans l’Union. Si cela est jugé nécessaire, la section pourrait envisager d’examiner ce sujet et l’accès de différents groupes de citoyens aux capitaux.</w:t>
      </w:r>
    </w:p>
    <w:p w14:paraId="561FB5BE" w14:textId="77777777" w:rsidR="00B36A04" w:rsidRPr="00CA1F08" w:rsidRDefault="00B36A04" w:rsidP="00B36A04">
      <w:pPr>
        <w:pStyle w:val="ListParagraph"/>
        <w:ind w:left="0"/>
        <w:rPr>
          <w:lang w:val="fr-BE"/>
        </w:rPr>
      </w:pPr>
    </w:p>
    <w:p w14:paraId="02ED0A30" w14:textId="6CB4C479" w:rsidR="00996CF4" w:rsidRPr="008F6362" w:rsidRDefault="00ED7587" w:rsidP="00B36A04">
      <w:pPr>
        <w:pStyle w:val="Heading1"/>
        <w:keepNext/>
        <w:ind w:left="567" w:hanging="567"/>
      </w:pPr>
      <w:r>
        <w:rPr>
          <w:b/>
        </w:rPr>
        <w:t xml:space="preserve">Politique de cohésion et politique urbaine </w:t>
      </w:r>
    </w:p>
    <w:p w14:paraId="5AAC795A" w14:textId="493A6156" w:rsidR="00DA01BE" w:rsidRPr="008F6362" w:rsidRDefault="00DA01BE" w:rsidP="00B36A04">
      <w:pPr>
        <w:keepNext/>
      </w:pPr>
    </w:p>
    <w:p w14:paraId="5B346AF5" w14:textId="787B70E7" w:rsidR="00236D77" w:rsidRPr="00FF5ACD" w:rsidRDefault="008B0EB1" w:rsidP="00743EE2">
      <w:pPr>
        <w:pStyle w:val="CommentText"/>
        <w:spacing w:line="288" w:lineRule="auto"/>
        <w:rPr>
          <w:sz w:val="22"/>
          <w:szCs w:val="22"/>
        </w:rPr>
      </w:pPr>
      <w:r>
        <w:rPr>
          <w:sz w:val="22"/>
        </w:rPr>
        <w:t>La politique de cohésion reste l’un des piliers fondamentaux permettant de rapprocher l’Union européenne de ses citoyens et de réduire les disparités entre les régions de l’UE et les inégalités entre les citoyens. La politique de cohésion doit continuer de jouer un rôle essentiel pour assurer une reprise équilibrée après les chocs continus et sans précédent qui ont touché l’Union, favoriser la convergence et faire en sorte qu’aucune personne ou région ne soit laissée de côté. Le CESE continuera d’étudier les moyens permettant à la politique de cohésion de répondre à de nouveaux enjeux importants pour les citoyens, tels que l’accès à un logement abordable.</w:t>
      </w:r>
    </w:p>
    <w:p w14:paraId="1879FD3B" w14:textId="04F83085" w:rsidR="008B0EB1" w:rsidRPr="00F46710" w:rsidRDefault="008B0EB1" w:rsidP="00B36A04"/>
    <w:p w14:paraId="2E85A3CB" w14:textId="3385E9EF" w:rsidR="00236D77" w:rsidRPr="00743EE2" w:rsidRDefault="008B0EB1" w:rsidP="00743EE2">
      <w:r>
        <w:t xml:space="preserve">La section ECO examinera attentivement la manière dont la </w:t>
      </w:r>
      <w:r>
        <w:rPr>
          <w:b/>
        </w:rPr>
        <w:t>politique de cohésion</w:t>
      </w:r>
      <w:r>
        <w:t xml:space="preserve">, dans le cadre des </w:t>
      </w:r>
      <w:r>
        <w:rPr>
          <w:b/>
        </w:rPr>
        <w:t>plans de partenariat nationaux et régionaux</w:t>
      </w:r>
      <w:r>
        <w:t>, répond à l’accroissement des disparités régionales et contribue à résoudre les problèmes sociaux et économiques. La politique de cohésion a montré et continuera à démontrer sa valeur ajoutée en réunissant les États membres, les régions et les villes de l’UE afin de protéger les citoyens, de réduire les disparités sociales, y compris en matière démographique et de revenu, de sauver des emplois et de préserver les économies locales. La section ECO s’efforcera de veiller à ce que les plans PNR respectent les principes généraux de partenariat, de gestion partagée et d’une approche centrée à la fois sur les personnes et sur les territoires. Elle veillera également à ce que la société civile demeure un acteur clé dans la conception et la mise en œuvre des fonds de cohésion dans le cadre des plans PNR. Dans ce contexte, dans les avis élaborés par la section ECO, le CESE proposera des structures de gouvernance spécifiques pour les plans PNR, qui garantissent une participation pertinente de la société civile tout en réduisant les charges administratives pesant sur les bénéficiaires.</w:t>
      </w:r>
    </w:p>
    <w:p w14:paraId="260525BE" w14:textId="77777777" w:rsidR="00236D77" w:rsidRPr="00743EE2" w:rsidRDefault="00236D77" w:rsidP="00B36A04"/>
    <w:p w14:paraId="78407CEF" w14:textId="336C31EB" w:rsidR="008B0EB1" w:rsidRPr="008F6362" w:rsidRDefault="006A1707" w:rsidP="00B36A04">
      <w:r>
        <w:t xml:space="preserve">En ce qui concerne la </w:t>
      </w:r>
      <w:r>
        <w:rPr>
          <w:b/>
        </w:rPr>
        <w:t>dimension territoriale</w:t>
      </w:r>
      <w:r>
        <w:t xml:space="preserve"> de la politique de cohésion, il convient d’accorder une attention particulière aux régions présentant des caractéristiques territoriales spécifiques, telles que les régions ultrapériphériques, les zones de montagne et les îles de l’UE. La section ECO travaillera en étroite collaboration avec la Commission européenne et les autres institutions de l’UE, et contribuera par ses avis à la </w:t>
      </w:r>
      <w:r>
        <w:rPr>
          <w:b/>
        </w:rPr>
        <w:t>nouvelle stratégie de l’UE pour les îles</w:t>
      </w:r>
      <w:r>
        <w:t xml:space="preserve"> ainsi qu’à la nouvelle communication sur les </w:t>
      </w:r>
      <w:r>
        <w:rPr>
          <w:b/>
        </w:rPr>
        <w:t>régions ultrapériphériques</w:t>
      </w:r>
      <w:r>
        <w:t>.</w:t>
      </w:r>
    </w:p>
    <w:p w14:paraId="45CC1DFA" w14:textId="77777777" w:rsidR="008B0EB1" w:rsidRPr="008F6362" w:rsidRDefault="008B0EB1" w:rsidP="00B36A04"/>
    <w:p w14:paraId="656D84CB" w14:textId="58C3D1C5" w:rsidR="003E2427" w:rsidRPr="008F6362" w:rsidRDefault="006A1707" w:rsidP="00B36A04">
      <w:r>
        <w:t xml:space="preserve">Les questions urbaines revêtent par ailleurs une grande importance et nos villes sont fortement tributaires de facteurs et turbulences extérieurs comme la guerre en Ukraine ou une inflation élevée. Le programme urbain continuera de jouer un rôle important dans le processus de relance. Le nouveau </w:t>
      </w:r>
      <w:r>
        <w:rPr>
          <w:b/>
        </w:rPr>
        <w:t>programme de l’UE pour les villes</w:t>
      </w:r>
      <w:r>
        <w:t>, actuellement en préparation, sera déterminant pour renforcer la résilience des municipalités, des zones fonctionnelles et locales, et pour consolider leurs processus de reprise. À cet égard, la section ECO assurera le suivi de ses propositions relatives à l’</w:t>
      </w:r>
      <w:r>
        <w:rPr>
          <w:b/>
        </w:rPr>
        <w:t>Agenda urbain et territorial 2030</w:t>
      </w:r>
      <w:r>
        <w:t xml:space="preserve">. </w:t>
      </w:r>
    </w:p>
    <w:p w14:paraId="63A05216" w14:textId="77777777" w:rsidR="003E2427" w:rsidRPr="008F6362" w:rsidRDefault="003E2427" w:rsidP="00B36A04"/>
    <w:p w14:paraId="400CC538" w14:textId="04F968C5" w:rsidR="00CA45AA" w:rsidRPr="008F6362" w:rsidRDefault="008B0EB1" w:rsidP="00B36A04">
      <w:r>
        <w:t xml:space="preserve">Les </w:t>
      </w:r>
      <w:r>
        <w:rPr>
          <w:b/>
        </w:rPr>
        <w:t>stratégies macrorégionales</w:t>
      </w:r>
      <w:r>
        <w:t xml:space="preserve"> ont pâti, directement et indirectement, de la crise de la COVID-19 et des conséquences de la guerre en Ukraine. Les changements structurels découlant des plans PNR, ainsi que la possible centralisation des fonds, auront une incidence sur les quatre stratégies macrorégionales, ce qui souligne une fois encore l’importance de respecter et de mettre en œuvre la cohésion et la coopération transrégionales et transfrontalières au sein même de l’Europe. La société civile organisée </w:t>
      </w:r>
      <w:r>
        <w:lastRenderedPageBreak/>
        <w:t>jouera un rôle essentiel pour réaliser les grands objectifs des stratégies macrorégionales et stimuler la coopération territoriale et transfrontalière.</w:t>
      </w:r>
    </w:p>
    <w:p w14:paraId="22292D2B" w14:textId="77777777" w:rsidR="00A30C32" w:rsidRPr="008F6362" w:rsidRDefault="00A30C32" w:rsidP="00B36A04"/>
    <w:p w14:paraId="63462252" w14:textId="1E669C33" w:rsidR="00996CF4" w:rsidRPr="00D53276" w:rsidRDefault="00ED7587" w:rsidP="00B36A04">
      <w:pPr>
        <w:pStyle w:val="Heading1"/>
        <w:keepNext/>
        <w:keepLines/>
        <w:ind w:left="567" w:hanging="567"/>
        <w:rPr>
          <w:bCs/>
        </w:rPr>
      </w:pPr>
      <w:r>
        <w:rPr>
          <w:b/>
        </w:rPr>
        <w:t>La fiscalité</w:t>
      </w:r>
    </w:p>
    <w:p w14:paraId="04172EB3" w14:textId="77777777" w:rsidR="00A10566" w:rsidRPr="008F6362" w:rsidRDefault="00A10566" w:rsidP="00B36A04"/>
    <w:p w14:paraId="01ABF5C7" w14:textId="77777777" w:rsidR="00A10566" w:rsidRPr="008F6362" w:rsidRDefault="00A10566" w:rsidP="00743EE2">
      <w:pPr>
        <w:keepNext/>
        <w:keepLines/>
      </w:pPr>
      <w:r>
        <w:t xml:space="preserve">La section ECO poursuit ses travaux sur la </w:t>
      </w:r>
      <w:r>
        <w:rPr>
          <w:b/>
        </w:rPr>
        <w:t>simplification</w:t>
      </w:r>
      <w:r>
        <w:t xml:space="preserve"> dans le domaine de la fiscalité. Elle soutient fermement l’objectif de la Commission de réduire la charge administrative de 25 %, et de 35 % pour les PME, d’ici la fin de son mandat en 2029. Les travaux en cours sur la simplification devraient permettre d’améliorer la cohérence des systèmes fiscaux en supprimant les règles obsolètes et en rationalisant, dans le même temps, celles qui restent applicables. En outre, la section ECO appuie les projets de la Commission visant à simplifier et à réduire la charge administrative dans le domaine de la coopération administrative. Dans ce cadre, l’attention portera notamment sur la révision de la </w:t>
      </w:r>
      <w:r>
        <w:rPr>
          <w:b/>
        </w:rPr>
        <w:t>directive relative à la coopération administrative</w:t>
      </w:r>
      <w:r>
        <w:t xml:space="preserve"> (DAC10), ou, si cela devait être le cas, sur son intégration dans un texte législatif de type «omnibus».</w:t>
      </w:r>
    </w:p>
    <w:p w14:paraId="3D00856C" w14:textId="77777777" w:rsidR="00A10566" w:rsidRPr="008F6362" w:rsidRDefault="00A10566" w:rsidP="00B36A04">
      <w:pPr>
        <w:keepNext/>
        <w:keepLines/>
      </w:pPr>
    </w:p>
    <w:p w14:paraId="580B4791" w14:textId="2D8704CE" w:rsidR="00A10566" w:rsidRPr="008F6362" w:rsidRDefault="00A10566" w:rsidP="00B36A04">
      <w:pPr>
        <w:keepNext/>
        <w:keepLines/>
      </w:pPr>
      <w:r>
        <w:t xml:space="preserve">Un autre volet de travail porte sur les aspects structurels de manière générale, ainsi que sur la </w:t>
      </w:r>
      <w:r>
        <w:rPr>
          <w:b/>
        </w:rPr>
        <w:t>fiscalité des travailleurs frontaliers</w:t>
      </w:r>
      <w:r>
        <w:t xml:space="preserve">. La Commission reviendra sur ces questions au cours de l’année à venir, et la section ECO est bien placée pour intervenir sur ce sujet. Des travaux sont également en cours au sein de l’OCDE et des Nations unies concernant ce que l’on appelle la </w:t>
      </w:r>
      <w:r>
        <w:rPr>
          <w:b/>
        </w:rPr>
        <w:t>fiscalité des travailleurs nomades</w:t>
      </w:r>
      <w:r>
        <w:t>.</w:t>
      </w:r>
    </w:p>
    <w:p w14:paraId="43C57385" w14:textId="77777777" w:rsidR="00A10566" w:rsidRPr="008F6362" w:rsidRDefault="00A10566" w:rsidP="00B36A04"/>
    <w:p w14:paraId="08ED9A19" w14:textId="6B5364C1" w:rsidR="00A10566" w:rsidRDefault="00A10566" w:rsidP="00B36A04">
      <w:r>
        <w:t xml:space="preserve">La section ECO poursuivra sa coopération fructueuse avec le </w:t>
      </w:r>
      <w:r>
        <w:rPr>
          <w:b/>
        </w:rPr>
        <w:t>comité d’experts des Nations unies sur la coopération internationale en matière fiscale</w:t>
      </w:r>
      <w:r>
        <w:t xml:space="preserve">. Plusieurs nouveaux volets de travail lancés par le comité fiscal présentent un intérêt particulier pour la section ECO, notamment ceux portant sur </w:t>
      </w:r>
      <w:r>
        <w:rPr>
          <w:b/>
        </w:rPr>
        <w:t>l’administration fiscale et l’IA</w:t>
      </w:r>
      <w:r>
        <w:t xml:space="preserve">, ainsi que sur l’utilisation de l’IA dans l’élaboration même de la législation fiscale. Pour faire progresser le dialogue au niveau mondial, il est extrêmement important que la société civile joue un rôle actif dans ce débat qui revêt un intérêt crucial sur le plan international. La section ECO continuera également d’œuvrer en faveur d’un système fiscal européen équitable et propice à la compétitivité. Elle suivra en particulier le processus de réforme fiscale des </w:t>
      </w:r>
      <w:r>
        <w:rPr>
          <w:b/>
        </w:rPr>
        <w:t>piliers I et II de l’OCDE</w:t>
      </w:r>
      <w:r>
        <w:t xml:space="preserve">, en gardant l’accent sur les réformes du cadre de l’impôt sur les sociétés afin de lutter contre les abus et la fraude fiscale, de garantir des recettes durables et de contribuer au développement des entreprises sur le marché intérieur, en renforçant la compétitivité européenne. La section ECO poursuit par ailleurs ses travaux sur la révision de la </w:t>
      </w:r>
      <w:r>
        <w:rPr>
          <w:b/>
        </w:rPr>
        <w:t>directive relative à la fiscalité sur le tabac</w:t>
      </w:r>
      <w:r>
        <w:t xml:space="preserve">. La </w:t>
      </w:r>
      <w:r>
        <w:rPr>
          <w:b/>
        </w:rPr>
        <w:t>fiscalité sur l’énergie</w:t>
      </w:r>
      <w:r>
        <w:t xml:space="preserve"> et la fiscalité environnementale constituent également des domaines susceptibles d’être relancés par les discussions au Conseil.</w:t>
      </w:r>
    </w:p>
    <w:p w14:paraId="0649326C" w14:textId="77777777" w:rsidR="00027994" w:rsidRDefault="00027994" w:rsidP="00B36A04"/>
    <w:p w14:paraId="288C3471" w14:textId="38C6155F" w:rsidR="00996CF4" w:rsidRPr="008F6362" w:rsidRDefault="009A7436" w:rsidP="00B36A04">
      <w:pPr>
        <w:jc w:val="center"/>
      </w:pPr>
      <w:r>
        <w:t>______________</w:t>
      </w:r>
    </w:p>
    <w:sectPr w:rsidR="00996CF4" w:rsidRPr="008F6362" w:rsidSect="00531EB6">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527F9" w14:textId="77777777" w:rsidR="009B5244" w:rsidRDefault="009B5244" w:rsidP="003A4A36">
      <w:pPr>
        <w:spacing w:line="240" w:lineRule="auto"/>
      </w:pPr>
      <w:r>
        <w:separator/>
      </w:r>
    </w:p>
  </w:endnote>
  <w:endnote w:type="continuationSeparator" w:id="0">
    <w:p w14:paraId="1D0FA212" w14:textId="77777777" w:rsidR="009B5244" w:rsidRDefault="009B5244" w:rsidP="003A4A36">
      <w:pPr>
        <w:spacing w:line="240" w:lineRule="auto"/>
      </w:pPr>
      <w:r>
        <w:continuationSeparator/>
      </w:r>
    </w:p>
  </w:endnote>
  <w:endnote w:type="continuationNotice" w:id="1">
    <w:p w14:paraId="724DAF43" w14:textId="77777777" w:rsidR="009B5244" w:rsidRDefault="009B52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9A12" w14:textId="77777777" w:rsidR="00531EB6" w:rsidRPr="00531EB6" w:rsidRDefault="00531EB6" w:rsidP="00531E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C3B42" w14:textId="12FDAD92" w:rsidR="00BB4BC8" w:rsidRPr="00531EB6" w:rsidRDefault="00531EB6" w:rsidP="00531EB6">
    <w:pPr>
      <w:pStyle w:val="Footer"/>
    </w:pPr>
    <w:r>
      <w:t xml:space="preserve">EESC-2025-03319-02-00-INFO-TRA (EN) </w:t>
    </w:r>
    <w:r>
      <w:fldChar w:fldCharType="begin"/>
    </w:r>
    <w:r>
      <w:instrText xml:space="preserve"> PAGE  \* Arabic  \* MERGEFORMAT </w:instrText>
    </w:r>
    <w:r>
      <w:fldChar w:fldCharType="separate"/>
    </w:r>
    <w:r w:rsidR="000D2D14">
      <w:t>1</w:t>
    </w:r>
    <w:r>
      <w:fldChar w:fldCharType="end"/>
    </w:r>
    <w:r>
      <w:t>/</w:t>
    </w:r>
    <w:fldSimple w:instr=" NUMPAGES ">
      <w:r w:rsidR="000D2D14">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169B1" w14:textId="77777777" w:rsidR="00531EB6" w:rsidRPr="00531EB6" w:rsidRDefault="00531EB6" w:rsidP="00531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4A826" w14:textId="77777777" w:rsidR="009B5244" w:rsidRDefault="009B5244" w:rsidP="003A4A36">
      <w:pPr>
        <w:spacing w:line="240" w:lineRule="auto"/>
      </w:pPr>
      <w:r>
        <w:separator/>
      </w:r>
    </w:p>
  </w:footnote>
  <w:footnote w:type="continuationSeparator" w:id="0">
    <w:p w14:paraId="6DFC15D8" w14:textId="77777777" w:rsidR="009B5244" w:rsidRDefault="009B5244" w:rsidP="003A4A36">
      <w:pPr>
        <w:spacing w:line="240" w:lineRule="auto"/>
      </w:pPr>
      <w:r>
        <w:continuationSeparator/>
      </w:r>
    </w:p>
  </w:footnote>
  <w:footnote w:type="continuationNotice" w:id="1">
    <w:p w14:paraId="562330C1" w14:textId="77777777" w:rsidR="009B5244" w:rsidRDefault="009B524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A31E" w14:textId="77777777" w:rsidR="00531EB6" w:rsidRPr="00531EB6" w:rsidRDefault="00531EB6" w:rsidP="00531E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5A98D" w14:textId="29BD654E" w:rsidR="00531EB6" w:rsidRPr="00531EB6" w:rsidRDefault="00531EB6" w:rsidP="00531E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357DC" w14:textId="77777777" w:rsidR="00531EB6" w:rsidRPr="00531EB6" w:rsidRDefault="00531EB6" w:rsidP="00531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9BC13C3"/>
    <w:multiLevelType w:val="hybridMultilevel"/>
    <w:tmpl w:val="C734BC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684A97"/>
    <w:multiLevelType w:val="hybridMultilevel"/>
    <w:tmpl w:val="783AD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E302B0"/>
    <w:multiLevelType w:val="multilevel"/>
    <w:tmpl w:val="81DE98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51EE513B"/>
    <w:multiLevelType w:val="multilevel"/>
    <w:tmpl w:val="2B82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832A22"/>
    <w:multiLevelType w:val="hybridMultilevel"/>
    <w:tmpl w:val="3120F9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74FA7AD6"/>
    <w:multiLevelType w:val="hybridMultilevel"/>
    <w:tmpl w:val="546AB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4146747">
    <w:abstractNumId w:val="0"/>
  </w:num>
  <w:num w:numId="2" w16cid:durableId="1846819416">
    <w:abstractNumId w:val="2"/>
  </w:num>
  <w:num w:numId="3" w16cid:durableId="632061670">
    <w:abstractNumId w:val="1"/>
  </w:num>
  <w:num w:numId="4" w16cid:durableId="207379555">
    <w:abstractNumId w:val="0"/>
  </w:num>
  <w:num w:numId="5" w16cid:durableId="385687097">
    <w:abstractNumId w:val="6"/>
  </w:num>
  <w:num w:numId="6" w16cid:durableId="1041903742">
    <w:abstractNumId w:val="5"/>
  </w:num>
  <w:num w:numId="7" w16cid:durableId="1351683864">
    <w:abstractNumId w:val="4"/>
  </w:num>
  <w:num w:numId="8" w16cid:durableId="3021240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BB7"/>
    <w:rsid w:val="000011D0"/>
    <w:rsid w:val="00002F5D"/>
    <w:rsid w:val="00003854"/>
    <w:rsid w:val="000041A8"/>
    <w:rsid w:val="00010236"/>
    <w:rsid w:val="0001052F"/>
    <w:rsid w:val="00010A2A"/>
    <w:rsid w:val="000209F5"/>
    <w:rsid w:val="0002114C"/>
    <w:rsid w:val="00022877"/>
    <w:rsid w:val="00023422"/>
    <w:rsid w:val="0002358A"/>
    <w:rsid w:val="00024628"/>
    <w:rsid w:val="00025B0B"/>
    <w:rsid w:val="00027994"/>
    <w:rsid w:val="0003138A"/>
    <w:rsid w:val="000317DA"/>
    <w:rsid w:val="00035872"/>
    <w:rsid w:val="000366D8"/>
    <w:rsid w:val="00036D30"/>
    <w:rsid w:val="00047C46"/>
    <w:rsid w:val="00053993"/>
    <w:rsid w:val="00055266"/>
    <w:rsid w:val="000610C5"/>
    <w:rsid w:val="00065437"/>
    <w:rsid w:val="00072494"/>
    <w:rsid w:val="00073ACC"/>
    <w:rsid w:val="00083281"/>
    <w:rsid w:val="00083EB9"/>
    <w:rsid w:val="000865DF"/>
    <w:rsid w:val="0008703A"/>
    <w:rsid w:val="00087E8A"/>
    <w:rsid w:val="000906E1"/>
    <w:rsid w:val="00094991"/>
    <w:rsid w:val="000958B5"/>
    <w:rsid w:val="000969C6"/>
    <w:rsid w:val="000A3671"/>
    <w:rsid w:val="000A7F04"/>
    <w:rsid w:val="000B0683"/>
    <w:rsid w:val="000B39B7"/>
    <w:rsid w:val="000B460D"/>
    <w:rsid w:val="000C246E"/>
    <w:rsid w:val="000C4570"/>
    <w:rsid w:val="000D0BFC"/>
    <w:rsid w:val="000D2D14"/>
    <w:rsid w:val="000D5695"/>
    <w:rsid w:val="000D6692"/>
    <w:rsid w:val="000E59AC"/>
    <w:rsid w:val="000E65DC"/>
    <w:rsid w:val="000E6728"/>
    <w:rsid w:val="000E6E79"/>
    <w:rsid w:val="000F414D"/>
    <w:rsid w:val="000F515D"/>
    <w:rsid w:val="000F6BE6"/>
    <w:rsid w:val="001007A3"/>
    <w:rsid w:val="00102C7F"/>
    <w:rsid w:val="00107911"/>
    <w:rsid w:val="00113D34"/>
    <w:rsid w:val="00122482"/>
    <w:rsid w:val="001256A4"/>
    <w:rsid w:val="00131C69"/>
    <w:rsid w:val="00131EA6"/>
    <w:rsid w:val="00132524"/>
    <w:rsid w:val="0013339B"/>
    <w:rsid w:val="00133521"/>
    <w:rsid w:val="00134589"/>
    <w:rsid w:val="00157FF9"/>
    <w:rsid w:val="00161891"/>
    <w:rsid w:val="00162913"/>
    <w:rsid w:val="00165FAA"/>
    <w:rsid w:val="00167E8B"/>
    <w:rsid w:val="0017198F"/>
    <w:rsid w:val="00172506"/>
    <w:rsid w:val="00172608"/>
    <w:rsid w:val="00174821"/>
    <w:rsid w:val="001762ED"/>
    <w:rsid w:val="0018099C"/>
    <w:rsid w:val="00181A00"/>
    <w:rsid w:val="00182244"/>
    <w:rsid w:val="001839A2"/>
    <w:rsid w:val="00183CC4"/>
    <w:rsid w:val="001860A6"/>
    <w:rsid w:val="00192E52"/>
    <w:rsid w:val="00193388"/>
    <w:rsid w:val="00194062"/>
    <w:rsid w:val="001A07DD"/>
    <w:rsid w:val="001A4332"/>
    <w:rsid w:val="001A6FD7"/>
    <w:rsid w:val="001B5EE1"/>
    <w:rsid w:val="001C1950"/>
    <w:rsid w:val="001C59E0"/>
    <w:rsid w:val="001D348F"/>
    <w:rsid w:val="001D56F9"/>
    <w:rsid w:val="001D5BE8"/>
    <w:rsid w:val="001E254D"/>
    <w:rsid w:val="001E4F81"/>
    <w:rsid w:val="001E5427"/>
    <w:rsid w:val="001F0DF1"/>
    <w:rsid w:val="001F2670"/>
    <w:rsid w:val="002009A8"/>
    <w:rsid w:val="002009C7"/>
    <w:rsid w:val="0020531D"/>
    <w:rsid w:val="00205DE8"/>
    <w:rsid w:val="002101C6"/>
    <w:rsid w:val="002104A7"/>
    <w:rsid w:val="00210C3D"/>
    <w:rsid w:val="00215DE4"/>
    <w:rsid w:val="002204CA"/>
    <w:rsid w:val="0023280A"/>
    <w:rsid w:val="00232E5B"/>
    <w:rsid w:val="00233038"/>
    <w:rsid w:val="00235F4F"/>
    <w:rsid w:val="00236D77"/>
    <w:rsid w:val="00240E68"/>
    <w:rsid w:val="0024459B"/>
    <w:rsid w:val="0025187F"/>
    <w:rsid w:val="002518FD"/>
    <w:rsid w:val="002554BD"/>
    <w:rsid w:val="00256352"/>
    <w:rsid w:val="00256DD1"/>
    <w:rsid w:val="002613D1"/>
    <w:rsid w:val="002619D1"/>
    <w:rsid w:val="0026232D"/>
    <w:rsid w:val="0026371B"/>
    <w:rsid w:val="0026371E"/>
    <w:rsid w:val="00264522"/>
    <w:rsid w:val="00265EA1"/>
    <w:rsid w:val="002716A3"/>
    <w:rsid w:val="00282628"/>
    <w:rsid w:val="00283FE3"/>
    <w:rsid w:val="00296143"/>
    <w:rsid w:val="002A1C19"/>
    <w:rsid w:val="002A2C3E"/>
    <w:rsid w:val="002A308D"/>
    <w:rsid w:val="002A71DF"/>
    <w:rsid w:val="002B04CE"/>
    <w:rsid w:val="002B2975"/>
    <w:rsid w:val="002B49FB"/>
    <w:rsid w:val="002C086F"/>
    <w:rsid w:val="002C2659"/>
    <w:rsid w:val="002C3EBE"/>
    <w:rsid w:val="002C5157"/>
    <w:rsid w:val="002C69DB"/>
    <w:rsid w:val="002C7AC1"/>
    <w:rsid w:val="002D29C0"/>
    <w:rsid w:val="002D4F16"/>
    <w:rsid w:val="002E1925"/>
    <w:rsid w:val="002E3B65"/>
    <w:rsid w:val="002E3D6B"/>
    <w:rsid w:val="002E451A"/>
    <w:rsid w:val="002E615A"/>
    <w:rsid w:val="002F0053"/>
    <w:rsid w:val="002F24A5"/>
    <w:rsid w:val="003026D3"/>
    <w:rsid w:val="00302CDE"/>
    <w:rsid w:val="00304DEA"/>
    <w:rsid w:val="00307540"/>
    <w:rsid w:val="003121F1"/>
    <w:rsid w:val="00313B69"/>
    <w:rsid w:val="00314B30"/>
    <w:rsid w:val="00315540"/>
    <w:rsid w:val="00315AB6"/>
    <w:rsid w:val="00320896"/>
    <w:rsid w:val="00324DD4"/>
    <w:rsid w:val="003275C4"/>
    <w:rsid w:val="00335C0F"/>
    <w:rsid w:val="00337832"/>
    <w:rsid w:val="00342BC4"/>
    <w:rsid w:val="00345275"/>
    <w:rsid w:val="003478D6"/>
    <w:rsid w:val="003504DB"/>
    <w:rsid w:val="00350BB6"/>
    <w:rsid w:val="00350D0E"/>
    <w:rsid w:val="00353B23"/>
    <w:rsid w:val="00355B54"/>
    <w:rsid w:val="00356CC6"/>
    <w:rsid w:val="003600C0"/>
    <w:rsid w:val="0036029B"/>
    <w:rsid w:val="00360B65"/>
    <w:rsid w:val="003661E5"/>
    <w:rsid w:val="0037286F"/>
    <w:rsid w:val="00372A8C"/>
    <w:rsid w:val="0037350F"/>
    <w:rsid w:val="00373DC0"/>
    <w:rsid w:val="003743FF"/>
    <w:rsid w:val="0037509A"/>
    <w:rsid w:val="00381786"/>
    <w:rsid w:val="003826FD"/>
    <w:rsid w:val="00383C3C"/>
    <w:rsid w:val="00392715"/>
    <w:rsid w:val="00397052"/>
    <w:rsid w:val="003A196F"/>
    <w:rsid w:val="003A2C25"/>
    <w:rsid w:val="003A35F7"/>
    <w:rsid w:val="003A4A36"/>
    <w:rsid w:val="003A695D"/>
    <w:rsid w:val="003B5A10"/>
    <w:rsid w:val="003B5A75"/>
    <w:rsid w:val="003B75FD"/>
    <w:rsid w:val="003C4759"/>
    <w:rsid w:val="003D60D8"/>
    <w:rsid w:val="003D717B"/>
    <w:rsid w:val="003E0AF9"/>
    <w:rsid w:val="003E2427"/>
    <w:rsid w:val="003E47D3"/>
    <w:rsid w:val="003E7214"/>
    <w:rsid w:val="003F3163"/>
    <w:rsid w:val="003F40AF"/>
    <w:rsid w:val="003F4861"/>
    <w:rsid w:val="003F59CC"/>
    <w:rsid w:val="00401251"/>
    <w:rsid w:val="004026E4"/>
    <w:rsid w:val="00402A42"/>
    <w:rsid w:val="004068D4"/>
    <w:rsid w:val="004103A0"/>
    <w:rsid w:val="0041080F"/>
    <w:rsid w:val="004126C6"/>
    <w:rsid w:val="00414A50"/>
    <w:rsid w:val="00420FE0"/>
    <w:rsid w:val="004257C3"/>
    <w:rsid w:val="00426150"/>
    <w:rsid w:val="004331EA"/>
    <w:rsid w:val="004340E7"/>
    <w:rsid w:val="004409AD"/>
    <w:rsid w:val="00442EED"/>
    <w:rsid w:val="00443E9E"/>
    <w:rsid w:val="00444876"/>
    <w:rsid w:val="00450A72"/>
    <w:rsid w:val="004617DF"/>
    <w:rsid w:val="004653C5"/>
    <w:rsid w:val="00471228"/>
    <w:rsid w:val="00477180"/>
    <w:rsid w:val="004833A8"/>
    <w:rsid w:val="00484F16"/>
    <w:rsid w:val="00484F81"/>
    <w:rsid w:val="00486EF2"/>
    <w:rsid w:val="00493722"/>
    <w:rsid w:val="00496098"/>
    <w:rsid w:val="00496201"/>
    <w:rsid w:val="004A14DC"/>
    <w:rsid w:val="004A180A"/>
    <w:rsid w:val="004B0D6E"/>
    <w:rsid w:val="004B32EF"/>
    <w:rsid w:val="004B4C69"/>
    <w:rsid w:val="004B69D6"/>
    <w:rsid w:val="004C19FE"/>
    <w:rsid w:val="004C2362"/>
    <w:rsid w:val="004C4860"/>
    <w:rsid w:val="004C5403"/>
    <w:rsid w:val="004C5BAD"/>
    <w:rsid w:val="004C5F8F"/>
    <w:rsid w:val="004D3BA8"/>
    <w:rsid w:val="004D7B57"/>
    <w:rsid w:val="004E08B2"/>
    <w:rsid w:val="004E101B"/>
    <w:rsid w:val="004E186D"/>
    <w:rsid w:val="004E2874"/>
    <w:rsid w:val="004E3C85"/>
    <w:rsid w:val="004F0670"/>
    <w:rsid w:val="00500266"/>
    <w:rsid w:val="0050631F"/>
    <w:rsid w:val="00507564"/>
    <w:rsid w:val="00517301"/>
    <w:rsid w:val="00520758"/>
    <w:rsid w:val="00523581"/>
    <w:rsid w:val="005251FE"/>
    <w:rsid w:val="00530F05"/>
    <w:rsid w:val="00531EB6"/>
    <w:rsid w:val="00540E14"/>
    <w:rsid w:val="00542AC1"/>
    <w:rsid w:val="00546940"/>
    <w:rsid w:val="00551E2B"/>
    <w:rsid w:val="0055267B"/>
    <w:rsid w:val="0055337C"/>
    <w:rsid w:val="00560638"/>
    <w:rsid w:val="00567558"/>
    <w:rsid w:val="00567882"/>
    <w:rsid w:val="005706CA"/>
    <w:rsid w:val="0057085A"/>
    <w:rsid w:val="00571F96"/>
    <w:rsid w:val="005764C8"/>
    <w:rsid w:val="005773E3"/>
    <w:rsid w:val="00580283"/>
    <w:rsid w:val="0058029B"/>
    <w:rsid w:val="005874D7"/>
    <w:rsid w:val="0058766C"/>
    <w:rsid w:val="005878E9"/>
    <w:rsid w:val="00590DA7"/>
    <w:rsid w:val="00592324"/>
    <w:rsid w:val="005A05D7"/>
    <w:rsid w:val="005A415F"/>
    <w:rsid w:val="005A7359"/>
    <w:rsid w:val="005A7B7E"/>
    <w:rsid w:val="005B211B"/>
    <w:rsid w:val="005B7A26"/>
    <w:rsid w:val="005B7ABB"/>
    <w:rsid w:val="005C33FC"/>
    <w:rsid w:val="005C61FA"/>
    <w:rsid w:val="005C68A7"/>
    <w:rsid w:val="005D2615"/>
    <w:rsid w:val="005D4C51"/>
    <w:rsid w:val="005E1749"/>
    <w:rsid w:val="005E6B3D"/>
    <w:rsid w:val="005E7F21"/>
    <w:rsid w:val="005F0781"/>
    <w:rsid w:val="005F5976"/>
    <w:rsid w:val="00601E79"/>
    <w:rsid w:val="006138B8"/>
    <w:rsid w:val="0061593A"/>
    <w:rsid w:val="00616F2C"/>
    <w:rsid w:val="0061702D"/>
    <w:rsid w:val="006214A8"/>
    <w:rsid w:val="006228CB"/>
    <w:rsid w:val="00622D51"/>
    <w:rsid w:val="0062487D"/>
    <w:rsid w:val="006253FC"/>
    <w:rsid w:val="006307B2"/>
    <w:rsid w:val="00630AE0"/>
    <w:rsid w:val="0063199E"/>
    <w:rsid w:val="00631D14"/>
    <w:rsid w:val="00631D15"/>
    <w:rsid w:val="00633743"/>
    <w:rsid w:val="00634412"/>
    <w:rsid w:val="0063481B"/>
    <w:rsid w:val="00637819"/>
    <w:rsid w:val="0064128C"/>
    <w:rsid w:val="00644E8E"/>
    <w:rsid w:val="0064563D"/>
    <w:rsid w:val="00646C5A"/>
    <w:rsid w:val="00647071"/>
    <w:rsid w:val="00647E57"/>
    <w:rsid w:val="00652BC4"/>
    <w:rsid w:val="00655039"/>
    <w:rsid w:val="00655952"/>
    <w:rsid w:val="00655CB9"/>
    <w:rsid w:val="006574E6"/>
    <w:rsid w:val="006605EC"/>
    <w:rsid w:val="00660AE7"/>
    <w:rsid w:val="006613AA"/>
    <w:rsid w:val="0067211B"/>
    <w:rsid w:val="00675EF4"/>
    <w:rsid w:val="00680C4C"/>
    <w:rsid w:val="006836FA"/>
    <w:rsid w:val="006863F8"/>
    <w:rsid w:val="006868B0"/>
    <w:rsid w:val="0069595B"/>
    <w:rsid w:val="006A1707"/>
    <w:rsid w:val="006A3AE3"/>
    <w:rsid w:val="006A3D1C"/>
    <w:rsid w:val="006A6281"/>
    <w:rsid w:val="006B59E6"/>
    <w:rsid w:val="006B5CDB"/>
    <w:rsid w:val="006B79EB"/>
    <w:rsid w:val="006C016A"/>
    <w:rsid w:val="006C2A78"/>
    <w:rsid w:val="006C5F73"/>
    <w:rsid w:val="006C761D"/>
    <w:rsid w:val="006D17EA"/>
    <w:rsid w:val="006D3CD6"/>
    <w:rsid w:val="006E230E"/>
    <w:rsid w:val="006E2C08"/>
    <w:rsid w:val="006F1BF3"/>
    <w:rsid w:val="006F3A30"/>
    <w:rsid w:val="006F4ACA"/>
    <w:rsid w:val="006F63E8"/>
    <w:rsid w:val="006F64CC"/>
    <w:rsid w:val="007003FD"/>
    <w:rsid w:val="00702441"/>
    <w:rsid w:val="00707C64"/>
    <w:rsid w:val="00712E2E"/>
    <w:rsid w:val="00717031"/>
    <w:rsid w:val="00722B67"/>
    <w:rsid w:val="0072331B"/>
    <w:rsid w:val="007307AB"/>
    <w:rsid w:val="00733E61"/>
    <w:rsid w:val="00734AB8"/>
    <w:rsid w:val="00742062"/>
    <w:rsid w:val="00742EE2"/>
    <w:rsid w:val="00743766"/>
    <w:rsid w:val="0074389F"/>
    <w:rsid w:val="00743EE2"/>
    <w:rsid w:val="0074477B"/>
    <w:rsid w:val="00751723"/>
    <w:rsid w:val="007519E9"/>
    <w:rsid w:val="00753FAD"/>
    <w:rsid w:val="00754361"/>
    <w:rsid w:val="007550DF"/>
    <w:rsid w:val="007623FC"/>
    <w:rsid w:val="007663EE"/>
    <w:rsid w:val="00772922"/>
    <w:rsid w:val="0077664C"/>
    <w:rsid w:val="00780EA6"/>
    <w:rsid w:val="00782433"/>
    <w:rsid w:val="00783340"/>
    <w:rsid w:val="00787D3D"/>
    <w:rsid w:val="00793A84"/>
    <w:rsid w:val="007A581E"/>
    <w:rsid w:val="007A7B5B"/>
    <w:rsid w:val="007B0312"/>
    <w:rsid w:val="007B13D1"/>
    <w:rsid w:val="007B50CE"/>
    <w:rsid w:val="007B595E"/>
    <w:rsid w:val="007B5D01"/>
    <w:rsid w:val="007B6727"/>
    <w:rsid w:val="007C46AD"/>
    <w:rsid w:val="007C67EC"/>
    <w:rsid w:val="007C7BAC"/>
    <w:rsid w:val="007D00FB"/>
    <w:rsid w:val="007D1D23"/>
    <w:rsid w:val="007D2D5F"/>
    <w:rsid w:val="007D4E5D"/>
    <w:rsid w:val="007D71A2"/>
    <w:rsid w:val="007E01F5"/>
    <w:rsid w:val="007E0986"/>
    <w:rsid w:val="007E6405"/>
    <w:rsid w:val="007F00D5"/>
    <w:rsid w:val="007F10C3"/>
    <w:rsid w:val="007F1E21"/>
    <w:rsid w:val="007F2F88"/>
    <w:rsid w:val="007F5FBB"/>
    <w:rsid w:val="007F6429"/>
    <w:rsid w:val="007F6D55"/>
    <w:rsid w:val="007F771F"/>
    <w:rsid w:val="00802E9C"/>
    <w:rsid w:val="00803BFD"/>
    <w:rsid w:val="00803CC2"/>
    <w:rsid w:val="00805970"/>
    <w:rsid w:val="008059E7"/>
    <w:rsid w:val="00806165"/>
    <w:rsid w:val="008074AE"/>
    <w:rsid w:val="00807AAB"/>
    <w:rsid w:val="00813834"/>
    <w:rsid w:val="0081411E"/>
    <w:rsid w:val="0081769A"/>
    <w:rsid w:val="008218E4"/>
    <w:rsid w:val="00822A96"/>
    <w:rsid w:val="00823DC4"/>
    <w:rsid w:val="00834DF6"/>
    <w:rsid w:val="008365A8"/>
    <w:rsid w:val="0084034E"/>
    <w:rsid w:val="00841292"/>
    <w:rsid w:val="00841E83"/>
    <w:rsid w:val="00842303"/>
    <w:rsid w:val="00843EC2"/>
    <w:rsid w:val="00851BDC"/>
    <w:rsid w:val="008531E4"/>
    <w:rsid w:val="0086271F"/>
    <w:rsid w:val="008655BF"/>
    <w:rsid w:val="00871686"/>
    <w:rsid w:val="00872B27"/>
    <w:rsid w:val="008808E7"/>
    <w:rsid w:val="00880F1B"/>
    <w:rsid w:val="0088428E"/>
    <w:rsid w:val="0088429C"/>
    <w:rsid w:val="0088530E"/>
    <w:rsid w:val="008A152E"/>
    <w:rsid w:val="008A288C"/>
    <w:rsid w:val="008A29B8"/>
    <w:rsid w:val="008B0A0A"/>
    <w:rsid w:val="008B0EB1"/>
    <w:rsid w:val="008B2076"/>
    <w:rsid w:val="008B4AA6"/>
    <w:rsid w:val="008B7756"/>
    <w:rsid w:val="008C0DB6"/>
    <w:rsid w:val="008C3DE4"/>
    <w:rsid w:val="008C49E4"/>
    <w:rsid w:val="008C547B"/>
    <w:rsid w:val="008C5853"/>
    <w:rsid w:val="008D75DD"/>
    <w:rsid w:val="008E1054"/>
    <w:rsid w:val="008E2B8C"/>
    <w:rsid w:val="008E361D"/>
    <w:rsid w:val="008E51F4"/>
    <w:rsid w:val="008F2226"/>
    <w:rsid w:val="008F60C8"/>
    <w:rsid w:val="008F6362"/>
    <w:rsid w:val="00901D7D"/>
    <w:rsid w:val="0090249F"/>
    <w:rsid w:val="00902BE7"/>
    <w:rsid w:val="00903468"/>
    <w:rsid w:val="00905774"/>
    <w:rsid w:val="00905912"/>
    <w:rsid w:val="00910CC8"/>
    <w:rsid w:val="009144F1"/>
    <w:rsid w:val="009262F4"/>
    <w:rsid w:val="009312FD"/>
    <w:rsid w:val="00934A86"/>
    <w:rsid w:val="009416D5"/>
    <w:rsid w:val="00942719"/>
    <w:rsid w:val="00944EF6"/>
    <w:rsid w:val="009465BA"/>
    <w:rsid w:val="00946731"/>
    <w:rsid w:val="00946F6E"/>
    <w:rsid w:val="0094757E"/>
    <w:rsid w:val="009543FA"/>
    <w:rsid w:val="00955BEB"/>
    <w:rsid w:val="00957E15"/>
    <w:rsid w:val="00960D3F"/>
    <w:rsid w:val="00962C7E"/>
    <w:rsid w:val="00963BE4"/>
    <w:rsid w:val="009643DA"/>
    <w:rsid w:val="009746DF"/>
    <w:rsid w:val="00976446"/>
    <w:rsid w:val="00977DF8"/>
    <w:rsid w:val="00980077"/>
    <w:rsid w:val="009913AD"/>
    <w:rsid w:val="009925FD"/>
    <w:rsid w:val="00993521"/>
    <w:rsid w:val="00996695"/>
    <w:rsid w:val="00996CF4"/>
    <w:rsid w:val="009A4E8E"/>
    <w:rsid w:val="009A5282"/>
    <w:rsid w:val="009A7436"/>
    <w:rsid w:val="009B2FF9"/>
    <w:rsid w:val="009B5244"/>
    <w:rsid w:val="009B77D0"/>
    <w:rsid w:val="009C1008"/>
    <w:rsid w:val="009C364F"/>
    <w:rsid w:val="009C3DF1"/>
    <w:rsid w:val="009C5E2B"/>
    <w:rsid w:val="009C762E"/>
    <w:rsid w:val="009C7D2C"/>
    <w:rsid w:val="009D104D"/>
    <w:rsid w:val="009D1D03"/>
    <w:rsid w:val="009D2FA5"/>
    <w:rsid w:val="009D300E"/>
    <w:rsid w:val="009D433F"/>
    <w:rsid w:val="009D5396"/>
    <w:rsid w:val="009D6E08"/>
    <w:rsid w:val="009E7BB1"/>
    <w:rsid w:val="009F0004"/>
    <w:rsid w:val="009F2BCF"/>
    <w:rsid w:val="009F31BD"/>
    <w:rsid w:val="009F39CD"/>
    <w:rsid w:val="009F4D18"/>
    <w:rsid w:val="009F5898"/>
    <w:rsid w:val="009F7A16"/>
    <w:rsid w:val="00A00B83"/>
    <w:rsid w:val="00A0129F"/>
    <w:rsid w:val="00A04C3C"/>
    <w:rsid w:val="00A0520D"/>
    <w:rsid w:val="00A10566"/>
    <w:rsid w:val="00A10A60"/>
    <w:rsid w:val="00A133BA"/>
    <w:rsid w:val="00A13FC3"/>
    <w:rsid w:val="00A15CCD"/>
    <w:rsid w:val="00A169C5"/>
    <w:rsid w:val="00A217AE"/>
    <w:rsid w:val="00A2386A"/>
    <w:rsid w:val="00A25059"/>
    <w:rsid w:val="00A2553F"/>
    <w:rsid w:val="00A25B9B"/>
    <w:rsid w:val="00A267D9"/>
    <w:rsid w:val="00A2778C"/>
    <w:rsid w:val="00A27E65"/>
    <w:rsid w:val="00A305EB"/>
    <w:rsid w:val="00A30C32"/>
    <w:rsid w:val="00A310FD"/>
    <w:rsid w:val="00A311DF"/>
    <w:rsid w:val="00A3706F"/>
    <w:rsid w:val="00A41128"/>
    <w:rsid w:val="00A47289"/>
    <w:rsid w:val="00A47CDF"/>
    <w:rsid w:val="00A501DA"/>
    <w:rsid w:val="00A54690"/>
    <w:rsid w:val="00A70DFB"/>
    <w:rsid w:val="00A729A3"/>
    <w:rsid w:val="00A735CC"/>
    <w:rsid w:val="00A750F6"/>
    <w:rsid w:val="00A8175C"/>
    <w:rsid w:val="00A82217"/>
    <w:rsid w:val="00A846E6"/>
    <w:rsid w:val="00A9193F"/>
    <w:rsid w:val="00AA0F27"/>
    <w:rsid w:val="00AA5698"/>
    <w:rsid w:val="00AA5DEB"/>
    <w:rsid w:val="00AB056F"/>
    <w:rsid w:val="00AB1890"/>
    <w:rsid w:val="00AB4624"/>
    <w:rsid w:val="00AB46B4"/>
    <w:rsid w:val="00AB69B5"/>
    <w:rsid w:val="00AB6E5B"/>
    <w:rsid w:val="00AC31C3"/>
    <w:rsid w:val="00AC3727"/>
    <w:rsid w:val="00AC38F0"/>
    <w:rsid w:val="00AC3CFD"/>
    <w:rsid w:val="00AC71FD"/>
    <w:rsid w:val="00AD25DF"/>
    <w:rsid w:val="00AD4C3D"/>
    <w:rsid w:val="00AE0DEA"/>
    <w:rsid w:val="00AE2378"/>
    <w:rsid w:val="00AE551E"/>
    <w:rsid w:val="00AF2536"/>
    <w:rsid w:val="00AF3F5A"/>
    <w:rsid w:val="00AF4455"/>
    <w:rsid w:val="00AF75A5"/>
    <w:rsid w:val="00AF7CB3"/>
    <w:rsid w:val="00B031EF"/>
    <w:rsid w:val="00B12429"/>
    <w:rsid w:val="00B20507"/>
    <w:rsid w:val="00B22433"/>
    <w:rsid w:val="00B26E48"/>
    <w:rsid w:val="00B27C10"/>
    <w:rsid w:val="00B31C61"/>
    <w:rsid w:val="00B3325D"/>
    <w:rsid w:val="00B35B37"/>
    <w:rsid w:val="00B36A04"/>
    <w:rsid w:val="00B46670"/>
    <w:rsid w:val="00B47376"/>
    <w:rsid w:val="00B50A2F"/>
    <w:rsid w:val="00B50BA8"/>
    <w:rsid w:val="00B51410"/>
    <w:rsid w:val="00B52D92"/>
    <w:rsid w:val="00B53C7D"/>
    <w:rsid w:val="00B5480D"/>
    <w:rsid w:val="00B560D8"/>
    <w:rsid w:val="00B5720E"/>
    <w:rsid w:val="00B651C7"/>
    <w:rsid w:val="00B6612F"/>
    <w:rsid w:val="00B67833"/>
    <w:rsid w:val="00B67F2B"/>
    <w:rsid w:val="00B714C5"/>
    <w:rsid w:val="00B717F1"/>
    <w:rsid w:val="00B758DB"/>
    <w:rsid w:val="00B7768B"/>
    <w:rsid w:val="00B807D7"/>
    <w:rsid w:val="00B81D46"/>
    <w:rsid w:val="00B84731"/>
    <w:rsid w:val="00B914BA"/>
    <w:rsid w:val="00B9278B"/>
    <w:rsid w:val="00B969AE"/>
    <w:rsid w:val="00B9724A"/>
    <w:rsid w:val="00BA19B7"/>
    <w:rsid w:val="00BB2C02"/>
    <w:rsid w:val="00BB4BB4"/>
    <w:rsid w:val="00BB4BC8"/>
    <w:rsid w:val="00BB4E1F"/>
    <w:rsid w:val="00BC4664"/>
    <w:rsid w:val="00BC6557"/>
    <w:rsid w:val="00BD2185"/>
    <w:rsid w:val="00BD56F6"/>
    <w:rsid w:val="00BD7919"/>
    <w:rsid w:val="00BE236D"/>
    <w:rsid w:val="00BE4E89"/>
    <w:rsid w:val="00BE5300"/>
    <w:rsid w:val="00BF057C"/>
    <w:rsid w:val="00BF2B31"/>
    <w:rsid w:val="00BF3474"/>
    <w:rsid w:val="00BF3A32"/>
    <w:rsid w:val="00BF7119"/>
    <w:rsid w:val="00C05635"/>
    <w:rsid w:val="00C07AE9"/>
    <w:rsid w:val="00C07D7D"/>
    <w:rsid w:val="00C1023B"/>
    <w:rsid w:val="00C14C3B"/>
    <w:rsid w:val="00C15399"/>
    <w:rsid w:val="00C24D82"/>
    <w:rsid w:val="00C25842"/>
    <w:rsid w:val="00C26160"/>
    <w:rsid w:val="00C37F9C"/>
    <w:rsid w:val="00C41253"/>
    <w:rsid w:val="00C425C9"/>
    <w:rsid w:val="00C44CC1"/>
    <w:rsid w:val="00C529C3"/>
    <w:rsid w:val="00C536F3"/>
    <w:rsid w:val="00C56110"/>
    <w:rsid w:val="00C633FA"/>
    <w:rsid w:val="00C63C0B"/>
    <w:rsid w:val="00C64F24"/>
    <w:rsid w:val="00C665AB"/>
    <w:rsid w:val="00C672A4"/>
    <w:rsid w:val="00C71259"/>
    <w:rsid w:val="00C7158D"/>
    <w:rsid w:val="00C74434"/>
    <w:rsid w:val="00C751AD"/>
    <w:rsid w:val="00C752FB"/>
    <w:rsid w:val="00C767D2"/>
    <w:rsid w:val="00C82689"/>
    <w:rsid w:val="00C82F83"/>
    <w:rsid w:val="00C935AD"/>
    <w:rsid w:val="00C939B3"/>
    <w:rsid w:val="00C962E4"/>
    <w:rsid w:val="00CA1495"/>
    <w:rsid w:val="00CA1E80"/>
    <w:rsid w:val="00CA1F08"/>
    <w:rsid w:val="00CA2985"/>
    <w:rsid w:val="00CA2E57"/>
    <w:rsid w:val="00CA4251"/>
    <w:rsid w:val="00CA45AA"/>
    <w:rsid w:val="00CA6B65"/>
    <w:rsid w:val="00CB1F74"/>
    <w:rsid w:val="00CB28D6"/>
    <w:rsid w:val="00CC00FF"/>
    <w:rsid w:val="00CC0831"/>
    <w:rsid w:val="00CC22EE"/>
    <w:rsid w:val="00CC38FE"/>
    <w:rsid w:val="00CC3DE7"/>
    <w:rsid w:val="00CD1D01"/>
    <w:rsid w:val="00CD24B5"/>
    <w:rsid w:val="00CD4E49"/>
    <w:rsid w:val="00CD532D"/>
    <w:rsid w:val="00CE4A51"/>
    <w:rsid w:val="00CE72E4"/>
    <w:rsid w:val="00CF09C1"/>
    <w:rsid w:val="00CF21A2"/>
    <w:rsid w:val="00CF69C6"/>
    <w:rsid w:val="00D02687"/>
    <w:rsid w:val="00D03E3C"/>
    <w:rsid w:val="00D04865"/>
    <w:rsid w:val="00D05967"/>
    <w:rsid w:val="00D06ADC"/>
    <w:rsid w:val="00D15C35"/>
    <w:rsid w:val="00D178A9"/>
    <w:rsid w:val="00D21E5B"/>
    <w:rsid w:val="00D265C2"/>
    <w:rsid w:val="00D327C6"/>
    <w:rsid w:val="00D32B4C"/>
    <w:rsid w:val="00D346AA"/>
    <w:rsid w:val="00D373E1"/>
    <w:rsid w:val="00D42089"/>
    <w:rsid w:val="00D42CBB"/>
    <w:rsid w:val="00D433D1"/>
    <w:rsid w:val="00D47CCE"/>
    <w:rsid w:val="00D50829"/>
    <w:rsid w:val="00D508B3"/>
    <w:rsid w:val="00D52423"/>
    <w:rsid w:val="00D53276"/>
    <w:rsid w:val="00D57B1D"/>
    <w:rsid w:val="00D57D47"/>
    <w:rsid w:val="00D6126D"/>
    <w:rsid w:val="00D61BBD"/>
    <w:rsid w:val="00D6461E"/>
    <w:rsid w:val="00D652C2"/>
    <w:rsid w:val="00D6725D"/>
    <w:rsid w:val="00D71C3A"/>
    <w:rsid w:val="00D7401B"/>
    <w:rsid w:val="00D74428"/>
    <w:rsid w:val="00D76E72"/>
    <w:rsid w:val="00D808F9"/>
    <w:rsid w:val="00D80FF0"/>
    <w:rsid w:val="00D82755"/>
    <w:rsid w:val="00DA01BE"/>
    <w:rsid w:val="00DA2112"/>
    <w:rsid w:val="00DA430A"/>
    <w:rsid w:val="00DB19ED"/>
    <w:rsid w:val="00DC050D"/>
    <w:rsid w:val="00DC0B82"/>
    <w:rsid w:val="00DC0FCD"/>
    <w:rsid w:val="00DC355C"/>
    <w:rsid w:val="00DC45FC"/>
    <w:rsid w:val="00DC4CE1"/>
    <w:rsid w:val="00DC5B53"/>
    <w:rsid w:val="00DC62B3"/>
    <w:rsid w:val="00DD0255"/>
    <w:rsid w:val="00DD5E8F"/>
    <w:rsid w:val="00DE31A0"/>
    <w:rsid w:val="00DE32BD"/>
    <w:rsid w:val="00DE5853"/>
    <w:rsid w:val="00DE67F3"/>
    <w:rsid w:val="00DE6B19"/>
    <w:rsid w:val="00DF2462"/>
    <w:rsid w:val="00DF3F2C"/>
    <w:rsid w:val="00DF72BB"/>
    <w:rsid w:val="00E063C2"/>
    <w:rsid w:val="00E07FCD"/>
    <w:rsid w:val="00E20213"/>
    <w:rsid w:val="00E26A73"/>
    <w:rsid w:val="00E30840"/>
    <w:rsid w:val="00E4019D"/>
    <w:rsid w:val="00E405A0"/>
    <w:rsid w:val="00E46C96"/>
    <w:rsid w:val="00E5022D"/>
    <w:rsid w:val="00E619FF"/>
    <w:rsid w:val="00E6375E"/>
    <w:rsid w:val="00E6386E"/>
    <w:rsid w:val="00E74236"/>
    <w:rsid w:val="00E8712C"/>
    <w:rsid w:val="00E87414"/>
    <w:rsid w:val="00E87A25"/>
    <w:rsid w:val="00E90E6A"/>
    <w:rsid w:val="00E915DA"/>
    <w:rsid w:val="00E92589"/>
    <w:rsid w:val="00E930B8"/>
    <w:rsid w:val="00E932A6"/>
    <w:rsid w:val="00E967ED"/>
    <w:rsid w:val="00E975D9"/>
    <w:rsid w:val="00E97641"/>
    <w:rsid w:val="00EA65D0"/>
    <w:rsid w:val="00EA7970"/>
    <w:rsid w:val="00EA7B07"/>
    <w:rsid w:val="00EB3879"/>
    <w:rsid w:val="00EB51B4"/>
    <w:rsid w:val="00EC09A3"/>
    <w:rsid w:val="00EC112D"/>
    <w:rsid w:val="00EC264F"/>
    <w:rsid w:val="00EC49FC"/>
    <w:rsid w:val="00EC4A18"/>
    <w:rsid w:val="00EC6C29"/>
    <w:rsid w:val="00EC7CD5"/>
    <w:rsid w:val="00ED6E86"/>
    <w:rsid w:val="00ED7587"/>
    <w:rsid w:val="00EE4A8B"/>
    <w:rsid w:val="00EE6DDC"/>
    <w:rsid w:val="00EE6F85"/>
    <w:rsid w:val="00EF1D69"/>
    <w:rsid w:val="00EF2733"/>
    <w:rsid w:val="00EF2BB7"/>
    <w:rsid w:val="00EF2DBE"/>
    <w:rsid w:val="00EF53E3"/>
    <w:rsid w:val="00EF7124"/>
    <w:rsid w:val="00F025CD"/>
    <w:rsid w:val="00F049C4"/>
    <w:rsid w:val="00F04E94"/>
    <w:rsid w:val="00F0783F"/>
    <w:rsid w:val="00F07D58"/>
    <w:rsid w:val="00F10377"/>
    <w:rsid w:val="00F15179"/>
    <w:rsid w:val="00F21B1F"/>
    <w:rsid w:val="00F23572"/>
    <w:rsid w:val="00F235CA"/>
    <w:rsid w:val="00F2465C"/>
    <w:rsid w:val="00F3078E"/>
    <w:rsid w:val="00F3602A"/>
    <w:rsid w:val="00F41D6E"/>
    <w:rsid w:val="00F43C5D"/>
    <w:rsid w:val="00F46710"/>
    <w:rsid w:val="00F5081F"/>
    <w:rsid w:val="00F52793"/>
    <w:rsid w:val="00F60760"/>
    <w:rsid w:val="00F611B6"/>
    <w:rsid w:val="00F62E0F"/>
    <w:rsid w:val="00F64372"/>
    <w:rsid w:val="00F652CD"/>
    <w:rsid w:val="00F707DB"/>
    <w:rsid w:val="00F8130D"/>
    <w:rsid w:val="00F819A7"/>
    <w:rsid w:val="00F82833"/>
    <w:rsid w:val="00F8737E"/>
    <w:rsid w:val="00F92A26"/>
    <w:rsid w:val="00F9407C"/>
    <w:rsid w:val="00F9729B"/>
    <w:rsid w:val="00FA26C2"/>
    <w:rsid w:val="00FA3E30"/>
    <w:rsid w:val="00FA51BF"/>
    <w:rsid w:val="00FA7224"/>
    <w:rsid w:val="00FB4FF3"/>
    <w:rsid w:val="00FB798C"/>
    <w:rsid w:val="00FB7CB9"/>
    <w:rsid w:val="00FC3EEF"/>
    <w:rsid w:val="00FD217C"/>
    <w:rsid w:val="00FD3188"/>
    <w:rsid w:val="00FD5821"/>
    <w:rsid w:val="00FE33C7"/>
    <w:rsid w:val="00FE424A"/>
    <w:rsid w:val="00FF047E"/>
    <w:rsid w:val="00FF30DD"/>
    <w:rsid w:val="00FF42DC"/>
    <w:rsid w:val="00FF4A29"/>
    <w:rsid w:val="00FF5AC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C3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0E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42EED"/>
    <w:pPr>
      <w:numPr>
        <w:numId w:val="1"/>
      </w:numPr>
      <w:outlineLvl w:val="0"/>
    </w:pPr>
    <w:rPr>
      <w:kern w:val="28"/>
    </w:rPr>
  </w:style>
  <w:style w:type="paragraph" w:styleId="Heading2">
    <w:name w:val="heading 2"/>
    <w:basedOn w:val="Normal"/>
    <w:next w:val="Normal"/>
    <w:link w:val="Heading2Char"/>
    <w:qFormat/>
    <w:rsid w:val="00442EED"/>
    <w:pPr>
      <w:numPr>
        <w:ilvl w:val="1"/>
        <w:numId w:val="1"/>
      </w:numPr>
      <w:outlineLvl w:val="1"/>
    </w:pPr>
  </w:style>
  <w:style w:type="paragraph" w:styleId="Heading3">
    <w:name w:val="heading 3"/>
    <w:basedOn w:val="Normal"/>
    <w:next w:val="Normal"/>
    <w:link w:val="Heading3Char"/>
    <w:qFormat/>
    <w:rsid w:val="00442EED"/>
    <w:pPr>
      <w:numPr>
        <w:ilvl w:val="2"/>
        <w:numId w:val="1"/>
      </w:numPr>
      <w:outlineLvl w:val="2"/>
    </w:pPr>
  </w:style>
  <w:style w:type="paragraph" w:styleId="Heading4">
    <w:name w:val="heading 4"/>
    <w:basedOn w:val="Normal"/>
    <w:next w:val="Normal"/>
    <w:link w:val="Heading4Char"/>
    <w:qFormat/>
    <w:rsid w:val="00442EED"/>
    <w:pPr>
      <w:numPr>
        <w:ilvl w:val="3"/>
        <w:numId w:val="1"/>
      </w:numPr>
      <w:outlineLvl w:val="3"/>
    </w:pPr>
  </w:style>
  <w:style w:type="paragraph" w:styleId="Heading5">
    <w:name w:val="heading 5"/>
    <w:basedOn w:val="Normal"/>
    <w:next w:val="Normal"/>
    <w:link w:val="Heading5Char"/>
    <w:qFormat/>
    <w:rsid w:val="00442EED"/>
    <w:pPr>
      <w:numPr>
        <w:ilvl w:val="4"/>
        <w:numId w:val="1"/>
      </w:numPr>
      <w:outlineLvl w:val="4"/>
    </w:pPr>
  </w:style>
  <w:style w:type="paragraph" w:styleId="Heading6">
    <w:name w:val="heading 6"/>
    <w:basedOn w:val="Normal"/>
    <w:next w:val="Normal"/>
    <w:link w:val="Heading6Char"/>
    <w:qFormat/>
    <w:rsid w:val="00442EED"/>
    <w:pPr>
      <w:numPr>
        <w:ilvl w:val="5"/>
        <w:numId w:val="1"/>
      </w:numPr>
      <w:outlineLvl w:val="5"/>
    </w:pPr>
  </w:style>
  <w:style w:type="paragraph" w:styleId="Heading7">
    <w:name w:val="heading 7"/>
    <w:basedOn w:val="Normal"/>
    <w:next w:val="Normal"/>
    <w:link w:val="Heading7Char"/>
    <w:qFormat/>
    <w:rsid w:val="00442EED"/>
    <w:pPr>
      <w:numPr>
        <w:ilvl w:val="6"/>
        <w:numId w:val="1"/>
      </w:numPr>
      <w:outlineLvl w:val="6"/>
    </w:pPr>
  </w:style>
  <w:style w:type="paragraph" w:styleId="Heading8">
    <w:name w:val="heading 8"/>
    <w:basedOn w:val="Normal"/>
    <w:next w:val="Normal"/>
    <w:link w:val="Heading8Char"/>
    <w:qFormat/>
    <w:rsid w:val="00442EED"/>
    <w:pPr>
      <w:numPr>
        <w:ilvl w:val="7"/>
        <w:numId w:val="1"/>
      </w:numPr>
      <w:outlineLvl w:val="7"/>
    </w:pPr>
  </w:style>
  <w:style w:type="paragraph" w:styleId="Heading9">
    <w:name w:val="heading 9"/>
    <w:basedOn w:val="Normal"/>
    <w:next w:val="Normal"/>
    <w:link w:val="Heading9Char"/>
    <w:qFormat/>
    <w:rsid w:val="00442EED"/>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2BB7"/>
    <w:rPr>
      <w:rFonts w:ascii="Times New Roman" w:eastAsia="Times New Roman" w:hAnsi="Times New Roman" w:cs="Times New Roman"/>
      <w:kern w:val="28"/>
      <w:lang w:val="fr-FR"/>
    </w:rPr>
  </w:style>
  <w:style w:type="character" w:customStyle="1" w:styleId="Heading2Char">
    <w:name w:val="Heading 2 Char"/>
    <w:basedOn w:val="DefaultParagraphFont"/>
    <w:link w:val="Heading2"/>
    <w:rsid w:val="00EF2BB7"/>
    <w:rPr>
      <w:rFonts w:ascii="Times New Roman" w:eastAsia="Times New Roman" w:hAnsi="Times New Roman" w:cs="Times New Roman"/>
      <w:lang w:val="fr-FR"/>
    </w:rPr>
  </w:style>
  <w:style w:type="character" w:customStyle="1" w:styleId="Heading3Char">
    <w:name w:val="Heading 3 Char"/>
    <w:basedOn w:val="DefaultParagraphFont"/>
    <w:link w:val="Heading3"/>
    <w:rsid w:val="00EF2BB7"/>
    <w:rPr>
      <w:rFonts w:ascii="Times New Roman" w:eastAsia="Times New Roman" w:hAnsi="Times New Roman" w:cs="Times New Roman"/>
      <w:lang w:val="fr-FR"/>
    </w:rPr>
  </w:style>
  <w:style w:type="character" w:customStyle="1" w:styleId="Heading4Char">
    <w:name w:val="Heading 4 Char"/>
    <w:basedOn w:val="DefaultParagraphFont"/>
    <w:link w:val="Heading4"/>
    <w:rsid w:val="00EF2BB7"/>
    <w:rPr>
      <w:rFonts w:ascii="Times New Roman" w:eastAsia="Times New Roman" w:hAnsi="Times New Roman" w:cs="Times New Roman"/>
      <w:lang w:val="fr-FR"/>
    </w:rPr>
  </w:style>
  <w:style w:type="character" w:customStyle="1" w:styleId="Heading5Char">
    <w:name w:val="Heading 5 Char"/>
    <w:basedOn w:val="DefaultParagraphFont"/>
    <w:link w:val="Heading5"/>
    <w:rsid w:val="00EF2BB7"/>
    <w:rPr>
      <w:rFonts w:ascii="Times New Roman" w:eastAsia="Times New Roman" w:hAnsi="Times New Roman" w:cs="Times New Roman"/>
      <w:lang w:val="fr-FR"/>
    </w:rPr>
  </w:style>
  <w:style w:type="character" w:customStyle="1" w:styleId="Heading6Char">
    <w:name w:val="Heading 6 Char"/>
    <w:basedOn w:val="DefaultParagraphFont"/>
    <w:link w:val="Heading6"/>
    <w:rsid w:val="00EF2BB7"/>
    <w:rPr>
      <w:rFonts w:ascii="Times New Roman" w:eastAsia="Times New Roman" w:hAnsi="Times New Roman" w:cs="Times New Roman"/>
      <w:lang w:val="fr-FR"/>
    </w:rPr>
  </w:style>
  <w:style w:type="character" w:customStyle="1" w:styleId="Heading7Char">
    <w:name w:val="Heading 7 Char"/>
    <w:basedOn w:val="DefaultParagraphFont"/>
    <w:link w:val="Heading7"/>
    <w:rsid w:val="00EF2BB7"/>
    <w:rPr>
      <w:rFonts w:ascii="Times New Roman" w:eastAsia="Times New Roman" w:hAnsi="Times New Roman" w:cs="Times New Roman"/>
      <w:lang w:val="fr-FR"/>
    </w:rPr>
  </w:style>
  <w:style w:type="character" w:customStyle="1" w:styleId="Heading8Char">
    <w:name w:val="Heading 8 Char"/>
    <w:basedOn w:val="DefaultParagraphFont"/>
    <w:link w:val="Heading8"/>
    <w:rsid w:val="00EF2BB7"/>
    <w:rPr>
      <w:rFonts w:ascii="Times New Roman" w:eastAsia="Times New Roman" w:hAnsi="Times New Roman" w:cs="Times New Roman"/>
      <w:lang w:val="fr-FR"/>
    </w:rPr>
  </w:style>
  <w:style w:type="character" w:customStyle="1" w:styleId="Heading9Char">
    <w:name w:val="Heading 9 Char"/>
    <w:basedOn w:val="DefaultParagraphFont"/>
    <w:link w:val="Heading9"/>
    <w:rsid w:val="00EF2BB7"/>
    <w:rPr>
      <w:rFonts w:ascii="Times New Roman" w:eastAsia="Times New Roman" w:hAnsi="Times New Roman" w:cs="Times New Roman"/>
      <w:lang w:val="fr-FR"/>
    </w:rPr>
  </w:style>
  <w:style w:type="paragraph" w:styleId="Footer">
    <w:name w:val="footer"/>
    <w:basedOn w:val="Normal"/>
    <w:link w:val="FooterChar"/>
    <w:qFormat/>
    <w:rsid w:val="00442EED"/>
  </w:style>
  <w:style w:type="character" w:customStyle="1" w:styleId="FooterChar">
    <w:name w:val="Footer Char"/>
    <w:basedOn w:val="DefaultParagraphFont"/>
    <w:link w:val="Footer"/>
    <w:rsid w:val="00EF2BB7"/>
    <w:rPr>
      <w:rFonts w:ascii="Times New Roman" w:eastAsia="Times New Roman" w:hAnsi="Times New Roman" w:cs="Times New Roman"/>
      <w:lang w:val="fr-FR"/>
    </w:rPr>
  </w:style>
  <w:style w:type="paragraph" w:styleId="FootnoteText">
    <w:name w:val="footnote text"/>
    <w:basedOn w:val="Normal"/>
    <w:link w:val="FootnoteTextChar"/>
    <w:qFormat/>
    <w:rsid w:val="00442EED"/>
    <w:pPr>
      <w:keepLines/>
      <w:spacing w:after="60" w:line="240" w:lineRule="auto"/>
      <w:ind w:left="567" w:hanging="567"/>
    </w:pPr>
    <w:rPr>
      <w:sz w:val="16"/>
    </w:rPr>
  </w:style>
  <w:style w:type="character" w:customStyle="1" w:styleId="FootnoteTextChar">
    <w:name w:val="Footnote Text Char"/>
    <w:basedOn w:val="DefaultParagraphFont"/>
    <w:link w:val="FootnoteText"/>
    <w:rsid w:val="00EF2BB7"/>
    <w:rPr>
      <w:rFonts w:ascii="Times New Roman" w:eastAsia="Times New Roman" w:hAnsi="Times New Roman" w:cs="Times New Roman"/>
      <w:sz w:val="16"/>
      <w:lang w:val="fr-FR"/>
    </w:rPr>
  </w:style>
  <w:style w:type="paragraph" w:styleId="Header">
    <w:name w:val="header"/>
    <w:basedOn w:val="Normal"/>
    <w:link w:val="HeaderChar"/>
    <w:qFormat/>
    <w:rsid w:val="00442EED"/>
  </w:style>
  <w:style w:type="character" w:customStyle="1" w:styleId="HeaderChar">
    <w:name w:val="Header Char"/>
    <w:basedOn w:val="DefaultParagraphFont"/>
    <w:link w:val="Header"/>
    <w:rsid w:val="00EF2BB7"/>
    <w:rPr>
      <w:rFonts w:ascii="Times New Roman" w:eastAsia="Times New Roman" w:hAnsi="Times New Roman" w:cs="Times New Roman"/>
      <w:lang w:val="fr-FR"/>
    </w:rPr>
  </w:style>
  <w:style w:type="paragraph" w:customStyle="1" w:styleId="quotes">
    <w:name w:val="quotes"/>
    <w:basedOn w:val="Normal"/>
    <w:next w:val="Normal"/>
    <w:rsid w:val="00442EED"/>
    <w:pPr>
      <w:ind w:left="720"/>
    </w:pPr>
    <w:rPr>
      <w:i/>
    </w:rPr>
  </w:style>
  <w:style w:type="character" w:styleId="FootnoteReference">
    <w:name w:val="footnote reference"/>
    <w:basedOn w:val="DefaultParagraphFont"/>
    <w:unhideWhenUsed/>
    <w:qFormat/>
    <w:rsid w:val="00442EED"/>
    <w:rPr>
      <w:sz w:val="24"/>
      <w:vertAlign w:val="superscript"/>
    </w:rPr>
  </w:style>
  <w:style w:type="paragraph" w:styleId="BalloonText">
    <w:name w:val="Balloon Text"/>
    <w:basedOn w:val="Normal"/>
    <w:link w:val="BalloonTextChar"/>
    <w:uiPriority w:val="99"/>
    <w:semiHidden/>
    <w:unhideWhenUsed/>
    <w:rsid w:val="00442E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EED"/>
    <w:rPr>
      <w:rFonts w:ascii="Tahoma" w:eastAsia="Times New Roman" w:hAnsi="Tahoma" w:cs="Tahoma"/>
      <w:sz w:val="16"/>
      <w:szCs w:val="16"/>
      <w:lang w:val="fr-FR"/>
    </w:rPr>
  </w:style>
  <w:style w:type="character" w:styleId="Hyperlink">
    <w:name w:val="Hyperlink"/>
    <w:basedOn w:val="DefaultParagraphFont"/>
    <w:uiPriority w:val="99"/>
    <w:unhideWhenUsed/>
    <w:rsid w:val="008A152E"/>
    <w:rPr>
      <w:color w:val="0000FF" w:themeColor="hyperlink"/>
      <w:u w:val="single"/>
    </w:rPr>
  </w:style>
  <w:style w:type="character" w:styleId="CommentReference">
    <w:name w:val="annotation reference"/>
    <w:basedOn w:val="DefaultParagraphFont"/>
    <w:uiPriority w:val="99"/>
    <w:semiHidden/>
    <w:unhideWhenUsed/>
    <w:rsid w:val="00C536F3"/>
    <w:rPr>
      <w:sz w:val="16"/>
      <w:szCs w:val="16"/>
    </w:rPr>
  </w:style>
  <w:style w:type="paragraph" w:styleId="CommentText">
    <w:name w:val="annotation text"/>
    <w:basedOn w:val="Normal"/>
    <w:link w:val="CommentTextChar"/>
    <w:uiPriority w:val="99"/>
    <w:unhideWhenUsed/>
    <w:rsid w:val="00C536F3"/>
    <w:pPr>
      <w:spacing w:line="240" w:lineRule="auto"/>
    </w:pPr>
    <w:rPr>
      <w:sz w:val="20"/>
      <w:szCs w:val="20"/>
    </w:rPr>
  </w:style>
  <w:style w:type="character" w:customStyle="1" w:styleId="CommentTextChar">
    <w:name w:val="Comment Text Char"/>
    <w:basedOn w:val="DefaultParagraphFont"/>
    <w:link w:val="CommentText"/>
    <w:uiPriority w:val="99"/>
    <w:rsid w:val="00C536F3"/>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C536F3"/>
    <w:rPr>
      <w:b/>
      <w:bCs/>
    </w:rPr>
  </w:style>
  <w:style w:type="character" w:customStyle="1" w:styleId="CommentSubjectChar">
    <w:name w:val="Comment Subject Char"/>
    <w:basedOn w:val="CommentTextChar"/>
    <w:link w:val="CommentSubject"/>
    <w:uiPriority w:val="99"/>
    <w:semiHidden/>
    <w:rsid w:val="00C536F3"/>
    <w:rPr>
      <w:rFonts w:ascii="Times New Roman" w:eastAsia="Times New Roman" w:hAnsi="Times New Roman" w:cs="Times New Roman"/>
      <w:b/>
      <w:bCs/>
      <w:sz w:val="20"/>
      <w:szCs w:val="20"/>
      <w:lang w:val="fr-FR"/>
    </w:rPr>
  </w:style>
  <w:style w:type="paragraph" w:styleId="Revision">
    <w:name w:val="Revision"/>
    <w:hidden/>
    <w:uiPriority w:val="99"/>
    <w:semiHidden/>
    <w:rsid w:val="00806165"/>
    <w:pPr>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DC62B3"/>
    <w:pPr>
      <w:ind w:left="720"/>
      <w:contextualSpacing/>
    </w:pPr>
  </w:style>
  <w:style w:type="table" w:styleId="TableGrid">
    <w:name w:val="Table Grid"/>
    <w:basedOn w:val="TableNormal"/>
    <w:uiPriority w:val="59"/>
    <w:rsid w:val="00020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06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4200">
      <w:bodyDiv w:val="1"/>
      <w:marLeft w:val="0"/>
      <w:marRight w:val="0"/>
      <w:marTop w:val="0"/>
      <w:marBottom w:val="0"/>
      <w:divBdr>
        <w:top w:val="none" w:sz="0" w:space="0" w:color="auto"/>
        <w:left w:val="none" w:sz="0" w:space="0" w:color="auto"/>
        <w:bottom w:val="none" w:sz="0" w:space="0" w:color="auto"/>
        <w:right w:val="none" w:sz="0" w:space="0" w:color="auto"/>
      </w:divBdr>
    </w:div>
    <w:div w:id="204635622">
      <w:bodyDiv w:val="1"/>
      <w:marLeft w:val="0"/>
      <w:marRight w:val="0"/>
      <w:marTop w:val="0"/>
      <w:marBottom w:val="0"/>
      <w:divBdr>
        <w:top w:val="none" w:sz="0" w:space="0" w:color="auto"/>
        <w:left w:val="none" w:sz="0" w:space="0" w:color="auto"/>
        <w:bottom w:val="none" w:sz="0" w:space="0" w:color="auto"/>
        <w:right w:val="none" w:sz="0" w:space="0" w:color="auto"/>
      </w:divBdr>
    </w:div>
    <w:div w:id="561332855">
      <w:bodyDiv w:val="1"/>
      <w:marLeft w:val="0"/>
      <w:marRight w:val="0"/>
      <w:marTop w:val="0"/>
      <w:marBottom w:val="0"/>
      <w:divBdr>
        <w:top w:val="none" w:sz="0" w:space="0" w:color="auto"/>
        <w:left w:val="none" w:sz="0" w:space="0" w:color="auto"/>
        <w:bottom w:val="none" w:sz="0" w:space="0" w:color="auto"/>
        <w:right w:val="none" w:sz="0" w:space="0" w:color="auto"/>
      </w:divBdr>
    </w:div>
    <w:div w:id="694231570">
      <w:bodyDiv w:val="1"/>
      <w:marLeft w:val="0"/>
      <w:marRight w:val="0"/>
      <w:marTop w:val="0"/>
      <w:marBottom w:val="0"/>
      <w:divBdr>
        <w:top w:val="none" w:sz="0" w:space="0" w:color="auto"/>
        <w:left w:val="none" w:sz="0" w:space="0" w:color="auto"/>
        <w:bottom w:val="none" w:sz="0" w:space="0" w:color="auto"/>
        <w:right w:val="none" w:sz="0" w:space="0" w:color="auto"/>
      </w:divBdr>
    </w:div>
    <w:div w:id="878594456">
      <w:bodyDiv w:val="1"/>
      <w:marLeft w:val="0"/>
      <w:marRight w:val="0"/>
      <w:marTop w:val="0"/>
      <w:marBottom w:val="0"/>
      <w:divBdr>
        <w:top w:val="none" w:sz="0" w:space="0" w:color="auto"/>
        <w:left w:val="none" w:sz="0" w:space="0" w:color="auto"/>
        <w:bottom w:val="none" w:sz="0" w:space="0" w:color="auto"/>
        <w:right w:val="none" w:sz="0" w:space="0" w:color="auto"/>
      </w:divBdr>
    </w:div>
    <w:div w:id="1161315640">
      <w:bodyDiv w:val="1"/>
      <w:marLeft w:val="0"/>
      <w:marRight w:val="0"/>
      <w:marTop w:val="0"/>
      <w:marBottom w:val="0"/>
      <w:divBdr>
        <w:top w:val="none" w:sz="0" w:space="0" w:color="auto"/>
        <w:left w:val="none" w:sz="0" w:space="0" w:color="auto"/>
        <w:bottom w:val="none" w:sz="0" w:space="0" w:color="auto"/>
        <w:right w:val="none" w:sz="0" w:space="0" w:color="auto"/>
      </w:divBdr>
    </w:div>
    <w:div w:id="1208879552">
      <w:bodyDiv w:val="1"/>
      <w:marLeft w:val="0"/>
      <w:marRight w:val="0"/>
      <w:marTop w:val="0"/>
      <w:marBottom w:val="0"/>
      <w:divBdr>
        <w:top w:val="none" w:sz="0" w:space="0" w:color="auto"/>
        <w:left w:val="none" w:sz="0" w:space="0" w:color="auto"/>
        <w:bottom w:val="none" w:sz="0" w:space="0" w:color="auto"/>
        <w:right w:val="none" w:sz="0" w:space="0" w:color="auto"/>
      </w:divBdr>
    </w:div>
    <w:div w:id="1212496282">
      <w:bodyDiv w:val="1"/>
      <w:marLeft w:val="0"/>
      <w:marRight w:val="0"/>
      <w:marTop w:val="0"/>
      <w:marBottom w:val="0"/>
      <w:divBdr>
        <w:top w:val="none" w:sz="0" w:space="0" w:color="auto"/>
        <w:left w:val="none" w:sz="0" w:space="0" w:color="auto"/>
        <w:bottom w:val="none" w:sz="0" w:space="0" w:color="auto"/>
        <w:right w:val="none" w:sz="0" w:space="0" w:color="auto"/>
      </w:divBdr>
    </w:div>
    <w:div w:id="1251617071">
      <w:bodyDiv w:val="1"/>
      <w:marLeft w:val="0"/>
      <w:marRight w:val="0"/>
      <w:marTop w:val="0"/>
      <w:marBottom w:val="0"/>
      <w:divBdr>
        <w:top w:val="none" w:sz="0" w:space="0" w:color="auto"/>
        <w:left w:val="none" w:sz="0" w:space="0" w:color="auto"/>
        <w:bottom w:val="none" w:sz="0" w:space="0" w:color="auto"/>
        <w:right w:val="none" w:sz="0" w:space="0" w:color="auto"/>
      </w:divBdr>
    </w:div>
    <w:div w:id="1357610739">
      <w:bodyDiv w:val="1"/>
      <w:marLeft w:val="0"/>
      <w:marRight w:val="0"/>
      <w:marTop w:val="0"/>
      <w:marBottom w:val="0"/>
      <w:divBdr>
        <w:top w:val="none" w:sz="0" w:space="0" w:color="auto"/>
        <w:left w:val="none" w:sz="0" w:space="0" w:color="auto"/>
        <w:bottom w:val="none" w:sz="0" w:space="0" w:color="auto"/>
        <w:right w:val="none" w:sz="0" w:space="0" w:color="auto"/>
      </w:divBdr>
    </w:div>
    <w:div w:id="1408189536">
      <w:bodyDiv w:val="1"/>
      <w:marLeft w:val="0"/>
      <w:marRight w:val="0"/>
      <w:marTop w:val="0"/>
      <w:marBottom w:val="0"/>
      <w:divBdr>
        <w:top w:val="none" w:sz="0" w:space="0" w:color="auto"/>
        <w:left w:val="none" w:sz="0" w:space="0" w:color="auto"/>
        <w:bottom w:val="none" w:sz="0" w:space="0" w:color="auto"/>
        <w:right w:val="none" w:sz="0" w:space="0" w:color="auto"/>
      </w:divBdr>
    </w:div>
    <w:div w:id="1446458942">
      <w:bodyDiv w:val="1"/>
      <w:marLeft w:val="0"/>
      <w:marRight w:val="0"/>
      <w:marTop w:val="0"/>
      <w:marBottom w:val="0"/>
      <w:divBdr>
        <w:top w:val="none" w:sz="0" w:space="0" w:color="auto"/>
        <w:left w:val="none" w:sz="0" w:space="0" w:color="auto"/>
        <w:bottom w:val="none" w:sz="0" w:space="0" w:color="auto"/>
        <w:right w:val="none" w:sz="0" w:space="0" w:color="auto"/>
      </w:divBdr>
    </w:div>
    <w:div w:id="1726834308">
      <w:bodyDiv w:val="1"/>
      <w:marLeft w:val="0"/>
      <w:marRight w:val="0"/>
      <w:marTop w:val="0"/>
      <w:marBottom w:val="0"/>
      <w:divBdr>
        <w:top w:val="none" w:sz="0" w:space="0" w:color="auto"/>
        <w:left w:val="none" w:sz="0" w:space="0" w:color="auto"/>
        <w:bottom w:val="none" w:sz="0" w:space="0" w:color="auto"/>
        <w:right w:val="none" w:sz="0" w:space="0" w:color="auto"/>
      </w:divBdr>
    </w:div>
    <w:div w:id="1994214512">
      <w:bodyDiv w:val="1"/>
      <w:marLeft w:val="0"/>
      <w:marRight w:val="0"/>
      <w:marTop w:val="0"/>
      <w:marBottom w:val="0"/>
      <w:divBdr>
        <w:top w:val="none" w:sz="0" w:space="0" w:color="auto"/>
        <w:left w:val="none" w:sz="0" w:space="0" w:color="auto"/>
        <w:bottom w:val="none" w:sz="0" w:space="0" w:color="auto"/>
        <w:right w:val="none" w:sz="0" w:space="0" w:color="auto"/>
      </w:divBdr>
    </w:div>
    <w:div w:id="206794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A6WAAD5KZT2Q-284857674-7838</_dlc_DocId>
    <_dlc_DocIdUrl xmlns="1a33af13-4045-4f88-9d7b-618e30f79918">
      <Url>http://dm/eesc/2025/_layouts/15/DocIdRedir.aspx?ID=A6WAAD5KZT2Q-284857674-7838</Url>
      <Description>A6WAAD5KZT2Q-284857674-7838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INFO</TermName>
          <TermId xmlns="http://schemas.microsoft.com/office/infopath/2007/PartnerControls">d9136e7c-93a9-4c42-9d28-92b61e85f80c</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2026-01-29T12:00:00+00:00</ProductionDate>
    <DocumentNumber xmlns="27994258-8564-426c-a7a1-d6286d62992e">3319</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TaxCatchAll xmlns="1a33af13-4045-4f88-9d7b-618e30f79918">
      <Value>13</Value>
      <Value>12</Value>
      <Value>9</Value>
      <Value>8</Value>
      <Value>6</Value>
      <Value>5</Value>
      <Value>1</Value>
    </TaxCatchAll>
    <MeetingDate xmlns="1a33af13-4045-4f88-9d7b-618e30f79918"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298759</FicheNumber>
    <OriginalSender xmlns="1a33af13-4045-4f88-9d7b-618e30f79918">
      <UserInfo>
        <DisplayName>Lacroix Grégory</DisplayName>
        <AccountId>1634</AccountId>
        <AccountType/>
      </UserInfo>
    </OriginalSender>
    <DocumentPart xmlns="1a33af13-4045-4f88-9d7b-618e30f79918">2</DocumentPart>
    <AdoptionDate xmlns="1a33af13-4045-4f88-9d7b-618e30f79918" xsi:nil="true"/>
    <RequestingService xmlns="1a33af13-4045-4f88-9d7b-618e30f79918">Union économique et monétaire et cohésion économique et sociale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 xsi:nil="true"/>
    <DossierName_0 xmlns="http://schemas.microsoft.com/sharepoint/v3/fields">
      <Terms xmlns="http://schemas.microsoft.com/office/infopath/2007/PartnerControls"/>
    </DossierName_0>
    <DocumentVersion xmlns="1a33af13-4045-4f88-9d7b-618e30f79918">0</DocumentVersion>
  </documentManagement>
</p:properties>
</file>

<file path=customXml/itemProps1.xml><?xml version="1.0" encoding="utf-8"?>
<ds:datastoreItem xmlns:ds="http://schemas.openxmlformats.org/officeDocument/2006/customXml" ds:itemID="{AFE49256-9917-480B-9206-260441B6D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3af13-4045-4f88-9d7b-618e30f79918"/>
    <ds:schemaRef ds:uri="http://schemas.microsoft.com/sharepoint/v3/fields"/>
    <ds:schemaRef ds:uri="27994258-8564-426c-a7a1-d6286d629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E8715D-3A69-47F5-9603-AC3C07416140}">
  <ds:schemaRefs>
    <ds:schemaRef ds:uri="http://schemas.openxmlformats.org/officeDocument/2006/bibliography"/>
  </ds:schemaRefs>
</ds:datastoreItem>
</file>

<file path=customXml/itemProps3.xml><?xml version="1.0" encoding="utf-8"?>
<ds:datastoreItem xmlns:ds="http://schemas.openxmlformats.org/officeDocument/2006/customXml" ds:itemID="{0F87B847-5E5A-4553-941B-F330F253295B}">
  <ds:schemaRefs>
    <ds:schemaRef ds:uri="http://schemas.microsoft.com/sharepoint/v3/contenttype/forms"/>
  </ds:schemaRefs>
</ds:datastoreItem>
</file>

<file path=customXml/itemProps4.xml><?xml version="1.0" encoding="utf-8"?>
<ds:datastoreItem xmlns:ds="http://schemas.openxmlformats.org/officeDocument/2006/customXml" ds:itemID="{EFF8F78B-B206-42F7-9B23-134D886719EA}">
  <ds:schemaRefs>
    <ds:schemaRef ds:uri="http://schemas.microsoft.com/sharepoint/events"/>
  </ds:schemaRefs>
</ds:datastoreItem>
</file>

<file path=customXml/itemProps5.xml><?xml version="1.0" encoding="utf-8"?>
<ds:datastoreItem xmlns:ds="http://schemas.openxmlformats.org/officeDocument/2006/customXml" ds:itemID="{5472069E-B99B-4E95-8AE1-824556CDAA7E}">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27994258-8564-426c-a7a1-d6286d62992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4285</Words>
  <Characters>24082</Characters>
  <Application>Microsoft Office Word</Application>
  <DocSecurity>0</DocSecurity>
  <Lines>349</Lines>
  <Paragraphs>58</Paragraphs>
  <ScaleCrop>false</ScaleCrop>
  <HeadingPairs>
    <vt:vector size="2" baseType="variant">
      <vt:variant>
        <vt:lpstr>Title</vt:lpstr>
      </vt:variant>
      <vt:variant>
        <vt:i4>1</vt:i4>
      </vt:variant>
    </vt:vector>
  </HeadingPairs>
  <TitlesOfParts>
    <vt:vector size="1" baseType="lpstr">
      <vt:lpstr>ECO priorities for 2023 and beyond</vt:lpstr>
    </vt:vector>
  </TitlesOfParts>
  <Company/>
  <LinksUpToDate>false</LinksUpToDate>
  <CharactersWithSpaces>28309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Priorités de la section ECO pour 2026 et au-delà - Version finale</dc:title>
  <dc:subject>Consultative work, various</dc:subject>
  <dc:creator/>
  <cp:keywords>EESC-2023-04567-00-00-TCD-TRA-EN</cp:keywords>
  <dc:description>Rapporteur: -  Original language: - EN Date of document: - 12/10/2023 Date of meeting: -  External documents: -  Administrator responsible: - M. MARCHLEWITZ Gilbert</dc:description>
  <cp:lastModifiedBy/>
  <cp:revision>1</cp:revision>
  <cp:lastPrinted>2023-10-25T09:32:00Z</cp:lastPrinted>
  <dcterms:created xsi:type="dcterms:W3CDTF">2026-04-15T14:13:00Z</dcterms:created>
  <dcterms:modified xsi:type="dcterms:W3CDTF">2026-04-15T14:14:00Z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19/01/2026, 12/10/2023, 14/12/2020, 09/12/2020, 09/12/2020</vt:lpwstr>
  </property>
  <property fmtid="{D5CDD505-2E9C-101B-9397-08002B2CF9AE}" pid="4" name="Pref_Time">
    <vt:lpwstr>08:54:28, 12:23:29, 08:49:45, 09:39:07, 09:31:52</vt:lpwstr>
  </property>
  <property fmtid="{D5CDD505-2E9C-101B-9397-08002B2CF9AE}" pid="5" name="Pref_User">
    <vt:lpwstr>pacup, enied, enied, hnic, htoo</vt:lpwstr>
  </property>
  <property fmtid="{D5CDD505-2E9C-101B-9397-08002B2CF9AE}" pid="6" name="Pref_FileName">
    <vt:lpwstr>EESC-2025-03319-02-00-INFO-ORI.docx, EESC-2023-04567-00-00-TCD-TRA-EN-CRR.docx, EESC-2020-05479-00-01-TCD-ORI.docx, EESC-2020-05479-00-00-TCD-TRA-EN-CRR.docx, EESC-2020-05479-00-00-TCD-CRR-EN.docx</vt:lpwstr>
  </property>
  <property fmtid="{D5CDD505-2E9C-101B-9397-08002B2CF9AE}" pid="7" name="ContentTypeId">
    <vt:lpwstr>0x010100EA97B91038054C99906057A708A1480A00B192796EE9568A4C8E77C6EF5F22B614</vt:lpwstr>
  </property>
  <property fmtid="{D5CDD505-2E9C-101B-9397-08002B2CF9AE}" pid="8" name="_dlc_DocIdItemGuid">
    <vt:lpwstr>25cad15f-4c4c-4ec8-a04f-a3a008547be5</vt:lpwstr>
  </property>
  <property fmtid="{D5CDD505-2E9C-101B-9397-08002B2CF9AE}" pid="9" name="AvailableTranslations">
    <vt:lpwstr>5;#EN|f2175f21-25d7-44a3-96da-d6a61b075e1b;#12;#FR|d2afafd3-4c81-4f60-8f52-ee33f2f54ff3</vt:lpwstr>
  </property>
  <property fmtid="{D5CDD505-2E9C-101B-9397-08002B2CF9AE}" pid="10" name="DocumentStatus">
    <vt:lpwstr>13;#TRA|150d2a88-1431-44e6-a8ca-0bb753ab8672</vt:lpwstr>
  </property>
  <property fmtid="{D5CDD505-2E9C-101B-9397-08002B2CF9AE}" pid="11" name="DossierName">
    <vt:lpwstr/>
  </property>
  <property fmtid="{D5CDD505-2E9C-101B-9397-08002B2CF9AE}" pid="12" name="DocumentSource">
    <vt:lpwstr>1;#EESC|422833ec-8d7e-4e65-8e4e-8bed07ffb729</vt:lpwstr>
  </property>
  <property fmtid="{D5CDD505-2E9C-101B-9397-08002B2CF9AE}" pid="13" name="DocumentType">
    <vt:lpwstr>9;#INFO|d9136e7c-93a9-4c42-9d28-92b61e85f80c</vt:lpwstr>
  </property>
  <property fmtid="{D5CDD505-2E9C-101B-9397-08002B2CF9AE}" pid="14" name="Confidentiality">
    <vt:lpwstr>6;#Internal|2451815e-8241-4bbf-a22e-1ab710712bf2</vt:lpwstr>
  </property>
  <property fmtid="{D5CDD505-2E9C-101B-9397-08002B2CF9AE}" pid="15" name="OriginalLanguage">
    <vt:lpwstr>5;#EN|f2175f21-25d7-44a3-96da-d6a61b075e1b</vt:lpwstr>
  </property>
  <property fmtid="{D5CDD505-2E9C-101B-9397-08002B2CF9AE}" pid="16" name="MeetingName">
    <vt:lpwstr/>
  </property>
  <property fmtid="{D5CDD505-2E9C-101B-9397-08002B2CF9AE}" pid="17" name="VersionStatus">
    <vt:lpwstr>8;#Final|ea5e6674-7b27-4bac-b091-73adbb394efe</vt:lpwstr>
  </property>
  <property fmtid="{D5CDD505-2E9C-101B-9397-08002B2CF9AE}" pid="18" name="DocumentLanguage">
    <vt:lpwstr>12;#FR|d2afafd3-4c81-4f60-8f52-ee33f2f54ff3</vt:lpwstr>
  </property>
  <property fmtid="{D5CDD505-2E9C-101B-9397-08002B2CF9AE}" pid="19" name="_docset_NoMedatataSyncRequired">
    <vt:lpwstr>False</vt:lpwstr>
  </property>
  <property fmtid="{D5CDD505-2E9C-101B-9397-08002B2CF9AE}" pid="20" name="DocumentType_0">
    <vt:lpwstr>INFO|d9136e7c-93a9-4c42-9d28-92b61e85f80c</vt:lpwstr>
  </property>
  <property fmtid="{D5CDD505-2E9C-101B-9397-08002B2CF9AE}" pid="21" name="DossierName_0">
    <vt:lpwstr/>
  </property>
  <property fmtid="{D5CDD505-2E9C-101B-9397-08002B2CF9AE}" pid="22" name="DocumentSource_0">
    <vt:lpwstr>EESC|422833ec-8d7e-4e65-8e4e-8bed07ffb729</vt:lpwstr>
  </property>
  <property fmtid="{D5CDD505-2E9C-101B-9397-08002B2CF9AE}" pid="23" name="DocumentNumber">
    <vt:i4>3319</vt:i4>
  </property>
  <property fmtid="{D5CDD505-2E9C-101B-9397-08002B2CF9AE}" pid="24" name="DocumentVersion">
    <vt:i4>0</vt:i4>
  </property>
  <property fmtid="{D5CDD505-2E9C-101B-9397-08002B2CF9AE}" pid="25" name="RequestingService">
    <vt:lpwstr>Union économique et monétaire et cohésion économique et sociale</vt:lpwstr>
  </property>
  <property fmtid="{D5CDD505-2E9C-101B-9397-08002B2CF9AE}" pid="26" name="MeetingName_0">
    <vt:lpwstr/>
  </property>
  <property fmtid="{D5CDD505-2E9C-101B-9397-08002B2CF9AE}" pid="27" name="Confidentiality_0">
    <vt:lpwstr>Internal|2451815e-8241-4bbf-a22e-1ab710712bf2</vt:lpwstr>
  </property>
  <property fmtid="{D5CDD505-2E9C-101B-9397-08002B2CF9AE}" pid="28" name="DocumentLanguage_0">
    <vt:lpwstr>EN|f2175f21-25d7-44a3-96da-d6a61b075e1b</vt:lpwstr>
  </property>
  <property fmtid="{D5CDD505-2E9C-101B-9397-08002B2CF9AE}" pid="29" name="AvailableTranslations_0">
    <vt:lpwstr>EN|f2175f21-25d7-44a3-96da-d6a61b075e1b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13;#TRA|150d2a88-1431-44e6-a8ca-0bb753ab8672;#9;#INFO|d9136e7c-93a9-4c42-9d28-92b61e85f80c;#8;#Final|ea5e6674-7b27-4bac-b091-73adbb394efe;#6;#Internal|2451815e-8241-4bbf-a22e-1ab710712bf2;#5;#EN|f2175f21-25d7-44a3-96da-d6a61b075e1b;#1;#EESC|422833ec-8d7e-4e65-8e4e-8bed07ffb729</vt:lpwstr>
  </property>
  <property fmtid="{D5CDD505-2E9C-101B-9397-08002B2CF9AE}" pid="33" name="VersionStatus_0">
    <vt:lpwstr>Final|ea5e6674-7b27-4bac-b091-73adbb394efe</vt:lpwstr>
  </property>
  <property fmtid="{D5CDD505-2E9C-101B-9397-08002B2CF9AE}" pid="34" name="DocumentYear">
    <vt:i4>2025</vt:i4>
  </property>
  <property fmtid="{D5CDD505-2E9C-101B-9397-08002B2CF9AE}" pid="35" name="FicheNumber">
    <vt:i4>298759</vt:i4>
  </property>
  <property fmtid="{D5CDD505-2E9C-101B-9397-08002B2CF9AE}" pid="36" name="DocumentPart">
    <vt:i4>2</vt:i4>
  </property>
</Properties>
</file>