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9FC8CFA">
        <w:trPr>
          <w:jc w:val="center"/>
        </w:trPr>
        <w:tc>
          <w:tcPr>
            <w:tcW w:w="9711" w:type="dxa"/>
          </w:tcPr>
          <w:p w14:paraId="3A4EDC3A" w14:textId="1541B7DA" w:rsidR="001C4138" w:rsidRPr="004F6117" w:rsidRDefault="00062B34" w:rsidP="00CD29EF">
            <w:pPr>
              <w:spacing w:before="120" w:after="120"/>
              <w:rPr>
                <w:rFonts w:ascii="Times New Roman" w:hAnsi="Times New Roman"/>
                <w:b/>
                <w:sz w:val="24"/>
                <w:szCs w:val="24"/>
              </w:rPr>
            </w:pPr>
            <w:r w:rsidRPr="00062B34">
              <w:rPr>
                <w:rFonts w:ascii="Times New Roman" w:hAnsi="Times New Roman"/>
                <w:b/>
                <w:sz w:val="24"/>
                <w:szCs w:val="24"/>
                <w:lang w:val="en-US"/>
              </w:rPr>
              <w:t>The economic dimension of th</w:t>
            </w:r>
            <w:r>
              <w:rPr>
                <w:rFonts w:ascii="Times New Roman" w:hAnsi="Times New Roman"/>
                <w:b/>
                <w:sz w:val="24"/>
                <w:szCs w:val="24"/>
                <w:lang w:val="en-US"/>
              </w:rPr>
              <w:t>e rule of law</w:t>
            </w:r>
            <w:r w:rsidR="001C4138" w:rsidRPr="00062B34">
              <w:rPr>
                <w:rFonts w:ascii="Times New Roman" w:hAnsi="Times New Roman"/>
                <w:b/>
                <w:sz w:val="24"/>
                <w:szCs w:val="24"/>
                <w:lang w:val="en-US"/>
              </w:rPr>
              <w:br/>
            </w:r>
            <w:r w:rsidR="00A12FD4" w:rsidRPr="003F50D0">
              <w:rPr>
                <w:rFonts w:ascii="Times New Roman" w:hAnsi="Times New Roman"/>
                <w:b/>
                <w:bCs/>
              </w:rPr>
              <w:t>(own-initiative opinion)</w:t>
            </w:r>
            <w:r w:rsidR="00A12FD4">
              <w:rPr>
                <w:rFonts w:ascii="Times New Roman" w:hAnsi="Times New Roman"/>
              </w:rPr>
              <w:br/>
            </w:r>
            <w:r w:rsidR="001C4138" w:rsidRPr="00062B34">
              <w:rPr>
                <w:rFonts w:ascii="Times New Roman" w:hAnsi="Times New Roman"/>
                <w:b/>
                <w:sz w:val="24"/>
                <w:szCs w:val="24"/>
                <w:lang w:val="en-US"/>
              </w:rPr>
              <w:t>EE</w:t>
            </w:r>
            <w:r w:rsidR="001C4138" w:rsidRPr="006F6B8D">
              <w:rPr>
                <w:rFonts w:ascii="Times New Roman" w:hAnsi="Times New Roman"/>
                <w:b/>
                <w:sz w:val="24"/>
                <w:szCs w:val="24"/>
                <w:lang w:val="en-US"/>
              </w:rPr>
              <w:t>SC-</w:t>
            </w:r>
            <w:r w:rsidRPr="006F6B8D">
              <w:rPr>
                <w:rFonts w:ascii="Times New Roman" w:hAnsi="Times New Roman"/>
                <w:b/>
                <w:sz w:val="24"/>
                <w:szCs w:val="24"/>
                <w:lang w:val="en-US"/>
              </w:rPr>
              <w:t>2025</w:t>
            </w:r>
            <w:r w:rsidR="001C4138" w:rsidRPr="006F6B8D">
              <w:rPr>
                <w:rFonts w:ascii="Times New Roman" w:hAnsi="Times New Roman"/>
                <w:b/>
                <w:sz w:val="24"/>
                <w:szCs w:val="24"/>
                <w:lang w:val="en-US"/>
              </w:rPr>
              <w:t>-</w:t>
            </w:r>
            <w:r w:rsidR="00CD29EF" w:rsidRPr="00CD29EF">
              <w:rPr>
                <w:rFonts w:ascii="Times New Roman" w:hAnsi="Times New Roman"/>
                <w:b/>
                <w:sz w:val="24"/>
                <w:szCs w:val="24"/>
                <w:lang w:val="en-US"/>
              </w:rPr>
              <w:t>00003</w:t>
            </w:r>
            <w:r w:rsidR="00CD29EF" w:rsidRPr="510EAC17">
              <w:rPr>
                <w:b/>
                <w:bCs/>
              </w:rPr>
              <w:t xml:space="preserve"> – </w:t>
            </w:r>
            <w:r w:rsidRPr="006F6B8D">
              <w:rPr>
                <w:rFonts w:ascii="Times New Roman" w:hAnsi="Times New Roman"/>
                <w:b/>
                <w:sz w:val="24"/>
                <w:szCs w:val="24"/>
                <w:lang w:val="en-US"/>
              </w:rPr>
              <w:t>INT</w:t>
            </w:r>
            <w:r w:rsidR="001C4138" w:rsidRPr="006F6B8D">
              <w:rPr>
                <w:rFonts w:ascii="Times New Roman" w:hAnsi="Times New Roman"/>
                <w:b/>
                <w:sz w:val="24"/>
                <w:szCs w:val="24"/>
              </w:rPr>
              <w:t>/</w:t>
            </w:r>
            <w:r w:rsidRPr="006F6B8D">
              <w:rPr>
                <w:rFonts w:ascii="Times New Roman" w:hAnsi="Times New Roman"/>
                <w:b/>
                <w:sz w:val="24"/>
                <w:szCs w:val="24"/>
              </w:rPr>
              <w:t>1076</w:t>
            </w:r>
            <w:r w:rsidR="007C3F67">
              <w:rPr>
                <w:rFonts w:ascii="Times New Roman" w:hAnsi="Times New Roman"/>
                <w:b/>
                <w:sz w:val="24"/>
                <w:szCs w:val="24"/>
              </w:rPr>
              <w:br/>
            </w:r>
            <w:r w:rsidR="006F6B8D" w:rsidRPr="006F6B8D">
              <w:rPr>
                <w:rFonts w:ascii="Times New Roman" w:hAnsi="Times New Roman"/>
                <w:b/>
                <w:sz w:val="24"/>
                <w:szCs w:val="24"/>
              </w:rPr>
              <w:t>596</w:t>
            </w:r>
            <w:r w:rsidR="006F6B8D" w:rsidRPr="006F6B8D">
              <w:rPr>
                <w:rFonts w:ascii="Times New Roman" w:hAnsi="Times New Roman"/>
                <w:b/>
                <w:sz w:val="24"/>
                <w:szCs w:val="24"/>
                <w:vertAlign w:val="superscript"/>
              </w:rPr>
              <w:t>th</w:t>
            </w:r>
            <w:r w:rsidR="006F6B8D">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sidR="008262FC">
              <w:rPr>
                <w:rFonts w:ascii="Times New Roman" w:hAnsi="Times New Roman"/>
                <w:b/>
                <w:sz w:val="24"/>
                <w:szCs w:val="24"/>
              </w:rPr>
              <w:t>April 2025</w:t>
            </w:r>
            <w:r w:rsidR="001C4138" w:rsidRPr="00807B48">
              <w:rPr>
                <w:rFonts w:ascii="Times New Roman" w:hAnsi="Times New Roman"/>
                <w:b/>
                <w:sz w:val="24"/>
                <w:szCs w:val="24"/>
              </w:rPr>
              <w:br/>
              <w:t xml:space="preserve">Rapporteur: </w:t>
            </w:r>
            <w:r w:rsidR="007C3F67">
              <w:rPr>
                <w:rFonts w:ascii="Times New Roman" w:hAnsi="Times New Roman"/>
                <w:b/>
                <w:sz w:val="24"/>
                <w:szCs w:val="24"/>
              </w:rPr>
              <w:t xml:space="preserve">Christa </w:t>
            </w:r>
            <w:proofErr w:type="spellStart"/>
            <w:r w:rsidR="007C3F67">
              <w:rPr>
                <w:rFonts w:ascii="Times New Roman" w:hAnsi="Times New Roman"/>
                <w:b/>
                <w:sz w:val="24"/>
                <w:szCs w:val="24"/>
              </w:rPr>
              <w:t>Schweng</w:t>
            </w:r>
            <w:proofErr w:type="spellEnd"/>
            <w:r w:rsidR="007C3F67">
              <w:rPr>
                <w:rFonts w:ascii="Times New Roman" w:hAnsi="Times New Roman"/>
                <w:b/>
                <w:sz w:val="24"/>
                <w:szCs w:val="24"/>
              </w:rPr>
              <w:t xml:space="preserve"> (AT</w:t>
            </w:r>
            <w:r w:rsidR="00CD29EF">
              <w:rPr>
                <w:rFonts w:ascii="Times New Roman" w:hAnsi="Times New Roman"/>
                <w:b/>
                <w:sz w:val="24"/>
                <w:szCs w:val="24"/>
              </w:rPr>
              <w:t>-</w:t>
            </w:r>
            <w:r w:rsidR="005052AF">
              <w:rPr>
                <w:rFonts w:ascii="Times New Roman" w:hAnsi="Times New Roman"/>
                <w:b/>
                <w:sz w:val="24"/>
                <w:szCs w:val="24"/>
              </w:rPr>
              <w:t>I</w:t>
            </w:r>
            <w:r w:rsidR="007C3F67">
              <w:rPr>
                <w:rFonts w:ascii="Times New Roman" w:hAnsi="Times New Roman"/>
                <w:b/>
                <w:sz w:val="24"/>
                <w:szCs w:val="24"/>
              </w:rPr>
              <w:t>)</w:t>
            </w:r>
            <w:r w:rsidR="001C4138" w:rsidRPr="00807B48">
              <w:rPr>
                <w:rFonts w:ascii="Times New Roman" w:hAnsi="Times New Roman"/>
                <w:b/>
                <w:sz w:val="24"/>
                <w:szCs w:val="24"/>
              </w:rPr>
              <w:br/>
              <w:t xml:space="preserve">DG </w:t>
            </w:r>
            <w:r w:rsidR="007C3F67">
              <w:rPr>
                <w:rFonts w:ascii="Times New Roman" w:hAnsi="Times New Roman"/>
                <w:b/>
                <w:sz w:val="24"/>
                <w:szCs w:val="24"/>
              </w:rPr>
              <w:t xml:space="preserve">JUST </w:t>
            </w:r>
            <w:r w:rsidR="001C4138" w:rsidRPr="00807B48">
              <w:rPr>
                <w:rFonts w:ascii="Times New Roman" w:hAnsi="Times New Roman"/>
                <w:b/>
                <w:sz w:val="24"/>
                <w:szCs w:val="24"/>
              </w:rPr>
              <w:t xml:space="preserve">– Commissioner </w:t>
            </w:r>
            <w:proofErr w:type="spellStart"/>
            <w:r w:rsidR="007C3F67" w:rsidRPr="007C3F67">
              <w:rPr>
                <w:rFonts w:ascii="Times New Roman" w:hAnsi="Times New Roman"/>
                <w:b/>
                <w:sz w:val="24"/>
                <w:szCs w:val="24"/>
              </w:rPr>
              <w:t>McGRATH</w:t>
            </w:r>
            <w:proofErr w:type="spellEnd"/>
          </w:p>
        </w:tc>
      </w:tr>
      <w:tr w:rsidR="00734613" w:rsidRPr="00442552" w14:paraId="1937071F" w14:textId="77777777" w:rsidTr="09FC8CFA">
        <w:trPr>
          <w:jc w:val="center"/>
        </w:trPr>
        <w:tc>
          <w:tcPr>
            <w:tcW w:w="9711" w:type="dxa"/>
          </w:tcPr>
          <w:p w14:paraId="1E50B4DB" w14:textId="123DAD1B"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4B28CE">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9FC8CFA">
        <w:trPr>
          <w:jc w:val="center"/>
        </w:trPr>
        <w:tc>
          <w:tcPr>
            <w:tcW w:w="9711" w:type="dxa"/>
          </w:tcPr>
          <w:p w14:paraId="24E99A4D" w14:textId="315E592B" w:rsidR="00734613" w:rsidRPr="003F4C5C" w:rsidRDefault="003F4C5C" w:rsidP="00CA11A4">
            <w:pPr>
              <w:widowControl w:val="0"/>
              <w:spacing w:before="120" w:after="120"/>
              <w:jc w:val="both"/>
              <w:rPr>
                <w:rFonts w:ascii="Times New Roman" w:hAnsi="Times New Roman"/>
                <w:sz w:val="24"/>
                <w:szCs w:val="24"/>
                <w:u w:val="single"/>
              </w:rPr>
            </w:pPr>
            <w:r w:rsidRPr="003F4C5C">
              <w:rPr>
                <w:rFonts w:ascii="Times New Roman" w:hAnsi="Times New Roman"/>
                <w:sz w:val="24"/>
                <w:szCs w:val="24"/>
                <w:u w:val="single"/>
              </w:rPr>
              <w:t>Points 1.5 and 5.2</w:t>
            </w:r>
            <w:r w:rsidR="00CA11A4">
              <w:rPr>
                <w:rFonts w:ascii="Times New Roman" w:hAnsi="Times New Roman"/>
                <w:sz w:val="24"/>
                <w:szCs w:val="24"/>
                <w:u w:val="single"/>
              </w:rPr>
              <w:t>:</w:t>
            </w:r>
          </w:p>
          <w:p w14:paraId="77FA0399" w14:textId="2A4C076C" w:rsidR="008262FC" w:rsidRPr="00630192" w:rsidRDefault="003F4C5C" w:rsidP="00CA11A4">
            <w:pPr>
              <w:widowControl w:val="0"/>
              <w:spacing w:before="120" w:after="120"/>
              <w:jc w:val="both"/>
              <w:rPr>
                <w:rFonts w:ascii="Times New Roman" w:hAnsi="Times New Roman"/>
                <w:sz w:val="24"/>
                <w:szCs w:val="24"/>
              </w:rPr>
            </w:pPr>
            <w:r>
              <w:rPr>
                <w:rFonts w:ascii="Times New Roman" w:hAnsi="Times New Roman"/>
                <w:sz w:val="24"/>
                <w:szCs w:val="24"/>
              </w:rPr>
              <w:t xml:space="preserve">Regarding the </w:t>
            </w:r>
            <w:r w:rsidR="000A2221">
              <w:rPr>
                <w:rFonts w:ascii="Times New Roman" w:hAnsi="Times New Roman"/>
                <w:sz w:val="24"/>
                <w:szCs w:val="24"/>
              </w:rPr>
              <w:t xml:space="preserve">proposed </w:t>
            </w:r>
            <w:r>
              <w:rPr>
                <w:rFonts w:ascii="Times New Roman" w:hAnsi="Times New Roman"/>
                <w:sz w:val="24"/>
                <w:szCs w:val="24"/>
              </w:rPr>
              <w:t xml:space="preserve">inclusion of a </w:t>
            </w:r>
            <w:r w:rsidR="004B28CE">
              <w:rPr>
                <w:rFonts w:ascii="Times New Roman" w:hAnsi="Times New Roman"/>
                <w:sz w:val="24"/>
                <w:szCs w:val="24"/>
              </w:rPr>
              <w:t>‘</w:t>
            </w:r>
            <w:r>
              <w:rPr>
                <w:rFonts w:ascii="Times New Roman" w:hAnsi="Times New Roman"/>
                <w:sz w:val="24"/>
                <w:szCs w:val="24"/>
              </w:rPr>
              <w:t>fifth pillar</w:t>
            </w:r>
            <w:r w:rsidR="004B28CE">
              <w:rPr>
                <w:rFonts w:ascii="Times New Roman" w:hAnsi="Times New Roman"/>
                <w:sz w:val="24"/>
                <w:szCs w:val="24"/>
              </w:rPr>
              <w:t>’</w:t>
            </w:r>
            <w:r>
              <w:rPr>
                <w:rFonts w:ascii="Times New Roman" w:hAnsi="Times New Roman"/>
                <w:sz w:val="24"/>
                <w:szCs w:val="24"/>
              </w:rPr>
              <w:t xml:space="preserve"> in the Rule of Law Report</w:t>
            </w:r>
            <w:r w:rsidR="0076271E">
              <w:rPr>
                <w:rFonts w:ascii="Times New Roman" w:hAnsi="Times New Roman"/>
                <w:sz w:val="24"/>
                <w:szCs w:val="24"/>
              </w:rPr>
              <w:t xml:space="preserve">, dedicated </w:t>
            </w:r>
            <w:r w:rsidR="006B0845">
              <w:rPr>
                <w:rFonts w:ascii="Times New Roman" w:hAnsi="Times New Roman"/>
                <w:sz w:val="24"/>
                <w:szCs w:val="24"/>
              </w:rPr>
              <w:t xml:space="preserve">to </w:t>
            </w:r>
            <w:r>
              <w:rPr>
                <w:rFonts w:ascii="Times New Roman" w:hAnsi="Times New Roman"/>
                <w:sz w:val="24"/>
                <w:szCs w:val="24"/>
              </w:rPr>
              <w:t>the Single Market dimension of the rule of law</w:t>
            </w:r>
            <w:r w:rsidR="00D51D0F">
              <w:rPr>
                <w:rFonts w:ascii="Times New Roman" w:hAnsi="Times New Roman"/>
                <w:sz w:val="24"/>
                <w:szCs w:val="24"/>
              </w:rPr>
              <w:t>,</w:t>
            </w:r>
            <w:r w:rsidR="0076271E">
              <w:rPr>
                <w:rFonts w:ascii="Times New Roman" w:hAnsi="Times New Roman"/>
                <w:sz w:val="24"/>
                <w:szCs w:val="24"/>
              </w:rPr>
              <w:t xml:space="preserve"> </w:t>
            </w:r>
            <w:r w:rsidR="00EB0BA8">
              <w:rPr>
                <w:rFonts w:ascii="Times New Roman" w:hAnsi="Times New Roman"/>
                <w:sz w:val="24"/>
                <w:szCs w:val="24"/>
              </w:rPr>
              <w:t xml:space="preserve">as announced by </w:t>
            </w:r>
            <w:r w:rsidR="0076271E" w:rsidRPr="00AC280F">
              <w:rPr>
                <w:rFonts w:ascii="Times New Roman" w:hAnsi="Times New Roman"/>
                <w:sz w:val="24"/>
                <w:szCs w:val="24"/>
              </w:rPr>
              <w:t xml:space="preserve">President </w:t>
            </w:r>
            <w:r w:rsidR="0076271E">
              <w:rPr>
                <w:rFonts w:ascii="Times New Roman" w:hAnsi="Times New Roman"/>
                <w:sz w:val="24"/>
                <w:szCs w:val="24"/>
              </w:rPr>
              <w:t>von der Leyen</w:t>
            </w:r>
            <w:r w:rsidR="00D51D0F">
              <w:rPr>
                <w:rFonts w:ascii="Times New Roman" w:hAnsi="Times New Roman"/>
                <w:sz w:val="24"/>
                <w:szCs w:val="24"/>
              </w:rPr>
              <w:t xml:space="preserve"> announced in her</w:t>
            </w:r>
            <w:r w:rsidR="0076271E">
              <w:rPr>
                <w:rFonts w:ascii="Times New Roman" w:hAnsi="Times New Roman"/>
                <w:sz w:val="24"/>
                <w:szCs w:val="24"/>
              </w:rPr>
              <w:t xml:space="preserve"> </w:t>
            </w:r>
            <w:r w:rsidR="0076271E" w:rsidRPr="00D42936">
              <w:rPr>
                <w:rFonts w:ascii="Times New Roman" w:hAnsi="Times New Roman"/>
                <w:sz w:val="24"/>
                <w:szCs w:val="24"/>
              </w:rPr>
              <w:t>Political Guidelines</w:t>
            </w:r>
            <w:r w:rsidR="00EB0BA8">
              <w:rPr>
                <w:rFonts w:ascii="Times New Roman" w:hAnsi="Times New Roman"/>
                <w:sz w:val="24"/>
                <w:szCs w:val="24"/>
              </w:rPr>
              <w:t>, since 2025</w:t>
            </w:r>
            <w:r w:rsidR="0076271E" w:rsidRPr="00D42936">
              <w:rPr>
                <w:rFonts w:ascii="Times New Roman" w:hAnsi="Times New Roman"/>
                <w:sz w:val="24"/>
                <w:szCs w:val="24"/>
              </w:rPr>
              <w:t xml:space="preserve"> </w:t>
            </w:r>
            <w:r w:rsidR="00D51D0F">
              <w:rPr>
                <w:rFonts w:ascii="Times New Roman" w:hAnsi="Times New Roman"/>
                <w:sz w:val="24"/>
                <w:szCs w:val="24"/>
              </w:rPr>
              <w:t>the Commission add</w:t>
            </w:r>
            <w:r w:rsidR="00EB0BA8">
              <w:rPr>
                <w:rFonts w:ascii="Times New Roman" w:hAnsi="Times New Roman"/>
                <w:sz w:val="24"/>
                <w:szCs w:val="24"/>
              </w:rPr>
              <w:t>ed</w:t>
            </w:r>
            <w:r w:rsidR="00D51D0F">
              <w:rPr>
                <w:rFonts w:ascii="Times New Roman" w:hAnsi="Times New Roman"/>
                <w:sz w:val="24"/>
                <w:szCs w:val="24"/>
              </w:rPr>
              <w:t xml:space="preserve"> a</w:t>
            </w:r>
            <w:r w:rsidR="0076271E" w:rsidRPr="0076271E">
              <w:rPr>
                <w:rFonts w:ascii="Times New Roman" w:hAnsi="Times New Roman"/>
                <w:sz w:val="24"/>
                <w:szCs w:val="24"/>
              </w:rPr>
              <w:t xml:space="preserve"> Single Market dimension to the </w:t>
            </w:r>
            <w:r w:rsidR="00D51D0F">
              <w:rPr>
                <w:rFonts w:ascii="Times New Roman" w:hAnsi="Times New Roman"/>
                <w:sz w:val="24"/>
                <w:szCs w:val="24"/>
              </w:rPr>
              <w:t>R</w:t>
            </w:r>
            <w:r w:rsidR="0076271E" w:rsidRPr="0076271E">
              <w:rPr>
                <w:rFonts w:ascii="Times New Roman" w:hAnsi="Times New Roman"/>
                <w:sz w:val="24"/>
                <w:szCs w:val="24"/>
              </w:rPr>
              <w:t xml:space="preserve">eport to address rule of law issues affecting companies, especially </w:t>
            </w:r>
            <w:r w:rsidR="004B28CE">
              <w:rPr>
                <w:rFonts w:ascii="Times New Roman" w:hAnsi="Times New Roman"/>
                <w:sz w:val="24"/>
                <w:szCs w:val="24"/>
              </w:rPr>
              <w:t>s</w:t>
            </w:r>
            <w:r w:rsidR="004B28CE" w:rsidRPr="004B28CE">
              <w:rPr>
                <w:rFonts w:ascii="Times New Roman" w:hAnsi="Times New Roman"/>
                <w:sz w:val="24"/>
                <w:szCs w:val="24"/>
              </w:rPr>
              <w:t xml:space="preserve">mall and </w:t>
            </w:r>
            <w:r w:rsidR="004B28CE">
              <w:rPr>
                <w:rFonts w:ascii="Times New Roman" w:hAnsi="Times New Roman"/>
                <w:sz w:val="24"/>
                <w:szCs w:val="24"/>
              </w:rPr>
              <w:t>m</w:t>
            </w:r>
            <w:r w:rsidR="004B28CE" w:rsidRPr="004B28CE">
              <w:rPr>
                <w:rFonts w:ascii="Times New Roman" w:hAnsi="Times New Roman"/>
                <w:sz w:val="24"/>
                <w:szCs w:val="24"/>
              </w:rPr>
              <w:t xml:space="preserve">edium-sized </w:t>
            </w:r>
            <w:r w:rsidR="004B28CE">
              <w:rPr>
                <w:rFonts w:ascii="Times New Roman" w:hAnsi="Times New Roman"/>
                <w:sz w:val="24"/>
                <w:szCs w:val="24"/>
              </w:rPr>
              <w:t>e</w:t>
            </w:r>
            <w:r w:rsidR="004B28CE" w:rsidRPr="004B28CE">
              <w:rPr>
                <w:rFonts w:ascii="Times New Roman" w:hAnsi="Times New Roman"/>
                <w:sz w:val="24"/>
                <w:szCs w:val="24"/>
              </w:rPr>
              <w:t>nterprises</w:t>
            </w:r>
            <w:r w:rsidR="004B28CE">
              <w:rPr>
                <w:rFonts w:ascii="Times New Roman" w:hAnsi="Times New Roman"/>
                <w:sz w:val="24"/>
                <w:szCs w:val="24"/>
              </w:rPr>
              <w:t xml:space="preserve"> (</w:t>
            </w:r>
            <w:r w:rsidR="0076271E" w:rsidRPr="0076271E">
              <w:rPr>
                <w:rFonts w:ascii="Times New Roman" w:hAnsi="Times New Roman"/>
                <w:sz w:val="24"/>
                <w:szCs w:val="24"/>
              </w:rPr>
              <w:t>SMEs</w:t>
            </w:r>
            <w:r w:rsidR="004B28CE">
              <w:rPr>
                <w:rFonts w:ascii="Times New Roman" w:hAnsi="Times New Roman"/>
                <w:sz w:val="24"/>
                <w:szCs w:val="24"/>
              </w:rPr>
              <w:t>)</w:t>
            </w:r>
            <w:r w:rsidR="0076271E" w:rsidRPr="0076271E">
              <w:rPr>
                <w:rFonts w:ascii="Times New Roman" w:hAnsi="Times New Roman"/>
                <w:sz w:val="24"/>
                <w:szCs w:val="24"/>
              </w:rPr>
              <w:t>, operating across borders</w:t>
            </w:r>
            <w:r w:rsidR="0076271E" w:rsidRPr="00DC2E6B">
              <w:rPr>
                <w:rFonts w:ascii="Times New Roman" w:hAnsi="Times New Roman"/>
                <w:sz w:val="24"/>
                <w:szCs w:val="24"/>
              </w:rPr>
              <w:t xml:space="preserve">. </w:t>
            </w:r>
            <w:r w:rsidR="00D51D0F">
              <w:rPr>
                <w:rFonts w:ascii="Times New Roman" w:hAnsi="Times New Roman"/>
                <w:sz w:val="24"/>
                <w:szCs w:val="24"/>
              </w:rPr>
              <w:t>A</w:t>
            </w:r>
            <w:r w:rsidR="00DC2E6B" w:rsidRPr="00DC2E6B">
              <w:rPr>
                <w:rFonts w:ascii="Times New Roman" w:hAnsi="Times New Roman"/>
                <w:sz w:val="24"/>
                <w:szCs w:val="24"/>
              </w:rPr>
              <w:t xml:space="preserve">spects relevant for the functioning of the single market </w:t>
            </w:r>
            <w:r w:rsidR="00D51D0F">
              <w:rPr>
                <w:rFonts w:ascii="Times New Roman" w:hAnsi="Times New Roman"/>
                <w:sz w:val="24"/>
                <w:szCs w:val="24"/>
              </w:rPr>
              <w:t>are</w:t>
            </w:r>
            <w:r w:rsidR="007B4F7C">
              <w:rPr>
                <w:rFonts w:ascii="Times New Roman" w:hAnsi="Times New Roman"/>
                <w:sz w:val="24"/>
                <w:szCs w:val="24"/>
              </w:rPr>
              <w:t xml:space="preserve"> covered </w:t>
            </w:r>
            <w:r w:rsidR="00DC2E6B" w:rsidRPr="00DC2E6B">
              <w:rPr>
                <w:rFonts w:ascii="Times New Roman" w:hAnsi="Times New Roman"/>
                <w:sz w:val="24"/>
                <w:szCs w:val="24"/>
              </w:rPr>
              <w:t>in all country chapters</w:t>
            </w:r>
            <w:r w:rsidR="007B4F7C">
              <w:rPr>
                <w:rFonts w:ascii="Times New Roman" w:hAnsi="Times New Roman"/>
                <w:sz w:val="24"/>
                <w:szCs w:val="24"/>
              </w:rPr>
              <w:t xml:space="preserve">, </w:t>
            </w:r>
            <w:r w:rsidR="00EB0BA8">
              <w:rPr>
                <w:rFonts w:ascii="Times New Roman" w:hAnsi="Times New Roman"/>
                <w:sz w:val="24"/>
                <w:szCs w:val="24"/>
              </w:rPr>
              <w:t>across the</w:t>
            </w:r>
            <w:r w:rsidR="00A3358E">
              <w:rPr>
                <w:rFonts w:ascii="Times New Roman" w:hAnsi="Times New Roman"/>
                <w:sz w:val="24"/>
                <w:szCs w:val="24"/>
              </w:rPr>
              <w:t xml:space="preserve"> four pillar</w:t>
            </w:r>
            <w:r w:rsidR="00EB0BA8">
              <w:rPr>
                <w:rFonts w:ascii="Times New Roman" w:hAnsi="Times New Roman"/>
                <w:sz w:val="24"/>
                <w:szCs w:val="24"/>
              </w:rPr>
              <w:t>s</w:t>
            </w:r>
            <w:r w:rsidR="00A3358E">
              <w:rPr>
                <w:rFonts w:ascii="Times New Roman" w:hAnsi="Times New Roman"/>
                <w:sz w:val="24"/>
                <w:szCs w:val="24"/>
              </w:rPr>
              <w:t xml:space="preserve"> of the report</w:t>
            </w:r>
            <w:r w:rsidR="007B4F7C">
              <w:rPr>
                <w:rFonts w:ascii="Times New Roman" w:hAnsi="Times New Roman"/>
                <w:sz w:val="24"/>
                <w:szCs w:val="24"/>
              </w:rPr>
              <w:t xml:space="preserve">. </w:t>
            </w:r>
            <w:bookmarkStart w:id="0" w:name="_Hlk181891285"/>
            <w:r w:rsidR="00D51D0F">
              <w:rPr>
                <w:rFonts w:ascii="Times New Roman" w:hAnsi="Times New Roman"/>
                <w:sz w:val="24"/>
                <w:szCs w:val="24"/>
              </w:rPr>
              <w:t xml:space="preserve">This evolution of the Report has allowed the Commission to examine issues affecting the Single Market in depth and in a structured manner. </w:t>
            </w:r>
            <w:r w:rsidR="003641D2">
              <w:rPr>
                <w:rFonts w:ascii="Times New Roman" w:hAnsi="Times New Roman"/>
                <w:sz w:val="24"/>
                <w:szCs w:val="24"/>
              </w:rPr>
              <w:t xml:space="preserve">In </w:t>
            </w:r>
            <w:r w:rsidR="00EB0BA8">
              <w:rPr>
                <w:rFonts w:ascii="Times New Roman" w:hAnsi="Times New Roman"/>
                <w:sz w:val="24"/>
                <w:szCs w:val="24"/>
              </w:rPr>
              <w:t xml:space="preserve">developing </w:t>
            </w:r>
            <w:r w:rsidR="0076271E">
              <w:rPr>
                <w:rFonts w:ascii="Times New Roman" w:hAnsi="Times New Roman"/>
                <w:sz w:val="24"/>
                <w:szCs w:val="24"/>
              </w:rPr>
              <w:t>the single market dimension in the Rule of Law report, the Commission has</w:t>
            </w:r>
            <w:r w:rsidR="002D37D7">
              <w:rPr>
                <w:rFonts w:ascii="Times New Roman" w:hAnsi="Times New Roman"/>
                <w:sz w:val="24"/>
                <w:szCs w:val="24"/>
              </w:rPr>
              <w:t xml:space="preserve"> </w:t>
            </w:r>
            <w:r w:rsidR="00EB0BA8">
              <w:rPr>
                <w:rFonts w:ascii="Times New Roman" w:hAnsi="Times New Roman"/>
                <w:sz w:val="24"/>
                <w:szCs w:val="24"/>
              </w:rPr>
              <w:t>adapted its</w:t>
            </w:r>
            <w:r w:rsidR="0076271E">
              <w:rPr>
                <w:rFonts w:ascii="Times New Roman" w:hAnsi="Times New Roman"/>
                <w:sz w:val="24"/>
                <w:szCs w:val="24"/>
              </w:rPr>
              <w:t xml:space="preserve"> </w:t>
            </w:r>
            <w:r w:rsidR="002D37D7" w:rsidRPr="002D37D7">
              <w:rPr>
                <w:rFonts w:ascii="Times New Roman" w:hAnsi="Times New Roman"/>
                <w:sz w:val="24"/>
                <w:szCs w:val="24"/>
              </w:rPr>
              <w:t>methodology to involve Member States and business</w:t>
            </w:r>
            <w:r w:rsidR="00D51D0F">
              <w:rPr>
                <w:rFonts w:ascii="Times New Roman" w:hAnsi="Times New Roman"/>
                <w:sz w:val="24"/>
                <w:szCs w:val="24"/>
              </w:rPr>
              <w:t>es</w:t>
            </w:r>
            <w:r w:rsidR="002D37D7" w:rsidRPr="002D37D7">
              <w:rPr>
                <w:rFonts w:ascii="Times New Roman" w:hAnsi="Times New Roman"/>
                <w:sz w:val="24"/>
                <w:szCs w:val="24"/>
              </w:rPr>
              <w:t xml:space="preserve"> with a</w:t>
            </w:r>
            <w:r w:rsidR="00D51B9B">
              <w:rPr>
                <w:rFonts w:ascii="Times New Roman" w:hAnsi="Times New Roman"/>
                <w:sz w:val="24"/>
                <w:szCs w:val="24"/>
              </w:rPr>
              <w:t> </w:t>
            </w:r>
            <w:r w:rsidR="002D37D7" w:rsidRPr="002D37D7">
              <w:rPr>
                <w:rFonts w:ascii="Times New Roman" w:hAnsi="Times New Roman"/>
                <w:sz w:val="24"/>
                <w:szCs w:val="24"/>
              </w:rPr>
              <w:t>dedicated outreach and a questionnaire to provide written feedback</w:t>
            </w:r>
            <w:r w:rsidR="002D37D7">
              <w:rPr>
                <w:rFonts w:ascii="Times New Roman" w:hAnsi="Times New Roman"/>
                <w:sz w:val="24"/>
                <w:szCs w:val="24"/>
              </w:rPr>
              <w:t xml:space="preserve">. </w:t>
            </w:r>
            <w:r w:rsidR="00285620">
              <w:rPr>
                <w:rFonts w:ascii="Times New Roman" w:hAnsi="Times New Roman"/>
                <w:sz w:val="24"/>
                <w:szCs w:val="24"/>
              </w:rPr>
              <w:t>Particular attention was paid to</w:t>
            </w:r>
            <w:r w:rsidR="002D37D7">
              <w:rPr>
                <w:rFonts w:ascii="Times New Roman" w:hAnsi="Times New Roman"/>
                <w:sz w:val="24"/>
                <w:szCs w:val="24"/>
              </w:rPr>
              <w:t xml:space="preserve"> </w:t>
            </w:r>
            <w:r w:rsidR="0076271E">
              <w:rPr>
                <w:rFonts w:ascii="Times New Roman" w:hAnsi="Times New Roman"/>
                <w:sz w:val="24"/>
                <w:szCs w:val="24"/>
              </w:rPr>
              <w:t>ensure consistency and complementarity with other tools, such as the European Semester,</w:t>
            </w:r>
            <w:r w:rsidR="0076271E" w:rsidRPr="00B42EAA">
              <w:rPr>
                <w:rFonts w:ascii="Times New Roman" w:hAnsi="Times New Roman"/>
                <w:sz w:val="24"/>
                <w:szCs w:val="24"/>
              </w:rPr>
              <w:t xml:space="preserve"> </w:t>
            </w:r>
            <w:r w:rsidR="0076271E">
              <w:rPr>
                <w:rFonts w:ascii="Times New Roman" w:hAnsi="Times New Roman"/>
                <w:sz w:val="24"/>
                <w:szCs w:val="24"/>
              </w:rPr>
              <w:t>the Annual Single market and competitiveness report and the Single Market Scoreboard.</w:t>
            </w:r>
            <w:bookmarkEnd w:id="0"/>
          </w:p>
          <w:p w14:paraId="137FE8B3" w14:textId="05EDAF21" w:rsidR="00252574" w:rsidRDefault="003F4C5C" w:rsidP="00CA11A4">
            <w:pPr>
              <w:widowControl w:val="0"/>
              <w:spacing w:before="120" w:after="120"/>
              <w:jc w:val="both"/>
              <w:rPr>
                <w:rFonts w:ascii="Times New Roman" w:hAnsi="Times New Roman"/>
                <w:sz w:val="24"/>
                <w:szCs w:val="24"/>
              </w:rPr>
            </w:pPr>
            <w:r w:rsidRPr="008262FC">
              <w:rPr>
                <w:rFonts w:ascii="Times New Roman" w:hAnsi="Times New Roman"/>
                <w:sz w:val="24"/>
                <w:szCs w:val="24"/>
                <w:u w:val="single"/>
              </w:rPr>
              <w:t>Points 1.</w:t>
            </w:r>
            <w:r w:rsidR="00AF4B48">
              <w:rPr>
                <w:rFonts w:ascii="Times New Roman" w:hAnsi="Times New Roman"/>
                <w:sz w:val="24"/>
                <w:szCs w:val="24"/>
                <w:u w:val="single"/>
              </w:rPr>
              <w:t>6</w:t>
            </w:r>
            <w:r w:rsidRPr="008262FC">
              <w:rPr>
                <w:rFonts w:ascii="Times New Roman" w:hAnsi="Times New Roman"/>
                <w:sz w:val="24"/>
                <w:szCs w:val="24"/>
                <w:u w:val="single"/>
              </w:rPr>
              <w:t>, 4.3 and 5.3</w:t>
            </w:r>
            <w:r w:rsidR="00CA11A4">
              <w:rPr>
                <w:rFonts w:ascii="Times New Roman" w:hAnsi="Times New Roman"/>
                <w:sz w:val="24"/>
                <w:szCs w:val="24"/>
                <w:u w:val="single"/>
              </w:rPr>
              <w:t>:</w:t>
            </w:r>
          </w:p>
          <w:p w14:paraId="3561759C" w14:textId="6713B239" w:rsidR="00252574" w:rsidRPr="00252574" w:rsidRDefault="003F4C5C" w:rsidP="00CA11A4">
            <w:pPr>
              <w:widowControl w:val="0"/>
              <w:spacing w:before="120" w:after="120"/>
              <w:jc w:val="both"/>
              <w:rPr>
                <w:rFonts w:ascii="Times New Roman" w:hAnsi="Times New Roman"/>
                <w:sz w:val="24"/>
                <w:szCs w:val="24"/>
                <w:lang w:val="en-IE"/>
              </w:rPr>
            </w:pPr>
            <w:r w:rsidRPr="09FC8CFA">
              <w:rPr>
                <w:rFonts w:ascii="Times New Roman" w:hAnsi="Times New Roman"/>
                <w:sz w:val="24"/>
                <w:szCs w:val="24"/>
              </w:rPr>
              <w:t xml:space="preserve">Regarding the </w:t>
            </w:r>
            <w:r w:rsidR="00262031" w:rsidRPr="09FC8CFA">
              <w:rPr>
                <w:rFonts w:ascii="Times New Roman" w:hAnsi="Times New Roman"/>
                <w:sz w:val="24"/>
                <w:szCs w:val="24"/>
              </w:rPr>
              <w:t>length of infringement procedures</w:t>
            </w:r>
            <w:r w:rsidR="00D57BE2" w:rsidRPr="09FC8CFA">
              <w:rPr>
                <w:rFonts w:ascii="Times New Roman" w:hAnsi="Times New Roman"/>
                <w:sz w:val="24"/>
                <w:szCs w:val="24"/>
              </w:rPr>
              <w:t xml:space="preserve"> and EU Pilot dialogues</w:t>
            </w:r>
            <w:r w:rsidR="00EC08F7" w:rsidRPr="09FC8CFA">
              <w:rPr>
                <w:rFonts w:ascii="Times New Roman" w:hAnsi="Times New Roman"/>
                <w:sz w:val="24"/>
                <w:szCs w:val="24"/>
              </w:rPr>
              <w:t xml:space="preserve">, </w:t>
            </w:r>
            <w:r w:rsidR="00262031" w:rsidRPr="09FC8CFA">
              <w:rPr>
                <w:rFonts w:ascii="Times New Roman" w:hAnsi="Times New Roman"/>
                <w:sz w:val="24"/>
                <w:szCs w:val="24"/>
              </w:rPr>
              <w:t xml:space="preserve">a greater </w:t>
            </w:r>
            <w:r w:rsidRPr="09FC8CFA">
              <w:rPr>
                <w:rFonts w:ascii="Times New Roman" w:hAnsi="Times New Roman"/>
                <w:sz w:val="24"/>
                <w:szCs w:val="24"/>
              </w:rPr>
              <w:t xml:space="preserve">use of EU </w:t>
            </w:r>
            <w:r w:rsidR="008262FC" w:rsidRPr="09FC8CFA">
              <w:rPr>
                <w:rFonts w:ascii="Times New Roman" w:hAnsi="Times New Roman"/>
                <w:sz w:val="24"/>
                <w:szCs w:val="24"/>
              </w:rPr>
              <w:t xml:space="preserve">Pilot </w:t>
            </w:r>
            <w:r w:rsidR="00262031" w:rsidRPr="09FC8CFA">
              <w:rPr>
                <w:rFonts w:ascii="Times New Roman" w:hAnsi="Times New Roman"/>
                <w:sz w:val="24"/>
                <w:szCs w:val="24"/>
              </w:rPr>
              <w:t>dialogues</w:t>
            </w:r>
            <w:r w:rsidR="00EC08F7" w:rsidRPr="09FC8CFA">
              <w:rPr>
                <w:rFonts w:ascii="Times New Roman" w:hAnsi="Times New Roman"/>
                <w:sz w:val="24"/>
                <w:szCs w:val="24"/>
              </w:rPr>
              <w:t xml:space="preserve"> and the time needed by Member States to comply with a judgment of the Court</w:t>
            </w:r>
            <w:r w:rsidR="00262031" w:rsidRPr="09FC8CFA">
              <w:rPr>
                <w:rFonts w:ascii="Times New Roman" w:hAnsi="Times New Roman"/>
                <w:sz w:val="24"/>
                <w:szCs w:val="24"/>
              </w:rPr>
              <w:t>:</w:t>
            </w:r>
            <w:r w:rsidR="004902D0" w:rsidRPr="09FC8CFA">
              <w:rPr>
                <w:rFonts w:ascii="Times New Roman" w:hAnsi="Times New Roman"/>
                <w:sz w:val="24"/>
                <w:szCs w:val="24"/>
              </w:rPr>
              <w:t xml:space="preserve"> The complexity of </w:t>
            </w:r>
            <w:r w:rsidR="00E31E19" w:rsidRPr="09FC8CFA">
              <w:rPr>
                <w:rFonts w:ascii="Times New Roman" w:hAnsi="Times New Roman"/>
                <w:sz w:val="24"/>
                <w:szCs w:val="24"/>
              </w:rPr>
              <w:t>an infringement case</w:t>
            </w:r>
            <w:r w:rsidR="004902D0" w:rsidRPr="09FC8CFA">
              <w:rPr>
                <w:rFonts w:ascii="Times New Roman" w:hAnsi="Times New Roman"/>
                <w:sz w:val="24"/>
                <w:szCs w:val="24"/>
              </w:rPr>
              <w:t xml:space="preserve">, combined with the need to ensure that Member States are given a fair opportunity to respond to the Commission’s concerns and, eventually, comply with EU law, can lead to delays. </w:t>
            </w:r>
            <w:r w:rsidR="00252574">
              <w:rPr>
                <w:rFonts w:ascii="Times New Roman" w:hAnsi="Times New Roman"/>
                <w:sz w:val="24"/>
                <w:szCs w:val="24"/>
                <w:lang w:val="en-IE"/>
              </w:rPr>
              <w:t>R</w:t>
            </w:r>
            <w:r w:rsidR="00252574" w:rsidRPr="00252574">
              <w:rPr>
                <w:rFonts w:ascii="Times New Roman" w:hAnsi="Times New Roman"/>
                <w:sz w:val="24"/>
                <w:szCs w:val="24"/>
                <w:lang w:val="en-IE"/>
              </w:rPr>
              <w:t xml:space="preserve">educing the length of infringement proceedings requires a joint effort by the parties involved, both the Commission and Member States. This strengthened collaboration is the high point of the Communication on implementation and simplification </w:t>
            </w:r>
            <w:r w:rsidR="004B28CE">
              <w:rPr>
                <w:rFonts w:ascii="Times New Roman" w:hAnsi="Times New Roman"/>
                <w:sz w:val="24"/>
                <w:szCs w:val="24"/>
                <w:lang w:val="en-IE"/>
              </w:rPr>
              <w:t>‘</w:t>
            </w:r>
            <w:r w:rsidR="00252574" w:rsidRPr="00252574">
              <w:rPr>
                <w:rFonts w:ascii="Times New Roman" w:hAnsi="Times New Roman"/>
                <w:sz w:val="24"/>
                <w:szCs w:val="24"/>
                <w:lang w:val="en-IE"/>
              </w:rPr>
              <w:t>A simpler and faster Europe</w:t>
            </w:r>
            <w:r w:rsidR="004B28CE">
              <w:rPr>
                <w:rFonts w:ascii="Times New Roman" w:hAnsi="Times New Roman"/>
                <w:sz w:val="24"/>
                <w:szCs w:val="24"/>
                <w:lang w:val="en-IE"/>
              </w:rPr>
              <w:t>’</w:t>
            </w:r>
            <w:r w:rsidR="00252574" w:rsidRPr="00252574">
              <w:rPr>
                <w:rFonts w:ascii="Times New Roman" w:hAnsi="Times New Roman"/>
                <w:sz w:val="24"/>
                <w:szCs w:val="24"/>
                <w:lang w:val="en-IE"/>
              </w:rPr>
              <w:t xml:space="preserve"> issued by the Commission on 11 February 2025.</w:t>
            </w:r>
          </w:p>
          <w:p w14:paraId="5FEDFAA6" w14:textId="70E77A96" w:rsidR="005A117D" w:rsidRDefault="004902D0" w:rsidP="00CA11A4">
            <w:pPr>
              <w:widowControl w:val="0"/>
              <w:spacing w:before="120" w:after="120"/>
              <w:jc w:val="both"/>
              <w:rPr>
                <w:rFonts w:ascii="Times New Roman" w:hAnsi="Times New Roman"/>
                <w:sz w:val="24"/>
                <w:szCs w:val="24"/>
              </w:rPr>
            </w:pPr>
            <w:r w:rsidRPr="09FC8CFA">
              <w:rPr>
                <w:rFonts w:ascii="Times New Roman" w:hAnsi="Times New Roman"/>
                <w:sz w:val="24"/>
                <w:szCs w:val="24"/>
              </w:rPr>
              <w:t xml:space="preserve">The Commission’s enforcement work </w:t>
            </w:r>
            <w:r w:rsidR="00EB0BA8">
              <w:rPr>
                <w:rFonts w:ascii="Times New Roman" w:hAnsi="Times New Roman"/>
                <w:sz w:val="24"/>
                <w:szCs w:val="24"/>
              </w:rPr>
              <w:t xml:space="preserve">needs to be looked at </w:t>
            </w:r>
            <w:r w:rsidRPr="09FC8CFA">
              <w:rPr>
                <w:rFonts w:ascii="Times New Roman" w:hAnsi="Times New Roman"/>
                <w:sz w:val="24"/>
                <w:szCs w:val="24"/>
              </w:rPr>
              <w:t xml:space="preserve">not only </w:t>
            </w:r>
            <w:r w:rsidR="00EB0BA8">
              <w:rPr>
                <w:rFonts w:ascii="Times New Roman" w:hAnsi="Times New Roman"/>
                <w:sz w:val="24"/>
                <w:szCs w:val="24"/>
              </w:rPr>
              <w:t xml:space="preserve">from the perspective of </w:t>
            </w:r>
            <w:r w:rsidRPr="09FC8CFA">
              <w:rPr>
                <w:rFonts w:ascii="Times New Roman" w:hAnsi="Times New Roman"/>
                <w:sz w:val="24"/>
                <w:szCs w:val="24"/>
              </w:rPr>
              <w:t>its handling speed</w:t>
            </w:r>
            <w:r w:rsidR="00EB0BA8">
              <w:rPr>
                <w:rFonts w:ascii="Times New Roman" w:hAnsi="Times New Roman"/>
                <w:sz w:val="24"/>
                <w:szCs w:val="24"/>
              </w:rPr>
              <w:t>.</w:t>
            </w:r>
            <w:r w:rsidRPr="09FC8CFA">
              <w:rPr>
                <w:rFonts w:ascii="Times New Roman" w:hAnsi="Times New Roman"/>
                <w:sz w:val="24"/>
                <w:szCs w:val="24"/>
              </w:rPr>
              <w:t xml:space="preserve"> </w:t>
            </w:r>
            <w:r w:rsidR="00EB0BA8">
              <w:rPr>
                <w:rFonts w:ascii="Times New Roman" w:hAnsi="Times New Roman"/>
                <w:sz w:val="24"/>
                <w:szCs w:val="24"/>
              </w:rPr>
              <w:t>I</w:t>
            </w:r>
            <w:r w:rsidRPr="09FC8CFA">
              <w:rPr>
                <w:rFonts w:ascii="Times New Roman" w:hAnsi="Times New Roman"/>
                <w:sz w:val="24"/>
                <w:szCs w:val="24"/>
              </w:rPr>
              <w:t xml:space="preserve">t must also stand up to legal scrutiny and have a real impact on the ground. The Court of Justice has repeatedly acknowledged the Commission’s discretion in deciding on the timing of the different steps it takes </w:t>
            </w:r>
            <w:r w:rsidR="00B7402C" w:rsidRPr="09FC8CFA">
              <w:rPr>
                <w:rFonts w:ascii="Times New Roman" w:hAnsi="Times New Roman"/>
                <w:sz w:val="24"/>
                <w:szCs w:val="24"/>
              </w:rPr>
              <w:t xml:space="preserve">in an infringement procedure. </w:t>
            </w:r>
            <w:r w:rsidR="00252574">
              <w:rPr>
                <w:rFonts w:ascii="Times New Roman" w:hAnsi="Times New Roman"/>
                <w:sz w:val="24"/>
                <w:szCs w:val="24"/>
              </w:rPr>
              <w:t xml:space="preserve">Furthermore, it should be recalled that </w:t>
            </w:r>
            <w:r w:rsidR="00252574" w:rsidRPr="00252574">
              <w:rPr>
                <w:rFonts w:ascii="Times New Roman" w:hAnsi="Times New Roman"/>
                <w:sz w:val="24"/>
                <w:szCs w:val="24"/>
                <w:lang w:val="en-IE"/>
              </w:rPr>
              <w:t xml:space="preserve">the purpose of the infringement procedure is to put an end to a breach of EU law. </w:t>
            </w:r>
            <w:r w:rsidRPr="09FC8CFA">
              <w:rPr>
                <w:rFonts w:ascii="Times New Roman" w:hAnsi="Times New Roman"/>
                <w:sz w:val="24"/>
                <w:szCs w:val="24"/>
              </w:rPr>
              <w:t>The Commission is committed to continuing its efforts to streamline its processes</w:t>
            </w:r>
            <w:r w:rsidR="00202920" w:rsidRPr="09FC8CFA">
              <w:rPr>
                <w:rFonts w:ascii="Times New Roman" w:hAnsi="Times New Roman"/>
                <w:sz w:val="24"/>
                <w:szCs w:val="24"/>
              </w:rPr>
              <w:t xml:space="preserve"> in this area</w:t>
            </w:r>
            <w:r w:rsidRPr="09FC8CFA">
              <w:rPr>
                <w:rFonts w:ascii="Times New Roman" w:hAnsi="Times New Roman"/>
                <w:sz w:val="24"/>
                <w:szCs w:val="24"/>
              </w:rPr>
              <w:t xml:space="preserve">, </w:t>
            </w:r>
            <w:r w:rsidR="00202920" w:rsidRPr="09FC8CFA">
              <w:rPr>
                <w:rFonts w:ascii="Times New Roman" w:hAnsi="Times New Roman"/>
                <w:sz w:val="24"/>
                <w:szCs w:val="24"/>
              </w:rPr>
              <w:t xml:space="preserve">including for EU Pilot dialogues, </w:t>
            </w:r>
            <w:r w:rsidR="004D3FC5" w:rsidRPr="09FC8CFA">
              <w:rPr>
                <w:rFonts w:ascii="Times New Roman" w:hAnsi="Times New Roman"/>
                <w:sz w:val="24"/>
                <w:szCs w:val="24"/>
              </w:rPr>
              <w:t>without compromising</w:t>
            </w:r>
            <w:r w:rsidRPr="09FC8CFA">
              <w:rPr>
                <w:rFonts w:ascii="Times New Roman" w:hAnsi="Times New Roman"/>
                <w:sz w:val="24"/>
                <w:szCs w:val="24"/>
              </w:rPr>
              <w:t xml:space="preserve"> the quality and effectiveness of its enforcement work.</w:t>
            </w:r>
            <w:r w:rsidR="00202920" w:rsidRPr="09FC8CFA">
              <w:rPr>
                <w:rFonts w:ascii="Times New Roman" w:hAnsi="Times New Roman"/>
                <w:sz w:val="24"/>
                <w:szCs w:val="24"/>
              </w:rPr>
              <w:t xml:space="preserve"> </w:t>
            </w:r>
            <w:r w:rsidR="00511A5C" w:rsidRPr="09FC8CFA">
              <w:rPr>
                <w:rFonts w:ascii="Times New Roman" w:hAnsi="Times New Roman"/>
                <w:sz w:val="24"/>
                <w:szCs w:val="24"/>
              </w:rPr>
              <w:t xml:space="preserve">The Commission has repeatedly recognised the value </w:t>
            </w:r>
            <w:r w:rsidR="00E52F69" w:rsidRPr="09FC8CFA">
              <w:rPr>
                <w:rFonts w:ascii="Times New Roman" w:hAnsi="Times New Roman"/>
                <w:sz w:val="24"/>
                <w:szCs w:val="24"/>
              </w:rPr>
              <w:t xml:space="preserve">and success of the EU </w:t>
            </w:r>
            <w:r w:rsidR="00E52F69" w:rsidRPr="09FC8CFA">
              <w:rPr>
                <w:rFonts w:ascii="Times New Roman" w:hAnsi="Times New Roman"/>
                <w:sz w:val="24"/>
                <w:szCs w:val="24"/>
              </w:rPr>
              <w:lastRenderedPageBreak/>
              <w:t xml:space="preserve">Pilot dialogue (see for example its 2022 Communication ‘Enforcing EU </w:t>
            </w:r>
            <w:r w:rsidR="005A3148" w:rsidRPr="09FC8CFA">
              <w:rPr>
                <w:rFonts w:ascii="Times New Roman" w:hAnsi="Times New Roman"/>
                <w:sz w:val="24"/>
                <w:szCs w:val="24"/>
              </w:rPr>
              <w:t>l</w:t>
            </w:r>
            <w:r w:rsidR="00E52F69" w:rsidRPr="09FC8CFA">
              <w:rPr>
                <w:rFonts w:ascii="Times New Roman" w:hAnsi="Times New Roman"/>
                <w:sz w:val="24"/>
                <w:szCs w:val="24"/>
              </w:rPr>
              <w:t xml:space="preserve">aw for a Europe that </w:t>
            </w:r>
            <w:r w:rsidR="005A3148" w:rsidRPr="09FC8CFA">
              <w:rPr>
                <w:rFonts w:ascii="Times New Roman" w:hAnsi="Times New Roman"/>
                <w:sz w:val="24"/>
                <w:szCs w:val="24"/>
              </w:rPr>
              <w:t>delivers’</w:t>
            </w:r>
            <w:r w:rsidR="003A6591">
              <w:rPr>
                <w:rStyle w:val="FootnoteReference"/>
                <w:rFonts w:ascii="Times New Roman" w:hAnsi="Times New Roman"/>
                <w:sz w:val="24"/>
                <w:szCs w:val="24"/>
              </w:rPr>
              <w:footnoteReference w:id="2"/>
            </w:r>
            <w:r w:rsidR="005A3148" w:rsidRPr="09FC8CFA">
              <w:rPr>
                <w:rFonts w:ascii="Times New Roman" w:hAnsi="Times New Roman"/>
                <w:sz w:val="24"/>
                <w:szCs w:val="24"/>
              </w:rPr>
              <w:t>).</w:t>
            </w:r>
            <w:r w:rsidR="00881730" w:rsidRPr="09FC8CFA">
              <w:rPr>
                <w:rFonts w:ascii="Times New Roman" w:hAnsi="Times New Roman"/>
                <w:sz w:val="24"/>
                <w:szCs w:val="24"/>
              </w:rPr>
              <w:t xml:space="preserve"> </w:t>
            </w:r>
            <w:r w:rsidR="00EC08F7" w:rsidRPr="09FC8CFA">
              <w:rPr>
                <w:rFonts w:ascii="Times New Roman" w:hAnsi="Times New Roman"/>
                <w:sz w:val="24"/>
                <w:szCs w:val="24"/>
              </w:rPr>
              <w:t>The time needed for Member States to comply with judgments of the Court of Justice of the EU depends on several factors.</w:t>
            </w:r>
            <w:r w:rsidR="001C071B" w:rsidRPr="09FC8CFA">
              <w:rPr>
                <w:rFonts w:ascii="Times New Roman" w:hAnsi="Times New Roman"/>
                <w:sz w:val="24"/>
                <w:szCs w:val="24"/>
              </w:rPr>
              <w:t xml:space="preserve"> For example, </w:t>
            </w:r>
            <w:r w:rsidR="54773E28" w:rsidRPr="09FC8CFA">
              <w:rPr>
                <w:rFonts w:ascii="Times New Roman" w:hAnsi="Times New Roman"/>
                <w:sz w:val="24"/>
                <w:szCs w:val="24"/>
              </w:rPr>
              <w:t xml:space="preserve">cases where EU law is </w:t>
            </w:r>
            <w:r w:rsidR="00330947">
              <w:rPr>
                <w:rFonts w:ascii="Times New Roman" w:hAnsi="Times New Roman"/>
                <w:sz w:val="24"/>
                <w:szCs w:val="24"/>
              </w:rPr>
              <w:t>not correctly</w:t>
            </w:r>
            <w:r w:rsidR="00330947" w:rsidRPr="09FC8CFA">
              <w:rPr>
                <w:rFonts w:ascii="Times New Roman" w:hAnsi="Times New Roman"/>
                <w:sz w:val="24"/>
                <w:szCs w:val="24"/>
              </w:rPr>
              <w:t xml:space="preserve"> </w:t>
            </w:r>
            <w:r w:rsidR="54773E28" w:rsidRPr="09FC8CFA">
              <w:rPr>
                <w:rFonts w:ascii="Times New Roman" w:hAnsi="Times New Roman"/>
                <w:sz w:val="24"/>
                <w:szCs w:val="24"/>
              </w:rPr>
              <w:t>applied</w:t>
            </w:r>
            <w:r w:rsidR="001C071B" w:rsidRPr="09FC8CFA">
              <w:rPr>
                <w:rFonts w:ascii="Times New Roman" w:hAnsi="Times New Roman"/>
                <w:sz w:val="24"/>
                <w:szCs w:val="24"/>
              </w:rPr>
              <w:t xml:space="preserve"> tend to be more time-consuming since they </w:t>
            </w:r>
            <w:r w:rsidR="00220A05" w:rsidRPr="09FC8CFA">
              <w:rPr>
                <w:rFonts w:ascii="Times New Roman" w:hAnsi="Times New Roman"/>
                <w:sz w:val="24"/>
                <w:szCs w:val="24"/>
              </w:rPr>
              <w:t xml:space="preserve">often </w:t>
            </w:r>
            <w:r w:rsidR="001C071B" w:rsidRPr="09FC8CFA">
              <w:rPr>
                <w:rFonts w:ascii="Times New Roman" w:hAnsi="Times New Roman"/>
                <w:sz w:val="24"/>
                <w:szCs w:val="24"/>
              </w:rPr>
              <w:t xml:space="preserve">involve systemic problems </w:t>
            </w:r>
            <w:r w:rsidR="00220A05" w:rsidRPr="09FC8CFA">
              <w:rPr>
                <w:rFonts w:ascii="Times New Roman" w:hAnsi="Times New Roman"/>
                <w:sz w:val="24"/>
                <w:szCs w:val="24"/>
              </w:rPr>
              <w:t xml:space="preserve">requiring developments </w:t>
            </w:r>
            <w:r w:rsidR="00656879" w:rsidRPr="09FC8CFA">
              <w:rPr>
                <w:rFonts w:ascii="Times New Roman" w:hAnsi="Times New Roman"/>
                <w:sz w:val="24"/>
                <w:szCs w:val="24"/>
              </w:rPr>
              <w:t>over time (e.g. restoration of nature, putting in place infrastructure, etc.).</w:t>
            </w:r>
          </w:p>
          <w:p w14:paraId="610DA60B" w14:textId="19A4E34C" w:rsidR="009D0EA9" w:rsidRDefault="005A117D" w:rsidP="00CA11A4">
            <w:pPr>
              <w:widowControl w:val="0"/>
              <w:spacing w:before="120" w:after="120"/>
              <w:jc w:val="both"/>
              <w:rPr>
                <w:rFonts w:ascii="Times New Roman" w:hAnsi="Times New Roman"/>
                <w:sz w:val="24"/>
                <w:szCs w:val="24"/>
              </w:rPr>
            </w:pPr>
            <w:r w:rsidRPr="09FC8CFA">
              <w:rPr>
                <w:rFonts w:ascii="Times New Roman" w:hAnsi="Times New Roman"/>
                <w:sz w:val="24"/>
                <w:szCs w:val="24"/>
              </w:rPr>
              <w:t xml:space="preserve">As regards </w:t>
            </w:r>
            <w:r w:rsidR="008E1AA7" w:rsidRPr="09FC8CFA">
              <w:rPr>
                <w:rFonts w:ascii="Times New Roman" w:hAnsi="Times New Roman"/>
                <w:sz w:val="24"/>
                <w:szCs w:val="24"/>
              </w:rPr>
              <w:t>the</w:t>
            </w:r>
            <w:r w:rsidRPr="09FC8CFA">
              <w:rPr>
                <w:rFonts w:ascii="Times New Roman" w:hAnsi="Times New Roman"/>
                <w:sz w:val="24"/>
                <w:szCs w:val="24"/>
              </w:rPr>
              <w:t xml:space="preserve"> Single Market, </w:t>
            </w:r>
            <w:r w:rsidR="001036D8" w:rsidRPr="09FC8CFA">
              <w:rPr>
                <w:rFonts w:ascii="Times New Roman" w:hAnsi="Times New Roman"/>
                <w:sz w:val="24"/>
                <w:szCs w:val="24"/>
              </w:rPr>
              <w:t xml:space="preserve">the Commission has increasingly addressed </w:t>
            </w:r>
            <w:r w:rsidRPr="09FC8CFA">
              <w:rPr>
                <w:rFonts w:ascii="Times New Roman" w:hAnsi="Times New Roman"/>
                <w:sz w:val="24"/>
                <w:szCs w:val="24"/>
              </w:rPr>
              <w:t xml:space="preserve">obstacles </w:t>
            </w:r>
            <w:r w:rsidR="001036D8" w:rsidRPr="09FC8CFA">
              <w:rPr>
                <w:rFonts w:ascii="Times New Roman" w:hAnsi="Times New Roman"/>
                <w:sz w:val="24"/>
                <w:szCs w:val="24"/>
              </w:rPr>
              <w:t xml:space="preserve">with the use of various proactive and cooperative mechanisms, which is often </w:t>
            </w:r>
            <w:r w:rsidR="00330947">
              <w:rPr>
                <w:rFonts w:ascii="Times New Roman" w:hAnsi="Times New Roman"/>
                <w:sz w:val="24"/>
                <w:szCs w:val="24"/>
              </w:rPr>
              <w:t>an</w:t>
            </w:r>
            <w:r w:rsidR="00330947" w:rsidRPr="09FC8CFA">
              <w:rPr>
                <w:rFonts w:ascii="Times New Roman" w:hAnsi="Times New Roman"/>
                <w:sz w:val="24"/>
                <w:szCs w:val="24"/>
              </w:rPr>
              <w:t xml:space="preserve"> </w:t>
            </w:r>
            <w:r w:rsidR="001036D8" w:rsidRPr="09FC8CFA">
              <w:rPr>
                <w:rFonts w:ascii="Times New Roman" w:hAnsi="Times New Roman"/>
                <w:sz w:val="24"/>
                <w:szCs w:val="24"/>
              </w:rPr>
              <w:t xml:space="preserve">effective and faster </w:t>
            </w:r>
            <w:r w:rsidR="00330947">
              <w:rPr>
                <w:rFonts w:ascii="Times New Roman" w:hAnsi="Times New Roman"/>
                <w:sz w:val="24"/>
                <w:szCs w:val="24"/>
              </w:rPr>
              <w:t>way</w:t>
            </w:r>
            <w:r w:rsidR="00330947" w:rsidRPr="09FC8CFA">
              <w:rPr>
                <w:rFonts w:ascii="Times New Roman" w:hAnsi="Times New Roman"/>
                <w:sz w:val="24"/>
                <w:szCs w:val="24"/>
              </w:rPr>
              <w:t xml:space="preserve"> </w:t>
            </w:r>
            <w:r w:rsidR="001036D8" w:rsidRPr="09FC8CFA">
              <w:rPr>
                <w:rFonts w:ascii="Times New Roman" w:hAnsi="Times New Roman"/>
                <w:sz w:val="24"/>
                <w:szCs w:val="24"/>
              </w:rPr>
              <w:t>ensure the proper functioning of the Single Market</w:t>
            </w:r>
            <w:r w:rsidR="00330947">
              <w:rPr>
                <w:rFonts w:ascii="Times New Roman" w:hAnsi="Times New Roman"/>
                <w:sz w:val="24"/>
                <w:szCs w:val="24"/>
              </w:rPr>
              <w:t xml:space="preserve"> before needing to resort </w:t>
            </w:r>
            <w:r w:rsidR="001036D8" w:rsidRPr="09FC8CFA">
              <w:rPr>
                <w:rFonts w:ascii="Times New Roman" w:hAnsi="Times New Roman"/>
                <w:sz w:val="24"/>
                <w:szCs w:val="24"/>
              </w:rPr>
              <w:t xml:space="preserve">to infringement procedures. Good results have been achieved </w:t>
            </w:r>
            <w:r w:rsidR="7CBCDE15" w:rsidRPr="09FC8CFA">
              <w:rPr>
                <w:rFonts w:ascii="Times New Roman" w:hAnsi="Times New Roman"/>
                <w:sz w:val="24"/>
                <w:szCs w:val="24"/>
              </w:rPr>
              <w:t>with</w:t>
            </w:r>
            <w:r w:rsidR="001036D8" w:rsidRPr="09FC8CFA">
              <w:rPr>
                <w:rFonts w:ascii="Times New Roman" w:hAnsi="Times New Roman"/>
                <w:sz w:val="24"/>
                <w:szCs w:val="24"/>
              </w:rPr>
              <w:t xml:space="preserve"> the use of Single Market Task Force (SMET) established in 2020</w:t>
            </w:r>
            <w:r w:rsidR="6EFD2BB0" w:rsidRPr="09FC8CFA">
              <w:rPr>
                <w:rFonts w:ascii="Times New Roman" w:hAnsi="Times New Roman"/>
                <w:sz w:val="24"/>
                <w:szCs w:val="24"/>
              </w:rPr>
              <w:t>, or with</w:t>
            </w:r>
            <w:r w:rsidR="001036D8" w:rsidRPr="09FC8CFA">
              <w:rPr>
                <w:rFonts w:ascii="Times New Roman" w:hAnsi="Times New Roman"/>
                <w:sz w:val="24"/>
                <w:szCs w:val="24"/>
              </w:rPr>
              <w:t xml:space="preserve"> the </w:t>
            </w:r>
            <w:r w:rsidR="008B0362" w:rsidRPr="09FC8CFA">
              <w:rPr>
                <w:rFonts w:ascii="Times New Roman" w:hAnsi="Times New Roman"/>
                <w:sz w:val="24"/>
                <w:szCs w:val="24"/>
              </w:rPr>
              <w:t xml:space="preserve">cross-border </w:t>
            </w:r>
            <w:r w:rsidR="001036D8" w:rsidRPr="09FC8CFA">
              <w:rPr>
                <w:rFonts w:ascii="Times New Roman" w:hAnsi="Times New Roman"/>
                <w:sz w:val="24"/>
                <w:szCs w:val="24"/>
              </w:rPr>
              <w:t>problem-solving tool SOLVIT.</w:t>
            </w:r>
            <w:r w:rsidR="00FB2925" w:rsidRPr="09FC8CFA">
              <w:rPr>
                <w:rFonts w:ascii="Times New Roman" w:hAnsi="Times New Roman"/>
                <w:sz w:val="24"/>
                <w:szCs w:val="24"/>
              </w:rPr>
              <w:t xml:space="preserve"> </w:t>
            </w:r>
            <w:r w:rsidR="001036D8" w:rsidRPr="09FC8CFA">
              <w:rPr>
                <w:rFonts w:ascii="Times New Roman" w:hAnsi="Times New Roman"/>
                <w:sz w:val="24"/>
                <w:szCs w:val="24"/>
              </w:rPr>
              <w:t xml:space="preserve">The </w:t>
            </w:r>
            <w:r w:rsidR="007E71E2" w:rsidRPr="09FC8CFA">
              <w:rPr>
                <w:rFonts w:ascii="Times New Roman" w:hAnsi="Times New Roman"/>
                <w:sz w:val="24"/>
                <w:szCs w:val="24"/>
              </w:rPr>
              <w:t>Commission’s</w:t>
            </w:r>
            <w:r w:rsidR="001036D8" w:rsidRPr="09FC8CFA">
              <w:rPr>
                <w:rFonts w:ascii="Times New Roman" w:hAnsi="Times New Roman"/>
                <w:sz w:val="24"/>
                <w:szCs w:val="24"/>
              </w:rPr>
              <w:t xml:space="preserve"> Single Market Strategy </w:t>
            </w:r>
            <w:r w:rsidR="007E71E2" w:rsidRPr="09FC8CFA">
              <w:rPr>
                <w:rFonts w:ascii="Times New Roman" w:hAnsi="Times New Roman"/>
                <w:sz w:val="24"/>
                <w:szCs w:val="24"/>
              </w:rPr>
              <w:t>of 21 May 2025</w:t>
            </w:r>
            <w:r w:rsidR="003A6591">
              <w:rPr>
                <w:rStyle w:val="FootnoteReference"/>
                <w:rFonts w:ascii="Times New Roman" w:hAnsi="Times New Roman"/>
                <w:sz w:val="24"/>
                <w:szCs w:val="24"/>
              </w:rPr>
              <w:footnoteReference w:id="3"/>
            </w:r>
            <w:r w:rsidR="007E71E2" w:rsidRPr="09FC8CFA">
              <w:rPr>
                <w:rFonts w:ascii="Times New Roman" w:hAnsi="Times New Roman"/>
                <w:sz w:val="24"/>
                <w:szCs w:val="24"/>
              </w:rPr>
              <w:t xml:space="preserve"> </w:t>
            </w:r>
            <w:r w:rsidR="001036D8" w:rsidRPr="09FC8CFA">
              <w:rPr>
                <w:rFonts w:ascii="Times New Roman" w:hAnsi="Times New Roman"/>
                <w:sz w:val="24"/>
                <w:szCs w:val="24"/>
              </w:rPr>
              <w:t xml:space="preserve">also recognised that political reinforcement was needed to further empower </w:t>
            </w:r>
            <w:r w:rsidR="007E71E2" w:rsidRPr="09FC8CFA">
              <w:rPr>
                <w:rFonts w:ascii="Times New Roman" w:hAnsi="Times New Roman"/>
                <w:sz w:val="24"/>
                <w:szCs w:val="24"/>
              </w:rPr>
              <w:t>SMET</w:t>
            </w:r>
            <w:r w:rsidR="001036D8" w:rsidRPr="09FC8CFA">
              <w:rPr>
                <w:rFonts w:ascii="Times New Roman" w:hAnsi="Times New Roman"/>
                <w:sz w:val="24"/>
                <w:szCs w:val="24"/>
              </w:rPr>
              <w:t xml:space="preserve"> with an annual high-level political meeting. This meeting will bring together Member States’ ministers responsible for the Single Market, high-level Single Market Sherpas and the Commission’s Executive Vice-President in charge of the Single Market.</w:t>
            </w:r>
            <w:r w:rsidR="3077EE76" w:rsidRPr="09FC8CFA">
              <w:rPr>
                <w:rFonts w:ascii="Times New Roman" w:hAnsi="Times New Roman"/>
                <w:sz w:val="24"/>
                <w:szCs w:val="24"/>
              </w:rPr>
              <w:t xml:space="preserve"> The Strategy also </w:t>
            </w:r>
            <w:r w:rsidR="19349759" w:rsidRPr="09FC8CFA">
              <w:rPr>
                <w:rFonts w:ascii="Times New Roman" w:hAnsi="Times New Roman"/>
                <w:sz w:val="24"/>
                <w:szCs w:val="24"/>
              </w:rPr>
              <w:t xml:space="preserve">makes it clear that, where this cooperative approach fails, the Commission will not hesitate to make full use of its enforcement tools. </w:t>
            </w:r>
            <w:r w:rsidR="2BB35077" w:rsidRPr="09FC8CFA">
              <w:rPr>
                <w:rFonts w:ascii="Times New Roman" w:hAnsi="Times New Roman"/>
                <w:sz w:val="24"/>
                <w:szCs w:val="24"/>
              </w:rPr>
              <w:t>In addition to ensuring enforcement in response to significant breaches of EU law indicated by stakeholders, the focus will be on proactive and strategic enforcement of Single Market rules. The Commission will identify priority policy areas and present them in an annual Single Market enforcement agenda, conduct a systematic investigation into the implementation and application of Single Market rules in these areas, and where appropriate, launch infringement procedures in a coordinated manner.</w:t>
            </w:r>
          </w:p>
          <w:p w14:paraId="78737B9A" w14:textId="62ACF731" w:rsidR="003F4C5C" w:rsidRPr="004F6117" w:rsidRDefault="2BB35077" w:rsidP="00CA11A4">
            <w:pPr>
              <w:widowControl w:val="0"/>
              <w:spacing w:before="120" w:after="120"/>
              <w:jc w:val="both"/>
              <w:rPr>
                <w:rFonts w:ascii="Times New Roman" w:hAnsi="Times New Roman"/>
                <w:sz w:val="24"/>
                <w:szCs w:val="24"/>
              </w:rPr>
            </w:pPr>
            <w:r w:rsidRPr="09FC8CFA">
              <w:rPr>
                <w:rFonts w:ascii="Times New Roman" w:hAnsi="Times New Roman"/>
                <w:sz w:val="24"/>
                <w:szCs w:val="24"/>
              </w:rPr>
              <w:t>Regarding complainants, t</w:t>
            </w:r>
            <w:r w:rsidR="00142A42" w:rsidRPr="09FC8CFA">
              <w:rPr>
                <w:rFonts w:ascii="Times New Roman" w:hAnsi="Times New Roman"/>
                <w:sz w:val="24"/>
                <w:szCs w:val="24"/>
              </w:rPr>
              <w:t>he Commission recalls that the primary purpose of the infringement procedure is to ensure that the Member States give effect to EU law in the general interest, not to provide individual redress</w:t>
            </w:r>
            <w:r w:rsidR="00AE1E3B" w:rsidRPr="09FC8CFA">
              <w:rPr>
                <w:rFonts w:ascii="Times New Roman" w:hAnsi="Times New Roman"/>
                <w:sz w:val="24"/>
                <w:szCs w:val="24"/>
              </w:rPr>
              <w:t>. A judgment by the Court of Justice is addressed to a Member State and can only</w:t>
            </w:r>
            <w:r w:rsidR="00CB1EB0" w:rsidRPr="09FC8CFA">
              <w:rPr>
                <w:rFonts w:ascii="Times New Roman" w:hAnsi="Times New Roman"/>
                <w:sz w:val="24"/>
                <w:szCs w:val="24"/>
              </w:rPr>
              <w:t xml:space="preserve"> </w:t>
            </w:r>
            <w:r w:rsidR="00AE1E3B" w:rsidRPr="09FC8CFA">
              <w:rPr>
                <w:rFonts w:ascii="Times New Roman" w:hAnsi="Times New Roman"/>
                <w:sz w:val="24"/>
                <w:szCs w:val="24"/>
              </w:rPr>
              <w:t>indirectly address an individual’s problem. The Court of Justice cannot order the Member</w:t>
            </w:r>
            <w:r w:rsidR="00CB1EB0" w:rsidRPr="09FC8CFA">
              <w:rPr>
                <w:rFonts w:ascii="Times New Roman" w:hAnsi="Times New Roman"/>
                <w:sz w:val="24"/>
                <w:szCs w:val="24"/>
              </w:rPr>
              <w:t xml:space="preserve"> </w:t>
            </w:r>
            <w:r w:rsidR="00AE1E3B" w:rsidRPr="09FC8CFA">
              <w:rPr>
                <w:rFonts w:ascii="Times New Roman" w:hAnsi="Times New Roman"/>
                <w:sz w:val="24"/>
                <w:szCs w:val="24"/>
              </w:rPr>
              <w:t xml:space="preserve">State to pay damages to an individual adversely affected by an infringement of EU law. </w:t>
            </w:r>
            <w:r w:rsidR="79F99B5B" w:rsidRPr="09FC8CFA">
              <w:rPr>
                <w:rFonts w:ascii="Times New Roman" w:hAnsi="Times New Roman"/>
                <w:sz w:val="24"/>
                <w:szCs w:val="24"/>
              </w:rPr>
              <w:t>If complainants wish t</w:t>
            </w:r>
            <w:r w:rsidR="00AE1E3B" w:rsidRPr="09FC8CFA">
              <w:rPr>
                <w:rFonts w:ascii="Times New Roman" w:hAnsi="Times New Roman"/>
                <w:sz w:val="24"/>
                <w:szCs w:val="24"/>
              </w:rPr>
              <w:t>o</w:t>
            </w:r>
            <w:r w:rsidR="00CB1EB0" w:rsidRPr="09FC8CFA">
              <w:rPr>
                <w:rFonts w:ascii="Times New Roman" w:hAnsi="Times New Roman"/>
                <w:sz w:val="24"/>
                <w:szCs w:val="24"/>
              </w:rPr>
              <w:t xml:space="preserve"> </w:t>
            </w:r>
            <w:r w:rsidR="00AE1E3B" w:rsidRPr="09FC8CFA">
              <w:rPr>
                <w:rFonts w:ascii="Times New Roman" w:hAnsi="Times New Roman"/>
                <w:sz w:val="24"/>
                <w:szCs w:val="24"/>
              </w:rPr>
              <w:t xml:space="preserve">seek compensation or have a national measure annulled, </w:t>
            </w:r>
            <w:r w:rsidR="7D087DA3" w:rsidRPr="09FC8CFA">
              <w:rPr>
                <w:rFonts w:ascii="Times New Roman" w:hAnsi="Times New Roman"/>
                <w:sz w:val="24"/>
                <w:szCs w:val="24"/>
              </w:rPr>
              <w:t>they</w:t>
            </w:r>
            <w:r w:rsidR="04F2BA4A" w:rsidRPr="09FC8CFA">
              <w:rPr>
                <w:rFonts w:ascii="Times New Roman" w:hAnsi="Times New Roman"/>
                <w:sz w:val="24"/>
                <w:szCs w:val="24"/>
              </w:rPr>
              <w:t xml:space="preserve"> </w:t>
            </w:r>
            <w:r w:rsidR="00AE1E3B" w:rsidRPr="09FC8CFA">
              <w:rPr>
                <w:rFonts w:ascii="Times New Roman" w:hAnsi="Times New Roman"/>
                <w:sz w:val="24"/>
                <w:szCs w:val="24"/>
              </w:rPr>
              <w:t>must still take their</w:t>
            </w:r>
            <w:r w:rsidR="00CB1EB0" w:rsidRPr="09FC8CFA">
              <w:rPr>
                <w:rFonts w:ascii="Times New Roman" w:hAnsi="Times New Roman"/>
                <w:sz w:val="24"/>
                <w:szCs w:val="24"/>
              </w:rPr>
              <w:t xml:space="preserve"> </w:t>
            </w:r>
            <w:r w:rsidR="00AE1E3B" w:rsidRPr="09FC8CFA">
              <w:rPr>
                <w:rFonts w:ascii="Times New Roman" w:hAnsi="Times New Roman"/>
                <w:sz w:val="24"/>
                <w:szCs w:val="24"/>
              </w:rPr>
              <w:t>case to a national court.</w:t>
            </w:r>
            <w:r w:rsidR="009D0EA9" w:rsidRPr="09FC8CFA">
              <w:rPr>
                <w:rFonts w:ascii="Times New Roman" w:hAnsi="Times New Roman"/>
                <w:sz w:val="24"/>
                <w:szCs w:val="24"/>
              </w:rPr>
              <w:t xml:space="preserve"> Once the Member State </w:t>
            </w:r>
            <w:r w:rsidR="00D8222A" w:rsidRPr="09FC8CFA">
              <w:rPr>
                <w:rFonts w:ascii="Times New Roman" w:hAnsi="Times New Roman"/>
                <w:sz w:val="24"/>
                <w:szCs w:val="24"/>
              </w:rPr>
              <w:t xml:space="preserve">remedies the breach of EU law for which an infringement procedure had been launched, the Commission </w:t>
            </w:r>
            <w:r w:rsidR="34883B59" w:rsidRPr="09FC8CFA">
              <w:rPr>
                <w:rFonts w:ascii="Times New Roman" w:hAnsi="Times New Roman"/>
                <w:sz w:val="24"/>
                <w:szCs w:val="24"/>
              </w:rPr>
              <w:t>has no choice but</w:t>
            </w:r>
            <w:r w:rsidR="00D8222A" w:rsidRPr="09FC8CFA">
              <w:rPr>
                <w:rFonts w:ascii="Times New Roman" w:hAnsi="Times New Roman"/>
                <w:sz w:val="24"/>
                <w:szCs w:val="24"/>
              </w:rPr>
              <w:t xml:space="preserve"> to close the case.</w:t>
            </w:r>
          </w:p>
          <w:p w14:paraId="63103766" w14:textId="1D7F666E" w:rsidR="001229DB" w:rsidRDefault="00644573" w:rsidP="00CA11A4">
            <w:pPr>
              <w:widowControl w:val="0"/>
              <w:spacing w:before="120" w:after="120"/>
              <w:jc w:val="both"/>
              <w:rPr>
                <w:rFonts w:ascii="Times New Roman" w:hAnsi="Times New Roman"/>
                <w:bCs/>
                <w:sz w:val="24"/>
                <w:szCs w:val="24"/>
              </w:rPr>
            </w:pPr>
            <w:r w:rsidRPr="00644573">
              <w:rPr>
                <w:rFonts w:ascii="Times New Roman" w:hAnsi="Times New Roman"/>
                <w:bCs/>
                <w:sz w:val="24"/>
                <w:szCs w:val="24"/>
              </w:rPr>
              <w:t xml:space="preserve">For the single market, SOLVIT was created as an informal tool to help private individuals, (mobile) workers and businesses to help solve concrete problems they encounter because of the breach of EU law by public authorities in a cross-border context. The information provided in the </w:t>
            </w:r>
            <w:r w:rsidR="003641D2">
              <w:rPr>
                <w:rFonts w:ascii="Times New Roman" w:hAnsi="Times New Roman"/>
                <w:bCs/>
                <w:sz w:val="24"/>
                <w:szCs w:val="24"/>
              </w:rPr>
              <w:t xml:space="preserve">Opinion </w:t>
            </w:r>
            <w:r w:rsidRPr="00644573">
              <w:rPr>
                <w:rFonts w:ascii="Times New Roman" w:hAnsi="Times New Roman"/>
                <w:bCs/>
                <w:sz w:val="24"/>
                <w:szCs w:val="24"/>
              </w:rPr>
              <w:t>on the resolution rate of SOLVIT complaints is not factually correct and does not correspond to the data provided in the Single Market Scoreboard. In 2024, the network dealt with 3</w:t>
            </w:r>
            <w:r w:rsidR="002A6540">
              <w:rPr>
                <w:rFonts w:ascii="Times New Roman" w:hAnsi="Times New Roman"/>
                <w:bCs/>
                <w:sz w:val="24"/>
                <w:szCs w:val="24"/>
              </w:rPr>
              <w:t xml:space="preserve"> </w:t>
            </w:r>
            <w:r w:rsidRPr="00644573">
              <w:rPr>
                <w:rFonts w:ascii="Times New Roman" w:hAnsi="Times New Roman"/>
                <w:bCs/>
                <w:sz w:val="24"/>
                <w:szCs w:val="24"/>
              </w:rPr>
              <w:t>339 cases of which 2 590 cases were solved. Of these more than 2</w:t>
            </w:r>
            <w:r w:rsidR="002A6540">
              <w:rPr>
                <w:rFonts w:ascii="Times New Roman" w:hAnsi="Times New Roman"/>
                <w:bCs/>
                <w:sz w:val="24"/>
                <w:szCs w:val="24"/>
              </w:rPr>
              <w:t xml:space="preserve"> </w:t>
            </w:r>
            <w:r w:rsidRPr="00644573">
              <w:rPr>
                <w:rFonts w:ascii="Times New Roman" w:hAnsi="Times New Roman"/>
                <w:bCs/>
                <w:sz w:val="24"/>
                <w:szCs w:val="24"/>
              </w:rPr>
              <w:t>500 solved cases only 16</w:t>
            </w:r>
            <w:r w:rsidR="003641D2">
              <w:rPr>
                <w:rFonts w:ascii="Times New Roman" w:hAnsi="Times New Roman"/>
                <w:bCs/>
                <w:sz w:val="24"/>
                <w:szCs w:val="24"/>
              </w:rPr>
              <w:t> </w:t>
            </w:r>
            <w:r w:rsidRPr="00644573">
              <w:rPr>
                <w:rFonts w:ascii="Times New Roman" w:hAnsi="Times New Roman"/>
                <w:bCs/>
                <w:sz w:val="24"/>
                <w:szCs w:val="24"/>
              </w:rPr>
              <w:t>cases took longer than a year to address.</w:t>
            </w:r>
          </w:p>
          <w:p w14:paraId="479C4C97" w14:textId="77777777" w:rsidR="003967D3" w:rsidRDefault="003967D3" w:rsidP="00CA11A4">
            <w:pPr>
              <w:widowControl w:val="0"/>
              <w:spacing w:before="120" w:after="120"/>
              <w:jc w:val="both"/>
              <w:rPr>
                <w:rFonts w:ascii="Times New Roman" w:hAnsi="Times New Roman"/>
                <w:bCs/>
                <w:sz w:val="24"/>
                <w:szCs w:val="24"/>
              </w:rPr>
            </w:pPr>
          </w:p>
          <w:p w14:paraId="00A9D5C1" w14:textId="43BF33FF" w:rsidR="008262FC" w:rsidRPr="008262FC" w:rsidRDefault="008262FC" w:rsidP="00CA11A4">
            <w:pPr>
              <w:widowControl w:val="0"/>
              <w:spacing w:before="120" w:after="120"/>
              <w:jc w:val="both"/>
              <w:rPr>
                <w:rFonts w:ascii="Times New Roman" w:hAnsi="Times New Roman"/>
                <w:bCs/>
                <w:sz w:val="24"/>
                <w:szCs w:val="24"/>
                <w:u w:val="single"/>
              </w:rPr>
            </w:pPr>
            <w:r w:rsidRPr="008262FC">
              <w:rPr>
                <w:rFonts w:ascii="Times New Roman" w:hAnsi="Times New Roman"/>
                <w:bCs/>
                <w:sz w:val="24"/>
                <w:szCs w:val="24"/>
                <w:u w:val="single"/>
              </w:rPr>
              <w:lastRenderedPageBreak/>
              <w:t>Point 5.4</w:t>
            </w:r>
            <w:r w:rsidR="00CA11A4">
              <w:rPr>
                <w:rFonts w:ascii="Times New Roman" w:hAnsi="Times New Roman"/>
                <w:bCs/>
                <w:sz w:val="24"/>
                <w:szCs w:val="24"/>
                <w:u w:val="single"/>
              </w:rPr>
              <w:t>:</w:t>
            </w:r>
          </w:p>
          <w:p w14:paraId="4F8001DE" w14:textId="59ADC16B" w:rsidR="003F5888" w:rsidRDefault="003F5888" w:rsidP="00CA11A4">
            <w:pPr>
              <w:widowControl w:val="0"/>
              <w:spacing w:before="120" w:after="120"/>
              <w:jc w:val="both"/>
              <w:rPr>
                <w:rFonts w:ascii="Times New Roman" w:hAnsi="Times New Roman"/>
                <w:sz w:val="24"/>
                <w:szCs w:val="24"/>
              </w:rPr>
            </w:pPr>
            <w:r>
              <w:rPr>
                <w:rFonts w:ascii="Times New Roman" w:hAnsi="Times New Roman"/>
                <w:sz w:val="24"/>
                <w:szCs w:val="24"/>
              </w:rPr>
              <w:t>A</w:t>
            </w:r>
            <w:r w:rsidRPr="008E44A4">
              <w:rPr>
                <w:rFonts w:ascii="Times New Roman" w:hAnsi="Times New Roman"/>
                <w:sz w:val="24"/>
                <w:szCs w:val="24"/>
              </w:rPr>
              <w:t xml:space="preserve">s announced in the 2025 Commission’s Work Programme, the Commission </w:t>
            </w:r>
            <w:r w:rsidR="00371AF1">
              <w:rPr>
                <w:rFonts w:ascii="Times New Roman" w:hAnsi="Times New Roman"/>
                <w:sz w:val="24"/>
                <w:szCs w:val="24"/>
              </w:rPr>
              <w:t xml:space="preserve">adopted </w:t>
            </w:r>
            <w:proofErr w:type="spellStart"/>
            <w:r w:rsidR="00371AF1">
              <w:rPr>
                <w:rFonts w:ascii="Times New Roman" w:hAnsi="Times New Roman"/>
                <w:sz w:val="24"/>
                <w:szCs w:val="24"/>
              </w:rPr>
              <w:t>its</w:t>
            </w:r>
            <w:proofErr w:type="spellEnd"/>
            <w:r w:rsidR="00371AF1">
              <w:rPr>
                <w:rFonts w:ascii="Times New Roman" w:hAnsi="Times New Roman"/>
                <w:sz w:val="24"/>
                <w:szCs w:val="24"/>
              </w:rPr>
              <w:t xml:space="preserve"> </w:t>
            </w:r>
            <w:r>
              <w:rPr>
                <w:rFonts w:ascii="Times New Roman" w:hAnsi="Times New Roman"/>
                <w:sz w:val="24"/>
                <w:szCs w:val="24"/>
              </w:rPr>
              <w:t xml:space="preserve">the first-ever EU Strategy for </w:t>
            </w:r>
            <w:r w:rsidRPr="008E44A4">
              <w:rPr>
                <w:rFonts w:ascii="Times New Roman" w:hAnsi="Times New Roman"/>
                <w:sz w:val="24"/>
                <w:szCs w:val="24"/>
              </w:rPr>
              <w:t>Civil Society</w:t>
            </w:r>
            <w:r w:rsidR="00371AF1">
              <w:rPr>
                <w:rFonts w:ascii="Times New Roman" w:hAnsi="Times New Roman"/>
                <w:sz w:val="24"/>
                <w:szCs w:val="24"/>
              </w:rPr>
              <w:t xml:space="preserve"> on 12 November 2025</w:t>
            </w:r>
            <w:r w:rsidRPr="008E44A4">
              <w:rPr>
                <w:rFonts w:ascii="Times New Roman" w:hAnsi="Times New Roman"/>
                <w:sz w:val="24"/>
                <w:szCs w:val="24"/>
              </w:rPr>
              <w:t>. The Strategy provide</w:t>
            </w:r>
            <w:r>
              <w:rPr>
                <w:rFonts w:ascii="Times New Roman" w:hAnsi="Times New Roman"/>
                <w:sz w:val="24"/>
                <w:szCs w:val="24"/>
              </w:rPr>
              <w:t>s</w:t>
            </w:r>
            <w:r w:rsidRPr="008E44A4">
              <w:rPr>
                <w:rFonts w:ascii="Times New Roman" w:hAnsi="Times New Roman"/>
                <w:sz w:val="24"/>
                <w:szCs w:val="24"/>
              </w:rPr>
              <w:t xml:space="preserve"> a</w:t>
            </w:r>
            <w:r>
              <w:rPr>
                <w:rFonts w:ascii="Times New Roman" w:hAnsi="Times New Roman"/>
                <w:sz w:val="24"/>
                <w:szCs w:val="24"/>
              </w:rPr>
              <w:t xml:space="preserve"> </w:t>
            </w:r>
            <w:r w:rsidRPr="008E44A4">
              <w:rPr>
                <w:rFonts w:ascii="Times New Roman" w:hAnsi="Times New Roman"/>
                <w:sz w:val="24"/>
                <w:szCs w:val="24"/>
              </w:rPr>
              <w:t>framework for action at EU and Member State level, focusing on strengthening meaningful engagement</w:t>
            </w:r>
            <w:r>
              <w:rPr>
                <w:rFonts w:ascii="Times New Roman" w:hAnsi="Times New Roman"/>
                <w:sz w:val="24"/>
                <w:szCs w:val="24"/>
              </w:rPr>
              <w:t xml:space="preserve"> with civil society organisations</w:t>
            </w:r>
            <w:r w:rsidRPr="008E44A4">
              <w:rPr>
                <w:rFonts w:ascii="Times New Roman" w:hAnsi="Times New Roman"/>
                <w:sz w:val="24"/>
                <w:szCs w:val="24"/>
              </w:rPr>
              <w:t xml:space="preserve">, </w:t>
            </w:r>
            <w:r>
              <w:rPr>
                <w:rFonts w:ascii="Times New Roman" w:hAnsi="Times New Roman"/>
                <w:sz w:val="24"/>
                <w:szCs w:val="24"/>
              </w:rPr>
              <w:t xml:space="preserve">and </w:t>
            </w:r>
            <w:r w:rsidRPr="008E44A4">
              <w:rPr>
                <w:rFonts w:ascii="Times New Roman" w:hAnsi="Times New Roman"/>
                <w:sz w:val="24"/>
                <w:szCs w:val="24"/>
              </w:rPr>
              <w:t>protect</w:t>
            </w:r>
            <w:r>
              <w:rPr>
                <w:rFonts w:ascii="Times New Roman" w:hAnsi="Times New Roman"/>
                <w:sz w:val="24"/>
                <w:szCs w:val="24"/>
              </w:rPr>
              <w:t>ing them and supporting them in their day-to-day activities</w:t>
            </w:r>
            <w:r w:rsidRPr="008E44A4">
              <w:rPr>
                <w:rFonts w:ascii="Times New Roman" w:hAnsi="Times New Roman"/>
                <w:sz w:val="24"/>
                <w:szCs w:val="24"/>
              </w:rPr>
              <w:t xml:space="preserve">. The creation of the Civil Society Platform is one of the </w:t>
            </w:r>
            <w:r w:rsidR="00371AF1">
              <w:rPr>
                <w:rFonts w:ascii="Times New Roman" w:hAnsi="Times New Roman"/>
                <w:sz w:val="24"/>
                <w:szCs w:val="24"/>
              </w:rPr>
              <w:t>key deliverables</w:t>
            </w:r>
            <w:r w:rsidRPr="008E44A4">
              <w:rPr>
                <w:rFonts w:ascii="Times New Roman" w:hAnsi="Times New Roman"/>
                <w:sz w:val="24"/>
                <w:szCs w:val="24"/>
              </w:rPr>
              <w:t xml:space="preserve"> proposed under the Strategy. The objective of the Platform is to create a st</w:t>
            </w:r>
            <w:r>
              <w:rPr>
                <w:rFonts w:ascii="Times New Roman" w:hAnsi="Times New Roman"/>
                <w:sz w:val="24"/>
                <w:szCs w:val="24"/>
              </w:rPr>
              <w:t>ructure</w:t>
            </w:r>
            <w:r w:rsidR="00371AF1">
              <w:rPr>
                <w:rFonts w:ascii="Times New Roman" w:hAnsi="Times New Roman"/>
                <w:sz w:val="24"/>
                <w:szCs w:val="24"/>
              </w:rPr>
              <w:t>d</w:t>
            </w:r>
            <w:r w:rsidRPr="008E44A4">
              <w:rPr>
                <w:rFonts w:ascii="Times New Roman" w:hAnsi="Times New Roman"/>
                <w:sz w:val="24"/>
                <w:szCs w:val="24"/>
              </w:rPr>
              <w:t xml:space="preserve"> framework for dialogue between the Commission and </w:t>
            </w:r>
            <w:r w:rsidR="00371AF1">
              <w:rPr>
                <w:rFonts w:ascii="Times New Roman" w:hAnsi="Times New Roman"/>
                <w:sz w:val="24"/>
                <w:szCs w:val="24"/>
              </w:rPr>
              <w:t xml:space="preserve">those </w:t>
            </w:r>
            <w:r w:rsidRPr="008E44A4">
              <w:rPr>
                <w:rFonts w:ascii="Times New Roman" w:hAnsi="Times New Roman"/>
                <w:sz w:val="24"/>
                <w:szCs w:val="24"/>
              </w:rPr>
              <w:t>civil society organisations and human rights defenders</w:t>
            </w:r>
            <w:r>
              <w:rPr>
                <w:rFonts w:ascii="Times New Roman" w:hAnsi="Times New Roman"/>
                <w:sz w:val="24"/>
                <w:szCs w:val="24"/>
              </w:rPr>
              <w:t xml:space="preserve"> </w:t>
            </w:r>
            <w:r w:rsidR="00371AF1">
              <w:rPr>
                <w:rFonts w:ascii="Times New Roman" w:hAnsi="Times New Roman"/>
                <w:sz w:val="24"/>
                <w:szCs w:val="24"/>
              </w:rPr>
              <w:t xml:space="preserve">working in the areas of upholding </w:t>
            </w:r>
            <w:r>
              <w:rPr>
                <w:rFonts w:ascii="Times New Roman" w:hAnsi="Times New Roman"/>
                <w:sz w:val="24"/>
                <w:szCs w:val="24"/>
              </w:rPr>
              <w:t xml:space="preserve">EU values, fundamental rights, democracy and </w:t>
            </w:r>
            <w:r w:rsidR="00371AF1">
              <w:rPr>
                <w:rFonts w:ascii="Times New Roman" w:hAnsi="Times New Roman"/>
                <w:sz w:val="24"/>
                <w:szCs w:val="24"/>
              </w:rPr>
              <w:t xml:space="preserve">the </w:t>
            </w:r>
            <w:r>
              <w:rPr>
                <w:rFonts w:ascii="Times New Roman" w:hAnsi="Times New Roman"/>
                <w:sz w:val="24"/>
                <w:szCs w:val="24"/>
              </w:rPr>
              <w:t>rule of law</w:t>
            </w:r>
            <w:r w:rsidRPr="008E44A4">
              <w:rPr>
                <w:rFonts w:ascii="Times New Roman" w:hAnsi="Times New Roman"/>
                <w:sz w:val="24"/>
                <w:szCs w:val="24"/>
              </w:rPr>
              <w:t>. In addition, the Platform w</w:t>
            </w:r>
            <w:r w:rsidR="00371AF1">
              <w:rPr>
                <w:rFonts w:ascii="Times New Roman" w:hAnsi="Times New Roman"/>
                <w:sz w:val="24"/>
                <w:szCs w:val="24"/>
              </w:rPr>
              <w:t>ill</w:t>
            </w:r>
            <w:r w:rsidRPr="008E44A4">
              <w:rPr>
                <w:rFonts w:ascii="Times New Roman" w:hAnsi="Times New Roman"/>
                <w:sz w:val="24"/>
                <w:szCs w:val="24"/>
              </w:rPr>
              <w:t xml:space="preserve"> </w:t>
            </w:r>
            <w:r>
              <w:rPr>
                <w:rFonts w:ascii="Times New Roman" w:hAnsi="Times New Roman"/>
                <w:sz w:val="24"/>
                <w:szCs w:val="24"/>
              </w:rPr>
              <w:t xml:space="preserve">increase transparency and accessibility of information on existing dialogues with CSOs </w:t>
            </w:r>
            <w:r w:rsidR="00371AF1">
              <w:rPr>
                <w:rFonts w:ascii="Times New Roman" w:hAnsi="Times New Roman"/>
                <w:sz w:val="24"/>
                <w:szCs w:val="24"/>
              </w:rPr>
              <w:t>across</w:t>
            </w:r>
            <w:r>
              <w:rPr>
                <w:rFonts w:ascii="Times New Roman" w:hAnsi="Times New Roman"/>
                <w:sz w:val="24"/>
                <w:szCs w:val="24"/>
              </w:rPr>
              <w:t xml:space="preserve"> all policy areas</w:t>
            </w:r>
            <w:r w:rsidRPr="008E44A4">
              <w:rPr>
                <w:rFonts w:ascii="Times New Roman" w:hAnsi="Times New Roman"/>
                <w:sz w:val="24"/>
                <w:szCs w:val="24"/>
              </w:rPr>
              <w:t xml:space="preserve">. </w:t>
            </w:r>
            <w:r>
              <w:rPr>
                <w:rFonts w:ascii="Times New Roman" w:hAnsi="Times New Roman"/>
                <w:sz w:val="24"/>
                <w:szCs w:val="24"/>
              </w:rPr>
              <w:t>Following its adoption, t</w:t>
            </w:r>
            <w:r w:rsidRPr="008E44A4">
              <w:rPr>
                <w:rFonts w:ascii="Times New Roman" w:hAnsi="Times New Roman"/>
                <w:sz w:val="24"/>
                <w:szCs w:val="24"/>
              </w:rPr>
              <w:t xml:space="preserve">he Commission is </w:t>
            </w:r>
            <w:r w:rsidR="00371AF1">
              <w:rPr>
                <w:rFonts w:ascii="Times New Roman" w:hAnsi="Times New Roman"/>
                <w:sz w:val="24"/>
                <w:szCs w:val="24"/>
              </w:rPr>
              <w:t xml:space="preserve">now </w:t>
            </w:r>
            <w:r>
              <w:rPr>
                <w:rFonts w:ascii="Times New Roman" w:hAnsi="Times New Roman"/>
                <w:sz w:val="24"/>
                <w:szCs w:val="24"/>
              </w:rPr>
              <w:t>working on the</w:t>
            </w:r>
            <w:r w:rsidRPr="008E44A4">
              <w:rPr>
                <w:rFonts w:ascii="Times New Roman" w:hAnsi="Times New Roman"/>
                <w:sz w:val="24"/>
                <w:szCs w:val="24"/>
              </w:rPr>
              <w:t xml:space="preserve"> </w:t>
            </w:r>
            <w:r>
              <w:rPr>
                <w:rFonts w:ascii="Times New Roman" w:hAnsi="Times New Roman"/>
                <w:sz w:val="24"/>
                <w:szCs w:val="24"/>
              </w:rPr>
              <w:t>implementation the Strategy</w:t>
            </w:r>
            <w:r w:rsidR="00371AF1">
              <w:rPr>
                <w:rFonts w:ascii="Times New Roman" w:hAnsi="Times New Roman"/>
                <w:sz w:val="24"/>
                <w:szCs w:val="24"/>
              </w:rPr>
              <w:t>,</w:t>
            </w:r>
            <w:r w:rsidR="003967D3">
              <w:rPr>
                <w:rFonts w:ascii="Times New Roman" w:hAnsi="Times New Roman"/>
                <w:sz w:val="24"/>
                <w:szCs w:val="24"/>
              </w:rPr>
              <w:t xml:space="preserve"> </w:t>
            </w:r>
            <w:r>
              <w:rPr>
                <w:rFonts w:ascii="Times New Roman" w:hAnsi="Times New Roman"/>
                <w:sz w:val="24"/>
                <w:szCs w:val="24"/>
              </w:rPr>
              <w:t>the setting up of</w:t>
            </w:r>
            <w:r w:rsidRPr="008E44A4">
              <w:rPr>
                <w:rFonts w:ascii="Times New Roman" w:hAnsi="Times New Roman"/>
                <w:sz w:val="24"/>
                <w:szCs w:val="24"/>
              </w:rPr>
              <w:t xml:space="preserve"> the Platform</w:t>
            </w:r>
            <w:r w:rsidR="00371AF1">
              <w:rPr>
                <w:rFonts w:ascii="Times New Roman" w:hAnsi="Times New Roman"/>
                <w:sz w:val="24"/>
                <w:szCs w:val="24"/>
              </w:rPr>
              <w:t xml:space="preserve"> and </w:t>
            </w:r>
            <w:r w:rsidR="003967D3">
              <w:rPr>
                <w:rFonts w:ascii="Times New Roman" w:hAnsi="Times New Roman"/>
                <w:sz w:val="24"/>
                <w:szCs w:val="24"/>
              </w:rPr>
              <w:t>the advancement</w:t>
            </w:r>
            <w:r w:rsidR="00371AF1">
              <w:rPr>
                <w:rFonts w:ascii="Times New Roman" w:hAnsi="Times New Roman"/>
                <w:sz w:val="24"/>
                <w:szCs w:val="24"/>
              </w:rPr>
              <w:t xml:space="preserve"> several other deliverables</w:t>
            </w:r>
            <w:r w:rsidRPr="008262FC" w:rsidDel="003F5888">
              <w:rPr>
                <w:rFonts w:ascii="Times New Roman" w:hAnsi="Times New Roman"/>
                <w:bCs/>
                <w:sz w:val="24"/>
                <w:szCs w:val="24"/>
              </w:rPr>
              <w:t xml:space="preserve"> </w:t>
            </w:r>
            <w:r w:rsidR="00371AF1">
              <w:rPr>
                <w:rFonts w:ascii="Times New Roman" w:hAnsi="Times New Roman"/>
                <w:bCs/>
                <w:sz w:val="24"/>
                <w:szCs w:val="24"/>
              </w:rPr>
              <w:t>from the Strategy.</w:t>
            </w:r>
          </w:p>
          <w:p w14:paraId="3D0DA389" w14:textId="699DE45E" w:rsidR="003F5888" w:rsidRDefault="003F5888" w:rsidP="00CA11A4">
            <w:pPr>
              <w:widowControl w:val="0"/>
              <w:spacing w:before="120" w:after="120"/>
              <w:jc w:val="both"/>
              <w:rPr>
                <w:rFonts w:ascii="Times New Roman" w:hAnsi="Times New Roman"/>
                <w:sz w:val="24"/>
                <w:szCs w:val="24"/>
              </w:rPr>
            </w:pPr>
            <w:r>
              <w:rPr>
                <w:rFonts w:ascii="Times New Roman" w:hAnsi="Times New Roman"/>
                <w:sz w:val="24"/>
                <w:szCs w:val="24"/>
              </w:rPr>
              <w:t>In this context, t</w:t>
            </w:r>
            <w:r w:rsidR="5057051C" w:rsidRPr="003F5DBE">
              <w:rPr>
                <w:rFonts w:ascii="Times New Roman" w:hAnsi="Times New Roman"/>
                <w:sz w:val="24"/>
                <w:szCs w:val="24"/>
              </w:rPr>
              <w:t xml:space="preserve">he Commission recognises the important role of the </w:t>
            </w:r>
            <w:r w:rsidR="00371AF1">
              <w:rPr>
                <w:rFonts w:ascii="Times New Roman" w:hAnsi="Times New Roman"/>
                <w:sz w:val="24"/>
                <w:szCs w:val="24"/>
              </w:rPr>
              <w:t>European Economic and Social Committee (</w:t>
            </w:r>
            <w:r w:rsidR="5057051C" w:rsidRPr="003F5DBE">
              <w:rPr>
                <w:rFonts w:ascii="Times New Roman" w:hAnsi="Times New Roman"/>
                <w:sz w:val="24"/>
                <w:szCs w:val="24"/>
              </w:rPr>
              <w:t>EESC</w:t>
            </w:r>
            <w:r w:rsidR="00371AF1">
              <w:rPr>
                <w:rFonts w:ascii="Times New Roman" w:hAnsi="Times New Roman"/>
                <w:sz w:val="24"/>
                <w:szCs w:val="24"/>
              </w:rPr>
              <w:t>)</w:t>
            </w:r>
            <w:r w:rsidR="5057051C" w:rsidRPr="003F5DBE">
              <w:rPr>
                <w:rFonts w:ascii="Times New Roman" w:hAnsi="Times New Roman"/>
                <w:sz w:val="24"/>
                <w:szCs w:val="24"/>
              </w:rPr>
              <w:t xml:space="preserve"> in representing a broad range of civil society interests. </w:t>
            </w:r>
          </w:p>
          <w:p w14:paraId="15D77B3F" w14:textId="694EDD89" w:rsidR="003F5888" w:rsidRDefault="009A7C30" w:rsidP="00CA11A4">
            <w:pPr>
              <w:widowControl w:val="0"/>
              <w:spacing w:before="120" w:after="120"/>
              <w:jc w:val="both"/>
              <w:rPr>
                <w:rFonts w:ascii="Times New Roman" w:hAnsi="Times New Roman"/>
                <w:sz w:val="24"/>
                <w:szCs w:val="24"/>
              </w:rPr>
            </w:pPr>
            <w:r>
              <w:rPr>
                <w:rFonts w:ascii="Times New Roman" w:hAnsi="Times New Roman"/>
                <w:sz w:val="24"/>
                <w:szCs w:val="24"/>
              </w:rPr>
              <w:t>The Commission is</w:t>
            </w:r>
            <w:r w:rsidR="5057051C" w:rsidRPr="003F5DBE">
              <w:rPr>
                <w:rFonts w:ascii="Times New Roman" w:hAnsi="Times New Roman"/>
                <w:sz w:val="24"/>
                <w:szCs w:val="24"/>
              </w:rPr>
              <w:t xml:space="preserve"> committed to ensur</w:t>
            </w:r>
            <w:r w:rsidR="003F5888">
              <w:rPr>
                <w:rFonts w:ascii="Times New Roman" w:hAnsi="Times New Roman"/>
                <w:sz w:val="24"/>
                <w:szCs w:val="24"/>
              </w:rPr>
              <w:t>ing</w:t>
            </w:r>
            <w:r w:rsidR="5057051C" w:rsidRPr="003F5DBE">
              <w:rPr>
                <w:rFonts w:ascii="Times New Roman" w:hAnsi="Times New Roman"/>
                <w:sz w:val="24"/>
                <w:szCs w:val="24"/>
              </w:rPr>
              <w:t xml:space="preserve"> alignment between </w:t>
            </w:r>
            <w:r>
              <w:rPr>
                <w:rFonts w:ascii="Times New Roman" w:hAnsi="Times New Roman"/>
                <w:sz w:val="24"/>
                <w:szCs w:val="24"/>
              </w:rPr>
              <w:t>its</w:t>
            </w:r>
            <w:r w:rsidRPr="003F5DBE">
              <w:rPr>
                <w:rFonts w:ascii="Times New Roman" w:hAnsi="Times New Roman"/>
                <w:sz w:val="24"/>
                <w:szCs w:val="24"/>
              </w:rPr>
              <w:t xml:space="preserve"> </w:t>
            </w:r>
            <w:r w:rsidR="5057051C" w:rsidRPr="003F5DBE">
              <w:rPr>
                <w:rFonts w:ascii="Times New Roman" w:hAnsi="Times New Roman"/>
                <w:sz w:val="24"/>
                <w:szCs w:val="24"/>
              </w:rPr>
              <w:t>respective engagement</w:t>
            </w:r>
            <w:r w:rsidR="0030403A">
              <w:rPr>
                <w:rFonts w:ascii="Times New Roman" w:hAnsi="Times New Roman"/>
                <w:sz w:val="24"/>
                <w:szCs w:val="24"/>
              </w:rPr>
              <w:t>s</w:t>
            </w:r>
            <w:r w:rsidR="5057051C" w:rsidRPr="003F5DBE">
              <w:rPr>
                <w:rFonts w:ascii="Times New Roman" w:hAnsi="Times New Roman"/>
                <w:sz w:val="24"/>
                <w:szCs w:val="24"/>
              </w:rPr>
              <w:t xml:space="preserve"> with civil society</w:t>
            </w:r>
            <w:r w:rsidR="00371AF1">
              <w:rPr>
                <w:rFonts w:ascii="Times New Roman" w:hAnsi="Times New Roman"/>
                <w:sz w:val="24"/>
                <w:szCs w:val="24"/>
              </w:rPr>
              <w:t xml:space="preserve"> and those of the EESC</w:t>
            </w:r>
            <w:r w:rsidR="5057051C" w:rsidRPr="003F5DBE">
              <w:rPr>
                <w:rFonts w:ascii="Times New Roman" w:hAnsi="Times New Roman"/>
                <w:sz w:val="24"/>
                <w:szCs w:val="24"/>
              </w:rPr>
              <w:t xml:space="preserve">, ensuring that </w:t>
            </w:r>
            <w:r>
              <w:rPr>
                <w:rFonts w:ascii="Times New Roman" w:hAnsi="Times New Roman"/>
                <w:sz w:val="24"/>
                <w:szCs w:val="24"/>
              </w:rPr>
              <w:t>its</w:t>
            </w:r>
            <w:r w:rsidRPr="003F5DBE">
              <w:rPr>
                <w:rFonts w:ascii="Times New Roman" w:hAnsi="Times New Roman"/>
                <w:sz w:val="24"/>
                <w:szCs w:val="24"/>
              </w:rPr>
              <w:t xml:space="preserve"> </w:t>
            </w:r>
            <w:r w:rsidR="0030403A" w:rsidRPr="003F5DBE">
              <w:rPr>
                <w:rFonts w:ascii="Times New Roman" w:hAnsi="Times New Roman"/>
                <w:sz w:val="24"/>
                <w:szCs w:val="24"/>
              </w:rPr>
              <w:t xml:space="preserve">efforts complement </w:t>
            </w:r>
            <w:r w:rsidR="0030403A">
              <w:rPr>
                <w:rFonts w:ascii="Times New Roman" w:hAnsi="Times New Roman"/>
                <w:sz w:val="24"/>
                <w:szCs w:val="24"/>
              </w:rPr>
              <w:t xml:space="preserve">existing </w:t>
            </w:r>
            <w:r w:rsidR="5057051C" w:rsidRPr="003F5DBE">
              <w:rPr>
                <w:rFonts w:ascii="Times New Roman" w:hAnsi="Times New Roman"/>
                <w:sz w:val="24"/>
                <w:szCs w:val="24"/>
              </w:rPr>
              <w:t xml:space="preserve">consultation and participation mechanisms. </w:t>
            </w:r>
          </w:p>
          <w:p w14:paraId="6D5992E8" w14:textId="77777777" w:rsidR="003F5888" w:rsidRPr="008E44A4" w:rsidRDefault="003F5888" w:rsidP="003F5888">
            <w:pPr>
              <w:widowControl w:val="0"/>
              <w:spacing w:before="120" w:after="120"/>
              <w:jc w:val="both"/>
              <w:rPr>
                <w:rFonts w:ascii="Times New Roman" w:hAnsi="Times New Roman"/>
                <w:sz w:val="24"/>
                <w:szCs w:val="24"/>
              </w:rPr>
            </w:pPr>
            <w:r w:rsidRPr="008E44A4">
              <w:rPr>
                <w:rFonts w:ascii="Times New Roman" w:hAnsi="Times New Roman"/>
                <w:sz w:val="24"/>
                <w:szCs w:val="24"/>
              </w:rPr>
              <w:t>The Commission stands ready to continue its dialogue</w:t>
            </w:r>
            <w:r>
              <w:rPr>
                <w:rFonts w:ascii="Times New Roman" w:hAnsi="Times New Roman"/>
                <w:sz w:val="24"/>
                <w:szCs w:val="24"/>
              </w:rPr>
              <w:t xml:space="preserve"> and cooperation</w:t>
            </w:r>
            <w:r w:rsidRPr="008E44A4">
              <w:rPr>
                <w:rFonts w:ascii="Times New Roman" w:hAnsi="Times New Roman"/>
                <w:sz w:val="24"/>
                <w:szCs w:val="24"/>
              </w:rPr>
              <w:t xml:space="preserve"> with the EESC on the set-up and functioning of the Platform, including on the EESC’s involvement.</w:t>
            </w:r>
            <w:r>
              <w:rPr>
                <w:rFonts w:ascii="Times New Roman" w:hAnsi="Times New Roman"/>
                <w:sz w:val="24"/>
                <w:szCs w:val="24"/>
              </w:rPr>
              <w:t xml:space="preserve"> </w:t>
            </w:r>
          </w:p>
          <w:p w14:paraId="56EB7719" w14:textId="54D6B09F" w:rsidR="003F5888" w:rsidRDefault="00F17560" w:rsidP="00CA11A4">
            <w:pPr>
              <w:widowControl w:val="0"/>
              <w:spacing w:before="120" w:after="120"/>
              <w:jc w:val="both"/>
              <w:rPr>
                <w:rFonts w:ascii="Times New Roman" w:hAnsi="Times New Roman"/>
                <w:bCs/>
                <w:sz w:val="24"/>
                <w:szCs w:val="24"/>
              </w:rPr>
            </w:pPr>
            <w:r w:rsidRPr="003F5DBE">
              <w:rPr>
                <w:rFonts w:ascii="Times New Roman" w:hAnsi="Times New Roman"/>
                <w:bCs/>
                <w:sz w:val="24"/>
                <w:szCs w:val="24"/>
              </w:rPr>
              <w:t xml:space="preserve">Regarding the call for the dialogue with civil society to include the economic dimension of the rule of law, it is recalled that the Commission encourages stakeholders to discuss the findings of the </w:t>
            </w:r>
            <w:r w:rsidR="0030403A">
              <w:rPr>
                <w:rFonts w:ascii="Times New Roman" w:hAnsi="Times New Roman"/>
                <w:bCs/>
                <w:sz w:val="24"/>
                <w:szCs w:val="24"/>
              </w:rPr>
              <w:t xml:space="preserve">Rule of Law </w:t>
            </w:r>
            <w:r w:rsidRPr="003F5DBE">
              <w:rPr>
                <w:rFonts w:ascii="Times New Roman" w:hAnsi="Times New Roman"/>
                <w:bCs/>
                <w:sz w:val="24"/>
                <w:szCs w:val="24"/>
              </w:rPr>
              <w:t>Report</w:t>
            </w:r>
            <w:r w:rsidR="00C322F5" w:rsidRPr="003F5DBE">
              <w:rPr>
                <w:rFonts w:ascii="Times New Roman" w:hAnsi="Times New Roman"/>
                <w:bCs/>
                <w:sz w:val="24"/>
                <w:szCs w:val="24"/>
              </w:rPr>
              <w:t>, including those relevant for the functioning of the single market.</w:t>
            </w:r>
            <w:r w:rsidRPr="003F5DBE">
              <w:rPr>
                <w:rFonts w:ascii="Times New Roman" w:hAnsi="Times New Roman"/>
                <w:bCs/>
                <w:sz w:val="24"/>
                <w:szCs w:val="24"/>
              </w:rPr>
              <w:t xml:space="preserve"> </w:t>
            </w:r>
          </w:p>
          <w:p w14:paraId="30D14481" w14:textId="08B65BC6" w:rsidR="0049246C" w:rsidRPr="004F6117" w:rsidRDefault="00F17560" w:rsidP="00CA11A4">
            <w:pPr>
              <w:widowControl w:val="0"/>
              <w:spacing w:before="120" w:after="120"/>
              <w:jc w:val="both"/>
              <w:rPr>
                <w:rFonts w:ascii="Times New Roman" w:hAnsi="Times New Roman"/>
                <w:b/>
                <w:sz w:val="24"/>
                <w:szCs w:val="24"/>
              </w:rPr>
            </w:pPr>
            <w:r w:rsidRPr="003F5DBE">
              <w:rPr>
                <w:rFonts w:ascii="Times New Roman" w:hAnsi="Times New Roman"/>
                <w:bCs/>
                <w:sz w:val="24"/>
                <w:szCs w:val="24"/>
              </w:rPr>
              <w:t xml:space="preserve">Together with the Fundamental Rights Agency, the Commission has been supporting such discussion through national Rule of Law Dialogues, which have already taken place in twelve Member States, </w:t>
            </w:r>
            <w:r w:rsidR="0030403A">
              <w:rPr>
                <w:rFonts w:ascii="Times New Roman" w:hAnsi="Times New Roman"/>
                <w:bCs/>
                <w:sz w:val="24"/>
                <w:szCs w:val="24"/>
              </w:rPr>
              <w:t>with further</w:t>
            </w:r>
            <w:r w:rsidRPr="003F5DBE">
              <w:rPr>
                <w:rFonts w:ascii="Times New Roman" w:hAnsi="Times New Roman"/>
                <w:bCs/>
                <w:sz w:val="24"/>
                <w:szCs w:val="24"/>
              </w:rPr>
              <w:t xml:space="preserve"> dialogues </w:t>
            </w:r>
            <w:r w:rsidR="00DA315D">
              <w:rPr>
                <w:rFonts w:ascii="Times New Roman" w:hAnsi="Times New Roman"/>
                <w:bCs/>
                <w:sz w:val="24"/>
                <w:szCs w:val="24"/>
              </w:rPr>
              <w:t>planned</w:t>
            </w:r>
            <w:r w:rsidRPr="003F5DBE">
              <w:rPr>
                <w:rFonts w:ascii="Times New Roman" w:hAnsi="Times New Roman"/>
                <w:bCs/>
                <w:sz w:val="24"/>
                <w:szCs w:val="24"/>
              </w:rPr>
              <w:t>.</w:t>
            </w:r>
          </w:p>
        </w:tc>
      </w:tr>
    </w:tbl>
    <w:p w14:paraId="6AF07B14" w14:textId="26AEAB66" w:rsidR="004F6117" w:rsidRPr="00A12FD4" w:rsidRDefault="004F6117" w:rsidP="00A12FD4">
      <w:pPr>
        <w:spacing w:after="0" w:line="240" w:lineRule="auto"/>
        <w:rPr>
          <w:rFonts w:ascii="Times New Roman" w:hAnsi="Times New Roman"/>
          <w:bCs/>
          <w:sz w:val="16"/>
          <w:szCs w:val="16"/>
          <w:u w:val="single"/>
        </w:rPr>
      </w:pPr>
    </w:p>
    <w:sectPr w:rsidR="004F6117" w:rsidRPr="00A12F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DBBD" w14:textId="77777777" w:rsidR="000A2D2A" w:rsidRDefault="000A2D2A" w:rsidP="00FF63EA">
      <w:pPr>
        <w:spacing w:after="0" w:line="240" w:lineRule="auto"/>
      </w:pPr>
      <w:r>
        <w:separator/>
      </w:r>
    </w:p>
  </w:endnote>
  <w:endnote w:type="continuationSeparator" w:id="0">
    <w:p w14:paraId="5B274E78" w14:textId="77777777" w:rsidR="000A2D2A" w:rsidRDefault="000A2D2A" w:rsidP="00FF63EA">
      <w:pPr>
        <w:spacing w:after="0" w:line="240" w:lineRule="auto"/>
      </w:pPr>
      <w:r>
        <w:continuationSeparator/>
      </w:r>
    </w:p>
  </w:endnote>
  <w:endnote w:type="continuationNotice" w:id="1">
    <w:p w14:paraId="514A1408" w14:textId="77777777" w:rsidR="000A2D2A" w:rsidRDefault="000A2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0018" w14:textId="77777777" w:rsidR="000A2D2A" w:rsidRDefault="000A2D2A" w:rsidP="00FF63EA">
      <w:pPr>
        <w:spacing w:after="0" w:line="240" w:lineRule="auto"/>
      </w:pPr>
      <w:r>
        <w:separator/>
      </w:r>
    </w:p>
  </w:footnote>
  <w:footnote w:type="continuationSeparator" w:id="0">
    <w:p w14:paraId="3DA6C8B7" w14:textId="77777777" w:rsidR="000A2D2A" w:rsidRDefault="000A2D2A" w:rsidP="00FF63EA">
      <w:pPr>
        <w:spacing w:after="0" w:line="240" w:lineRule="auto"/>
      </w:pPr>
      <w:r>
        <w:continuationSeparator/>
      </w:r>
    </w:p>
  </w:footnote>
  <w:footnote w:type="continuationNotice" w:id="1">
    <w:p w14:paraId="361561D0" w14:textId="77777777" w:rsidR="000A2D2A" w:rsidRDefault="000A2D2A">
      <w:pPr>
        <w:spacing w:after="0" w:line="240" w:lineRule="auto"/>
      </w:pPr>
    </w:p>
  </w:footnote>
  <w:footnote w:id="2">
    <w:p w14:paraId="24F42C03" w14:textId="6567F3F1" w:rsidR="003A6591" w:rsidRPr="00A12FD4" w:rsidRDefault="003A6591" w:rsidP="00A12FD4">
      <w:pPr>
        <w:pStyle w:val="FootnoteText"/>
        <w:spacing w:after="0" w:line="240" w:lineRule="auto"/>
        <w:ind w:right="-426" w:hanging="284"/>
        <w:rPr>
          <w:rFonts w:ascii="Times New Roman" w:hAnsi="Times New Roman"/>
          <w:lang w:val="pt-PT"/>
        </w:rPr>
      </w:pPr>
      <w:r w:rsidRPr="00A12FD4">
        <w:rPr>
          <w:rStyle w:val="FootnoteReference"/>
          <w:rFonts w:ascii="Times New Roman" w:hAnsi="Times New Roman"/>
        </w:rPr>
        <w:footnoteRef/>
      </w:r>
      <w:r w:rsidRPr="00A12FD4">
        <w:rPr>
          <w:rFonts w:ascii="Times New Roman" w:hAnsi="Times New Roman"/>
          <w:lang w:val="pt-PT"/>
        </w:rPr>
        <w:t xml:space="preserve"> </w:t>
      </w:r>
      <w:r w:rsidRPr="00A12FD4">
        <w:rPr>
          <w:rFonts w:ascii="Times New Roman" w:hAnsi="Times New Roman"/>
          <w:lang w:val="pt-PT"/>
        </w:rPr>
        <w:tab/>
        <w:t>COM(2022) 518</w:t>
      </w:r>
      <w:r w:rsidR="002A6540" w:rsidRPr="00A12FD4">
        <w:rPr>
          <w:rFonts w:ascii="Times New Roman" w:hAnsi="Times New Roman"/>
          <w:lang w:val="pt-PT"/>
        </w:rPr>
        <w:t xml:space="preserve"> final</w:t>
      </w:r>
      <w:r w:rsidRPr="00A12FD4">
        <w:rPr>
          <w:rFonts w:ascii="Times New Roman" w:hAnsi="Times New Roman"/>
          <w:lang w:val="pt-PT"/>
        </w:rPr>
        <w:t xml:space="preserve"> (</w:t>
      </w:r>
      <w:hyperlink r:id="rId1" w:history="1">
        <w:r w:rsidRPr="00A12FD4">
          <w:rPr>
            <w:rStyle w:val="Hyperlink"/>
            <w:rFonts w:ascii="Times New Roman" w:hAnsi="Times New Roman"/>
            <w:lang w:val="pt-PT"/>
          </w:rPr>
          <w:t>https://eur-lex.europa.eu/legal-content/EN/TXT/?uri=celex:52022DC0518</w:t>
        </w:r>
      </w:hyperlink>
      <w:r w:rsidRPr="00A12FD4">
        <w:rPr>
          <w:rFonts w:ascii="Times New Roman" w:hAnsi="Times New Roman"/>
          <w:lang w:val="pt-PT"/>
        </w:rPr>
        <w:t>)</w:t>
      </w:r>
      <w:r w:rsidR="00CA11A4">
        <w:rPr>
          <w:rFonts w:ascii="Times New Roman" w:hAnsi="Times New Roman"/>
          <w:lang w:val="pt-PT"/>
        </w:rPr>
        <w:t>.</w:t>
      </w:r>
    </w:p>
  </w:footnote>
  <w:footnote w:id="3">
    <w:p w14:paraId="53B9FEDC" w14:textId="60B85598" w:rsidR="003A6591" w:rsidRPr="00A12FD4" w:rsidRDefault="003A6591" w:rsidP="00A12FD4">
      <w:pPr>
        <w:pStyle w:val="FootnoteText"/>
        <w:spacing w:after="0" w:line="240" w:lineRule="auto"/>
        <w:ind w:right="-426" w:hanging="284"/>
        <w:rPr>
          <w:rFonts w:ascii="Times New Roman" w:hAnsi="Times New Roman"/>
          <w:lang w:val="pt-PT"/>
        </w:rPr>
      </w:pPr>
      <w:r w:rsidRPr="00A12FD4">
        <w:rPr>
          <w:rStyle w:val="FootnoteReference"/>
          <w:rFonts w:ascii="Times New Roman" w:hAnsi="Times New Roman"/>
        </w:rPr>
        <w:footnoteRef/>
      </w:r>
      <w:r w:rsidRPr="00A12FD4">
        <w:rPr>
          <w:rFonts w:ascii="Times New Roman" w:hAnsi="Times New Roman"/>
          <w:lang w:val="pt-PT"/>
        </w:rPr>
        <w:t xml:space="preserve"> </w:t>
      </w:r>
      <w:r w:rsidRPr="00A12FD4">
        <w:rPr>
          <w:rFonts w:ascii="Times New Roman" w:hAnsi="Times New Roman"/>
          <w:lang w:val="pt-PT"/>
        </w:rPr>
        <w:tab/>
        <w:t>COM(2025) 500</w:t>
      </w:r>
      <w:r w:rsidR="002A6540" w:rsidRPr="00A12FD4">
        <w:rPr>
          <w:rFonts w:ascii="Times New Roman" w:hAnsi="Times New Roman"/>
          <w:lang w:val="pt-PT"/>
        </w:rPr>
        <w:t xml:space="preserve"> final</w:t>
      </w:r>
      <w:r w:rsidRPr="00A12FD4">
        <w:rPr>
          <w:rFonts w:ascii="Times New Roman" w:hAnsi="Times New Roman"/>
          <w:lang w:val="pt-PT"/>
        </w:rPr>
        <w:t xml:space="preserve"> </w:t>
      </w:r>
      <w:r w:rsidR="002A6540" w:rsidRPr="00A12FD4">
        <w:rPr>
          <w:rFonts w:ascii="Times New Roman" w:hAnsi="Times New Roman"/>
          <w:lang w:val="pt-PT"/>
        </w:rPr>
        <w:t>(</w:t>
      </w:r>
      <w:r w:rsidR="002A6540">
        <w:fldChar w:fldCharType="begin"/>
      </w:r>
      <w:r w:rsidR="002A6540" w:rsidRPr="00D51B9B">
        <w:rPr>
          <w:lang w:val="pt-PT"/>
        </w:rPr>
        <w:instrText>HYPERLINK "https://eur-lex.europa.eu/legal-content/EN/TXT/?uri=celex:52025DC0500"</w:instrText>
      </w:r>
      <w:r w:rsidR="002A6540">
        <w:fldChar w:fldCharType="separate"/>
      </w:r>
      <w:r w:rsidR="002A6540" w:rsidRPr="00A12FD4">
        <w:rPr>
          <w:rStyle w:val="Hyperlink"/>
          <w:rFonts w:ascii="Times New Roman" w:hAnsi="Times New Roman"/>
          <w:lang w:val="pt-PT"/>
        </w:rPr>
        <w:t>https://eur-lex.europa.eu/legal-content/EN/TXT/?uri=celex:52025DC0500</w:t>
      </w:r>
      <w:r w:rsidR="002A6540">
        <w:fldChar w:fldCharType="end"/>
      </w:r>
      <w:r w:rsidR="002A6540" w:rsidRPr="00A12FD4">
        <w:rPr>
          <w:rFonts w:ascii="Times New Roman" w:hAnsi="Times New Roman"/>
          <w:lang w:val="pt-PT"/>
        </w:rPr>
        <w:t>)</w:t>
      </w:r>
      <w:r w:rsidR="00CA11A4">
        <w:rPr>
          <w:rFonts w:ascii="Times New Roman" w:hAnsi="Times New Roman"/>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B406D"/>
    <w:multiLevelType w:val="hybridMultilevel"/>
    <w:tmpl w:val="023E822E"/>
    <w:lvl w:ilvl="0" w:tplc="24FE8620">
      <w:start w:val="1"/>
      <w:numFmt w:val="bullet"/>
      <w:lvlText w:val="-"/>
      <w:lvlJc w:val="left"/>
      <w:pPr>
        <w:ind w:left="720" w:hanging="360"/>
      </w:pPr>
      <w:rPr>
        <w:rFonts w:ascii="Aptos" w:eastAsia="Calibri"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7537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16AC"/>
    <w:rsid w:val="00012A37"/>
    <w:rsid w:val="00016178"/>
    <w:rsid w:val="00046B15"/>
    <w:rsid w:val="00050DC7"/>
    <w:rsid w:val="00062B34"/>
    <w:rsid w:val="0007171F"/>
    <w:rsid w:val="00076109"/>
    <w:rsid w:val="00077C4F"/>
    <w:rsid w:val="0008086B"/>
    <w:rsid w:val="000930F2"/>
    <w:rsid w:val="000A2221"/>
    <w:rsid w:val="000A2D2A"/>
    <w:rsid w:val="000B2E63"/>
    <w:rsid w:val="000F5FD8"/>
    <w:rsid w:val="001021F9"/>
    <w:rsid w:val="001036D8"/>
    <w:rsid w:val="001167C0"/>
    <w:rsid w:val="001229DB"/>
    <w:rsid w:val="0013045E"/>
    <w:rsid w:val="00135C2A"/>
    <w:rsid w:val="00142A42"/>
    <w:rsid w:val="001561D9"/>
    <w:rsid w:val="001835A0"/>
    <w:rsid w:val="001B0E0B"/>
    <w:rsid w:val="001B3CA5"/>
    <w:rsid w:val="001C071B"/>
    <w:rsid w:val="001C0D63"/>
    <w:rsid w:val="001C4138"/>
    <w:rsid w:val="001D469A"/>
    <w:rsid w:val="001D6B30"/>
    <w:rsid w:val="001F2EC6"/>
    <w:rsid w:val="001F65D0"/>
    <w:rsid w:val="001F6604"/>
    <w:rsid w:val="002012D8"/>
    <w:rsid w:val="00202920"/>
    <w:rsid w:val="0021671E"/>
    <w:rsid w:val="00217E59"/>
    <w:rsid w:val="00220A05"/>
    <w:rsid w:val="00227397"/>
    <w:rsid w:val="00231701"/>
    <w:rsid w:val="00247824"/>
    <w:rsid w:val="00252574"/>
    <w:rsid w:val="00262031"/>
    <w:rsid w:val="00276167"/>
    <w:rsid w:val="00285620"/>
    <w:rsid w:val="00287F23"/>
    <w:rsid w:val="002A6540"/>
    <w:rsid w:val="002C4B85"/>
    <w:rsid w:val="002C5387"/>
    <w:rsid w:val="002C6038"/>
    <w:rsid w:val="002D37D7"/>
    <w:rsid w:val="002E6AE7"/>
    <w:rsid w:val="002F03FA"/>
    <w:rsid w:val="003004D2"/>
    <w:rsid w:val="0030403A"/>
    <w:rsid w:val="0031389E"/>
    <w:rsid w:val="00322478"/>
    <w:rsid w:val="0032257C"/>
    <w:rsid w:val="00330947"/>
    <w:rsid w:val="003313A0"/>
    <w:rsid w:val="0033325C"/>
    <w:rsid w:val="003349A3"/>
    <w:rsid w:val="0034514B"/>
    <w:rsid w:val="00347A98"/>
    <w:rsid w:val="003641D2"/>
    <w:rsid w:val="00371AF1"/>
    <w:rsid w:val="0037735B"/>
    <w:rsid w:val="00377967"/>
    <w:rsid w:val="00386143"/>
    <w:rsid w:val="003967D3"/>
    <w:rsid w:val="003A502C"/>
    <w:rsid w:val="003A6591"/>
    <w:rsid w:val="003B1354"/>
    <w:rsid w:val="003B58DC"/>
    <w:rsid w:val="003C3848"/>
    <w:rsid w:val="003C3CC4"/>
    <w:rsid w:val="003C47EE"/>
    <w:rsid w:val="003D1AE0"/>
    <w:rsid w:val="003D517C"/>
    <w:rsid w:val="003F4C5C"/>
    <w:rsid w:val="003F50D0"/>
    <w:rsid w:val="003F5888"/>
    <w:rsid w:val="003F5DBE"/>
    <w:rsid w:val="003F686E"/>
    <w:rsid w:val="00423D77"/>
    <w:rsid w:val="0043220E"/>
    <w:rsid w:val="004419EC"/>
    <w:rsid w:val="00442552"/>
    <w:rsid w:val="00455A1C"/>
    <w:rsid w:val="004675B5"/>
    <w:rsid w:val="004770D6"/>
    <w:rsid w:val="004902D0"/>
    <w:rsid w:val="0049246C"/>
    <w:rsid w:val="004B28CE"/>
    <w:rsid w:val="004B43A3"/>
    <w:rsid w:val="004C0C80"/>
    <w:rsid w:val="004D3FC5"/>
    <w:rsid w:val="004D76D7"/>
    <w:rsid w:val="004F0F8A"/>
    <w:rsid w:val="004F3437"/>
    <w:rsid w:val="004F6117"/>
    <w:rsid w:val="004F63F1"/>
    <w:rsid w:val="004F651E"/>
    <w:rsid w:val="00502B90"/>
    <w:rsid w:val="005052AF"/>
    <w:rsid w:val="00511A5C"/>
    <w:rsid w:val="0051404F"/>
    <w:rsid w:val="0052596B"/>
    <w:rsid w:val="00534FFE"/>
    <w:rsid w:val="00554D8D"/>
    <w:rsid w:val="005606BD"/>
    <w:rsid w:val="00573835"/>
    <w:rsid w:val="00575FFA"/>
    <w:rsid w:val="00581306"/>
    <w:rsid w:val="005A117D"/>
    <w:rsid w:val="005A3148"/>
    <w:rsid w:val="005B39B0"/>
    <w:rsid w:val="005C3105"/>
    <w:rsid w:val="005E691B"/>
    <w:rsid w:val="00630192"/>
    <w:rsid w:val="00633A2A"/>
    <w:rsid w:val="00644573"/>
    <w:rsid w:val="00656879"/>
    <w:rsid w:val="00663572"/>
    <w:rsid w:val="006660B1"/>
    <w:rsid w:val="00692C2F"/>
    <w:rsid w:val="00695797"/>
    <w:rsid w:val="00696A5E"/>
    <w:rsid w:val="006B0845"/>
    <w:rsid w:val="006B1907"/>
    <w:rsid w:val="006B3B69"/>
    <w:rsid w:val="006C166A"/>
    <w:rsid w:val="006F029E"/>
    <w:rsid w:val="006F6B8D"/>
    <w:rsid w:val="007160CC"/>
    <w:rsid w:val="00717703"/>
    <w:rsid w:val="00734613"/>
    <w:rsid w:val="0074030F"/>
    <w:rsid w:val="00750990"/>
    <w:rsid w:val="00751910"/>
    <w:rsid w:val="00751E60"/>
    <w:rsid w:val="007547B5"/>
    <w:rsid w:val="00760D8E"/>
    <w:rsid w:val="0076271E"/>
    <w:rsid w:val="00762AE7"/>
    <w:rsid w:val="00795A9E"/>
    <w:rsid w:val="00796E6B"/>
    <w:rsid w:val="00797A8C"/>
    <w:rsid w:val="007A2B51"/>
    <w:rsid w:val="007A606D"/>
    <w:rsid w:val="007A7E36"/>
    <w:rsid w:val="007B4F7C"/>
    <w:rsid w:val="007C2214"/>
    <w:rsid w:val="007C3F67"/>
    <w:rsid w:val="007E71E2"/>
    <w:rsid w:val="00807B48"/>
    <w:rsid w:val="008135CA"/>
    <w:rsid w:val="0081584F"/>
    <w:rsid w:val="008262FC"/>
    <w:rsid w:val="00860740"/>
    <w:rsid w:val="008703BF"/>
    <w:rsid w:val="00881730"/>
    <w:rsid w:val="00887FE4"/>
    <w:rsid w:val="0089083B"/>
    <w:rsid w:val="008925CE"/>
    <w:rsid w:val="008A254B"/>
    <w:rsid w:val="008B0362"/>
    <w:rsid w:val="008B2DD7"/>
    <w:rsid w:val="008C4D41"/>
    <w:rsid w:val="008E1AA7"/>
    <w:rsid w:val="00923CE1"/>
    <w:rsid w:val="00930A9B"/>
    <w:rsid w:val="00933983"/>
    <w:rsid w:val="00937996"/>
    <w:rsid w:val="00952636"/>
    <w:rsid w:val="00981F45"/>
    <w:rsid w:val="009823D9"/>
    <w:rsid w:val="00994D12"/>
    <w:rsid w:val="009A7C30"/>
    <w:rsid w:val="009B128B"/>
    <w:rsid w:val="009B33C7"/>
    <w:rsid w:val="009B57B0"/>
    <w:rsid w:val="009D0CA9"/>
    <w:rsid w:val="009D0EA9"/>
    <w:rsid w:val="009F4035"/>
    <w:rsid w:val="00A073D2"/>
    <w:rsid w:val="00A12FD4"/>
    <w:rsid w:val="00A1406B"/>
    <w:rsid w:val="00A16F07"/>
    <w:rsid w:val="00A3358E"/>
    <w:rsid w:val="00A37779"/>
    <w:rsid w:val="00A50011"/>
    <w:rsid w:val="00A5251C"/>
    <w:rsid w:val="00A62C7B"/>
    <w:rsid w:val="00A76A6B"/>
    <w:rsid w:val="00A7709A"/>
    <w:rsid w:val="00AA0119"/>
    <w:rsid w:val="00AE1842"/>
    <w:rsid w:val="00AE1E3B"/>
    <w:rsid w:val="00AE3C7C"/>
    <w:rsid w:val="00AF4B48"/>
    <w:rsid w:val="00B31306"/>
    <w:rsid w:val="00B365F1"/>
    <w:rsid w:val="00B42814"/>
    <w:rsid w:val="00B7402C"/>
    <w:rsid w:val="00B8385E"/>
    <w:rsid w:val="00B83936"/>
    <w:rsid w:val="00B83DFC"/>
    <w:rsid w:val="00B847D1"/>
    <w:rsid w:val="00B91486"/>
    <w:rsid w:val="00B943D7"/>
    <w:rsid w:val="00BC32AA"/>
    <w:rsid w:val="00BC548D"/>
    <w:rsid w:val="00BD6EB7"/>
    <w:rsid w:val="00BE4363"/>
    <w:rsid w:val="00C04F56"/>
    <w:rsid w:val="00C127F4"/>
    <w:rsid w:val="00C31C5A"/>
    <w:rsid w:val="00C322F5"/>
    <w:rsid w:val="00C54D27"/>
    <w:rsid w:val="00C61B29"/>
    <w:rsid w:val="00C632B9"/>
    <w:rsid w:val="00C76EEB"/>
    <w:rsid w:val="00CA11A4"/>
    <w:rsid w:val="00CB1EB0"/>
    <w:rsid w:val="00CD29EF"/>
    <w:rsid w:val="00D01F5A"/>
    <w:rsid w:val="00D1716E"/>
    <w:rsid w:val="00D46911"/>
    <w:rsid w:val="00D5134A"/>
    <w:rsid w:val="00D51B9B"/>
    <w:rsid w:val="00D51D0F"/>
    <w:rsid w:val="00D520E1"/>
    <w:rsid w:val="00D55847"/>
    <w:rsid w:val="00D57BE2"/>
    <w:rsid w:val="00D64E05"/>
    <w:rsid w:val="00D81F9E"/>
    <w:rsid w:val="00D8222A"/>
    <w:rsid w:val="00D92FD3"/>
    <w:rsid w:val="00DA02E9"/>
    <w:rsid w:val="00DA315D"/>
    <w:rsid w:val="00DA3B6E"/>
    <w:rsid w:val="00DB7581"/>
    <w:rsid w:val="00DC0720"/>
    <w:rsid w:val="00DC2E6B"/>
    <w:rsid w:val="00DC70C1"/>
    <w:rsid w:val="00DE25B7"/>
    <w:rsid w:val="00DF30A9"/>
    <w:rsid w:val="00E17171"/>
    <w:rsid w:val="00E31891"/>
    <w:rsid w:val="00E31E19"/>
    <w:rsid w:val="00E41BAA"/>
    <w:rsid w:val="00E47F7F"/>
    <w:rsid w:val="00E52F69"/>
    <w:rsid w:val="00E6290A"/>
    <w:rsid w:val="00E67661"/>
    <w:rsid w:val="00E74AB8"/>
    <w:rsid w:val="00E83C12"/>
    <w:rsid w:val="00E904C8"/>
    <w:rsid w:val="00EA1BBF"/>
    <w:rsid w:val="00EA5CB3"/>
    <w:rsid w:val="00EB036F"/>
    <w:rsid w:val="00EB0BA8"/>
    <w:rsid w:val="00EB29A9"/>
    <w:rsid w:val="00EB4CC6"/>
    <w:rsid w:val="00EB56C6"/>
    <w:rsid w:val="00EB77D2"/>
    <w:rsid w:val="00EC08F7"/>
    <w:rsid w:val="00EC65E0"/>
    <w:rsid w:val="00F17560"/>
    <w:rsid w:val="00F316C8"/>
    <w:rsid w:val="00F632DE"/>
    <w:rsid w:val="00F735E4"/>
    <w:rsid w:val="00F962C9"/>
    <w:rsid w:val="00FA3D1E"/>
    <w:rsid w:val="00FB2925"/>
    <w:rsid w:val="00FB7834"/>
    <w:rsid w:val="00FC5F7B"/>
    <w:rsid w:val="00FD4B6A"/>
    <w:rsid w:val="00FF03A8"/>
    <w:rsid w:val="00FF63EA"/>
    <w:rsid w:val="04F2BA4A"/>
    <w:rsid w:val="07554A7E"/>
    <w:rsid w:val="088E7978"/>
    <w:rsid w:val="09FC8CFA"/>
    <w:rsid w:val="0ADEFEFD"/>
    <w:rsid w:val="0CB10290"/>
    <w:rsid w:val="0E3889FC"/>
    <w:rsid w:val="102C1F48"/>
    <w:rsid w:val="19349759"/>
    <w:rsid w:val="19AAFFE5"/>
    <w:rsid w:val="2BB35077"/>
    <w:rsid w:val="2EB3A81E"/>
    <w:rsid w:val="3077EE76"/>
    <w:rsid w:val="3450787A"/>
    <w:rsid w:val="34883B59"/>
    <w:rsid w:val="4AF32308"/>
    <w:rsid w:val="4C1598F9"/>
    <w:rsid w:val="5057051C"/>
    <w:rsid w:val="54773E28"/>
    <w:rsid w:val="557A2046"/>
    <w:rsid w:val="564F6581"/>
    <w:rsid w:val="5D72A54D"/>
    <w:rsid w:val="65651547"/>
    <w:rsid w:val="6E3AC266"/>
    <w:rsid w:val="6EFD2BB0"/>
    <w:rsid w:val="716CE502"/>
    <w:rsid w:val="73EAE1CD"/>
    <w:rsid w:val="79F99B5B"/>
    <w:rsid w:val="7C05B655"/>
    <w:rsid w:val="7CBCDE15"/>
    <w:rsid w:val="7D087DA3"/>
    <w:rsid w:val="7DEDA4C1"/>
    <w:rsid w:val="7E9C9C5F"/>
    <w:rsid w:val="7EE8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9C706C5D-4FCD-4C49-9D57-C92CBF52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17560"/>
    <w:rPr>
      <w:sz w:val="16"/>
      <w:szCs w:val="16"/>
    </w:rPr>
  </w:style>
  <w:style w:type="paragraph" w:styleId="CommentText">
    <w:name w:val="annotation text"/>
    <w:basedOn w:val="Normal"/>
    <w:link w:val="CommentTextChar"/>
    <w:uiPriority w:val="99"/>
    <w:unhideWhenUsed/>
    <w:rsid w:val="00F17560"/>
    <w:rPr>
      <w:sz w:val="20"/>
      <w:szCs w:val="20"/>
    </w:rPr>
  </w:style>
  <w:style w:type="character" w:customStyle="1" w:styleId="CommentTextChar">
    <w:name w:val="Comment Text Char"/>
    <w:link w:val="CommentText"/>
    <w:uiPriority w:val="99"/>
    <w:rsid w:val="00F17560"/>
    <w:rPr>
      <w:lang w:eastAsia="en-US"/>
    </w:rPr>
  </w:style>
  <w:style w:type="paragraph" w:styleId="CommentSubject">
    <w:name w:val="annotation subject"/>
    <w:basedOn w:val="CommentText"/>
    <w:next w:val="CommentText"/>
    <w:link w:val="CommentSubjectChar"/>
    <w:uiPriority w:val="99"/>
    <w:semiHidden/>
    <w:unhideWhenUsed/>
    <w:rsid w:val="00F17560"/>
    <w:rPr>
      <w:b/>
      <w:bCs/>
    </w:rPr>
  </w:style>
  <w:style w:type="character" w:customStyle="1" w:styleId="CommentSubjectChar">
    <w:name w:val="Comment Subject Char"/>
    <w:link w:val="CommentSubject"/>
    <w:uiPriority w:val="99"/>
    <w:semiHidden/>
    <w:rsid w:val="00F17560"/>
    <w:rPr>
      <w:b/>
      <w:bCs/>
      <w:lang w:eastAsia="en-US"/>
    </w:rPr>
  </w:style>
  <w:style w:type="paragraph" w:styleId="Header">
    <w:name w:val="header"/>
    <w:basedOn w:val="Normal"/>
    <w:link w:val="HeaderChar"/>
    <w:uiPriority w:val="99"/>
    <w:semiHidden/>
    <w:unhideWhenUsed/>
    <w:rsid w:val="00276167"/>
    <w:pPr>
      <w:tabs>
        <w:tab w:val="center" w:pos="4513"/>
        <w:tab w:val="right" w:pos="9026"/>
      </w:tabs>
    </w:pPr>
  </w:style>
  <w:style w:type="character" w:customStyle="1" w:styleId="HeaderChar">
    <w:name w:val="Header Char"/>
    <w:link w:val="Header"/>
    <w:uiPriority w:val="99"/>
    <w:semiHidden/>
    <w:rsid w:val="00276167"/>
    <w:rPr>
      <w:sz w:val="22"/>
      <w:szCs w:val="22"/>
      <w:lang w:val="en-GB" w:eastAsia="en-US"/>
    </w:rPr>
  </w:style>
  <w:style w:type="paragraph" w:styleId="Footer">
    <w:name w:val="footer"/>
    <w:basedOn w:val="Normal"/>
    <w:link w:val="FooterChar"/>
    <w:uiPriority w:val="99"/>
    <w:semiHidden/>
    <w:unhideWhenUsed/>
    <w:rsid w:val="00276167"/>
    <w:pPr>
      <w:tabs>
        <w:tab w:val="center" w:pos="4513"/>
        <w:tab w:val="right" w:pos="9026"/>
      </w:tabs>
    </w:pPr>
  </w:style>
  <w:style w:type="character" w:customStyle="1" w:styleId="FooterChar">
    <w:name w:val="Footer Char"/>
    <w:link w:val="Footer"/>
    <w:uiPriority w:val="99"/>
    <w:semiHidden/>
    <w:rsid w:val="00276167"/>
    <w:rPr>
      <w:sz w:val="22"/>
      <w:szCs w:val="22"/>
      <w:lang w:val="en-GB" w:eastAsia="en-US"/>
    </w:rPr>
  </w:style>
  <w:style w:type="paragraph" w:styleId="Revision">
    <w:name w:val="Revision"/>
    <w:hidden/>
    <w:uiPriority w:val="99"/>
    <w:semiHidden/>
    <w:rsid w:val="006B0845"/>
    <w:rPr>
      <w:sz w:val="22"/>
      <w:szCs w:val="22"/>
      <w:lang w:eastAsia="en-US"/>
    </w:rPr>
  </w:style>
  <w:style w:type="paragraph" w:styleId="ListParagraph">
    <w:name w:val="List Paragraph"/>
    <w:basedOn w:val="Normal"/>
    <w:uiPriority w:val="34"/>
    <w:qFormat/>
    <w:rsid w:val="00252574"/>
    <w:pPr>
      <w:ind w:left="720"/>
    </w:pPr>
  </w:style>
  <w:style w:type="paragraph" w:styleId="FootnoteText">
    <w:name w:val="footnote text"/>
    <w:basedOn w:val="Normal"/>
    <w:link w:val="FootnoteTextChar"/>
    <w:uiPriority w:val="99"/>
    <w:semiHidden/>
    <w:unhideWhenUsed/>
    <w:rsid w:val="003A6591"/>
    <w:rPr>
      <w:sz w:val="20"/>
      <w:szCs w:val="20"/>
    </w:rPr>
  </w:style>
  <w:style w:type="character" w:customStyle="1" w:styleId="FootnoteTextChar">
    <w:name w:val="Footnote Text Char"/>
    <w:link w:val="FootnoteText"/>
    <w:uiPriority w:val="99"/>
    <w:semiHidden/>
    <w:rsid w:val="003A6591"/>
    <w:rPr>
      <w:lang w:val="en-GB" w:eastAsia="en-US"/>
    </w:rPr>
  </w:style>
  <w:style w:type="character" w:styleId="FootnoteReference">
    <w:name w:val="footnote reference"/>
    <w:uiPriority w:val="99"/>
    <w:semiHidden/>
    <w:unhideWhenUsed/>
    <w:rsid w:val="003A6591"/>
    <w:rPr>
      <w:vertAlign w:val="superscript"/>
    </w:rPr>
  </w:style>
  <w:style w:type="character" w:styleId="Hyperlink">
    <w:name w:val="Hyperlink"/>
    <w:uiPriority w:val="99"/>
    <w:unhideWhenUsed/>
    <w:rsid w:val="003A6591"/>
    <w:rPr>
      <w:color w:val="0563C1"/>
      <w:u w:val="single"/>
    </w:rPr>
  </w:style>
  <w:style w:type="character" w:styleId="UnresolvedMention">
    <w:name w:val="Unresolved Mention"/>
    <w:uiPriority w:val="99"/>
    <w:semiHidden/>
    <w:unhideWhenUsed/>
    <w:rsid w:val="003A6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1995">
      <w:bodyDiv w:val="1"/>
      <w:marLeft w:val="0"/>
      <w:marRight w:val="0"/>
      <w:marTop w:val="0"/>
      <w:marBottom w:val="0"/>
      <w:divBdr>
        <w:top w:val="none" w:sz="0" w:space="0" w:color="auto"/>
        <w:left w:val="none" w:sz="0" w:space="0" w:color="auto"/>
        <w:bottom w:val="none" w:sz="0" w:space="0" w:color="auto"/>
        <w:right w:val="none" w:sz="0" w:space="0" w:color="auto"/>
      </w:divBdr>
    </w:div>
    <w:div w:id="1360202040">
      <w:bodyDiv w:val="1"/>
      <w:marLeft w:val="0"/>
      <w:marRight w:val="0"/>
      <w:marTop w:val="0"/>
      <w:marBottom w:val="0"/>
      <w:divBdr>
        <w:top w:val="none" w:sz="0" w:space="0" w:color="auto"/>
        <w:left w:val="none" w:sz="0" w:space="0" w:color="auto"/>
        <w:bottom w:val="none" w:sz="0" w:space="0" w:color="auto"/>
        <w:right w:val="none" w:sz="0" w:space="0" w:color="auto"/>
      </w:divBdr>
    </w:div>
    <w:div w:id="1586841885">
      <w:bodyDiv w:val="1"/>
      <w:marLeft w:val="0"/>
      <w:marRight w:val="0"/>
      <w:marTop w:val="0"/>
      <w:marBottom w:val="0"/>
      <w:divBdr>
        <w:top w:val="none" w:sz="0" w:space="0" w:color="auto"/>
        <w:left w:val="none" w:sz="0" w:space="0" w:color="auto"/>
        <w:bottom w:val="none" w:sz="0" w:space="0" w:color="auto"/>
        <w:right w:val="none" w:sz="0" w:space="0" w:color="auto"/>
      </w:divBdr>
    </w:div>
    <w:div w:id="164334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2DC0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ject xmlns="5843c966-cb45-4885-93fc-2ce78a94204b" xsi:nil="true"/>
    <Comments xmlns="5843c966-cb45-4885-93fc-2ce78a94204b" xsi:nil="true"/>
    <Typeofdoc xmlns="5843c966-cb45-4885-93fc-2ce78a94204b" xsi:nil="true"/>
    <_Flow_SignoffStatus xmlns="5843c966-cb45-4885-93fc-2ce78a94204b" xsi:nil="true"/>
    <DG xmlns="5843c966-cb45-4885-93fc-2ce78a94204b" xsi:nil="true"/>
    <Module xmlns="5843c966-cb45-4885-93fc-2ce78a94204b" xsi:nil="true"/>
    <Availablein xmlns="5843c966-cb45-4885-93fc-2ce78a94204b" xsi:nil="true"/>
    <Linktomaintainedversion xmlns="5843c966-cb45-4885-93fc-2ce78a94204b">
      <Url xsi:nil="true"/>
      <Description xsi:nil="true"/>
    </Linktomaintainedversion>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Lastupdate xmlns="5843c966-cb45-4885-93fc-2ce78a94204b" xsi:nil="true"/>
    <Audience xmlns="5843c966-cb45-4885-93fc-2ce78a942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29" ma:contentTypeDescription="Create a new document." ma:contentTypeScope="" ma:versionID="0557d454835bbe0ae6acd9ca2156a17f">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fe3a2f4d905d1bf5a146136441cdd30"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Typeofdoc" minOccurs="0"/>
                <xsd:element ref="ns2:Comments" minOccurs="0"/>
                <xsd:element ref="ns2:Audience" minOccurs="0"/>
                <xsd:element ref="ns2:Module" minOccurs="0"/>
                <xsd:element ref="ns2:Availablein" minOccurs="0"/>
                <xsd:element ref="ns2:Lastupdate" minOccurs="0"/>
                <xsd:element ref="ns2:Object" minOccurs="0"/>
                <xsd:element ref="ns2:MediaServiceSearchProperties" minOccurs="0"/>
                <xsd:element ref="ns2:DG" minOccurs="0"/>
                <xsd:element ref="ns3:SharedWithUsers" minOccurs="0"/>
                <xsd:element ref="ns3:SharedWithDetails" minOccurs="0"/>
                <xsd:element ref="ns2:MediaLengthInSeconds" minOccurs="0"/>
                <xsd:element ref="ns2:MediaServiceDateTaken" minOccurs="0"/>
                <xsd:element ref="ns2:Linktomaintainedversion"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Typeofdoc" ma:index="19" nillable="true" ma:displayName="Status" ma:format="RadioButtons" ma:internalName="Typeofdoc">
      <xsd:simpleType>
        <xsd:restriction base="dms:Choice">
          <xsd:enumeration value="Published"/>
          <xsd:enumeration value="WIP"/>
          <xsd:enumeration value="To be updated"/>
          <xsd:enumeration value="Ready for validation"/>
          <xsd:enumeration value="Obsolete"/>
          <xsd:enumeration value="Validated"/>
        </xsd:restriction>
      </xsd:simpleType>
    </xsd:element>
    <xsd:element name="Comments" ma:index="20" nillable="true" ma:displayName="Comments" ma:format="Dropdown" ma:internalName="Comments">
      <xsd:simpleType>
        <xsd:restriction base="dms:Note">
          <xsd:maxLength value="255"/>
        </xsd:restriction>
      </xsd:simpleType>
    </xsd:element>
    <xsd:element name="Audience" ma:index="21"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DGs"/>
                    <xsd:enumeration value="Cabinets"/>
                    <xsd:enumeration value="MS"/>
                  </xsd:restriction>
                </xsd:simpleType>
              </xsd:element>
            </xsd:sequence>
          </xsd:extension>
        </xsd:complexContent>
      </xsd:complexType>
    </xsd:element>
    <xsd:element name="Module" ma:index="22" nillable="true" ma:displayName="Topic" ma:format="Dropdown" ma:internalName="Module">
      <xsd:complexType>
        <xsd:complexContent>
          <xsd:extension base="dms:MultiChoice">
            <xsd:sequence>
              <xsd:element name="Value" maxOccurs="unbounded" minOccurs="0" nillable="true">
                <xsd:simpleType>
                  <xsd:restriction base="dms:Choice">
                    <xsd:enumeration value="Infringements"/>
                    <xsd:enumeration value="Directives"/>
                    <xsd:enumeration value="Complaints"/>
                    <xsd:enumeration value="EU-Pilot"/>
                    <xsd:enumeration value="Procedure"/>
                  </xsd:restriction>
                </xsd:simpleType>
              </xsd:element>
            </xsd:sequence>
          </xsd:extension>
        </xsd:complexContent>
      </xsd:complexType>
    </xsd:element>
    <xsd:element name="Availablein" ma:index="23" nillable="true" ma:displayName="Available in" ma:format="Dropdown" ma:internalName="Availablein">
      <xsd:complexType>
        <xsd:complexContent>
          <xsd:extension base="dms:MultiChoice">
            <xsd:sequence>
              <xsd:element name="Value" maxOccurs="unbounded" minOccurs="0" nillable="true">
                <xsd:simpleType>
                  <xsd:restriction base="dms:Choice">
                    <xsd:enumeration value="THEMIS"/>
                    <xsd:enumeration value="GoPro"/>
                    <xsd:enumeration value="Training wiki"/>
                    <xsd:enumeration value="My IntraComm"/>
                  </xsd:restriction>
                </xsd:simpleType>
              </xsd:element>
            </xsd:sequence>
          </xsd:extension>
        </xsd:complexContent>
      </xsd:complexType>
    </xsd:element>
    <xsd:element name="Lastupdate" ma:index="24" nillable="true" ma:displayName="Last update" ma:format="DateOnly" ma:internalName="Lastupdate">
      <xsd:simpleType>
        <xsd:restriction base="dms:DateTime"/>
      </xsd:simpleType>
    </xsd:element>
    <xsd:element name="Object" ma:index="25" nillable="true" ma:displayName="Object" ma:format="Dropdown" ma:internalName="Object">
      <xsd:simpleType>
        <xsd:restriction base="dms:Choice">
          <xsd:enumeration value="EUCO"/>
          <xsd:enumeration value="Ad hoc"/>
          <xsd:enumeration value="Documentation"/>
          <xsd:enumeration value="Meeting E3/MS"/>
          <xsd:enumeration value="For EVPs"/>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G" ma:index="27" nillable="true" ma:displayName="DG" ma:format="Dropdown" ma:internalName="DG">
      <xsd:simpleType>
        <xsd:restriction base="dms:Choice">
          <xsd:enumeration value="FISMA"/>
          <xsd:enumeration value="ENV"/>
          <xsd:enumeration value="HOME"/>
          <xsd:enumeration value="JUST"/>
          <xsd:enumeration value="ENER"/>
          <xsd:enumeration value="EAC"/>
          <xsd:enumeration value="SJ"/>
          <xsd:enumeration value="CNECT"/>
          <xsd:enumeration value="COMP"/>
          <xsd:enumeration value="GROW"/>
          <xsd:enumeration value="EEAS"/>
          <xsd:enumeration value="INTPA"/>
          <xsd:enumeration value="SANTE"/>
          <xsd:enumeration value="BUDG"/>
          <xsd:enumeration value="ECFIN"/>
          <xsd:enumeration value="EMPL"/>
          <xsd:enumeration value="REFORM"/>
          <xsd:enumeration value="TAXUD"/>
          <xsd:enumeration value="AGRI"/>
          <xsd:enumeration value="CLIMA"/>
          <xsd:enumeration value="MARE"/>
          <xsd:enumeration value="MOVE"/>
          <xsd:enumeration value="SG"/>
          <xsd:enumeration value="REGIO"/>
          <xsd:enumeration value="HR"/>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Linktomaintainedversion" ma:index="32" nillable="true" ma:displayName="Link to public version" ma:format="Hyperlink" ma:internalName="Linktomaintainedversion">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33" nillable="true" ma:displayName="Sign-off status" ma:internalName="Sign_x002d_off_x0020_status">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7c1658-12f1-4a72-b980-d69713bb5156}"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35263-629F-4BAE-9438-C27C314D12D8}">
  <ds:schemaRefs>
    <ds:schemaRef ds:uri="http://schemas.microsoft.com/office/2006/metadata/properties"/>
    <ds:schemaRef ds:uri="http://schemas.microsoft.com/office/infopath/2007/PartnerControls"/>
    <ds:schemaRef ds:uri="5843c966-cb45-4885-93fc-2ce78a94204b"/>
    <ds:schemaRef ds:uri="ac131f03-315b-4cd8-8e3a-6189969fd4f0"/>
  </ds:schemaRefs>
</ds:datastoreItem>
</file>

<file path=customXml/itemProps2.xml><?xml version="1.0" encoding="utf-8"?>
<ds:datastoreItem xmlns:ds="http://schemas.openxmlformats.org/officeDocument/2006/customXml" ds:itemID="{5359A874-EFE0-4BA0-8277-9AEBC266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CC970-5AA5-404C-81E1-041CF6DC8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1314</Words>
  <Characters>7125</Characters>
  <Application>Microsoft Office Word</Application>
  <DocSecurity>0</DocSecurity>
  <Lines>103</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2013-02-28T03:02:00Z</cp:lastPrinted>
  <dcterms:created xsi:type="dcterms:W3CDTF">2026-03-30T13:22:00Z</dcterms:created>
  <dcterms:modified xsi:type="dcterms:W3CDTF">2026-03-30T13:22:00Z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0x010100199782AF6692CB4E8097BF428225D135</vt:lpwstr>
  </property>
  <property fmtid="{D5CDD505-2E9C-101B-9397-08002B2CF9AE}" pid="10" name="MediaServiceImageTags">
    <vt:lpwstr/>
  </property>
</Properties>
</file>