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pPr w:leftFromText="180" w:rightFromText="180" w:vertAnchor="text" w:horzAnchor="margin" w:tblpXSpec="center" w:tblpY="39"/>
        <w:tblW w:w="103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810D4D" w:rsidRPr="00810D4D" w14:paraId="35255A37" w14:textId="77777777" w:rsidTr="185A19E9">
        <w:tc>
          <w:tcPr>
            <w:tcW w:w="10318" w:type="dxa"/>
          </w:tcPr>
          <w:p w14:paraId="32820BD4" w14:textId="4A963674" w:rsidR="00810D4D" w:rsidRDefault="00810D4D" w:rsidP="00810D4D">
            <w:pPr>
              <w:spacing w:before="120" w:after="0"/>
              <w:rPr>
                <w:rFonts w:ascii="Times New Roman" w:hAnsi="Times New Roman"/>
                <w:b/>
                <w:sz w:val="24"/>
                <w:szCs w:val="24"/>
                <w:lang w:val="en-IE"/>
              </w:rPr>
            </w:pPr>
            <w:r w:rsidRPr="00810D4D">
              <w:rPr>
                <w:rFonts w:ascii="Times New Roman" w:hAnsi="Times New Roman"/>
                <w:b/>
                <w:sz w:val="24"/>
                <w:szCs w:val="24"/>
              </w:rPr>
              <w:t>Single Market Strategy</w:t>
            </w:r>
            <w:r>
              <w:rPr>
                <w:rFonts w:ascii="Times New Roman" w:hAnsi="Times New Roman"/>
                <w:b/>
                <w:sz w:val="24"/>
                <w:szCs w:val="24"/>
              </w:rPr>
              <w:br/>
              <w:t>(optional opinion)</w:t>
            </w:r>
            <w:r w:rsidRPr="00C93C3F">
              <w:rPr>
                <w:rFonts w:ascii="Times New Roman" w:hAnsi="Times New Roman"/>
                <w:b/>
                <w:sz w:val="24"/>
                <w:szCs w:val="24"/>
              </w:rPr>
              <w:br/>
            </w:r>
            <w:r w:rsidRPr="00810D4D">
              <w:rPr>
                <w:rFonts w:ascii="Times New Roman" w:hAnsi="Times New Roman"/>
                <w:b/>
                <w:sz w:val="24"/>
                <w:szCs w:val="24"/>
              </w:rPr>
              <w:t>COM(2025) 500</w:t>
            </w:r>
            <w:r>
              <w:rPr>
                <w:rFonts w:ascii="Times New Roman" w:hAnsi="Times New Roman"/>
                <w:b/>
                <w:sz w:val="24"/>
                <w:szCs w:val="24"/>
              </w:rPr>
              <w:t xml:space="preserve"> final</w:t>
            </w:r>
            <w:r w:rsidRPr="00C93C3F">
              <w:rPr>
                <w:rFonts w:ascii="Times New Roman" w:hAnsi="Times New Roman"/>
                <w:b/>
                <w:sz w:val="24"/>
                <w:szCs w:val="24"/>
              </w:rPr>
              <w:br/>
            </w:r>
            <w:r w:rsidRPr="00C93C3F">
              <w:rPr>
                <w:rFonts w:ascii="Times New Roman" w:hAnsi="Times New Roman"/>
                <w:b/>
                <w:sz w:val="24"/>
                <w:szCs w:val="24"/>
                <w:lang w:val="en-IE"/>
              </w:rPr>
              <w:t>EESC-2025</w:t>
            </w:r>
            <w:r>
              <w:rPr>
                <w:rFonts w:ascii="Times New Roman" w:hAnsi="Times New Roman"/>
                <w:b/>
                <w:sz w:val="24"/>
                <w:szCs w:val="24"/>
                <w:lang w:val="en-IE"/>
              </w:rPr>
              <w:t>-01859</w:t>
            </w:r>
            <w:r w:rsidRPr="00C93C3F">
              <w:rPr>
                <w:rFonts w:ascii="Times New Roman" w:hAnsi="Times New Roman"/>
                <w:b/>
                <w:sz w:val="24"/>
                <w:szCs w:val="24"/>
                <w:lang w:val="en-IE"/>
              </w:rPr>
              <w:t xml:space="preserve"> </w:t>
            </w:r>
            <w:r w:rsidRPr="00C93C3F">
              <w:rPr>
                <w:rFonts w:ascii="Times New Roman" w:hAnsi="Times New Roman"/>
                <w:b/>
                <w:sz w:val="24"/>
                <w:szCs w:val="24"/>
              </w:rPr>
              <w:t xml:space="preserve">‒ </w:t>
            </w:r>
            <w:r>
              <w:rPr>
                <w:rFonts w:ascii="Times New Roman" w:hAnsi="Times New Roman"/>
                <w:b/>
                <w:sz w:val="24"/>
                <w:szCs w:val="24"/>
              </w:rPr>
              <w:t>INT/1094</w:t>
            </w:r>
            <w:r w:rsidRPr="00C93C3F">
              <w:rPr>
                <w:rFonts w:ascii="Times New Roman" w:hAnsi="Times New Roman"/>
                <w:b/>
                <w:sz w:val="24"/>
                <w:szCs w:val="24"/>
              </w:rPr>
              <w:br/>
            </w:r>
            <w:r>
              <w:rPr>
                <w:rFonts w:ascii="Times New Roman" w:hAnsi="Times New Roman"/>
                <w:b/>
                <w:sz w:val="24"/>
                <w:szCs w:val="24"/>
              </w:rPr>
              <w:t>601</w:t>
            </w:r>
            <w:proofErr w:type="spellStart"/>
            <w:r w:rsidR="00BD172B">
              <w:rPr>
                <w:rFonts w:ascii="Times New Roman" w:hAnsi="Times New Roman"/>
                <w:b/>
                <w:sz w:val="24"/>
                <w:szCs w:val="24"/>
                <w:vertAlign w:val="superscript"/>
                <w:lang w:val="en-IE"/>
              </w:rPr>
              <w:t>st</w:t>
            </w:r>
            <w:proofErr w:type="spellEnd"/>
            <w:r w:rsidRPr="00C93C3F">
              <w:rPr>
                <w:rFonts w:ascii="Times New Roman" w:hAnsi="Times New Roman"/>
                <w:b/>
                <w:sz w:val="24"/>
                <w:szCs w:val="24"/>
                <w:lang w:val="en-IE"/>
              </w:rPr>
              <w:t xml:space="preserve"> </w:t>
            </w:r>
            <w:r w:rsidRPr="00C93C3F">
              <w:rPr>
                <w:rFonts w:ascii="Times New Roman" w:hAnsi="Times New Roman"/>
                <w:b/>
                <w:sz w:val="24"/>
                <w:szCs w:val="24"/>
              </w:rPr>
              <w:t xml:space="preserve">Plenary Session – </w:t>
            </w:r>
            <w:r>
              <w:rPr>
                <w:rFonts w:ascii="Times New Roman" w:hAnsi="Times New Roman"/>
                <w:b/>
                <w:sz w:val="24"/>
                <w:szCs w:val="24"/>
              </w:rPr>
              <w:t>December</w:t>
            </w:r>
            <w:r w:rsidRPr="00C93C3F">
              <w:rPr>
                <w:rFonts w:ascii="Times New Roman" w:hAnsi="Times New Roman"/>
                <w:b/>
                <w:sz w:val="24"/>
                <w:szCs w:val="24"/>
              </w:rPr>
              <w:t xml:space="preserve"> 2025</w:t>
            </w:r>
            <w:r w:rsidRPr="00C93C3F">
              <w:rPr>
                <w:rFonts w:ascii="Times New Roman" w:hAnsi="Times New Roman"/>
                <w:b/>
                <w:sz w:val="24"/>
                <w:szCs w:val="24"/>
              </w:rPr>
              <w:br/>
              <w:t xml:space="preserve">Rapporteur: </w:t>
            </w:r>
            <w:r w:rsidRPr="00810D4D">
              <w:rPr>
                <w:rFonts w:ascii="Times New Roman" w:hAnsi="Times New Roman"/>
                <w:b/>
                <w:sz w:val="24"/>
                <w:szCs w:val="24"/>
              </w:rPr>
              <w:t>Emilie</w:t>
            </w:r>
            <w:r>
              <w:rPr>
                <w:rFonts w:ascii="Times New Roman" w:hAnsi="Times New Roman"/>
                <w:b/>
                <w:sz w:val="24"/>
                <w:szCs w:val="24"/>
              </w:rPr>
              <w:t xml:space="preserve"> </w:t>
            </w:r>
            <w:r w:rsidRPr="00810D4D">
              <w:rPr>
                <w:rFonts w:ascii="Times New Roman" w:hAnsi="Times New Roman"/>
                <w:b/>
                <w:sz w:val="24"/>
                <w:szCs w:val="24"/>
              </w:rPr>
              <w:t xml:space="preserve">PROUZET </w:t>
            </w:r>
            <w:r w:rsidRPr="00D45E5C">
              <w:rPr>
                <w:rFonts w:ascii="Times New Roman" w:hAnsi="Times New Roman"/>
                <w:b/>
                <w:sz w:val="24"/>
                <w:szCs w:val="24"/>
                <w:lang w:val="en-IE"/>
              </w:rPr>
              <w:t>(MT-I</w:t>
            </w:r>
            <w:r>
              <w:rPr>
                <w:rFonts w:ascii="Times New Roman" w:hAnsi="Times New Roman"/>
                <w:b/>
                <w:sz w:val="24"/>
                <w:szCs w:val="24"/>
                <w:lang w:val="en-IE"/>
              </w:rPr>
              <w:t>)</w:t>
            </w:r>
          </w:p>
          <w:p w14:paraId="420C9B88" w14:textId="77777777" w:rsidR="00810D4D" w:rsidRPr="00267605" w:rsidRDefault="00810D4D" w:rsidP="00810D4D">
            <w:pPr>
              <w:spacing w:after="0"/>
              <w:rPr>
                <w:rFonts w:ascii="Times New Roman" w:hAnsi="Times New Roman"/>
                <w:b/>
                <w:sz w:val="24"/>
                <w:szCs w:val="24"/>
                <w:lang w:val="it-IT"/>
              </w:rPr>
            </w:pPr>
            <w:r w:rsidRPr="00267605">
              <w:rPr>
                <w:rFonts w:ascii="Times New Roman" w:hAnsi="Times New Roman"/>
                <w:b/>
                <w:sz w:val="24"/>
                <w:szCs w:val="24"/>
                <w:lang w:val="it-IT"/>
              </w:rPr>
              <w:t>Co-</w:t>
            </w:r>
            <w:proofErr w:type="spellStart"/>
            <w:r w:rsidRPr="00267605">
              <w:rPr>
                <w:rFonts w:ascii="Times New Roman" w:hAnsi="Times New Roman"/>
                <w:b/>
                <w:sz w:val="24"/>
                <w:szCs w:val="24"/>
                <w:lang w:val="it-IT"/>
              </w:rPr>
              <w:t>Rapporteur</w:t>
            </w:r>
            <w:proofErr w:type="spellEnd"/>
            <w:r w:rsidRPr="00267605">
              <w:rPr>
                <w:rFonts w:ascii="Times New Roman" w:hAnsi="Times New Roman"/>
                <w:b/>
                <w:sz w:val="24"/>
                <w:szCs w:val="24"/>
                <w:lang w:val="it-IT"/>
              </w:rPr>
              <w:t>: Angelo PAGLIARA (IT-II)</w:t>
            </w:r>
          </w:p>
          <w:p w14:paraId="78B7903D" w14:textId="38E5AEF9" w:rsidR="00810D4D" w:rsidRPr="00810D4D" w:rsidRDefault="00810D4D" w:rsidP="00810D4D">
            <w:pPr>
              <w:spacing w:after="120"/>
              <w:rPr>
                <w:rFonts w:ascii="Times New Roman" w:hAnsi="Times New Roman"/>
                <w:b/>
                <w:sz w:val="24"/>
                <w:szCs w:val="24"/>
                <w:lang w:val="en-IE"/>
              </w:rPr>
            </w:pPr>
            <w:r w:rsidRPr="00810D4D">
              <w:rPr>
                <w:rFonts w:ascii="Times New Roman" w:hAnsi="Times New Roman"/>
                <w:b/>
                <w:sz w:val="24"/>
                <w:szCs w:val="24"/>
                <w:lang w:val="en-IE"/>
              </w:rPr>
              <w:t>Co-Rapporteur: Giuseppe GUERINI (IT-III)</w:t>
            </w:r>
            <w:r w:rsidRPr="00810D4D">
              <w:rPr>
                <w:rFonts w:ascii="Times New Roman" w:hAnsi="Times New Roman"/>
                <w:b/>
                <w:sz w:val="24"/>
                <w:szCs w:val="24"/>
                <w:lang w:val="en-IE"/>
              </w:rPr>
              <w:br/>
              <w:t xml:space="preserve">DG GROW – </w:t>
            </w:r>
            <w:r>
              <w:rPr>
                <w:rFonts w:ascii="Times New Roman" w:hAnsi="Times New Roman"/>
                <w:b/>
                <w:sz w:val="24"/>
                <w:szCs w:val="24"/>
                <w:lang w:val="en-IE"/>
              </w:rPr>
              <w:t xml:space="preserve">Executive Vice-President </w:t>
            </w:r>
            <w:r w:rsidR="00A94521">
              <w:rPr>
                <w:rFonts w:ascii="Times New Roman" w:hAnsi="Times New Roman"/>
                <w:b/>
                <w:sz w:val="24"/>
                <w:szCs w:val="24"/>
                <w:lang w:val="en-IE"/>
              </w:rPr>
              <w:t>SÉJOURNÉ</w:t>
            </w:r>
          </w:p>
        </w:tc>
      </w:tr>
      <w:tr w:rsidR="00810D4D" w:rsidRPr="004F6117" w14:paraId="038FF6CC" w14:textId="77777777" w:rsidTr="185A19E9">
        <w:tc>
          <w:tcPr>
            <w:tcW w:w="10318" w:type="dxa"/>
          </w:tcPr>
          <w:p w14:paraId="7502B2BD" w14:textId="77777777" w:rsidR="00810D4D" w:rsidRPr="004F6117" w:rsidRDefault="00810D4D" w:rsidP="00810D4D">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810D4D" w:rsidRPr="004F6117" w14:paraId="7D184745" w14:textId="77777777" w:rsidTr="185A19E9">
        <w:tc>
          <w:tcPr>
            <w:tcW w:w="10318" w:type="dxa"/>
          </w:tcPr>
          <w:p w14:paraId="1C6B6EBB" w14:textId="0180C2D2" w:rsidR="00D96C30" w:rsidRPr="004F6117" w:rsidRDefault="2814CD2A"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The Commission welcomes the Committee’s opinion on the Single Market Strategy</w:t>
            </w:r>
            <w:r w:rsidR="00A94521">
              <w:rPr>
                <w:rStyle w:val="FootnoteReference"/>
                <w:rFonts w:ascii="Times New Roman" w:hAnsi="Times New Roman"/>
                <w:sz w:val="24"/>
                <w:szCs w:val="24"/>
              </w:rPr>
              <w:footnoteReference w:id="1"/>
            </w:r>
            <w:r w:rsidR="001B55AD">
              <w:rPr>
                <w:rFonts w:ascii="Times New Roman" w:hAnsi="Times New Roman"/>
                <w:sz w:val="24"/>
                <w:szCs w:val="24"/>
              </w:rPr>
              <w:t>,</w:t>
            </w:r>
            <w:r w:rsidR="001B55AD" w:rsidRPr="26B2F759">
              <w:rPr>
                <w:rFonts w:ascii="Times New Roman" w:hAnsi="Times New Roman"/>
                <w:sz w:val="24"/>
                <w:szCs w:val="24"/>
              </w:rPr>
              <w:t xml:space="preserve"> adopted on 21 May 2025</w:t>
            </w:r>
            <w:r w:rsidR="7727B747" w:rsidRPr="26B2F759">
              <w:rPr>
                <w:rFonts w:ascii="Times New Roman" w:hAnsi="Times New Roman"/>
                <w:sz w:val="24"/>
                <w:szCs w:val="24"/>
              </w:rPr>
              <w:t>. The Strategy</w:t>
            </w:r>
            <w:r w:rsidR="001B55AD">
              <w:rPr>
                <w:rFonts w:ascii="Times New Roman" w:hAnsi="Times New Roman"/>
                <w:sz w:val="24"/>
                <w:szCs w:val="24"/>
              </w:rPr>
              <w:t xml:space="preserve"> </w:t>
            </w:r>
            <w:r w:rsidR="7727B747" w:rsidRPr="26B2F759">
              <w:rPr>
                <w:rFonts w:ascii="Times New Roman" w:hAnsi="Times New Roman"/>
                <w:sz w:val="24"/>
                <w:szCs w:val="24"/>
              </w:rPr>
              <w:t>is the Commission’s comprehensive plan to make the Single Market simple, seamless and strong</w:t>
            </w:r>
            <w:r w:rsidR="1EAF243A" w:rsidRPr="26B2F759">
              <w:rPr>
                <w:rFonts w:ascii="Times New Roman" w:hAnsi="Times New Roman"/>
                <w:sz w:val="24"/>
                <w:szCs w:val="24"/>
              </w:rPr>
              <w:t xml:space="preserve"> by addressing as a first priority, the 10 most harmful Single Market barriers – the ‘Terrible Ten’. The Strategy further proposes specific actions to boost European services markets, targeted actions in support of </w:t>
            </w:r>
            <w:r w:rsidR="00A94521">
              <w:rPr>
                <w:rFonts w:ascii="Times New Roman" w:hAnsi="Times New Roman"/>
                <w:sz w:val="24"/>
                <w:szCs w:val="24"/>
              </w:rPr>
              <w:t>small and medium-sized enterprises (</w:t>
            </w:r>
            <w:r w:rsidR="1EAF243A" w:rsidRPr="26B2F759">
              <w:rPr>
                <w:rFonts w:ascii="Times New Roman" w:hAnsi="Times New Roman"/>
                <w:sz w:val="24"/>
                <w:szCs w:val="24"/>
              </w:rPr>
              <w:t>SMEs</w:t>
            </w:r>
            <w:r w:rsidR="00A94521">
              <w:rPr>
                <w:rFonts w:ascii="Times New Roman" w:hAnsi="Times New Roman"/>
                <w:sz w:val="24"/>
                <w:szCs w:val="24"/>
              </w:rPr>
              <w:t>)</w:t>
            </w:r>
            <w:r w:rsidR="1EAF243A" w:rsidRPr="26B2F759">
              <w:rPr>
                <w:rFonts w:ascii="Times New Roman" w:hAnsi="Times New Roman"/>
                <w:sz w:val="24"/>
                <w:szCs w:val="24"/>
              </w:rPr>
              <w:t xml:space="preserve">, and actions to further </w:t>
            </w:r>
            <w:r w:rsidR="66644215" w:rsidRPr="26B2F759">
              <w:rPr>
                <w:rFonts w:ascii="Times New Roman" w:hAnsi="Times New Roman"/>
                <w:sz w:val="24"/>
                <w:szCs w:val="24"/>
              </w:rPr>
              <w:t xml:space="preserve">the </w:t>
            </w:r>
            <w:r w:rsidR="1EAF243A" w:rsidRPr="26B2F759">
              <w:rPr>
                <w:rFonts w:ascii="Times New Roman" w:hAnsi="Times New Roman"/>
                <w:sz w:val="24"/>
                <w:szCs w:val="24"/>
              </w:rPr>
              <w:t>digitalisation of the Single Market and to improve enforcement of existing rules.</w:t>
            </w:r>
            <w:r w:rsidR="37A4CFBF" w:rsidRPr="26B2F759">
              <w:rPr>
                <w:rFonts w:ascii="Times New Roman" w:hAnsi="Times New Roman"/>
                <w:sz w:val="24"/>
                <w:szCs w:val="24"/>
              </w:rPr>
              <w:t xml:space="preserve"> </w:t>
            </w:r>
            <w:r w:rsidR="7FC281DE" w:rsidRPr="26B2F759">
              <w:rPr>
                <w:rFonts w:ascii="Times New Roman" w:hAnsi="Times New Roman"/>
                <w:sz w:val="24"/>
                <w:szCs w:val="24"/>
              </w:rPr>
              <w:t>The 2026 Annual Single Market and Competitiveness Report</w:t>
            </w:r>
            <w:r w:rsidR="1D532C37" w:rsidRPr="26B2F759">
              <w:rPr>
                <w:rFonts w:ascii="Times New Roman" w:hAnsi="Times New Roman"/>
                <w:sz w:val="24"/>
                <w:szCs w:val="24"/>
              </w:rPr>
              <w:t xml:space="preserve"> (ASMCR)</w:t>
            </w:r>
            <w:r w:rsidR="00A94521">
              <w:rPr>
                <w:rStyle w:val="FootnoteReference"/>
                <w:rFonts w:ascii="Times New Roman" w:hAnsi="Times New Roman"/>
                <w:sz w:val="24"/>
                <w:szCs w:val="24"/>
              </w:rPr>
              <w:footnoteReference w:id="2"/>
            </w:r>
            <w:r w:rsidR="00DD3D03">
              <w:rPr>
                <w:rFonts w:ascii="Times New Roman" w:hAnsi="Times New Roman"/>
                <w:sz w:val="24"/>
                <w:szCs w:val="24"/>
              </w:rPr>
              <w:t>,</w:t>
            </w:r>
            <w:r w:rsidR="7FC281DE" w:rsidRPr="26B2F759">
              <w:rPr>
                <w:rFonts w:ascii="Times New Roman" w:hAnsi="Times New Roman"/>
                <w:sz w:val="24"/>
                <w:szCs w:val="24"/>
              </w:rPr>
              <w:t xml:space="preserve"> adopted </w:t>
            </w:r>
            <w:r w:rsidR="001B55AD">
              <w:rPr>
                <w:rFonts w:ascii="Times New Roman" w:hAnsi="Times New Roman"/>
                <w:sz w:val="24"/>
                <w:szCs w:val="24"/>
              </w:rPr>
              <w:t xml:space="preserve">on </w:t>
            </w:r>
            <w:r w:rsidR="597A5E79" w:rsidRPr="26B2F759">
              <w:rPr>
                <w:rFonts w:ascii="Times New Roman" w:hAnsi="Times New Roman"/>
                <w:sz w:val="24"/>
                <w:szCs w:val="24"/>
              </w:rPr>
              <w:t xml:space="preserve">30 January </w:t>
            </w:r>
            <w:r w:rsidR="7FC281DE" w:rsidRPr="26B2F759">
              <w:rPr>
                <w:rFonts w:ascii="Times New Roman" w:hAnsi="Times New Roman"/>
                <w:sz w:val="24"/>
                <w:szCs w:val="24"/>
              </w:rPr>
              <w:t>2026</w:t>
            </w:r>
            <w:r w:rsidR="00DD3D03">
              <w:rPr>
                <w:rFonts w:ascii="Times New Roman" w:hAnsi="Times New Roman"/>
                <w:sz w:val="24"/>
                <w:szCs w:val="24"/>
              </w:rPr>
              <w:t>,</w:t>
            </w:r>
            <w:r w:rsidR="396C7B95">
              <w:t xml:space="preserve"> </w:t>
            </w:r>
            <w:r w:rsidR="396C7B95" w:rsidRPr="26B2F759">
              <w:rPr>
                <w:rFonts w:ascii="Times New Roman" w:hAnsi="Times New Roman"/>
                <w:sz w:val="24"/>
                <w:szCs w:val="24"/>
              </w:rPr>
              <w:t>provides an update on the state of play of the Terrible Ten barriers</w:t>
            </w:r>
            <w:r w:rsidR="3FFE07D4" w:rsidRPr="26B2F759">
              <w:rPr>
                <w:rFonts w:ascii="Times New Roman" w:hAnsi="Times New Roman"/>
                <w:sz w:val="24"/>
                <w:szCs w:val="24"/>
              </w:rPr>
              <w:t>, including through a set of relevant Key Performance Indicators</w:t>
            </w:r>
            <w:r w:rsidR="00E93DD1">
              <w:rPr>
                <w:rFonts w:ascii="Times New Roman" w:hAnsi="Times New Roman"/>
                <w:sz w:val="24"/>
                <w:szCs w:val="24"/>
              </w:rPr>
              <w:t xml:space="preserve"> (KPIs)</w:t>
            </w:r>
            <w:r w:rsidR="3FFE07D4" w:rsidRPr="26B2F759">
              <w:rPr>
                <w:rFonts w:ascii="Times New Roman" w:hAnsi="Times New Roman"/>
                <w:sz w:val="24"/>
                <w:szCs w:val="24"/>
              </w:rPr>
              <w:t>,</w:t>
            </w:r>
            <w:r w:rsidR="396C7B95" w:rsidRPr="26B2F759">
              <w:rPr>
                <w:rFonts w:ascii="Times New Roman" w:hAnsi="Times New Roman"/>
                <w:sz w:val="24"/>
                <w:szCs w:val="24"/>
              </w:rPr>
              <w:t xml:space="preserve"> and is accompanied by Annexes, including a detailed implementation tracker of the Strategy</w:t>
            </w:r>
            <w:r w:rsidR="00DD3D03">
              <w:rPr>
                <w:rFonts w:ascii="Times New Roman" w:hAnsi="Times New Roman"/>
                <w:sz w:val="24"/>
                <w:szCs w:val="24"/>
              </w:rPr>
              <w:t>’s actions</w:t>
            </w:r>
            <w:r w:rsidR="396C7B95" w:rsidRPr="26B2F759">
              <w:rPr>
                <w:rFonts w:ascii="Times New Roman" w:hAnsi="Times New Roman"/>
                <w:sz w:val="24"/>
                <w:szCs w:val="24"/>
              </w:rPr>
              <w:t>.</w:t>
            </w:r>
            <w:r w:rsidR="5D3CB925" w:rsidRPr="26B2F759">
              <w:rPr>
                <w:rFonts w:ascii="Times New Roman" w:hAnsi="Times New Roman"/>
                <w:sz w:val="24"/>
                <w:szCs w:val="24"/>
              </w:rPr>
              <w:t xml:space="preserve"> The forthcoming</w:t>
            </w:r>
            <w:r w:rsidR="00A968B4">
              <w:rPr>
                <w:rFonts w:ascii="Times New Roman" w:hAnsi="Times New Roman"/>
                <w:sz w:val="24"/>
                <w:szCs w:val="24"/>
              </w:rPr>
              <w:t xml:space="preserve"> Roadmap</w:t>
            </w:r>
            <w:r w:rsidR="5D3CB925" w:rsidRPr="26B2F759">
              <w:rPr>
                <w:rFonts w:ascii="Times New Roman" w:hAnsi="Times New Roman"/>
                <w:sz w:val="24"/>
                <w:szCs w:val="24"/>
              </w:rPr>
              <w:t xml:space="preserve"> </w:t>
            </w:r>
            <w:r w:rsidR="00A968B4">
              <w:rPr>
                <w:rFonts w:ascii="Times New Roman" w:hAnsi="Times New Roman"/>
                <w:sz w:val="24"/>
                <w:szCs w:val="24"/>
              </w:rPr>
              <w:t xml:space="preserve">‘One Europe, One Market’ </w:t>
            </w:r>
            <w:r w:rsidR="00A968B4" w:rsidRPr="00047861">
              <w:rPr>
                <w:rFonts w:ascii="Times New Roman" w:hAnsi="Times New Roman"/>
                <w:sz w:val="24"/>
                <w:szCs w:val="24"/>
              </w:rPr>
              <w:t xml:space="preserve">will set out the key legislative measures we must adopt, with clear timelines to deliver them by the end of 2027. The roadmap will contain various packages of legislation: </w:t>
            </w:r>
            <w:r w:rsidR="00047861">
              <w:rPr>
                <w:rFonts w:ascii="Times New Roman" w:hAnsi="Times New Roman"/>
                <w:sz w:val="24"/>
                <w:szCs w:val="24"/>
              </w:rPr>
              <w:t>savings and investment union (</w:t>
            </w:r>
            <w:r w:rsidR="00A968B4" w:rsidRPr="00047861">
              <w:rPr>
                <w:rFonts w:ascii="Times New Roman" w:hAnsi="Times New Roman"/>
                <w:sz w:val="24"/>
                <w:szCs w:val="24"/>
              </w:rPr>
              <w:t>SIU</w:t>
            </w:r>
            <w:r w:rsidR="00047861">
              <w:rPr>
                <w:rFonts w:ascii="Times New Roman" w:hAnsi="Times New Roman"/>
                <w:sz w:val="24"/>
                <w:szCs w:val="24"/>
              </w:rPr>
              <w:t>)</w:t>
            </w:r>
            <w:r w:rsidR="00A968B4" w:rsidRPr="00047861">
              <w:rPr>
                <w:rFonts w:ascii="Times New Roman" w:hAnsi="Times New Roman"/>
                <w:sz w:val="24"/>
                <w:szCs w:val="24"/>
              </w:rPr>
              <w:t>, energy, quality jobs, AI Gigafactories, 28th Regime</w:t>
            </w:r>
            <w:r w:rsidR="5D3CB925" w:rsidRPr="26B2F759">
              <w:rPr>
                <w:rFonts w:ascii="Times New Roman" w:hAnsi="Times New Roman"/>
                <w:sz w:val="24"/>
                <w:szCs w:val="24"/>
              </w:rPr>
              <w:t xml:space="preserve"> </w:t>
            </w:r>
            <w:r w:rsidR="00A968B4">
              <w:rPr>
                <w:rFonts w:ascii="Times New Roman" w:hAnsi="Times New Roman"/>
                <w:sz w:val="24"/>
                <w:szCs w:val="24"/>
              </w:rPr>
              <w:t xml:space="preserve">and </w:t>
            </w:r>
            <w:r w:rsidR="5D3CB925" w:rsidRPr="26B2F759">
              <w:rPr>
                <w:rFonts w:ascii="Times New Roman" w:hAnsi="Times New Roman"/>
                <w:sz w:val="24"/>
                <w:szCs w:val="24"/>
              </w:rPr>
              <w:t>will</w:t>
            </w:r>
            <w:r w:rsidR="00A968B4">
              <w:rPr>
                <w:rFonts w:ascii="Times New Roman" w:hAnsi="Times New Roman"/>
                <w:sz w:val="24"/>
                <w:szCs w:val="24"/>
              </w:rPr>
              <w:t xml:space="preserve"> thus</w:t>
            </w:r>
            <w:r w:rsidR="5D3CB925" w:rsidRPr="26B2F759">
              <w:rPr>
                <w:rFonts w:ascii="Times New Roman" w:hAnsi="Times New Roman"/>
                <w:sz w:val="24"/>
                <w:szCs w:val="24"/>
              </w:rPr>
              <w:t xml:space="preserve"> provide an opportunity to</w:t>
            </w:r>
            <w:r w:rsidR="00BD172B">
              <w:rPr>
                <w:rFonts w:ascii="Times New Roman" w:hAnsi="Times New Roman"/>
                <w:sz w:val="24"/>
                <w:szCs w:val="24"/>
              </w:rPr>
              <w:t xml:space="preserve"> </w:t>
            </w:r>
            <w:r w:rsidR="5D3CB925" w:rsidRPr="26B2F759">
              <w:rPr>
                <w:rFonts w:ascii="Times New Roman" w:hAnsi="Times New Roman"/>
                <w:sz w:val="24"/>
                <w:szCs w:val="24"/>
              </w:rPr>
              <w:t>reinforce the actions of the Strategy.</w:t>
            </w:r>
          </w:p>
          <w:p w14:paraId="44FBA695" w14:textId="01261CDF" w:rsidR="00810D4D" w:rsidRDefault="20D2297A"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 xml:space="preserve">The Commission </w:t>
            </w:r>
            <w:r w:rsidR="3948518B" w:rsidRPr="26B2F759">
              <w:rPr>
                <w:rFonts w:ascii="Times New Roman" w:hAnsi="Times New Roman"/>
                <w:sz w:val="24"/>
                <w:szCs w:val="24"/>
              </w:rPr>
              <w:t xml:space="preserve">welcomes the EESC’s support for the priorities identified in the Strategy and </w:t>
            </w:r>
            <w:r w:rsidRPr="26B2F759">
              <w:rPr>
                <w:rFonts w:ascii="Times New Roman" w:hAnsi="Times New Roman"/>
                <w:sz w:val="24"/>
                <w:szCs w:val="24"/>
              </w:rPr>
              <w:t xml:space="preserve">shares </w:t>
            </w:r>
            <w:r w:rsidR="30AD625F" w:rsidRPr="26B2F759">
              <w:rPr>
                <w:rFonts w:ascii="Times New Roman" w:hAnsi="Times New Roman"/>
                <w:sz w:val="24"/>
                <w:szCs w:val="24"/>
              </w:rPr>
              <w:t>its</w:t>
            </w:r>
            <w:r w:rsidRPr="26B2F759">
              <w:rPr>
                <w:rFonts w:ascii="Times New Roman" w:hAnsi="Times New Roman"/>
                <w:sz w:val="24"/>
                <w:szCs w:val="24"/>
              </w:rPr>
              <w:t xml:space="preserve"> view </w:t>
            </w:r>
            <w:r w:rsidR="3D697691" w:rsidRPr="26B2F759">
              <w:rPr>
                <w:rFonts w:ascii="Times New Roman" w:hAnsi="Times New Roman"/>
                <w:sz w:val="24"/>
                <w:szCs w:val="24"/>
              </w:rPr>
              <w:t xml:space="preserve">on the need for </w:t>
            </w:r>
            <w:r w:rsidRPr="26B2F759">
              <w:rPr>
                <w:rFonts w:ascii="Times New Roman" w:hAnsi="Times New Roman"/>
                <w:sz w:val="24"/>
                <w:szCs w:val="24"/>
              </w:rPr>
              <w:t>effective implementation and delivery, in close cooperation with Member States and stakeholders.</w:t>
            </w:r>
          </w:p>
          <w:p w14:paraId="6E4F0CD9" w14:textId="30B04121" w:rsidR="00AB251F" w:rsidRDefault="4E524A44" w:rsidP="009008EC">
            <w:pPr>
              <w:widowControl w:val="0"/>
              <w:spacing w:before="120" w:after="120"/>
              <w:jc w:val="both"/>
              <w:rPr>
                <w:rFonts w:ascii="Times New Roman" w:hAnsi="Times New Roman"/>
                <w:sz w:val="24"/>
                <w:szCs w:val="24"/>
              </w:rPr>
            </w:pPr>
            <w:r w:rsidRPr="7237AB48">
              <w:rPr>
                <w:rFonts w:ascii="Times New Roman" w:hAnsi="Times New Roman"/>
                <w:sz w:val="24"/>
                <w:szCs w:val="24"/>
              </w:rPr>
              <w:t>The Commission shares the EESC’s emphasis on regulatory simplification as a key lever for strengthening the Single Market and improving competitiveness</w:t>
            </w:r>
            <w:r w:rsidR="53D4384B" w:rsidRPr="7237AB48">
              <w:rPr>
                <w:rFonts w:ascii="Times New Roman" w:hAnsi="Times New Roman"/>
                <w:sz w:val="24"/>
                <w:szCs w:val="24"/>
              </w:rPr>
              <w:t xml:space="preserve"> and welcomes the </w:t>
            </w:r>
            <w:r w:rsidR="00026825">
              <w:rPr>
                <w:rFonts w:ascii="Times New Roman" w:hAnsi="Times New Roman"/>
                <w:sz w:val="24"/>
                <w:szCs w:val="24"/>
              </w:rPr>
              <w:t>Committee’s</w:t>
            </w:r>
            <w:r w:rsidR="53D4384B" w:rsidRPr="7237AB48">
              <w:rPr>
                <w:rFonts w:ascii="Times New Roman" w:hAnsi="Times New Roman"/>
                <w:sz w:val="24"/>
                <w:szCs w:val="24"/>
              </w:rPr>
              <w:t xml:space="preserve"> support and the acknowledgement of the important progress made with the </w:t>
            </w:r>
            <w:r w:rsidR="00283D20">
              <w:rPr>
                <w:rFonts w:ascii="Times New Roman" w:hAnsi="Times New Roman"/>
                <w:sz w:val="24"/>
                <w:szCs w:val="24"/>
              </w:rPr>
              <w:t>ten</w:t>
            </w:r>
            <w:r w:rsidR="00283D20" w:rsidRPr="7237AB48">
              <w:rPr>
                <w:rFonts w:ascii="Times New Roman" w:hAnsi="Times New Roman"/>
                <w:sz w:val="24"/>
                <w:szCs w:val="24"/>
              </w:rPr>
              <w:t xml:space="preserve"> </w:t>
            </w:r>
            <w:r w:rsidR="53D4384B" w:rsidRPr="7237AB48">
              <w:rPr>
                <w:rFonts w:ascii="Times New Roman" w:hAnsi="Times New Roman"/>
                <w:sz w:val="24"/>
                <w:szCs w:val="24"/>
              </w:rPr>
              <w:t>Omnibus packages</w:t>
            </w:r>
            <w:r w:rsidR="506A1675" w:rsidRPr="7237AB48">
              <w:rPr>
                <w:rFonts w:ascii="Times New Roman" w:hAnsi="Times New Roman"/>
                <w:sz w:val="24"/>
                <w:szCs w:val="24"/>
              </w:rPr>
              <w:t xml:space="preserve"> put forward in 2025</w:t>
            </w:r>
            <w:r w:rsidRPr="7237AB48">
              <w:rPr>
                <w:rFonts w:ascii="Times New Roman" w:hAnsi="Times New Roman"/>
                <w:sz w:val="24"/>
                <w:szCs w:val="24"/>
              </w:rPr>
              <w:t>.</w:t>
            </w:r>
            <w:r w:rsidR="71CB751D" w:rsidRPr="7237AB48">
              <w:rPr>
                <w:rFonts w:ascii="Times New Roman" w:hAnsi="Times New Roman"/>
                <w:sz w:val="24"/>
                <w:szCs w:val="24"/>
              </w:rPr>
              <w:t xml:space="preserve"> Simplification is a core horizontal objective of the Single Market Strategy</w:t>
            </w:r>
            <w:r w:rsidR="4FF16BB9" w:rsidRPr="7237AB48">
              <w:rPr>
                <w:rFonts w:ascii="Times New Roman" w:hAnsi="Times New Roman"/>
                <w:sz w:val="24"/>
                <w:szCs w:val="24"/>
              </w:rPr>
              <w:t xml:space="preserve">. </w:t>
            </w:r>
            <w:r w:rsidR="2A38616D" w:rsidRPr="7237AB48">
              <w:rPr>
                <w:rFonts w:ascii="Times New Roman" w:hAnsi="Times New Roman"/>
                <w:sz w:val="24"/>
                <w:szCs w:val="24"/>
              </w:rPr>
              <w:t>These</w:t>
            </w:r>
            <w:r w:rsidR="3A18D78E" w:rsidRPr="7237AB48">
              <w:rPr>
                <w:rFonts w:ascii="Times New Roman" w:hAnsi="Times New Roman"/>
                <w:sz w:val="24"/>
                <w:szCs w:val="24"/>
              </w:rPr>
              <w:t xml:space="preserve"> ten omnibus packages</w:t>
            </w:r>
            <w:r w:rsidR="001B55AD">
              <w:rPr>
                <w:rFonts w:ascii="Times New Roman" w:hAnsi="Times New Roman"/>
                <w:sz w:val="24"/>
                <w:szCs w:val="24"/>
              </w:rPr>
              <w:t>,</w:t>
            </w:r>
            <w:r w:rsidR="3A18D78E" w:rsidRPr="7237AB48">
              <w:rPr>
                <w:rFonts w:ascii="Times New Roman" w:hAnsi="Times New Roman"/>
                <w:sz w:val="24"/>
                <w:szCs w:val="24"/>
              </w:rPr>
              <w:t xml:space="preserve"> </w:t>
            </w:r>
            <w:r w:rsidR="66017391" w:rsidRPr="7237AB48">
              <w:rPr>
                <w:rFonts w:ascii="Times New Roman" w:hAnsi="Times New Roman"/>
                <w:sz w:val="24"/>
                <w:szCs w:val="24"/>
              </w:rPr>
              <w:t xml:space="preserve">together with </w:t>
            </w:r>
            <w:r w:rsidR="3A18D78E" w:rsidRPr="7237AB48">
              <w:rPr>
                <w:rFonts w:ascii="Times New Roman" w:hAnsi="Times New Roman"/>
                <w:sz w:val="24"/>
                <w:szCs w:val="24"/>
              </w:rPr>
              <w:t xml:space="preserve">other </w:t>
            </w:r>
            <w:r w:rsidR="1C99FE1C" w:rsidRPr="7237AB48">
              <w:rPr>
                <w:rFonts w:ascii="Times New Roman" w:hAnsi="Times New Roman"/>
                <w:sz w:val="24"/>
                <w:szCs w:val="24"/>
              </w:rPr>
              <w:t xml:space="preserve">legislative </w:t>
            </w:r>
            <w:r w:rsidR="3A18D78E" w:rsidRPr="7237AB48">
              <w:rPr>
                <w:rFonts w:ascii="Times New Roman" w:hAnsi="Times New Roman"/>
                <w:sz w:val="24"/>
                <w:szCs w:val="24"/>
              </w:rPr>
              <w:t>initiatives</w:t>
            </w:r>
            <w:r w:rsidR="001B55AD">
              <w:rPr>
                <w:rFonts w:ascii="Times New Roman" w:hAnsi="Times New Roman"/>
                <w:sz w:val="24"/>
                <w:szCs w:val="24"/>
              </w:rPr>
              <w:t>,</w:t>
            </w:r>
            <w:r w:rsidR="00026825">
              <w:rPr>
                <w:rFonts w:ascii="Times New Roman" w:hAnsi="Times New Roman"/>
                <w:sz w:val="24"/>
                <w:szCs w:val="24"/>
              </w:rPr>
              <w:t xml:space="preserve"> </w:t>
            </w:r>
            <w:r w:rsidR="3A18D78E" w:rsidRPr="7237AB48">
              <w:rPr>
                <w:rFonts w:ascii="Times New Roman" w:hAnsi="Times New Roman"/>
                <w:sz w:val="24"/>
                <w:szCs w:val="24"/>
              </w:rPr>
              <w:t>are projected to reduce the recurrent administrative annual burdens by EUR 15 b</w:t>
            </w:r>
            <w:r w:rsidR="00993DDE" w:rsidRPr="7237AB48">
              <w:rPr>
                <w:rFonts w:ascii="Times New Roman" w:hAnsi="Times New Roman"/>
                <w:sz w:val="24"/>
                <w:szCs w:val="24"/>
              </w:rPr>
              <w:t>illio</w:t>
            </w:r>
            <w:r w:rsidR="3A18D78E" w:rsidRPr="7237AB48">
              <w:rPr>
                <w:rFonts w:ascii="Times New Roman" w:hAnsi="Times New Roman"/>
                <w:sz w:val="24"/>
                <w:szCs w:val="24"/>
              </w:rPr>
              <w:t>n</w:t>
            </w:r>
            <w:r w:rsidR="73EA40CC" w:rsidRPr="7237AB48">
              <w:rPr>
                <w:rFonts w:ascii="Times New Roman" w:hAnsi="Times New Roman"/>
                <w:sz w:val="24"/>
                <w:szCs w:val="24"/>
              </w:rPr>
              <w:t>.</w:t>
            </w:r>
            <w:r w:rsidR="41826652">
              <w:t xml:space="preserve"> </w:t>
            </w:r>
            <w:r w:rsidR="41826652" w:rsidRPr="7237AB48">
              <w:rPr>
                <w:rFonts w:ascii="Times New Roman" w:hAnsi="Times New Roman"/>
                <w:sz w:val="24"/>
                <w:szCs w:val="24"/>
              </w:rPr>
              <w:t xml:space="preserve">The Commission is carefully assessing and bringing forward additional means to </w:t>
            </w:r>
            <w:r w:rsidR="00B30885" w:rsidRPr="7237AB48">
              <w:rPr>
                <w:rFonts w:ascii="Times New Roman" w:hAnsi="Times New Roman"/>
                <w:sz w:val="24"/>
                <w:szCs w:val="24"/>
              </w:rPr>
              <w:t xml:space="preserve">further </w:t>
            </w:r>
            <w:r w:rsidR="41826652" w:rsidRPr="7237AB48">
              <w:rPr>
                <w:rFonts w:ascii="Times New Roman" w:hAnsi="Times New Roman"/>
                <w:sz w:val="24"/>
                <w:szCs w:val="24"/>
              </w:rPr>
              <w:t>reduce administrative burdens</w:t>
            </w:r>
            <w:r w:rsidR="13AFCEE9" w:rsidRPr="7237AB48">
              <w:rPr>
                <w:rFonts w:ascii="Times New Roman" w:hAnsi="Times New Roman"/>
                <w:sz w:val="24"/>
                <w:szCs w:val="24"/>
              </w:rPr>
              <w:t xml:space="preserve"> without rolling bac</w:t>
            </w:r>
            <w:r w:rsidR="49FBEE8E" w:rsidRPr="7237AB48">
              <w:rPr>
                <w:rFonts w:ascii="Times New Roman" w:hAnsi="Times New Roman"/>
                <w:sz w:val="24"/>
                <w:szCs w:val="24"/>
              </w:rPr>
              <w:t>k any regulatory objectives or dismantling existing legal frameworks</w:t>
            </w:r>
            <w:r w:rsidR="41826652" w:rsidRPr="7237AB48">
              <w:rPr>
                <w:rFonts w:ascii="Times New Roman" w:hAnsi="Times New Roman"/>
                <w:sz w:val="24"/>
                <w:szCs w:val="24"/>
              </w:rPr>
              <w:t>.</w:t>
            </w:r>
            <w:r w:rsidR="00755E0E" w:rsidRPr="7237AB48">
              <w:rPr>
                <w:rFonts w:ascii="Times New Roman" w:hAnsi="Times New Roman"/>
                <w:sz w:val="24"/>
                <w:szCs w:val="24"/>
              </w:rPr>
              <w:t xml:space="preserve"> The Commission agrees on the importance of assessing the impact of the proposals, including on competitiveness. To this end, the competitiveness check was reinforced in 2025 to assess in more depth the impact</w:t>
            </w:r>
            <w:r w:rsidR="00026825">
              <w:rPr>
                <w:rFonts w:ascii="Times New Roman" w:hAnsi="Times New Roman"/>
                <w:sz w:val="24"/>
                <w:szCs w:val="24"/>
              </w:rPr>
              <w:t xml:space="preserve"> </w:t>
            </w:r>
            <w:r w:rsidR="00755E0E" w:rsidRPr="7237AB48">
              <w:rPr>
                <w:rFonts w:ascii="Times New Roman" w:hAnsi="Times New Roman"/>
                <w:sz w:val="24"/>
                <w:szCs w:val="24"/>
              </w:rPr>
              <w:t>on the most affected sectors.</w:t>
            </w:r>
          </w:p>
          <w:p w14:paraId="5E4E951E" w14:textId="13BC2F6E" w:rsidR="00362300" w:rsidRDefault="587F2D2E"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lastRenderedPageBreak/>
              <w:t>The Commission agrees with the EESC that stronger political and national ownership of the Single Market is indispensable. Member States play a central role in preventing and removing barriers, and without their active engagement</w:t>
            </w:r>
            <w:r w:rsidR="00026825">
              <w:rPr>
                <w:rFonts w:ascii="Times New Roman" w:hAnsi="Times New Roman"/>
                <w:sz w:val="24"/>
                <w:szCs w:val="24"/>
              </w:rPr>
              <w:t xml:space="preserve">, </w:t>
            </w:r>
            <w:r w:rsidRPr="26B2F759">
              <w:rPr>
                <w:rFonts w:ascii="Times New Roman" w:hAnsi="Times New Roman"/>
                <w:sz w:val="24"/>
                <w:szCs w:val="24"/>
              </w:rPr>
              <w:t>the benefits of the Single Market cannot be fully realised.</w:t>
            </w:r>
            <w:r w:rsidR="795DA2A1" w:rsidRPr="26B2F759">
              <w:rPr>
                <w:rFonts w:ascii="Times New Roman" w:hAnsi="Times New Roman"/>
                <w:sz w:val="24"/>
                <w:szCs w:val="24"/>
              </w:rPr>
              <w:t xml:space="preserve"> </w:t>
            </w:r>
            <w:r w:rsidR="795DA2A1">
              <w:t xml:space="preserve"> </w:t>
            </w:r>
            <w:r w:rsidR="795DA2A1" w:rsidRPr="26B2F759">
              <w:rPr>
                <w:rFonts w:ascii="Times New Roman" w:hAnsi="Times New Roman"/>
                <w:sz w:val="24"/>
                <w:szCs w:val="24"/>
              </w:rPr>
              <w:t>To this end, the Single Market Strategy calls on Member States to appoint high-level Single Market Sherpas to strengthen coordination at national level.</w:t>
            </w:r>
            <w:r w:rsidR="4ED12EC7" w:rsidRPr="26B2F759">
              <w:rPr>
                <w:rFonts w:ascii="Times New Roman" w:hAnsi="Times New Roman"/>
                <w:sz w:val="24"/>
                <w:szCs w:val="24"/>
              </w:rPr>
              <w:t xml:space="preserve"> The Commission also welcomes the EESC’s readiness to contribute more actively to Single Market governance and will continue to foster inclusive dialogue within the existing governance framework.</w:t>
            </w:r>
          </w:p>
          <w:p w14:paraId="665B8137" w14:textId="306C3E5D" w:rsidR="00BE5EE1" w:rsidRDefault="0D5B809F"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 xml:space="preserve">The Commission shares the EESC’s assessment that </w:t>
            </w:r>
            <w:r w:rsidR="001B55AD">
              <w:rPr>
                <w:rFonts w:ascii="Times New Roman" w:hAnsi="Times New Roman"/>
                <w:sz w:val="24"/>
                <w:szCs w:val="24"/>
              </w:rPr>
              <w:t xml:space="preserve">the </w:t>
            </w:r>
            <w:r w:rsidRPr="26B2F759">
              <w:rPr>
                <w:rFonts w:ascii="Times New Roman" w:hAnsi="Times New Roman"/>
                <w:sz w:val="24"/>
                <w:szCs w:val="24"/>
              </w:rPr>
              <w:t xml:space="preserve">effective and timely enforcement of Single Market rules is essential. The Strategy </w:t>
            </w:r>
            <w:r w:rsidR="73FDA4C4" w:rsidRPr="26B2F759">
              <w:rPr>
                <w:rFonts w:ascii="Times New Roman" w:hAnsi="Times New Roman"/>
                <w:sz w:val="24"/>
                <w:szCs w:val="24"/>
              </w:rPr>
              <w:t xml:space="preserve">proposes specific actions to strengthen </w:t>
            </w:r>
            <w:r w:rsidR="001B55AD">
              <w:rPr>
                <w:rFonts w:ascii="Times New Roman" w:hAnsi="Times New Roman"/>
                <w:sz w:val="24"/>
                <w:szCs w:val="24"/>
              </w:rPr>
              <w:t xml:space="preserve">the </w:t>
            </w:r>
            <w:r w:rsidR="73FDA4C4" w:rsidRPr="26B2F759">
              <w:rPr>
                <w:rFonts w:ascii="Times New Roman" w:hAnsi="Times New Roman"/>
                <w:sz w:val="24"/>
                <w:szCs w:val="24"/>
              </w:rPr>
              <w:t>enforcement of the Single Market rules, with a focus on</w:t>
            </w:r>
            <w:r w:rsidRPr="26B2F759">
              <w:rPr>
                <w:rFonts w:ascii="Times New Roman" w:hAnsi="Times New Roman"/>
                <w:sz w:val="24"/>
                <w:szCs w:val="24"/>
              </w:rPr>
              <w:t xml:space="preserve"> stronger preventive, collaborative and corrective enforcement tools.</w:t>
            </w:r>
            <w:r w:rsidR="1D532C37" w:rsidRPr="26B2F759">
              <w:rPr>
                <w:rFonts w:ascii="Times New Roman" w:hAnsi="Times New Roman"/>
                <w:sz w:val="24"/>
                <w:szCs w:val="24"/>
              </w:rPr>
              <w:t xml:space="preserve"> As one of the deliverables of the Strategy, the Commission announced the first annual </w:t>
            </w:r>
            <w:r w:rsidR="2F944C81" w:rsidRPr="26B2F759">
              <w:rPr>
                <w:rFonts w:ascii="Times New Roman" w:hAnsi="Times New Roman"/>
                <w:sz w:val="24"/>
                <w:szCs w:val="24"/>
              </w:rPr>
              <w:t xml:space="preserve">Single Market </w:t>
            </w:r>
            <w:r w:rsidR="1D532C37" w:rsidRPr="26B2F759">
              <w:rPr>
                <w:rFonts w:ascii="Times New Roman" w:hAnsi="Times New Roman"/>
                <w:sz w:val="24"/>
                <w:szCs w:val="24"/>
              </w:rPr>
              <w:t>enforcement agenda</w:t>
            </w:r>
            <w:r w:rsidR="001B55AD">
              <w:rPr>
                <w:rFonts w:ascii="Times New Roman" w:hAnsi="Times New Roman"/>
                <w:sz w:val="24"/>
                <w:szCs w:val="24"/>
              </w:rPr>
              <w:t>,</w:t>
            </w:r>
            <w:r w:rsidR="1D532C37" w:rsidRPr="26B2F759">
              <w:rPr>
                <w:rFonts w:ascii="Times New Roman" w:hAnsi="Times New Roman"/>
                <w:sz w:val="24"/>
                <w:szCs w:val="24"/>
              </w:rPr>
              <w:t xml:space="preserve"> </w:t>
            </w:r>
            <w:r w:rsidR="15038981" w:rsidRPr="26B2F759">
              <w:rPr>
                <w:rFonts w:ascii="Times New Roman" w:hAnsi="Times New Roman"/>
                <w:sz w:val="24"/>
                <w:szCs w:val="24"/>
              </w:rPr>
              <w:t>identifying priority areas for horizontal investigations and specific enforcement actions</w:t>
            </w:r>
            <w:r w:rsidR="00026825">
              <w:rPr>
                <w:rFonts w:ascii="Times New Roman" w:hAnsi="Times New Roman"/>
                <w:sz w:val="24"/>
                <w:szCs w:val="24"/>
              </w:rPr>
              <w:t xml:space="preserve"> </w:t>
            </w:r>
            <w:r w:rsidR="1D532C37" w:rsidRPr="26B2F759">
              <w:rPr>
                <w:rFonts w:ascii="Times New Roman" w:hAnsi="Times New Roman"/>
                <w:sz w:val="24"/>
                <w:szCs w:val="24"/>
              </w:rPr>
              <w:t>as part of the ASMCR.</w:t>
            </w:r>
          </w:p>
          <w:p w14:paraId="15D57CD1" w14:textId="271C1824" w:rsidR="00E30C6B" w:rsidRDefault="51E522BC"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The Commission shares the EESC’s view that S</w:t>
            </w:r>
            <w:r w:rsidRPr="009D2A81">
              <w:rPr>
                <w:rFonts w:ascii="Times New Roman" w:hAnsi="Times New Roman"/>
                <w:sz w:val="24"/>
                <w:szCs w:val="24"/>
              </w:rPr>
              <w:t>MEs</w:t>
            </w:r>
            <w:r w:rsidR="009D2A81" w:rsidRPr="009D2A81">
              <w:rPr>
                <w:rFonts w:ascii="Times New Roman" w:hAnsi="Times New Roman"/>
                <w:sz w:val="24"/>
                <w:szCs w:val="24"/>
              </w:rPr>
              <w:t>,</w:t>
            </w:r>
            <w:r w:rsidR="00F30862" w:rsidRPr="00C50E49">
              <w:rPr>
                <w:rFonts w:ascii="Times New Roman" w:eastAsia="Aptos" w:hAnsi="Times New Roman"/>
                <w:sz w:val="24"/>
                <w:szCs w:val="24"/>
              </w:rPr>
              <w:t xml:space="preserve"> including micro and social enterprises,</w:t>
            </w:r>
            <w:r w:rsidR="00F30862" w:rsidRPr="009D2A81">
              <w:rPr>
                <w:rFonts w:ascii="Times New Roman" w:hAnsi="Times New Roman"/>
                <w:sz w:val="24"/>
                <w:szCs w:val="24"/>
              </w:rPr>
              <w:t xml:space="preserve"> </w:t>
            </w:r>
            <w:r w:rsidRPr="009D2A81">
              <w:rPr>
                <w:rFonts w:ascii="Times New Roman" w:hAnsi="Times New Roman"/>
                <w:sz w:val="24"/>
                <w:szCs w:val="24"/>
              </w:rPr>
              <w:t>must be at the centre of Single Market policy. The Strateg</w:t>
            </w:r>
            <w:r w:rsidRPr="26B2F759">
              <w:rPr>
                <w:rFonts w:ascii="Times New Roman" w:hAnsi="Times New Roman"/>
                <w:sz w:val="24"/>
                <w:szCs w:val="24"/>
              </w:rPr>
              <w:t xml:space="preserve">y places particular emphasis on reducing SME-specific barriers and improving access to cross-border opportunities. </w:t>
            </w:r>
            <w:r w:rsidR="3425CABC" w:rsidRPr="26B2F759">
              <w:rPr>
                <w:rFonts w:ascii="Times New Roman" w:hAnsi="Times New Roman"/>
                <w:sz w:val="24"/>
                <w:szCs w:val="24"/>
              </w:rPr>
              <w:t xml:space="preserve">A range of </w:t>
            </w:r>
            <w:r w:rsidR="58483855" w:rsidRPr="26B2F759">
              <w:rPr>
                <w:rFonts w:ascii="Times New Roman" w:hAnsi="Times New Roman"/>
                <w:sz w:val="24"/>
                <w:szCs w:val="24"/>
              </w:rPr>
              <w:t xml:space="preserve">SME-related actions foreseen by the Strategy have already been implemented in 2025, including </w:t>
            </w:r>
            <w:r w:rsidR="00026825">
              <w:rPr>
                <w:rFonts w:ascii="Times New Roman" w:hAnsi="Times New Roman"/>
                <w:sz w:val="24"/>
                <w:szCs w:val="24"/>
              </w:rPr>
              <w:t xml:space="preserve">the </w:t>
            </w:r>
            <w:r w:rsidR="58483855" w:rsidRPr="26B2F759">
              <w:rPr>
                <w:rFonts w:ascii="Times New Roman" w:hAnsi="Times New Roman"/>
                <w:sz w:val="24"/>
                <w:szCs w:val="24"/>
              </w:rPr>
              <w:t xml:space="preserve">SME ID tool, </w:t>
            </w:r>
            <w:r w:rsidR="0031240C">
              <w:rPr>
                <w:rFonts w:ascii="Times New Roman" w:hAnsi="Times New Roman"/>
                <w:sz w:val="24"/>
                <w:szCs w:val="24"/>
              </w:rPr>
              <w:t xml:space="preserve">the </w:t>
            </w:r>
            <w:r w:rsidR="58483855" w:rsidRPr="26B2F759">
              <w:rPr>
                <w:rFonts w:ascii="Times New Roman" w:hAnsi="Times New Roman"/>
                <w:sz w:val="24"/>
                <w:szCs w:val="24"/>
              </w:rPr>
              <w:t xml:space="preserve">reinforcement of the network of SME Envoys, </w:t>
            </w:r>
            <w:r w:rsidR="0031240C">
              <w:rPr>
                <w:rFonts w:ascii="Times New Roman" w:hAnsi="Times New Roman"/>
                <w:sz w:val="24"/>
                <w:szCs w:val="24"/>
              </w:rPr>
              <w:t xml:space="preserve">a </w:t>
            </w:r>
            <w:r w:rsidR="58483855" w:rsidRPr="26B2F759">
              <w:rPr>
                <w:rFonts w:ascii="Times New Roman" w:hAnsi="Times New Roman"/>
                <w:sz w:val="24"/>
                <w:szCs w:val="24"/>
              </w:rPr>
              <w:t xml:space="preserve">definition of small mid-caps, </w:t>
            </w:r>
            <w:r w:rsidR="0031240C">
              <w:rPr>
                <w:rFonts w:ascii="Times New Roman" w:hAnsi="Times New Roman"/>
                <w:sz w:val="24"/>
                <w:szCs w:val="24"/>
              </w:rPr>
              <w:t xml:space="preserve">an </w:t>
            </w:r>
            <w:r w:rsidR="58483855" w:rsidRPr="26B2F759">
              <w:rPr>
                <w:rFonts w:ascii="Times New Roman" w:hAnsi="Times New Roman"/>
                <w:sz w:val="24"/>
                <w:szCs w:val="24"/>
              </w:rPr>
              <w:t>extension of SME Fund, and the recommendation for a voluntary SME standard.</w:t>
            </w:r>
          </w:p>
          <w:p w14:paraId="7407EAF9" w14:textId="2C1E8E26" w:rsidR="000F7EE3" w:rsidRPr="00C24B33" w:rsidRDefault="0A80916D" w:rsidP="009008EC">
            <w:pPr>
              <w:widowControl w:val="0"/>
              <w:spacing w:before="120" w:after="120"/>
              <w:jc w:val="both"/>
              <w:rPr>
                <w:rFonts w:ascii="Times New Roman" w:hAnsi="Times New Roman"/>
                <w:sz w:val="24"/>
                <w:szCs w:val="24"/>
              </w:rPr>
            </w:pPr>
            <w:r w:rsidRPr="00C24B33">
              <w:rPr>
                <w:rFonts w:ascii="Times New Roman" w:hAnsi="Times New Roman"/>
                <w:sz w:val="24"/>
                <w:szCs w:val="24"/>
              </w:rPr>
              <w:t>The Commission shares the EESC’s view on the strategic importance of public procurement for Single Market integration.</w:t>
            </w:r>
            <w:r w:rsidR="2AD8F11B" w:rsidRPr="00C24B33">
              <w:rPr>
                <w:rFonts w:ascii="Times New Roman" w:hAnsi="Times New Roman"/>
                <w:sz w:val="24"/>
                <w:szCs w:val="24"/>
              </w:rPr>
              <w:t xml:space="preserve"> </w:t>
            </w:r>
            <w:r w:rsidR="7B6AEA6E" w:rsidRPr="00C24B33">
              <w:rPr>
                <w:rFonts w:ascii="Times New Roman" w:hAnsi="Times New Roman"/>
                <w:sz w:val="24"/>
                <w:szCs w:val="24"/>
              </w:rPr>
              <w:t xml:space="preserve">The current framework is fragmented with numerous sectoral acts creating uncertainty and inconsistency in interpretation and application. </w:t>
            </w:r>
            <w:r w:rsidR="009F6F0D" w:rsidRPr="00C24B33">
              <w:rPr>
                <w:rFonts w:ascii="Times New Roman" w:hAnsi="Times New Roman"/>
                <w:sz w:val="24"/>
                <w:szCs w:val="24"/>
              </w:rPr>
              <w:t xml:space="preserve">In </w:t>
            </w:r>
            <w:r w:rsidR="000F2DF6" w:rsidRPr="00C24B33">
              <w:rPr>
                <w:rFonts w:ascii="Times New Roman" w:hAnsi="Times New Roman"/>
                <w:sz w:val="24"/>
                <w:szCs w:val="24"/>
              </w:rPr>
              <w:t xml:space="preserve">preparation for </w:t>
            </w:r>
            <w:r w:rsidR="009F6F0D" w:rsidRPr="00C24B33">
              <w:rPr>
                <w:rFonts w:ascii="Times New Roman" w:hAnsi="Times New Roman"/>
                <w:sz w:val="24"/>
                <w:szCs w:val="24"/>
              </w:rPr>
              <w:t>the upcoming reform of the public procurement directives</w:t>
            </w:r>
            <w:r w:rsidR="00BD172B" w:rsidRPr="00C24B33">
              <w:rPr>
                <w:rFonts w:ascii="Times New Roman" w:hAnsi="Times New Roman"/>
                <w:sz w:val="24"/>
                <w:szCs w:val="24"/>
              </w:rPr>
              <w:t>,</w:t>
            </w:r>
            <w:r w:rsidR="009F6F0D" w:rsidRPr="00C24B33">
              <w:rPr>
                <w:rFonts w:ascii="Times New Roman" w:hAnsi="Times New Roman"/>
                <w:sz w:val="24"/>
                <w:szCs w:val="24"/>
              </w:rPr>
              <w:t xml:space="preserve"> t</w:t>
            </w:r>
            <w:r w:rsidR="2AD8F11B" w:rsidRPr="00C24B33">
              <w:rPr>
                <w:rFonts w:ascii="Times New Roman" w:hAnsi="Times New Roman"/>
                <w:sz w:val="24"/>
                <w:szCs w:val="24"/>
              </w:rPr>
              <w:t xml:space="preserve">he Commission </w:t>
            </w:r>
            <w:r w:rsidR="000F2DF6" w:rsidRPr="00C24B33">
              <w:rPr>
                <w:rFonts w:ascii="Times New Roman" w:hAnsi="Times New Roman"/>
                <w:sz w:val="24"/>
                <w:szCs w:val="24"/>
              </w:rPr>
              <w:t xml:space="preserve">is considering </w:t>
            </w:r>
            <w:r w:rsidR="2AD8F11B" w:rsidRPr="00C24B33">
              <w:rPr>
                <w:rFonts w:ascii="Times New Roman" w:hAnsi="Times New Roman"/>
                <w:sz w:val="24"/>
                <w:szCs w:val="24"/>
              </w:rPr>
              <w:t>simplif</w:t>
            </w:r>
            <w:r w:rsidR="00ED3CA5" w:rsidRPr="00C24B33">
              <w:rPr>
                <w:rFonts w:ascii="Times New Roman" w:hAnsi="Times New Roman"/>
                <w:sz w:val="24"/>
                <w:szCs w:val="24"/>
              </w:rPr>
              <w:t>ying the</w:t>
            </w:r>
            <w:r w:rsidR="2AD8F11B" w:rsidRPr="00C24B33">
              <w:rPr>
                <w:rFonts w:ascii="Times New Roman" w:hAnsi="Times New Roman"/>
                <w:sz w:val="24"/>
                <w:szCs w:val="24"/>
              </w:rPr>
              <w:t xml:space="preserve"> public procurement framework, </w:t>
            </w:r>
            <w:r w:rsidR="00ED3CA5" w:rsidRPr="00C24B33">
              <w:rPr>
                <w:rFonts w:ascii="Times New Roman" w:hAnsi="Times New Roman"/>
                <w:sz w:val="24"/>
                <w:szCs w:val="24"/>
              </w:rPr>
              <w:t xml:space="preserve">to </w:t>
            </w:r>
            <w:r w:rsidR="2AD8F11B" w:rsidRPr="00C24B33">
              <w:rPr>
                <w:rFonts w:ascii="Times New Roman" w:hAnsi="Times New Roman"/>
                <w:sz w:val="24"/>
                <w:szCs w:val="24"/>
              </w:rPr>
              <w:t xml:space="preserve">support </w:t>
            </w:r>
            <w:r w:rsidR="0031240C" w:rsidRPr="00C24B33">
              <w:rPr>
                <w:rFonts w:ascii="Times New Roman" w:hAnsi="Times New Roman"/>
                <w:sz w:val="24"/>
                <w:szCs w:val="24"/>
              </w:rPr>
              <w:t xml:space="preserve">European </w:t>
            </w:r>
            <w:r w:rsidR="2AD8F11B" w:rsidRPr="00C24B33">
              <w:rPr>
                <w:rFonts w:ascii="Times New Roman" w:hAnsi="Times New Roman"/>
                <w:sz w:val="24"/>
                <w:szCs w:val="24"/>
              </w:rPr>
              <w:t>companies and allow for sustainability, resilience and European preference criteria in EU public procurement for strategic sectors.</w:t>
            </w:r>
            <w:r w:rsidR="00F30862" w:rsidRPr="00C24B33">
              <w:rPr>
                <w:rFonts w:ascii="Times New Roman" w:hAnsi="Times New Roman"/>
                <w:sz w:val="24"/>
                <w:szCs w:val="24"/>
              </w:rPr>
              <w:t xml:space="preserve"> </w:t>
            </w:r>
            <w:r w:rsidR="00F30862" w:rsidRPr="00C24B33">
              <w:rPr>
                <w:rFonts w:ascii="Times New Roman" w:eastAsia="Times New Roman" w:hAnsi="Times New Roman"/>
                <w:sz w:val="24"/>
                <w:szCs w:val="24"/>
              </w:rPr>
              <w:t xml:space="preserve">Additionally, the Commission will further simplify the directive on defence procurement </w:t>
            </w:r>
            <w:r w:rsidR="0031240C" w:rsidRPr="00C24B33">
              <w:rPr>
                <w:rFonts w:ascii="Times New Roman" w:eastAsia="Times New Roman" w:hAnsi="Times New Roman"/>
                <w:sz w:val="24"/>
                <w:szCs w:val="24"/>
              </w:rPr>
              <w:t xml:space="preserve">in 2026 </w:t>
            </w:r>
            <w:r w:rsidR="00F30862" w:rsidRPr="00C24B33">
              <w:rPr>
                <w:rFonts w:ascii="Times New Roman" w:eastAsia="Times New Roman" w:hAnsi="Times New Roman"/>
                <w:sz w:val="24"/>
                <w:szCs w:val="24"/>
              </w:rPr>
              <w:t>and will consider the introduction of a</w:t>
            </w:r>
            <w:r w:rsidR="000274B7">
              <w:rPr>
                <w:rFonts w:ascii="Times New Roman" w:eastAsia="Times New Roman" w:hAnsi="Times New Roman"/>
                <w:sz w:val="24"/>
                <w:szCs w:val="24"/>
              </w:rPr>
              <w:t> </w:t>
            </w:r>
            <w:r w:rsidR="00F30862" w:rsidRPr="00C24B33">
              <w:rPr>
                <w:rFonts w:ascii="Times New Roman" w:eastAsia="Times New Roman" w:hAnsi="Times New Roman"/>
                <w:sz w:val="24"/>
                <w:szCs w:val="24"/>
              </w:rPr>
              <w:t xml:space="preserve">European preference in that context. </w:t>
            </w:r>
          </w:p>
          <w:p w14:paraId="4AD9AE6E" w14:textId="4F085115" w:rsidR="004925DA" w:rsidRPr="00C24B33" w:rsidRDefault="31D74838" w:rsidP="009008EC">
            <w:pPr>
              <w:widowControl w:val="0"/>
              <w:spacing w:before="120" w:after="120"/>
              <w:jc w:val="both"/>
              <w:rPr>
                <w:rFonts w:ascii="Times New Roman" w:hAnsi="Times New Roman"/>
                <w:sz w:val="24"/>
                <w:szCs w:val="24"/>
              </w:rPr>
            </w:pPr>
            <w:r w:rsidRPr="00C24B33">
              <w:rPr>
                <w:rFonts w:ascii="Times New Roman" w:hAnsi="Times New Roman"/>
                <w:sz w:val="24"/>
                <w:szCs w:val="24"/>
              </w:rPr>
              <w:t xml:space="preserve">The Commission welcomes the EESC’s support for </w:t>
            </w:r>
            <w:r w:rsidR="1475BD79" w:rsidRPr="00C24B33">
              <w:rPr>
                <w:rFonts w:ascii="Times New Roman" w:hAnsi="Times New Roman"/>
                <w:sz w:val="24"/>
                <w:szCs w:val="24"/>
              </w:rPr>
              <w:t xml:space="preserve">the </w:t>
            </w:r>
            <w:r w:rsidRPr="00C24B33">
              <w:rPr>
                <w:rFonts w:ascii="Times New Roman" w:hAnsi="Times New Roman"/>
                <w:sz w:val="24"/>
                <w:szCs w:val="24"/>
              </w:rPr>
              <w:t>28th regime for companies as a tool to facilitate cross-border activity.</w:t>
            </w:r>
            <w:r w:rsidR="1475BD79" w:rsidRPr="00C24B33">
              <w:rPr>
                <w:rFonts w:ascii="Times New Roman" w:hAnsi="Times New Roman"/>
                <w:sz w:val="24"/>
                <w:szCs w:val="24"/>
              </w:rPr>
              <w:t xml:space="preserve"> Setting up and investing in Europe needs to become eas</w:t>
            </w:r>
            <w:r w:rsidR="00F3352E" w:rsidRPr="00C24B33">
              <w:rPr>
                <w:rFonts w:ascii="Times New Roman" w:hAnsi="Times New Roman"/>
                <w:sz w:val="24"/>
                <w:szCs w:val="24"/>
              </w:rPr>
              <w:t>ier</w:t>
            </w:r>
            <w:r w:rsidR="1475BD79" w:rsidRPr="00C24B33">
              <w:rPr>
                <w:rFonts w:ascii="Times New Roman" w:hAnsi="Times New Roman"/>
                <w:sz w:val="24"/>
                <w:szCs w:val="24"/>
              </w:rPr>
              <w:t xml:space="preserve"> and quick</w:t>
            </w:r>
            <w:r w:rsidR="00F3352E" w:rsidRPr="00C24B33">
              <w:rPr>
                <w:rFonts w:ascii="Times New Roman" w:hAnsi="Times New Roman"/>
                <w:sz w:val="24"/>
                <w:szCs w:val="24"/>
              </w:rPr>
              <w:t>er</w:t>
            </w:r>
            <w:r w:rsidR="1475BD79" w:rsidRPr="00C24B33">
              <w:rPr>
                <w:rFonts w:ascii="Times New Roman" w:hAnsi="Times New Roman"/>
                <w:sz w:val="24"/>
                <w:szCs w:val="24"/>
              </w:rPr>
              <w:t xml:space="preserve">. The Commission </w:t>
            </w:r>
            <w:r w:rsidR="009008EC" w:rsidRPr="00C24B33">
              <w:rPr>
                <w:rFonts w:ascii="Times New Roman" w:hAnsi="Times New Roman"/>
                <w:sz w:val="24"/>
                <w:szCs w:val="24"/>
              </w:rPr>
              <w:t>is</w:t>
            </w:r>
            <w:r w:rsidR="1475BD79" w:rsidRPr="00C24B33">
              <w:rPr>
                <w:rFonts w:ascii="Times New Roman" w:hAnsi="Times New Roman"/>
                <w:sz w:val="24"/>
                <w:szCs w:val="24"/>
              </w:rPr>
              <w:t xml:space="preserve"> therefore propos</w:t>
            </w:r>
            <w:r w:rsidR="009008EC" w:rsidRPr="00C24B33">
              <w:rPr>
                <w:rFonts w:ascii="Times New Roman" w:hAnsi="Times New Roman"/>
                <w:sz w:val="24"/>
                <w:szCs w:val="24"/>
              </w:rPr>
              <w:t>ing</w:t>
            </w:r>
            <w:r w:rsidR="1475BD79" w:rsidRPr="00C24B33">
              <w:rPr>
                <w:rFonts w:ascii="Times New Roman" w:hAnsi="Times New Roman"/>
                <w:sz w:val="24"/>
                <w:szCs w:val="24"/>
              </w:rPr>
              <w:t xml:space="preserve"> a 28th regime</w:t>
            </w:r>
            <w:r w:rsidR="00854009" w:rsidRPr="00C24B33">
              <w:rPr>
                <w:rFonts w:ascii="Times New Roman" w:hAnsi="Times New Roman"/>
                <w:sz w:val="24"/>
                <w:szCs w:val="24"/>
              </w:rPr>
              <w:t xml:space="preserve"> company law framework</w:t>
            </w:r>
            <w:r w:rsidR="1475BD79" w:rsidRPr="00C24B33">
              <w:rPr>
                <w:rFonts w:ascii="Times New Roman" w:hAnsi="Times New Roman"/>
                <w:sz w:val="24"/>
                <w:szCs w:val="24"/>
              </w:rPr>
              <w:t xml:space="preserve"> to facilitate the digital </w:t>
            </w:r>
            <w:r w:rsidR="00854009" w:rsidRPr="00C24B33">
              <w:rPr>
                <w:rFonts w:ascii="Times New Roman" w:hAnsi="Times New Roman"/>
                <w:sz w:val="24"/>
                <w:szCs w:val="24"/>
              </w:rPr>
              <w:t xml:space="preserve">and easy </w:t>
            </w:r>
            <w:r w:rsidR="1475BD79" w:rsidRPr="00C24B33">
              <w:rPr>
                <w:rFonts w:ascii="Times New Roman" w:hAnsi="Times New Roman"/>
                <w:sz w:val="24"/>
                <w:szCs w:val="24"/>
              </w:rPr>
              <w:t>set</w:t>
            </w:r>
            <w:r w:rsidR="00854009" w:rsidRPr="00C24B33">
              <w:rPr>
                <w:rFonts w:ascii="Times New Roman" w:hAnsi="Times New Roman"/>
                <w:sz w:val="24"/>
                <w:szCs w:val="24"/>
              </w:rPr>
              <w:t>-</w:t>
            </w:r>
            <w:r w:rsidR="1475BD79" w:rsidRPr="00C24B33">
              <w:rPr>
                <w:rFonts w:ascii="Times New Roman" w:hAnsi="Times New Roman"/>
                <w:sz w:val="24"/>
                <w:szCs w:val="24"/>
              </w:rPr>
              <w:t xml:space="preserve">up </w:t>
            </w:r>
            <w:r w:rsidR="00854009" w:rsidRPr="00C24B33">
              <w:rPr>
                <w:rFonts w:ascii="Times New Roman" w:hAnsi="Times New Roman"/>
                <w:sz w:val="24"/>
                <w:szCs w:val="24"/>
              </w:rPr>
              <w:t>and operation o</w:t>
            </w:r>
            <w:r w:rsidR="1475BD79" w:rsidRPr="00C24B33">
              <w:rPr>
                <w:rFonts w:ascii="Times New Roman" w:hAnsi="Times New Roman"/>
                <w:sz w:val="24"/>
                <w:szCs w:val="24"/>
              </w:rPr>
              <w:t>f companies across the Single Market.</w:t>
            </w:r>
          </w:p>
          <w:p w14:paraId="119B9B96" w14:textId="1975759C" w:rsidR="005637A2" w:rsidRDefault="00213CB7" w:rsidP="009008EC">
            <w:pPr>
              <w:widowControl w:val="0"/>
              <w:spacing w:before="120" w:after="120"/>
              <w:jc w:val="both"/>
              <w:rPr>
                <w:rFonts w:ascii="Times New Roman" w:hAnsi="Times New Roman"/>
                <w:sz w:val="24"/>
                <w:szCs w:val="24"/>
              </w:rPr>
            </w:pPr>
            <w:r w:rsidRPr="00C24B33">
              <w:rPr>
                <w:rFonts w:ascii="Times New Roman" w:hAnsi="Times New Roman"/>
                <w:sz w:val="24"/>
                <w:szCs w:val="24"/>
              </w:rPr>
              <w:t>Unjustified t</w:t>
            </w:r>
            <w:r w:rsidR="640508E8" w:rsidRPr="00C24B33">
              <w:rPr>
                <w:rFonts w:ascii="Times New Roman" w:hAnsi="Times New Roman"/>
                <w:sz w:val="24"/>
                <w:szCs w:val="24"/>
              </w:rPr>
              <w:t>erritorial supply constraints (TSCs) in retail and wholesale</w:t>
            </w:r>
            <w:r w:rsidRPr="00C24B33">
              <w:rPr>
                <w:rFonts w:ascii="Times New Roman" w:hAnsi="Times New Roman"/>
                <w:sz w:val="24"/>
                <w:szCs w:val="24"/>
              </w:rPr>
              <w:t xml:space="preserve"> risk</w:t>
            </w:r>
            <w:r w:rsidR="640508E8" w:rsidRPr="00C24B33">
              <w:rPr>
                <w:rFonts w:ascii="Times New Roman" w:hAnsi="Times New Roman"/>
                <w:sz w:val="24"/>
                <w:szCs w:val="24"/>
              </w:rPr>
              <w:t xml:space="preserve"> fragment</w:t>
            </w:r>
            <w:r w:rsidRPr="00C24B33">
              <w:rPr>
                <w:rFonts w:ascii="Times New Roman" w:hAnsi="Times New Roman"/>
                <w:sz w:val="24"/>
                <w:szCs w:val="24"/>
              </w:rPr>
              <w:t>ing</w:t>
            </w:r>
            <w:r w:rsidR="640508E8" w:rsidRPr="00C24B33">
              <w:rPr>
                <w:rFonts w:ascii="Times New Roman" w:hAnsi="Times New Roman"/>
                <w:sz w:val="24"/>
                <w:szCs w:val="24"/>
              </w:rPr>
              <w:t xml:space="preserve"> the Single Market, limit</w:t>
            </w:r>
            <w:r w:rsidRPr="00C24B33">
              <w:rPr>
                <w:rFonts w:ascii="Times New Roman" w:hAnsi="Times New Roman"/>
                <w:sz w:val="24"/>
                <w:szCs w:val="24"/>
              </w:rPr>
              <w:t>ing</w:t>
            </w:r>
            <w:r w:rsidR="640508E8" w:rsidRPr="00C24B33">
              <w:rPr>
                <w:rFonts w:ascii="Times New Roman" w:hAnsi="Times New Roman"/>
                <w:sz w:val="24"/>
                <w:szCs w:val="24"/>
              </w:rPr>
              <w:t xml:space="preserve"> consumer choice and contribut</w:t>
            </w:r>
            <w:r w:rsidRPr="00C24B33">
              <w:rPr>
                <w:rFonts w:ascii="Times New Roman" w:hAnsi="Times New Roman"/>
                <w:sz w:val="24"/>
                <w:szCs w:val="24"/>
              </w:rPr>
              <w:t>ing</w:t>
            </w:r>
            <w:r w:rsidR="640508E8" w:rsidRPr="00C24B33">
              <w:rPr>
                <w:rFonts w:ascii="Times New Roman" w:hAnsi="Times New Roman"/>
                <w:sz w:val="24"/>
                <w:szCs w:val="24"/>
              </w:rPr>
              <w:t xml:space="preserve"> to price differences across the EU, notably for daily consumer goods. The Commission will consider necessary measures to address such</w:t>
            </w:r>
            <w:r w:rsidRPr="00C24B33">
              <w:rPr>
                <w:rFonts w:ascii="Times New Roman" w:hAnsi="Times New Roman"/>
                <w:sz w:val="24"/>
                <w:szCs w:val="24"/>
              </w:rPr>
              <w:t xml:space="preserve"> unjustified</w:t>
            </w:r>
            <w:r w:rsidR="640508E8" w:rsidRPr="00C24B33">
              <w:rPr>
                <w:rFonts w:ascii="Times New Roman" w:hAnsi="Times New Roman"/>
                <w:sz w:val="24"/>
                <w:szCs w:val="24"/>
              </w:rPr>
              <w:t xml:space="preserve"> supply constraints </w:t>
            </w:r>
            <w:r w:rsidR="00C24B33" w:rsidRPr="00C24B33">
              <w:rPr>
                <w:rFonts w:ascii="Times New Roman" w:hAnsi="Times New Roman"/>
                <w:sz w:val="24"/>
                <w:szCs w:val="24"/>
              </w:rPr>
              <w:t xml:space="preserve">when imposed by </w:t>
            </w:r>
            <w:r w:rsidR="640508E8" w:rsidRPr="00C24B33">
              <w:rPr>
                <w:rFonts w:ascii="Times New Roman" w:hAnsi="Times New Roman"/>
                <w:sz w:val="24"/>
                <w:szCs w:val="24"/>
              </w:rPr>
              <w:t>significant market players when these lead to unjustified price differences that cannot be explained by objective factors such as regulatory or cost differences between Member States.</w:t>
            </w:r>
          </w:p>
          <w:p w14:paraId="5F40340E" w14:textId="3352FDEE" w:rsidR="005218B8" w:rsidRDefault="2AD8F11B" w:rsidP="009008EC">
            <w:pPr>
              <w:widowControl w:val="0"/>
              <w:spacing w:before="120" w:after="120"/>
              <w:jc w:val="both"/>
              <w:rPr>
                <w:rFonts w:ascii="Times New Roman" w:hAnsi="Times New Roman"/>
                <w:sz w:val="24"/>
                <w:szCs w:val="24"/>
              </w:rPr>
            </w:pPr>
            <w:r w:rsidRPr="185A19E9">
              <w:rPr>
                <w:rFonts w:ascii="Times New Roman" w:hAnsi="Times New Roman"/>
                <w:sz w:val="24"/>
                <w:szCs w:val="24"/>
              </w:rPr>
              <w:t>The Commission shares the EESC’s assessment that fragmented national rules on packaging, labelling and waste constitute a significant Single Market barrier. The Strategy therefore foresees actions to address the fragmentation of rules</w:t>
            </w:r>
            <w:r>
              <w:t xml:space="preserve"> </w:t>
            </w:r>
            <w:r w:rsidRPr="185A19E9">
              <w:rPr>
                <w:rFonts w:ascii="Times New Roman" w:hAnsi="Times New Roman"/>
                <w:sz w:val="24"/>
                <w:szCs w:val="24"/>
              </w:rPr>
              <w:t xml:space="preserve">through more harmonised and digital solutions. Further actions to </w:t>
            </w:r>
            <w:r w:rsidRPr="185A19E9">
              <w:rPr>
                <w:rFonts w:ascii="Times New Roman" w:hAnsi="Times New Roman"/>
                <w:sz w:val="24"/>
                <w:szCs w:val="24"/>
              </w:rPr>
              <w:lastRenderedPageBreak/>
              <w:t xml:space="preserve">create a Single Market for waste </w:t>
            </w:r>
            <w:r w:rsidR="6390302C" w:rsidRPr="185A19E9">
              <w:rPr>
                <w:rFonts w:ascii="Times New Roman" w:hAnsi="Times New Roman"/>
                <w:sz w:val="24"/>
                <w:szCs w:val="24"/>
              </w:rPr>
              <w:t xml:space="preserve">and secondary raw materials </w:t>
            </w:r>
            <w:r w:rsidRPr="185A19E9">
              <w:rPr>
                <w:rFonts w:ascii="Times New Roman" w:hAnsi="Times New Roman"/>
                <w:sz w:val="24"/>
                <w:szCs w:val="24"/>
              </w:rPr>
              <w:t>will be proposed through the forthcoming Circular Economy Act</w:t>
            </w:r>
            <w:r w:rsidR="0031240C">
              <w:rPr>
                <w:rFonts w:ascii="Times New Roman" w:hAnsi="Times New Roman"/>
                <w:sz w:val="24"/>
                <w:szCs w:val="24"/>
              </w:rPr>
              <w:t>, on which the Commission asked the EESC for an exploratory opinion</w:t>
            </w:r>
            <w:r w:rsidRPr="185A19E9">
              <w:rPr>
                <w:rFonts w:ascii="Times New Roman" w:hAnsi="Times New Roman"/>
                <w:sz w:val="24"/>
                <w:szCs w:val="24"/>
              </w:rPr>
              <w:t>.</w:t>
            </w:r>
          </w:p>
          <w:p w14:paraId="5C145AB6" w14:textId="27DDAE29" w:rsidR="00B82FA4" w:rsidRDefault="66637D8D"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Standards are fundamental to the Single Market. To address long delays in standard setting, the Commission will review the Standardisation Regulation.</w:t>
            </w:r>
          </w:p>
          <w:p w14:paraId="48184753" w14:textId="00598BC7" w:rsidR="00CD0AC4" w:rsidRDefault="71AECF88"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The Commission agrees with the EESC that services represent the area of the Single Market with the highest untapped potential. To boost European services markets, the Strategy proposed a new sectoral policy approach</w:t>
            </w:r>
            <w:r w:rsidR="009B54B5">
              <w:rPr>
                <w:rFonts w:ascii="Times New Roman" w:hAnsi="Times New Roman"/>
                <w:sz w:val="24"/>
                <w:szCs w:val="24"/>
              </w:rPr>
              <w:t>,</w:t>
            </w:r>
            <w:r w:rsidRPr="26B2F759">
              <w:rPr>
                <w:rFonts w:ascii="Times New Roman" w:hAnsi="Times New Roman"/>
                <w:sz w:val="24"/>
                <w:szCs w:val="24"/>
              </w:rPr>
              <w:t xml:space="preserve"> zooming in on specific services sectors that could bring the highest economic added value and are relevant for the twin transition. The announced initiatives are complemented by a</w:t>
            </w:r>
            <w:r w:rsidR="00E93DD1">
              <w:rPr>
                <w:rFonts w:ascii="Times New Roman" w:hAnsi="Times New Roman"/>
                <w:sz w:val="24"/>
                <w:szCs w:val="24"/>
              </w:rPr>
              <w:t> </w:t>
            </w:r>
            <w:r w:rsidRPr="26B2F759">
              <w:rPr>
                <w:rFonts w:ascii="Times New Roman" w:hAnsi="Times New Roman"/>
                <w:sz w:val="24"/>
                <w:szCs w:val="24"/>
              </w:rPr>
              <w:t>concerted action to take down the most harmful Single Market barriers.</w:t>
            </w:r>
          </w:p>
          <w:p w14:paraId="4B8612D3" w14:textId="05DEDD9D" w:rsidR="00EB064A" w:rsidRPr="006D5D12" w:rsidRDefault="5D9B3936" w:rsidP="009008EC">
            <w:pPr>
              <w:widowControl w:val="0"/>
              <w:spacing w:before="120" w:after="120"/>
              <w:jc w:val="both"/>
              <w:rPr>
                <w:rFonts w:ascii="Times New Roman" w:hAnsi="Times New Roman"/>
                <w:sz w:val="24"/>
                <w:szCs w:val="24"/>
              </w:rPr>
            </w:pPr>
            <w:r w:rsidRPr="39E67F82">
              <w:rPr>
                <w:rFonts w:ascii="Times New Roman" w:hAnsi="Times New Roman"/>
                <w:sz w:val="24"/>
                <w:szCs w:val="24"/>
              </w:rPr>
              <w:t xml:space="preserve">The Commission welcomes the EESC’s support for </w:t>
            </w:r>
            <w:r w:rsidR="00F30862">
              <w:rPr>
                <w:rFonts w:ascii="Times New Roman" w:hAnsi="Times New Roman"/>
                <w:sz w:val="24"/>
                <w:szCs w:val="24"/>
              </w:rPr>
              <w:t>facilitating</w:t>
            </w:r>
            <w:r w:rsidRPr="39E67F82">
              <w:rPr>
                <w:rFonts w:ascii="Times New Roman" w:hAnsi="Times New Roman"/>
                <w:sz w:val="24"/>
                <w:szCs w:val="24"/>
              </w:rPr>
              <w:t xml:space="preserve"> the recognition of professional qualifications. </w:t>
            </w:r>
            <w:r>
              <w:tab/>
            </w:r>
            <w:r w:rsidR="3CC808DA" w:rsidRPr="39E67F82">
              <w:rPr>
                <w:rFonts w:ascii="Times New Roman" w:hAnsi="Times New Roman"/>
                <w:sz w:val="24"/>
                <w:szCs w:val="24"/>
              </w:rPr>
              <w:t xml:space="preserve">To tackle difficulties faced by citizens seeking recognition of their professional qualifications, the Strategy contains actions to </w:t>
            </w:r>
            <w:r w:rsidR="005B6C73" w:rsidRPr="39E67F82">
              <w:rPr>
                <w:rFonts w:ascii="Times New Roman" w:hAnsi="Times New Roman"/>
                <w:sz w:val="24"/>
                <w:szCs w:val="24"/>
              </w:rPr>
              <w:t>facilitate, modernise and expand recognition processes for regulated professions</w:t>
            </w:r>
            <w:r w:rsidR="00434F57">
              <w:rPr>
                <w:rFonts w:ascii="Times New Roman" w:hAnsi="Times New Roman"/>
                <w:sz w:val="24"/>
                <w:szCs w:val="24"/>
              </w:rPr>
              <w:t>,</w:t>
            </w:r>
            <w:r w:rsidR="005B6C73" w:rsidRPr="39E67F82">
              <w:rPr>
                <w:rFonts w:ascii="Times New Roman" w:hAnsi="Times New Roman"/>
                <w:sz w:val="24"/>
                <w:szCs w:val="24"/>
              </w:rPr>
              <w:t xml:space="preserve"> including through </w:t>
            </w:r>
            <w:r w:rsidR="00561B8C" w:rsidRPr="39E67F82">
              <w:rPr>
                <w:rFonts w:ascii="Times New Roman" w:hAnsi="Times New Roman"/>
                <w:sz w:val="24"/>
                <w:szCs w:val="24"/>
              </w:rPr>
              <w:t xml:space="preserve">greater use of </w:t>
            </w:r>
            <w:r w:rsidR="005B6C73" w:rsidRPr="39E67F82">
              <w:rPr>
                <w:rFonts w:ascii="Times New Roman" w:hAnsi="Times New Roman"/>
                <w:sz w:val="24"/>
                <w:szCs w:val="24"/>
              </w:rPr>
              <w:t>digital tools</w:t>
            </w:r>
            <w:r w:rsidR="00F30862" w:rsidRPr="420CFAB1">
              <w:rPr>
                <w:rFonts w:ascii="Times New Roman" w:eastAsia="Times New Roman" w:hAnsi="Times New Roman"/>
                <w:sz w:val="24"/>
                <w:szCs w:val="24"/>
              </w:rPr>
              <w:t xml:space="preserve"> and to extend automatic recognition schemes</w:t>
            </w:r>
            <w:r w:rsidR="3CC808DA" w:rsidRPr="39E67F82">
              <w:rPr>
                <w:rFonts w:ascii="Times New Roman" w:hAnsi="Times New Roman"/>
                <w:sz w:val="24"/>
                <w:szCs w:val="24"/>
              </w:rPr>
              <w:t xml:space="preserve">, notably in the context of the forthcoming </w:t>
            </w:r>
            <w:r w:rsidR="00E501ED" w:rsidRPr="39E67F82">
              <w:rPr>
                <w:rFonts w:ascii="Times New Roman" w:hAnsi="Times New Roman"/>
                <w:sz w:val="24"/>
                <w:szCs w:val="24"/>
              </w:rPr>
              <w:t>Skills Portability</w:t>
            </w:r>
            <w:r w:rsidR="00487935" w:rsidRPr="39E67F82">
              <w:rPr>
                <w:rFonts w:ascii="Times New Roman" w:hAnsi="Times New Roman"/>
                <w:sz w:val="24"/>
                <w:szCs w:val="24"/>
              </w:rPr>
              <w:t xml:space="preserve"> Initiative</w:t>
            </w:r>
            <w:r w:rsidR="3CC808DA" w:rsidRPr="39E67F82">
              <w:rPr>
                <w:rFonts w:ascii="Times New Roman" w:hAnsi="Times New Roman"/>
                <w:sz w:val="24"/>
                <w:szCs w:val="24"/>
              </w:rPr>
              <w:t>.</w:t>
            </w:r>
            <w:r w:rsidR="305AF27A" w:rsidRPr="39E67F82">
              <w:rPr>
                <w:rFonts w:ascii="Times New Roman" w:hAnsi="Times New Roman"/>
                <w:sz w:val="24"/>
                <w:szCs w:val="24"/>
              </w:rPr>
              <w:t xml:space="preserve"> The Commission welcomes the EESC’s support for the </w:t>
            </w:r>
            <w:r w:rsidR="009B54B5" w:rsidRPr="009B54B5">
              <w:rPr>
                <w:rFonts w:ascii="Times New Roman" w:hAnsi="Times New Roman"/>
                <w:sz w:val="24"/>
                <w:szCs w:val="24"/>
              </w:rPr>
              <w:t>European Social Security Pass</w:t>
            </w:r>
            <w:r w:rsidR="009B54B5">
              <w:rPr>
                <w:rFonts w:ascii="Times New Roman" w:hAnsi="Times New Roman"/>
                <w:sz w:val="24"/>
                <w:szCs w:val="24"/>
              </w:rPr>
              <w:t xml:space="preserve"> (E</w:t>
            </w:r>
            <w:r w:rsidR="305AF27A" w:rsidRPr="39E67F82">
              <w:rPr>
                <w:rFonts w:ascii="Times New Roman" w:hAnsi="Times New Roman"/>
                <w:sz w:val="24"/>
                <w:szCs w:val="24"/>
              </w:rPr>
              <w:t>SSPASS</w:t>
            </w:r>
            <w:r w:rsidR="009B54B5">
              <w:rPr>
                <w:rFonts w:ascii="Times New Roman" w:hAnsi="Times New Roman"/>
                <w:sz w:val="24"/>
                <w:szCs w:val="24"/>
              </w:rPr>
              <w:t>)</w:t>
            </w:r>
            <w:r w:rsidR="305AF27A" w:rsidRPr="39E67F82">
              <w:rPr>
                <w:rFonts w:ascii="Times New Roman" w:hAnsi="Times New Roman"/>
                <w:sz w:val="24"/>
                <w:szCs w:val="24"/>
              </w:rPr>
              <w:t xml:space="preserve"> initiative. Digitalising social security documents, including the </w:t>
            </w:r>
            <w:r w:rsidR="006B2CCE" w:rsidRPr="39E67F82">
              <w:rPr>
                <w:rFonts w:ascii="Times New Roman" w:hAnsi="Times New Roman"/>
                <w:sz w:val="24"/>
                <w:szCs w:val="24"/>
              </w:rPr>
              <w:t xml:space="preserve">PD </w:t>
            </w:r>
            <w:r w:rsidR="305AF27A" w:rsidRPr="39E67F82">
              <w:rPr>
                <w:rFonts w:ascii="Times New Roman" w:hAnsi="Times New Roman"/>
                <w:sz w:val="24"/>
                <w:szCs w:val="24"/>
              </w:rPr>
              <w:t>A1</w:t>
            </w:r>
            <w:r w:rsidR="350571BF" w:rsidRPr="39E67F82">
              <w:rPr>
                <w:rFonts w:ascii="Times New Roman" w:hAnsi="Times New Roman"/>
                <w:sz w:val="24"/>
                <w:szCs w:val="24"/>
              </w:rPr>
              <w:t xml:space="preserve"> form</w:t>
            </w:r>
            <w:r w:rsidR="305AF27A" w:rsidRPr="39E67F82">
              <w:rPr>
                <w:rFonts w:ascii="Times New Roman" w:hAnsi="Times New Roman"/>
                <w:sz w:val="24"/>
                <w:szCs w:val="24"/>
              </w:rPr>
              <w:t>, will improve enforcement, reduce fraud and administrative burden, and support fair labour mobility across the Single Market.</w:t>
            </w:r>
            <w:r w:rsidR="00487935" w:rsidRPr="39E67F82">
              <w:rPr>
                <w:rFonts w:ascii="Times New Roman" w:hAnsi="Times New Roman"/>
                <w:sz w:val="24"/>
                <w:szCs w:val="24"/>
              </w:rPr>
              <w:t xml:space="preserve"> Both the Skills Portability Initiative and a proposal for ESSPASS will be part of </w:t>
            </w:r>
            <w:r w:rsidR="006B2CCE" w:rsidRPr="39E67F82">
              <w:rPr>
                <w:rFonts w:ascii="Times New Roman" w:hAnsi="Times New Roman"/>
                <w:sz w:val="24"/>
                <w:szCs w:val="24"/>
              </w:rPr>
              <w:t xml:space="preserve">a Fair Labour Mobility Package, together with the strengthening of the mandate of the European Labour Authority. </w:t>
            </w:r>
          </w:p>
          <w:p w14:paraId="05327DFF" w14:textId="7662734F" w:rsidR="00F30862" w:rsidRPr="00E660F2" w:rsidRDefault="1B89376F" w:rsidP="009008EC">
            <w:pPr>
              <w:widowControl w:val="0"/>
              <w:spacing w:before="120" w:after="120"/>
              <w:jc w:val="both"/>
              <w:rPr>
                <w:rFonts w:ascii="Times New Roman" w:hAnsi="Times New Roman"/>
                <w:sz w:val="24"/>
                <w:szCs w:val="24"/>
              </w:rPr>
            </w:pPr>
            <w:r w:rsidRPr="26B2F759">
              <w:rPr>
                <w:rFonts w:ascii="Times New Roman" w:hAnsi="Times New Roman"/>
                <w:sz w:val="24"/>
                <w:szCs w:val="24"/>
              </w:rPr>
              <w:t>The Commission agrees with the EESC on the importance of fully integrating the social dimension into Single Market policy.</w:t>
            </w:r>
            <w:r w:rsidR="50913BFF" w:rsidRPr="26B2F759">
              <w:rPr>
                <w:rFonts w:ascii="Times New Roman" w:hAnsi="Times New Roman"/>
                <w:sz w:val="24"/>
                <w:szCs w:val="24"/>
              </w:rPr>
              <w:t xml:space="preserve"> The Strategy </w:t>
            </w:r>
            <w:r w:rsidR="10F40031" w:rsidRPr="26B2F759">
              <w:rPr>
                <w:rFonts w:ascii="Times New Roman" w:hAnsi="Times New Roman"/>
                <w:sz w:val="24"/>
                <w:szCs w:val="24"/>
              </w:rPr>
              <w:t xml:space="preserve">therefore </w:t>
            </w:r>
            <w:r w:rsidR="50913BFF" w:rsidRPr="26B2F759">
              <w:rPr>
                <w:rFonts w:ascii="Times New Roman" w:hAnsi="Times New Roman"/>
                <w:sz w:val="24"/>
                <w:szCs w:val="24"/>
              </w:rPr>
              <w:t xml:space="preserve">explicitly highlights the importance of </w:t>
            </w:r>
            <w:r w:rsidR="0883E2A2" w:rsidRPr="26B2F759">
              <w:rPr>
                <w:rFonts w:ascii="Times New Roman" w:hAnsi="Times New Roman"/>
                <w:sz w:val="24"/>
                <w:szCs w:val="24"/>
              </w:rPr>
              <w:t>the Single Market’s commitment to high social and environmental standards protecting citizens and workers</w:t>
            </w:r>
            <w:r w:rsidR="00C50E49">
              <w:rPr>
                <w:rFonts w:ascii="Times New Roman" w:hAnsi="Times New Roman"/>
                <w:sz w:val="24"/>
                <w:szCs w:val="24"/>
              </w:rPr>
              <w:t>.</w:t>
            </w:r>
          </w:p>
        </w:tc>
      </w:tr>
    </w:tbl>
    <w:p w14:paraId="55E209D3" w14:textId="5007EFA6" w:rsidR="00751910" w:rsidRPr="009008EC" w:rsidRDefault="00751910" w:rsidP="004A7932">
      <w:pPr>
        <w:spacing w:after="120"/>
        <w:rPr>
          <w:rFonts w:ascii="Times New Roman" w:hAnsi="Times New Roman"/>
          <w:b/>
          <w:sz w:val="2"/>
          <w:szCs w:val="2"/>
          <w:u w:val="single"/>
        </w:rPr>
      </w:pPr>
    </w:p>
    <w:p w14:paraId="4EB2BD4A" w14:textId="77777777" w:rsidR="00197641" w:rsidRPr="009008EC" w:rsidRDefault="00197641" w:rsidP="00197641">
      <w:pPr>
        <w:ind w:left="-426"/>
        <w:rPr>
          <w:rFonts w:ascii="Times New Roman" w:hAnsi="Times New Roman"/>
          <w:b/>
          <w:sz w:val="2"/>
          <w:szCs w:val="2"/>
          <w:u w:val="single"/>
        </w:rPr>
      </w:pPr>
    </w:p>
    <w:sectPr w:rsidR="00197641" w:rsidRPr="009008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D88B" w14:textId="77777777" w:rsidR="004D759E" w:rsidRDefault="004D759E" w:rsidP="00FF63EA">
      <w:pPr>
        <w:spacing w:after="0" w:line="240" w:lineRule="auto"/>
      </w:pPr>
      <w:r>
        <w:separator/>
      </w:r>
    </w:p>
  </w:endnote>
  <w:endnote w:type="continuationSeparator" w:id="0">
    <w:p w14:paraId="2C2A6D22" w14:textId="77777777" w:rsidR="004D759E" w:rsidRDefault="004D759E"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5892" w14:textId="77777777" w:rsidR="00434F57" w:rsidRDefault="00434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4EA" w14:textId="77777777" w:rsidR="00434F57" w:rsidRPr="00434F57" w:rsidRDefault="00434F57">
    <w:pPr>
      <w:pStyle w:val="Footer"/>
      <w:jc w:val="right"/>
      <w:rPr>
        <w:rFonts w:ascii="Times New Roman" w:hAnsi="Times New Roman"/>
      </w:rPr>
    </w:pPr>
    <w:r w:rsidRPr="00434F57">
      <w:rPr>
        <w:rFonts w:ascii="Times New Roman" w:hAnsi="Times New Roman"/>
      </w:rPr>
      <w:fldChar w:fldCharType="begin"/>
    </w:r>
    <w:r w:rsidRPr="00434F57">
      <w:rPr>
        <w:rFonts w:ascii="Times New Roman" w:hAnsi="Times New Roman"/>
      </w:rPr>
      <w:instrText xml:space="preserve"> PAGE   \* MERGEFORMAT </w:instrText>
    </w:r>
    <w:r w:rsidRPr="00434F57">
      <w:rPr>
        <w:rFonts w:ascii="Times New Roman" w:hAnsi="Times New Roman"/>
      </w:rPr>
      <w:fldChar w:fldCharType="separate"/>
    </w:r>
    <w:r w:rsidRPr="00434F57">
      <w:rPr>
        <w:rFonts w:ascii="Times New Roman" w:hAnsi="Times New Roman"/>
        <w:noProof/>
      </w:rPr>
      <w:t>2</w:t>
    </w:r>
    <w:r w:rsidRPr="00434F57">
      <w:rPr>
        <w:rFonts w:ascii="Times New Roman" w:hAnsi="Times New Roman"/>
        <w:noProof/>
      </w:rPr>
      <w:fldChar w:fldCharType="end"/>
    </w:r>
  </w:p>
  <w:p w14:paraId="3DF6863C" w14:textId="77777777" w:rsidR="00434F57" w:rsidRDefault="00434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1513" w14:textId="77777777" w:rsidR="00434F57" w:rsidRDefault="0043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7937" w14:textId="77777777" w:rsidR="004D759E" w:rsidRDefault="004D759E" w:rsidP="00FF63EA">
      <w:pPr>
        <w:spacing w:after="0" w:line="240" w:lineRule="auto"/>
      </w:pPr>
      <w:r>
        <w:separator/>
      </w:r>
    </w:p>
  </w:footnote>
  <w:footnote w:type="continuationSeparator" w:id="0">
    <w:p w14:paraId="33BF66ED" w14:textId="77777777" w:rsidR="004D759E" w:rsidRDefault="004D759E" w:rsidP="00FF63EA">
      <w:pPr>
        <w:spacing w:after="0" w:line="240" w:lineRule="auto"/>
      </w:pPr>
      <w:r>
        <w:continuationSeparator/>
      </w:r>
    </w:p>
  </w:footnote>
  <w:footnote w:id="1">
    <w:p w14:paraId="624D9946" w14:textId="6D2CB38D" w:rsidR="00A94521" w:rsidRPr="009008EC" w:rsidRDefault="00A94521" w:rsidP="009008EC">
      <w:pPr>
        <w:pStyle w:val="FootnoteText"/>
        <w:widowControl w:val="0"/>
        <w:jc w:val="both"/>
        <w:rPr>
          <w:rFonts w:ascii="Times New Roman" w:hAnsi="Times New Roman" w:cs="Times New Roman"/>
          <w:lang w:val="fr-BE"/>
        </w:rPr>
      </w:pPr>
      <w:r w:rsidRPr="009008EC">
        <w:rPr>
          <w:rStyle w:val="FootnoteReference"/>
          <w:rFonts w:ascii="Times New Roman" w:hAnsi="Times New Roman" w:cs="Times New Roman"/>
        </w:rPr>
        <w:footnoteRef/>
      </w:r>
      <w:r w:rsidRPr="009008EC">
        <w:rPr>
          <w:rFonts w:ascii="Times New Roman" w:hAnsi="Times New Roman" w:cs="Times New Roman"/>
          <w:lang w:val="fr-BE"/>
        </w:rPr>
        <w:t xml:space="preserve"> </w:t>
      </w:r>
      <w:r w:rsidRPr="009008EC">
        <w:rPr>
          <w:rFonts w:ascii="Times New Roman" w:hAnsi="Times New Roman" w:cs="Times New Roman"/>
          <w:lang w:val="fr-BE"/>
        </w:rPr>
        <w:tab/>
        <w:t>COM(2025) 500 final (</w:t>
      </w:r>
      <w:hyperlink r:id="rId1" w:history="1">
        <w:r w:rsidRPr="009008EC">
          <w:rPr>
            <w:rStyle w:val="Hyperlink"/>
            <w:rFonts w:ascii="Times New Roman" w:hAnsi="Times New Roman" w:cs="Times New Roman"/>
            <w:lang w:val="fr-BE"/>
          </w:rPr>
          <w:t>EUR-Lex - 52025DC0500 - EN - EUR-Lex</w:t>
        </w:r>
      </w:hyperlink>
      <w:r w:rsidRPr="009008EC">
        <w:rPr>
          <w:rFonts w:ascii="Times New Roman" w:hAnsi="Times New Roman" w:cs="Times New Roman"/>
          <w:lang w:val="fr-BE"/>
        </w:rPr>
        <w:t>).</w:t>
      </w:r>
    </w:p>
    <w:p w14:paraId="5132569B" w14:textId="55FE0AFD" w:rsidR="00A94521" w:rsidRPr="009008EC" w:rsidRDefault="00A94521" w:rsidP="009008EC">
      <w:pPr>
        <w:pStyle w:val="FootnoteText"/>
        <w:widowControl w:val="0"/>
        <w:jc w:val="both"/>
        <w:rPr>
          <w:rFonts w:ascii="Times New Roman" w:hAnsi="Times New Roman" w:cs="Times New Roman"/>
          <w:sz w:val="2"/>
          <w:szCs w:val="2"/>
          <w:lang w:val="fr-BE"/>
        </w:rPr>
      </w:pPr>
    </w:p>
  </w:footnote>
  <w:footnote w:id="2">
    <w:p w14:paraId="1D1C3388" w14:textId="3E326471" w:rsidR="00A94521" w:rsidRPr="009008EC" w:rsidRDefault="00A94521" w:rsidP="009008EC">
      <w:pPr>
        <w:pStyle w:val="FootnoteText"/>
        <w:widowControl w:val="0"/>
        <w:jc w:val="both"/>
        <w:rPr>
          <w:lang w:val="fr-BE"/>
        </w:rPr>
      </w:pPr>
      <w:r w:rsidRPr="009008EC">
        <w:rPr>
          <w:rStyle w:val="FootnoteReference"/>
          <w:rFonts w:ascii="Times New Roman" w:hAnsi="Times New Roman" w:cs="Times New Roman"/>
        </w:rPr>
        <w:footnoteRef/>
      </w:r>
      <w:r w:rsidRPr="009008EC">
        <w:rPr>
          <w:rFonts w:ascii="Times New Roman" w:hAnsi="Times New Roman" w:cs="Times New Roman"/>
          <w:lang w:val="fr-BE"/>
        </w:rPr>
        <w:t xml:space="preserve"> </w:t>
      </w:r>
      <w:r w:rsidRPr="009008EC">
        <w:rPr>
          <w:rFonts w:ascii="Times New Roman" w:hAnsi="Times New Roman" w:cs="Times New Roman"/>
          <w:lang w:val="fr-BE"/>
        </w:rPr>
        <w:tab/>
        <w:t>COM(2026) 46 final (</w:t>
      </w:r>
      <w:r>
        <w:fldChar w:fldCharType="begin"/>
      </w:r>
      <w:r w:rsidRPr="00EE021F">
        <w:rPr>
          <w:lang w:val="fr-BE"/>
        </w:rPr>
        <w:instrText>HYPERLINK "https://eur-lex.europa.eu/legal-content/EN/TXT/?uri=celex:52026DC0046"</w:instrText>
      </w:r>
      <w:r>
        <w:fldChar w:fldCharType="separate"/>
      </w:r>
      <w:r w:rsidRPr="009008EC">
        <w:rPr>
          <w:rStyle w:val="Hyperlink"/>
          <w:rFonts w:ascii="Times New Roman" w:hAnsi="Times New Roman" w:cs="Times New Roman"/>
          <w:lang w:val="fr-BE"/>
        </w:rPr>
        <w:t>EUR-Lex - 52026DC0046 - EN - EUR-Lex</w:t>
      </w:r>
      <w:r>
        <w:fldChar w:fldCharType="end"/>
      </w:r>
      <w:r w:rsidRPr="009008EC">
        <w:rPr>
          <w:rFonts w:ascii="Times New Roman" w:hAnsi="Times New Roman" w:cs="Times New Roman"/>
          <w:lang w:val="fr-BE"/>
        </w:rPr>
        <w:t>).</w:t>
      </w:r>
      <w:r w:rsidRPr="009008EC">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19B3" w14:textId="77777777" w:rsidR="00434F57" w:rsidRDefault="00434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DB36" w14:textId="77777777" w:rsidR="00434F57" w:rsidRDefault="00434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624F" w14:textId="77777777" w:rsidR="00434F57" w:rsidRDefault="00434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B2B73"/>
    <w:multiLevelType w:val="hybridMultilevel"/>
    <w:tmpl w:val="42FC14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7966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813"/>
    <w:rsid w:val="00012A37"/>
    <w:rsid w:val="00026825"/>
    <w:rsid w:val="00026F59"/>
    <w:rsid w:val="000274B7"/>
    <w:rsid w:val="00036D78"/>
    <w:rsid w:val="00040676"/>
    <w:rsid w:val="00046B15"/>
    <w:rsid w:val="00047861"/>
    <w:rsid w:val="00050DC7"/>
    <w:rsid w:val="00073BA4"/>
    <w:rsid w:val="00076109"/>
    <w:rsid w:val="00077C4F"/>
    <w:rsid w:val="00092B75"/>
    <w:rsid w:val="000974BB"/>
    <w:rsid w:val="000A54F0"/>
    <w:rsid w:val="000B5238"/>
    <w:rsid w:val="000C7E33"/>
    <w:rsid w:val="000D4C00"/>
    <w:rsid w:val="000F0274"/>
    <w:rsid w:val="000F2DF6"/>
    <w:rsid w:val="000F5FD8"/>
    <w:rsid w:val="000F7EE3"/>
    <w:rsid w:val="00104465"/>
    <w:rsid w:val="001167C0"/>
    <w:rsid w:val="00122173"/>
    <w:rsid w:val="00125B2C"/>
    <w:rsid w:val="00135C2A"/>
    <w:rsid w:val="00152119"/>
    <w:rsid w:val="00160ACD"/>
    <w:rsid w:val="00166FB9"/>
    <w:rsid w:val="00175B90"/>
    <w:rsid w:val="00195963"/>
    <w:rsid w:val="00197641"/>
    <w:rsid w:val="001B0E0B"/>
    <w:rsid w:val="001B55AD"/>
    <w:rsid w:val="001C4138"/>
    <w:rsid w:val="001D5F8F"/>
    <w:rsid w:val="001F2EC6"/>
    <w:rsid w:val="001F560E"/>
    <w:rsid w:val="001F65D0"/>
    <w:rsid w:val="00213331"/>
    <w:rsid w:val="002137E5"/>
    <w:rsid w:val="00213CB7"/>
    <w:rsid w:val="00217E59"/>
    <w:rsid w:val="002626C6"/>
    <w:rsid w:val="00267605"/>
    <w:rsid w:val="0026776B"/>
    <w:rsid w:val="00283D20"/>
    <w:rsid w:val="002B7618"/>
    <w:rsid w:val="002F03FA"/>
    <w:rsid w:val="002F1D8B"/>
    <w:rsid w:val="002F7E49"/>
    <w:rsid w:val="003004D2"/>
    <w:rsid w:val="0031240C"/>
    <w:rsid w:val="003220E7"/>
    <w:rsid w:val="0032453B"/>
    <w:rsid w:val="00325041"/>
    <w:rsid w:val="003349A3"/>
    <w:rsid w:val="003607C9"/>
    <w:rsid w:val="00360C1D"/>
    <w:rsid w:val="00362300"/>
    <w:rsid w:val="0036545F"/>
    <w:rsid w:val="00377967"/>
    <w:rsid w:val="00386143"/>
    <w:rsid w:val="00397F7D"/>
    <w:rsid w:val="003B4A7B"/>
    <w:rsid w:val="003B58DC"/>
    <w:rsid w:val="003C0640"/>
    <w:rsid w:val="003C6986"/>
    <w:rsid w:val="003E0C40"/>
    <w:rsid w:val="003F686E"/>
    <w:rsid w:val="00417DD8"/>
    <w:rsid w:val="00434F57"/>
    <w:rsid w:val="00442552"/>
    <w:rsid w:val="00443A33"/>
    <w:rsid w:val="00455A1C"/>
    <w:rsid w:val="004634CD"/>
    <w:rsid w:val="004675B5"/>
    <w:rsid w:val="004770D6"/>
    <w:rsid w:val="00487935"/>
    <w:rsid w:val="0049246C"/>
    <w:rsid w:val="004925DA"/>
    <w:rsid w:val="004A7932"/>
    <w:rsid w:val="004B3DCC"/>
    <w:rsid w:val="004B5C43"/>
    <w:rsid w:val="004C7604"/>
    <w:rsid w:val="004D759E"/>
    <w:rsid w:val="004F6117"/>
    <w:rsid w:val="004F63F1"/>
    <w:rsid w:val="004F651E"/>
    <w:rsid w:val="00502216"/>
    <w:rsid w:val="00505CC9"/>
    <w:rsid w:val="00506CCA"/>
    <w:rsid w:val="005218B8"/>
    <w:rsid w:val="0052596B"/>
    <w:rsid w:val="00525EC2"/>
    <w:rsid w:val="0054741D"/>
    <w:rsid w:val="00554137"/>
    <w:rsid w:val="00554D8D"/>
    <w:rsid w:val="00555FD3"/>
    <w:rsid w:val="00561B8C"/>
    <w:rsid w:val="005637A2"/>
    <w:rsid w:val="00573835"/>
    <w:rsid w:val="005800BF"/>
    <w:rsid w:val="00581306"/>
    <w:rsid w:val="005847AF"/>
    <w:rsid w:val="005B6C73"/>
    <w:rsid w:val="005C025D"/>
    <w:rsid w:val="005C3105"/>
    <w:rsid w:val="005C7E68"/>
    <w:rsid w:val="005E7A76"/>
    <w:rsid w:val="00600206"/>
    <w:rsid w:val="006031D8"/>
    <w:rsid w:val="00611A8A"/>
    <w:rsid w:val="00613FAD"/>
    <w:rsid w:val="0061449D"/>
    <w:rsid w:val="006236FD"/>
    <w:rsid w:val="006611BC"/>
    <w:rsid w:val="00692C2F"/>
    <w:rsid w:val="00695797"/>
    <w:rsid w:val="00696A5E"/>
    <w:rsid w:val="006B2CCE"/>
    <w:rsid w:val="006B3B69"/>
    <w:rsid w:val="006B7944"/>
    <w:rsid w:val="006C41F4"/>
    <w:rsid w:val="006D5D12"/>
    <w:rsid w:val="006F56DD"/>
    <w:rsid w:val="0070005E"/>
    <w:rsid w:val="00701DF5"/>
    <w:rsid w:val="00726409"/>
    <w:rsid w:val="00732F71"/>
    <w:rsid w:val="00734613"/>
    <w:rsid w:val="007360FA"/>
    <w:rsid w:val="00740CE1"/>
    <w:rsid w:val="00746631"/>
    <w:rsid w:val="00751136"/>
    <w:rsid w:val="00751910"/>
    <w:rsid w:val="00751E60"/>
    <w:rsid w:val="007547B5"/>
    <w:rsid w:val="00755E0E"/>
    <w:rsid w:val="00767EAB"/>
    <w:rsid w:val="007918CD"/>
    <w:rsid w:val="00795A9E"/>
    <w:rsid w:val="007A2BB3"/>
    <w:rsid w:val="007A606D"/>
    <w:rsid w:val="007B7A99"/>
    <w:rsid w:val="007C2214"/>
    <w:rsid w:val="007F3005"/>
    <w:rsid w:val="007F3478"/>
    <w:rsid w:val="00807B48"/>
    <w:rsid w:val="00810D4D"/>
    <w:rsid w:val="008135CA"/>
    <w:rsid w:val="0081584F"/>
    <w:rsid w:val="00821C80"/>
    <w:rsid w:val="00854009"/>
    <w:rsid w:val="008703BF"/>
    <w:rsid w:val="008750B3"/>
    <w:rsid w:val="008854BF"/>
    <w:rsid w:val="008925CE"/>
    <w:rsid w:val="008A203F"/>
    <w:rsid w:val="008B2E65"/>
    <w:rsid w:val="008B33B9"/>
    <w:rsid w:val="008C4D41"/>
    <w:rsid w:val="009008EC"/>
    <w:rsid w:val="00901480"/>
    <w:rsid w:val="009175C1"/>
    <w:rsid w:val="009328AE"/>
    <w:rsid w:val="009335A0"/>
    <w:rsid w:val="00955422"/>
    <w:rsid w:val="00964901"/>
    <w:rsid w:val="00981F45"/>
    <w:rsid w:val="00993DDE"/>
    <w:rsid w:val="00994D12"/>
    <w:rsid w:val="009979BA"/>
    <w:rsid w:val="009A3524"/>
    <w:rsid w:val="009B128B"/>
    <w:rsid w:val="009B54B5"/>
    <w:rsid w:val="009C2518"/>
    <w:rsid w:val="009D2A81"/>
    <w:rsid w:val="009F6F0D"/>
    <w:rsid w:val="00A03FB7"/>
    <w:rsid w:val="00A05B52"/>
    <w:rsid w:val="00A126A0"/>
    <w:rsid w:val="00A16F07"/>
    <w:rsid w:val="00A22F17"/>
    <w:rsid w:val="00A23F8C"/>
    <w:rsid w:val="00A2653C"/>
    <w:rsid w:val="00A53017"/>
    <w:rsid w:val="00A57446"/>
    <w:rsid w:val="00A62C7B"/>
    <w:rsid w:val="00A7709A"/>
    <w:rsid w:val="00A842CD"/>
    <w:rsid w:val="00A90A5F"/>
    <w:rsid w:val="00A94521"/>
    <w:rsid w:val="00A968B4"/>
    <w:rsid w:val="00AA0D0B"/>
    <w:rsid w:val="00AA207F"/>
    <w:rsid w:val="00AB251F"/>
    <w:rsid w:val="00AD0BD8"/>
    <w:rsid w:val="00AE1842"/>
    <w:rsid w:val="00AE3C7C"/>
    <w:rsid w:val="00AE7650"/>
    <w:rsid w:val="00B0518C"/>
    <w:rsid w:val="00B30885"/>
    <w:rsid w:val="00B31306"/>
    <w:rsid w:val="00B352D2"/>
    <w:rsid w:val="00B42814"/>
    <w:rsid w:val="00B55DBD"/>
    <w:rsid w:val="00B60D2F"/>
    <w:rsid w:val="00B76F4B"/>
    <w:rsid w:val="00B82FA4"/>
    <w:rsid w:val="00B83936"/>
    <w:rsid w:val="00B86748"/>
    <w:rsid w:val="00B9336D"/>
    <w:rsid w:val="00BD172B"/>
    <w:rsid w:val="00BD6EB7"/>
    <w:rsid w:val="00BE5EE1"/>
    <w:rsid w:val="00BF49CA"/>
    <w:rsid w:val="00C17C1A"/>
    <w:rsid w:val="00C24B33"/>
    <w:rsid w:val="00C37BDD"/>
    <w:rsid w:val="00C50E49"/>
    <w:rsid w:val="00C54D27"/>
    <w:rsid w:val="00C67BC5"/>
    <w:rsid w:val="00C76EEB"/>
    <w:rsid w:val="00C83019"/>
    <w:rsid w:val="00C96963"/>
    <w:rsid w:val="00CA7E9B"/>
    <w:rsid w:val="00CD0AC4"/>
    <w:rsid w:val="00CF1B2D"/>
    <w:rsid w:val="00CF209E"/>
    <w:rsid w:val="00CF2CFB"/>
    <w:rsid w:val="00D01F5A"/>
    <w:rsid w:val="00D1323B"/>
    <w:rsid w:val="00D1383A"/>
    <w:rsid w:val="00D1716E"/>
    <w:rsid w:val="00D174C4"/>
    <w:rsid w:val="00D235BC"/>
    <w:rsid w:val="00D322C2"/>
    <w:rsid w:val="00D64E05"/>
    <w:rsid w:val="00D76544"/>
    <w:rsid w:val="00D82636"/>
    <w:rsid w:val="00D910B6"/>
    <w:rsid w:val="00D92FD3"/>
    <w:rsid w:val="00D939EB"/>
    <w:rsid w:val="00D96C30"/>
    <w:rsid w:val="00DA3B6E"/>
    <w:rsid w:val="00DB7581"/>
    <w:rsid w:val="00DC70C1"/>
    <w:rsid w:val="00DD256D"/>
    <w:rsid w:val="00DD3D03"/>
    <w:rsid w:val="00DD3F3F"/>
    <w:rsid w:val="00DE0F7A"/>
    <w:rsid w:val="00E30C6B"/>
    <w:rsid w:val="00E501ED"/>
    <w:rsid w:val="00E660F2"/>
    <w:rsid w:val="00E755D8"/>
    <w:rsid w:val="00E83C12"/>
    <w:rsid w:val="00E904C8"/>
    <w:rsid w:val="00E93DD1"/>
    <w:rsid w:val="00EA1BBF"/>
    <w:rsid w:val="00EA217C"/>
    <w:rsid w:val="00EA2426"/>
    <w:rsid w:val="00EB064A"/>
    <w:rsid w:val="00EB29A9"/>
    <w:rsid w:val="00EB77D2"/>
    <w:rsid w:val="00EC3798"/>
    <w:rsid w:val="00EC5337"/>
    <w:rsid w:val="00ED3CA5"/>
    <w:rsid w:val="00EE021F"/>
    <w:rsid w:val="00EE1E52"/>
    <w:rsid w:val="00F30862"/>
    <w:rsid w:val="00F315BA"/>
    <w:rsid w:val="00F316C8"/>
    <w:rsid w:val="00F3352E"/>
    <w:rsid w:val="00F34C75"/>
    <w:rsid w:val="00F632DE"/>
    <w:rsid w:val="00F6595A"/>
    <w:rsid w:val="00F733B2"/>
    <w:rsid w:val="00F735E4"/>
    <w:rsid w:val="00F73E1F"/>
    <w:rsid w:val="00F76D1D"/>
    <w:rsid w:val="00F825CA"/>
    <w:rsid w:val="00F90618"/>
    <w:rsid w:val="00F946DA"/>
    <w:rsid w:val="00FB613F"/>
    <w:rsid w:val="00FB7834"/>
    <w:rsid w:val="00FC7E67"/>
    <w:rsid w:val="00FD4B6A"/>
    <w:rsid w:val="00FF03A8"/>
    <w:rsid w:val="00FF47CB"/>
    <w:rsid w:val="00FF63EA"/>
    <w:rsid w:val="0883E2A2"/>
    <w:rsid w:val="0A80916D"/>
    <w:rsid w:val="0D1E0322"/>
    <w:rsid w:val="0D5B809F"/>
    <w:rsid w:val="0E42CB29"/>
    <w:rsid w:val="0F6C130A"/>
    <w:rsid w:val="10F40031"/>
    <w:rsid w:val="13AFCEE9"/>
    <w:rsid w:val="1464C7B8"/>
    <w:rsid w:val="1475BD79"/>
    <w:rsid w:val="15038981"/>
    <w:rsid w:val="185A19E9"/>
    <w:rsid w:val="1B89376F"/>
    <w:rsid w:val="1C99FE1C"/>
    <w:rsid w:val="1D532C37"/>
    <w:rsid w:val="1EAF243A"/>
    <w:rsid w:val="1EDEFADA"/>
    <w:rsid w:val="20D2297A"/>
    <w:rsid w:val="21AA6917"/>
    <w:rsid w:val="26B2F759"/>
    <w:rsid w:val="2814CD2A"/>
    <w:rsid w:val="2A38616D"/>
    <w:rsid w:val="2AD8F11B"/>
    <w:rsid w:val="2F944C81"/>
    <w:rsid w:val="305AF27A"/>
    <w:rsid w:val="30AD625F"/>
    <w:rsid w:val="31D74838"/>
    <w:rsid w:val="3425CABC"/>
    <w:rsid w:val="350571BF"/>
    <w:rsid w:val="37A4CFBF"/>
    <w:rsid w:val="38EEAEA5"/>
    <w:rsid w:val="3948518B"/>
    <w:rsid w:val="396C7B95"/>
    <w:rsid w:val="39E67F82"/>
    <w:rsid w:val="3A18D78E"/>
    <w:rsid w:val="3A6B154B"/>
    <w:rsid w:val="3C8B5A0B"/>
    <w:rsid w:val="3CC808DA"/>
    <w:rsid w:val="3D697691"/>
    <w:rsid w:val="3FFE07D4"/>
    <w:rsid w:val="41826652"/>
    <w:rsid w:val="485D6528"/>
    <w:rsid w:val="49FBEE8E"/>
    <w:rsid w:val="4D4190B6"/>
    <w:rsid w:val="4E524A44"/>
    <w:rsid w:val="4ED12EC7"/>
    <w:rsid w:val="4FF16BB9"/>
    <w:rsid w:val="506A1675"/>
    <w:rsid w:val="50913BFF"/>
    <w:rsid w:val="51E522BC"/>
    <w:rsid w:val="51FA3738"/>
    <w:rsid w:val="53D4384B"/>
    <w:rsid w:val="54E589AE"/>
    <w:rsid w:val="556EC60E"/>
    <w:rsid w:val="580C21D4"/>
    <w:rsid w:val="58483855"/>
    <w:rsid w:val="587F2D2E"/>
    <w:rsid w:val="597A5E79"/>
    <w:rsid w:val="5D3CB925"/>
    <w:rsid w:val="5D73C2CF"/>
    <w:rsid w:val="5D9B3936"/>
    <w:rsid w:val="60631244"/>
    <w:rsid w:val="63553B8A"/>
    <w:rsid w:val="6390302C"/>
    <w:rsid w:val="640508E8"/>
    <w:rsid w:val="66017391"/>
    <w:rsid w:val="66637D8D"/>
    <w:rsid w:val="66644215"/>
    <w:rsid w:val="66AAA389"/>
    <w:rsid w:val="67F1DCA4"/>
    <w:rsid w:val="6CFB3712"/>
    <w:rsid w:val="7139796F"/>
    <w:rsid w:val="71AECF88"/>
    <w:rsid w:val="71CB751D"/>
    <w:rsid w:val="7237AB48"/>
    <w:rsid w:val="73EA40CC"/>
    <w:rsid w:val="73FDA4C4"/>
    <w:rsid w:val="7479658C"/>
    <w:rsid w:val="7727B747"/>
    <w:rsid w:val="795DA2A1"/>
    <w:rsid w:val="7B6AEA6E"/>
    <w:rsid w:val="7CC3299B"/>
    <w:rsid w:val="7FC28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AA2EAC2-6E0F-43D7-BEAE-DEAB6BBE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E1"/>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7605"/>
    <w:rPr>
      <w:sz w:val="22"/>
      <w:szCs w:val="22"/>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nhideWhenUsed/>
    <w:qFormat/>
    <w:rsid w:val="00092B75"/>
    <w:pPr>
      <w:spacing w:after="0" w:line="240" w:lineRule="auto"/>
    </w:pPr>
    <w:rPr>
      <w:rFonts w:ascii="Aptos" w:eastAsia="Aptos" w:hAnsi="Aptos" w:cs="Arial"/>
      <w:kern w:val="2"/>
      <w:sz w:val="20"/>
      <w:szCs w:val="20"/>
      <w:lang w:val="en-I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092B75"/>
    <w:rPr>
      <w:rFonts w:ascii="Aptos" w:eastAsia="Aptos" w:hAnsi="Aptos" w:cs="Arial"/>
      <w:kern w:val="2"/>
      <w:lang w:eastAsia="en-US"/>
    </w:rPr>
  </w:style>
  <w:style w:type="character" w:styleId="FootnoteReference">
    <w:name w:val="footnote reference"/>
    <w:aliases w:val="Footnote symbol"/>
    <w:unhideWhenUsed/>
    <w:qFormat/>
    <w:rsid w:val="00092B75"/>
    <w:rPr>
      <w:vertAlign w:val="superscript"/>
    </w:rPr>
  </w:style>
  <w:style w:type="character" w:styleId="CommentReference">
    <w:name w:val="annotation reference"/>
    <w:uiPriority w:val="99"/>
    <w:semiHidden/>
    <w:unhideWhenUsed/>
    <w:rsid w:val="00A03FB7"/>
    <w:rPr>
      <w:sz w:val="16"/>
      <w:szCs w:val="16"/>
    </w:rPr>
  </w:style>
  <w:style w:type="paragraph" w:styleId="CommentText">
    <w:name w:val="annotation text"/>
    <w:basedOn w:val="Normal"/>
    <w:link w:val="CommentTextChar"/>
    <w:uiPriority w:val="99"/>
    <w:unhideWhenUsed/>
    <w:rsid w:val="00A03FB7"/>
    <w:rPr>
      <w:sz w:val="20"/>
      <w:szCs w:val="20"/>
    </w:rPr>
  </w:style>
  <w:style w:type="character" w:customStyle="1" w:styleId="CommentTextChar">
    <w:name w:val="Comment Text Char"/>
    <w:link w:val="CommentText"/>
    <w:uiPriority w:val="99"/>
    <w:rsid w:val="00A03FB7"/>
    <w:rPr>
      <w:lang w:eastAsia="en-US"/>
    </w:rPr>
  </w:style>
  <w:style w:type="paragraph" w:styleId="CommentSubject">
    <w:name w:val="annotation subject"/>
    <w:basedOn w:val="CommentText"/>
    <w:next w:val="CommentText"/>
    <w:link w:val="CommentSubjectChar"/>
    <w:uiPriority w:val="99"/>
    <w:semiHidden/>
    <w:unhideWhenUsed/>
    <w:rsid w:val="00A03FB7"/>
    <w:rPr>
      <w:b/>
      <w:bCs/>
    </w:rPr>
  </w:style>
  <w:style w:type="character" w:customStyle="1" w:styleId="CommentSubjectChar">
    <w:name w:val="Comment Subject Char"/>
    <w:link w:val="CommentSubject"/>
    <w:uiPriority w:val="99"/>
    <w:semiHidden/>
    <w:rsid w:val="00A03FB7"/>
    <w:rPr>
      <w:b/>
      <w:bCs/>
      <w:lang w:eastAsia="en-US"/>
    </w:rPr>
  </w:style>
  <w:style w:type="paragraph" w:styleId="Header">
    <w:name w:val="header"/>
    <w:basedOn w:val="Normal"/>
    <w:link w:val="HeaderChar"/>
    <w:uiPriority w:val="99"/>
    <w:unhideWhenUsed/>
    <w:rsid w:val="00611A8A"/>
    <w:pPr>
      <w:tabs>
        <w:tab w:val="center" w:pos="4513"/>
        <w:tab w:val="right" w:pos="9026"/>
      </w:tabs>
    </w:pPr>
  </w:style>
  <w:style w:type="character" w:customStyle="1" w:styleId="HeaderChar">
    <w:name w:val="Header Char"/>
    <w:link w:val="Header"/>
    <w:uiPriority w:val="99"/>
    <w:rsid w:val="00611A8A"/>
    <w:rPr>
      <w:sz w:val="22"/>
      <w:szCs w:val="22"/>
      <w:lang w:val="en-GB" w:eastAsia="en-US"/>
    </w:rPr>
  </w:style>
  <w:style w:type="paragraph" w:styleId="Footer">
    <w:name w:val="footer"/>
    <w:basedOn w:val="Normal"/>
    <w:link w:val="FooterChar"/>
    <w:uiPriority w:val="99"/>
    <w:unhideWhenUsed/>
    <w:rsid w:val="00611A8A"/>
    <w:pPr>
      <w:tabs>
        <w:tab w:val="center" w:pos="4513"/>
        <w:tab w:val="right" w:pos="9026"/>
      </w:tabs>
    </w:pPr>
  </w:style>
  <w:style w:type="character" w:customStyle="1" w:styleId="FooterChar">
    <w:name w:val="Footer Char"/>
    <w:link w:val="Footer"/>
    <w:uiPriority w:val="99"/>
    <w:rsid w:val="00611A8A"/>
    <w:rPr>
      <w:sz w:val="22"/>
      <w:szCs w:val="22"/>
      <w:lang w:val="en-GB" w:eastAsia="en-US"/>
    </w:rPr>
  </w:style>
  <w:style w:type="paragraph" w:styleId="NormalWeb">
    <w:name w:val="Normal (Web)"/>
    <w:basedOn w:val="Normal"/>
    <w:uiPriority w:val="99"/>
    <w:semiHidden/>
    <w:unhideWhenUsed/>
    <w:rsid w:val="00A94521"/>
    <w:rPr>
      <w:rFonts w:ascii="Times New Roman" w:hAnsi="Times New Roman"/>
      <w:sz w:val="24"/>
      <w:szCs w:val="24"/>
    </w:rPr>
  </w:style>
  <w:style w:type="character" w:styleId="Hyperlink">
    <w:name w:val="Hyperlink"/>
    <w:uiPriority w:val="99"/>
    <w:unhideWhenUsed/>
    <w:rsid w:val="00A94521"/>
    <w:rPr>
      <w:color w:val="0563C1"/>
      <w:u w:val="single"/>
    </w:rPr>
  </w:style>
  <w:style w:type="character" w:styleId="UnresolvedMention">
    <w:name w:val="Unresolved Mention"/>
    <w:uiPriority w:val="99"/>
    <w:semiHidden/>
    <w:unhideWhenUsed/>
    <w:rsid w:val="00A94521"/>
    <w:rPr>
      <w:color w:val="605E5C"/>
      <w:shd w:val="clear" w:color="auto" w:fill="E1DFDD"/>
    </w:rPr>
  </w:style>
  <w:style w:type="character" w:styleId="Emphasis">
    <w:name w:val="Emphasis"/>
    <w:uiPriority w:val="20"/>
    <w:qFormat/>
    <w:rsid w:val="00A96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180">
      <w:bodyDiv w:val="1"/>
      <w:marLeft w:val="0"/>
      <w:marRight w:val="0"/>
      <w:marTop w:val="0"/>
      <w:marBottom w:val="0"/>
      <w:divBdr>
        <w:top w:val="none" w:sz="0" w:space="0" w:color="auto"/>
        <w:left w:val="none" w:sz="0" w:space="0" w:color="auto"/>
        <w:bottom w:val="none" w:sz="0" w:space="0" w:color="auto"/>
        <w:right w:val="none" w:sz="0" w:space="0" w:color="auto"/>
      </w:divBdr>
      <w:divsChild>
        <w:div w:id="207449293">
          <w:marLeft w:val="0"/>
          <w:marRight w:val="0"/>
          <w:marTop w:val="0"/>
          <w:marBottom w:val="0"/>
          <w:divBdr>
            <w:top w:val="none" w:sz="0" w:space="0" w:color="auto"/>
            <w:left w:val="none" w:sz="0" w:space="0" w:color="auto"/>
            <w:bottom w:val="none" w:sz="0" w:space="0" w:color="auto"/>
            <w:right w:val="none" w:sz="0" w:space="0" w:color="auto"/>
          </w:divBdr>
        </w:div>
        <w:div w:id="313265106">
          <w:marLeft w:val="0"/>
          <w:marRight w:val="0"/>
          <w:marTop w:val="0"/>
          <w:marBottom w:val="0"/>
          <w:divBdr>
            <w:top w:val="none" w:sz="0" w:space="0" w:color="auto"/>
            <w:left w:val="none" w:sz="0" w:space="0" w:color="auto"/>
            <w:bottom w:val="none" w:sz="0" w:space="0" w:color="auto"/>
            <w:right w:val="none" w:sz="0" w:space="0" w:color="auto"/>
          </w:divBdr>
        </w:div>
      </w:divsChild>
    </w:div>
    <w:div w:id="376708073">
      <w:bodyDiv w:val="1"/>
      <w:marLeft w:val="0"/>
      <w:marRight w:val="0"/>
      <w:marTop w:val="0"/>
      <w:marBottom w:val="0"/>
      <w:divBdr>
        <w:top w:val="none" w:sz="0" w:space="0" w:color="auto"/>
        <w:left w:val="none" w:sz="0" w:space="0" w:color="auto"/>
        <w:bottom w:val="none" w:sz="0" w:space="0" w:color="auto"/>
        <w:right w:val="none" w:sz="0" w:space="0" w:color="auto"/>
      </w:divBdr>
      <w:divsChild>
        <w:div w:id="161746245">
          <w:marLeft w:val="0"/>
          <w:marRight w:val="0"/>
          <w:marTop w:val="0"/>
          <w:marBottom w:val="0"/>
          <w:divBdr>
            <w:top w:val="none" w:sz="0" w:space="0" w:color="auto"/>
            <w:left w:val="none" w:sz="0" w:space="0" w:color="auto"/>
            <w:bottom w:val="none" w:sz="0" w:space="0" w:color="auto"/>
            <w:right w:val="none" w:sz="0" w:space="0" w:color="auto"/>
          </w:divBdr>
        </w:div>
        <w:div w:id="727143360">
          <w:marLeft w:val="0"/>
          <w:marRight w:val="0"/>
          <w:marTop w:val="0"/>
          <w:marBottom w:val="0"/>
          <w:divBdr>
            <w:top w:val="none" w:sz="0" w:space="0" w:color="auto"/>
            <w:left w:val="none" w:sz="0" w:space="0" w:color="auto"/>
            <w:bottom w:val="none" w:sz="0" w:space="0" w:color="auto"/>
            <w:right w:val="none" w:sz="0" w:space="0" w:color="auto"/>
          </w:divBdr>
        </w:div>
      </w:divsChild>
    </w:div>
    <w:div w:id="966004611">
      <w:bodyDiv w:val="1"/>
      <w:marLeft w:val="0"/>
      <w:marRight w:val="0"/>
      <w:marTop w:val="0"/>
      <w:marBottom w:val="0"/>
      <w:divBdr>
        <w:top w:val="none" w:sz="0" w:space="0" w:color="auto"/>
        <w:left w:val="none" w:sz="0" w:space="0" w:color="auto"/>
        <w:bottom w:val="none" w:sz="0" w:space="0" w:color="auto"/>
        <w:right w:val="none" w:sz="0" w:space="0" w:color="auto"/>
      </w:divBdr>
    </w:div>
    <w:div w:id="979112832">
      <w:bodyDiv w:val="1"/>
      <w:marLeft w:val="0"/>
      <w:marRight w:val="0"/>
      <w:marTop w:val="0"/>
      <w:marBottom w:val="0"/>
      <w:divBdr>
        <w:top w:val="none" w:sz="0" w:space="0" w:color="auto"/>
        <w:left w:val="none" w:sz="0" w:space="0" w:color="auto"/>
        <w:bottom w:val="none" w:sz="0" w:space="0" w:color="auto"/>
        <w:right w:val="none" w:sz="0" w:space="0" w:color="auto"/>
      </w:divBdr>
    </w:div>
    <w:div w:id="1083137208">
      <w:bodyDiv w:val="1"/>
      <w:marLeft w:val="0"/>
      <w:marRight w:val="0"/>
      <w:marTop w:val="0"/>
      <w:marBottom w:val="0"/>
      <w:divBdr>
        <w:top w:val="none" w:sz="0" w:space="0" w:color="auto"/>
        <w:left w:val="none" w:sz="0" w:space="0" w:color="auto"/>
        <w:bottom w:val="none" w:sz="0" w:space="0" w:color="auto"/>
        <w:right w:val="none" w:sz="0" w:space="0" w:color="auto"/>
      </w:divBdr>
      <w:divsChild>
        <w:div w:id="2099322670">
          <w:marLeft w:val="0"/>
          <w:marRight w:val="0"/>
          <w:marTop w:val="0"/>
          <w:marBottom w:val="0"/>
          <w:divBdr>
            <w:top w:val="none" w:sz="0" w:space="0" w:color="auto"/>
            <w:left w:val="none" w:sz="0" w:space="0" w:color="auto"/>
            <w:bottom w:val="none" w:sz="0" w:space="0" w:color="auto"/>
            <w:right w:val="none" w:sz="0" w:space="0" w:color="auto"/>
          </w:divBdr>
          <w:divsChild>
            <w:div w:id="7918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8354">
      <w:bodyDiv w:val="1"/>
      <w:marLeft w:val="0"/>
      <w:marRight w:val="0"/>
      <w:marTop w:val="0"/>
      <w:marBottom w:val="0"/>
      <w:divBdr>
        <w:top w:val="none" w:sz="0" w:space="0" w:color="auto"/>
        <w:left w:val="none" w:sz="0" w:space="0" w:color="auto"/>
        <w:bottom w:val="none" w:sz="0" w:space="0" w:color="auto"/>
        <w:right w:val="none" w:sz="0" w:space="0" w:color="auto"/>
      </w:divBdr>
      <w:divsChild>
        <w:div w:id="425032093">
          <w:marLeft w:val="0"/>
          <w:marRight w:val="0"/>
          <w:marTop w:val="0"/>
          <w:marBottom w:val="0"/>
          <w:divBdr>
            <w:top w:val="none" w:sz="0" w:space="0" w:color="auto"/>
            <w:left w:val="none" w:sz="0" w:space="0" w:color="auto"/>
            <w:bottom w:val="none" w:sz="0" w:space="0" w:color="auto"/>
            <w:right w:val="none" w:sz="0" w:space="0" w:color="auto"/>
          </w:divBdr>
        </w:div>
        <w:div w:id="738481781">
          <w:marLeft w:val="0"/>
          <w:marRight w:val="0"/>
          <w:marTop w:val="0"/>
          <w:marBottom w:val="0"/>
          <w:divBdr>
            <w:top w:val="none" w:sz="0" w:space="0" w:color="auto"/>
            <w:left w:val="none" w:sz="0" w:space="0" w:color="auto"/>
            <w:bottom w:val="none" w:sz="0" w:space="0" w:color="auto"/>
            <w:right w:val="none" w:sz="0" w:space="0" w:color="auto"/>
          </w:divBdr>
        </w:div>
      </w:divsChild>
    </w:div>
    <w:div w:id="1668710305">
      <w:bodyDiv w:val="1"/>
      <w:marLeft w:val="0"/>
      <w:marRight w:val="0"/>
      <w:marTop w:val="0"/>
      <w:marBottom w:val="0"/>
      <w:divBdr>
        <w:top w:val="none" w:sz="0" w:space="0" w:color="auto"/>
        <w:left w:val="none" w:sz="0" w:space="0" w:color="auto"/>
        <w:bottom w:val="none" w:sz="0" w:space="0" w:color="auto"/>
        <w:right w:val="none" w:sz="0" w:space="0" w:color="auto"/>
      </w:divBdr>
      <w:divsChild>
        <w:div w:id="452020274">
          <w:marLeft w:val="0"/>
          <w:marRight w:val="0"/>
          <w:marTop w:val="0"/>
          <w:marBottom w:val="0"/>
          <w:divBdr>
            <w:top w:val="none" w:sz="0" w:space="0" w:color="auto"/>
            <w:left w:val="none" w:sz="0" w:space="0" w:color="auto"/>
            <w:bottom w:val="none" w:sz="0" w:space="0" w:color="auto"/>
            <w:right w:val="none" w:sz="0" w:space="0" w:color="auto"/>
          </w:divBdr>
        </w:div>
        <w:div w:id="1152719990">
          <w:marLeft w:val="0"/>
          <w:marRight w:val="0"/>
          <w:marTop w:val="0"/>
          <w:marBottom w:val="0"/>
          <w:divBdr>
            <w:top w:val="none" w:sz="0" w:space="0" w:color="auto"/>
            <w:left w:val="none" w:sz="0" w:space="0" w:color="auto"/>
            <w:bottom w:val="none" w:sz="0" w:space="0" w:color="auto"/>
            <w:right w:val="none" w:sz="0" w:space="0" w:color="auto"/>
          </w:divBdr>
        </w:div>
      </w:divsChild>
    </w:div>
    <w:div w:id="1936286987">
      <w:bodyDiv w:val="1"/>
      <w:marLeft w:val="0"/>
      <w:marRight w:val="0"/>
      <w:marTop w:val="0"/>
      <w:marBottom w:val="0"/>
      <w:divBdr>
        <w:top w:val="none" w:sz="0" w:space="0" w:color="auto"/>
        <w:left w:val="none" w:sz="0" w:space="0" w:color="auto"/>
        <w:bottom w:val="none" w:sz="0" w:space="0" w:color="auto"/>
        <w:right w:val="none" w:sz="0" w:space="0" w:color="auto"/>
      </w:divBdr>
      <w:divsChild>
        <w:div w:id="678771157">
          <w:marLeft w:val="0"/>
          <w:marRight w:val="0"/>
          <w:marTop w:val="0"/>
          <w:marBottom w:val="0"/>
          <w:divBdr>
            <w:top w:val="none" w:sz="0" w:space="0" w:color="auto"/>
            <w:left w:val="none" w:sz="0" w:space="0" w:color="auto"/>
            <w:bottom w:val="none" w:sz="0" w:space="0" w:color="auto"/>
            <w:right w:val="none" w:sz="0" w:space="0" w:color="auto"/>
          </w:divBdr>
          <w:divsChild>
            <w:div w:id="1684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9687">
      <w:bodyDiv w:val="1"/>
      <w:marLeft w:val="0"/>
      <w:marRight w:val="0"/>
      <w:marTop w:val="0"/>
      <w:marBottom w:val="0"/>
      <w:divBdr>
        <w:top w:val="none" w:sz="0" w:space="0" w:color="auto"/>
        <w:left w:val="none" w:sz="0" w:space="0" w:color="auto"/>
        <w:bottom w:val="none" w:sz="0" w:space="0" w:color="auto"/>
        <w:right w:val="none" w:sz="0" w:space="0" w:color="auto"/>
      </w:divBdr>
      <w:divsChild>
        <w:div w:id="1459029489">
          <w:marLeft w:val="0"/>
          <w:marRight w:val="0"/>
          <w:marTop w:val="0"/>
          <w:marBottom w:val="0"/>
          <w:divBdr>
            <w:top w:val="none" w:sz="0" w:space="0" w:color="auto"/>
            <w:left w:val="none" w:sz="0" w:space="0" w:color="auto"/>
            <w:bottom w:val="none" w:sz="0" w:space="0" w:color="auto"/>
            <w:right w:val="none" w:sz="0" w:space="0" w:color="auto"/>
          </w:divBdr>
        </w:div>
        <w:div w:id="1777172157">
          <w:marLeft w:val="0"/>
          <w:marRight w:val="0"/>
          <w:marTop w:val="0"/>
          <w:marBottom w:val="0"/>
          <w:divBdr>
            <w:top w:val="none" w:sz="0" w:space="0" w:color="auto"/>
            <w:left w:val="none" w:sz="0" w:space="0" w:color="auto"/>
            <w:bottom w:val="none" w:sz="0" w:space="0" w:color="auto"/>
            <w:right w:val="none" w:sz="0" w:space="0" w:color="auto"/>
          </w:divBdr>
        </w:div>
      </w:divsChild>
    </w:div>
    <w:div w:id="2140102980">
      <w:bodyDiv w:val="1"/>
      <w:marLeft w:val="0"/>
      <w:marRight w:val="0"/>
      <w:marTop w:val="0"/>
      <w:marBottom w:val="0"/>
      <w:divBdr>
        <w:top w:val="none" w:sz="0" w:space="0" w:color="auto"/>
        <w:left w:val="none" w:sz="0" w:space="0" w:color="auto"/>
        <w:bottom w:val="none" w:sz="0" w:space="0" w:color="auto"/>
        <w:right w:val="none" w:sz="0" w:space="0" w:color="auto"/>
      </w:divBdr>
      <w:divsChild>
        <w:div w:id="654332780">
          <w:marLeft w:val="0"/>
          <w:marRight w:val="0"/>
          <w:marTop w:val="0"/>
          <w:marBottom w:val="0"/>
          <w:divBdr>
            <w:top w:val="none" w:sz="0" w:space="0" w:color="auto"/>
            <w:left w:val="none" w:sz="0" w:space="0" w:color="auto"/>
            <w:bottom w:val="none" w:sz="0" w:space="0" w:color="auto"/>
            <w:right w:val="none" w:sz="0" w:space="0" w:color="auto"/>
          </w:divBdr>
        </w:div>
        <w:div w:id="78172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DC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 Document" ma:contentTypeID="0x0101003B67C27D7F847A44B1D99B221FCCC05300BC16335D634335459C028FE896C9BCE6" ma:contentTypeVersion="22" ma:contentTypeDescription="Create a new document in this library." ma:contentTypeScope="" ma:versionID="e570bce6dbd3d69ae31c03da9659d8ae">
  <xsd:schema xmlns:xsd="http://www.w3.org/2001/XMLSchema" xmlns:xs="http://www.w3.org/2001/XMLSchema" xmlns:p="http://schemas.microsoft.com/office/2006/metadata/properties" xmlns:ns3="e0757b53-df10-4b98-9811-094c4c3e23a8" xmlns:ns4="541a8a8b-b856-4d35-a5c7-7f2c0ec3d499" targetNamespace="http://schemas.microsoft.com/office/2006/metadata/properties" ma:root="true" ma:fieldsID="3107a714ed7e0cd2950d8459c02d1469" ns3:_="" ns4:_="">
    <xsd:import namespace="e0757b53-df10-4b98-9811-094c4c3e23a8"/>
    <xsd:import namespace="541a8a8b-b856-4d35-a5c7-7f2c0ec3d49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3"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ARES_DATE_TRANSFERRED xmlns="e0757b53-df10-4b98-9811-094c4c3e23a8" xsi:nil="true"/>
    <EC_Collab_DocumentLanguage xmlns="e0757b53-df10-4b98-9811-094c4c3e23a8">EN</EC_Collab_DocumentLanguage>
    <EC_Collab_Status xmlns="e0757b53-df10-4b98-9811-094c4c3e23a8">Not Started</EC_Collab_Status>
    <EC_Collab_Reference xmlns="e0757b53-df10-4b98-9811-094c4c3e23a8" xsi:nil="true"/>
    <EC_ARES_TRANSFERRED_BY xmlns="e0757b53-df10-4b98-9811-094c4c3e23a8" xsi:nil="true"/>
    <EC_ARES_NUMBER xmlns="e0757b53-df10-4b98-9811-094c4c3e23a8">
      <Url xsi:nil="true"/>
      <Description xsi:nil="true"/>
    </EC_ARES_NUMBER>
  </documentManagement>
</p:properties>
</file>

<file path=customXml/itemProps1.xml><?xml version="1.0" encoding="utf-8"?>
<ds:datastoreItem xmlns:ds="http://schemas.openxmlformats.org/officeDocument/2006/customXml" ds:itemID="{B1376B0B-7D9C-4B58-A81F-50FA8171545D}">
  <ds:schemaRefs>
    <ds:schemaRef ds:uri="http://schemas.microsoft.com/sharepoint/v3/contenttype/forms"/>
  </ds:schemaRefs>
</ds:datastoreItem>
</file>

<file path=customXml/itemProps2.xml><?xml version="1.0" encoding="utf-8"?>
<ds:datastoreItem xmlns:ds="http://schemas.openxmlformats.org/officeDocument/2006/customXml" ds:itemID="{933306C9-61EA-4BA0-B676-C78238361C8F}">
  <ds:schemaRefs>
    <ds:schemaRef ds:uri="http://schemas.openxmlformats.org/officeDocument/2006/bibliography"/>
  </ds:schemaRefs>
</ds:datastoreItem>
</file>

<file path=customXml/itemProps3.xml><?xml version="1.0" encoding="utf-8"?>
<ds:datastoreItem xmlns:ds="http://schemas.openxmlformats.org/officeDocument/2006/customXml" ds:itemID="{0D1502E3-C9CE-4C22-A327-8A55FF6A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57b53-df10-4b98-9811-094c4c3e23a8"/>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9EB09-5D83-404D-873A-F8C31D662722}">
  <ds:schemaRefs>
    <ds:schemaRef ds:uri="http://schemas.microsoft.com/office/2006/metadata/properties"/>
    <ds:schemaRef ds:uri="http://schemas.microsoft.com/office/infopath/2007/PartnerControls"/>
    <ds:schemaRef ds:uri="e0757b53-df10-4b98-9811-094c4c3e23a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1244</Words>
  <Characters>7390</Characters>
  <Application>Microsoft Office Word</Application>
  <DocSecurity>0</DocSecurity>
  <Lines>101</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Aleksei.TROFIMOV@ec.europa.eu</dc:creator>
  <cp:keywords/>
  <cp:lastModifiedBy>ROSSI Simona (SG-EXT)</cp:lastModifiedBy>
  <cp:revision>3</cp:revision>
  <cp:lastPrinted>2013-02-28T12:02:00Z</cp:lastPrinted>
  <dcterms:created xsi:type="dcterms:W3CDTF">2026-03-20T08:14:00Z</dcterms:created>
  <dcterms:modified xsi:type="dcterms:W3CDTF">2026-03-20T08:16:00Z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0x0101003B67C27D7F847A44B1D99B221FCCC05300BC16335D634335459C028FE896C9BCE6</vt:lpwstr>
  </property>
</Properties>
</file>