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9F195F" w:rsidRDefault="00077C4F" w:rsidP="00442552">
      <w:pPr>
        <w:rPr>
          <w:rFonts w:ascii="Times New Roman" w:hAnsi="Times New Roman"/>
          <w:b/>
          <w:sz w:val="2"/>
          <w:szCs w:val="2"/>
          <w:u w:val="single"/>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368D731E">
        <w:trPr>
          <w:jc w:val="center"/>
        </w:trPr>
        <w:tc>
          <w:tcPr>
            <w:tcW w:w="9711" w:type="dxa"/>
          </w:tcPr>
          <w:p w14:paraId="36F68E4C" w14:textId="77777777" w:rsidR="009F195F" w:rsidRDefault="007C39E5" w:rsidP="007C39E5">
            <w:pPr>
              <w:spacing w:after="0"/>
              <w:rPr>
                <w:rFonts w:ascii="Times New Roman" w:hAnsi="Times New Roman"/>
                <w:b/>
                <w:sz w:val="24"/>
                <w:szCs w:val="24"/>
              </w:rPr>
            </w:pPr>
            <w:r w:rsidRPr="007C39E5">
              <w:rPr>
                <w:rFonts w:ascii="Times New Roman" w:hAnsi="Times New Roman"/>
                <w:b/>
                <w:sz w:val="24"/>
                <w:szCs w:val="24"/>
              </w:rPr>
              <w:t>Water resilience and the twin transitions</w:t>
            </w:r>
          </w:p>
          <w:p w14:paraId="07984D1E" w14:textId="0086C03E" w:rsidR="007C39E5" w:rsidRDefault="009F195F" w:rsidP="007C39E5">
            <w:pPr>
              <w:spacing w:after="0"/>
              <w:rPr>
                <w:rFonts w:ascii="Times New Roman" w:hAnsi="Times New Roman"/>
                <w:b/>
                <w:sz w:val="24"/>
                <w:szCs w:val="24"/>
              </w:rPr>
            </w:pPr>
            <w:r>
              <w:rPr>
                <w:rFonts w:ascii="Times New Roman" w:hAnsi="Times New Roman"/>
                <w:b/>
                <w:sz w:val="24"/>
                <w:szCs w:val="24"/>
              </w:rPr>
              <w:t>(own-initiative opinion)</w:t>
            </w:r>
            <w:r w:rsidR="001C4138" w:rsidRPr="00807B48">
              <w:rPr>
                <w:rFonts w:ascii="Times New Roman" w:hAnsi="Times New Roman"/>
                <w:b/>
                <w:sz w:val="24"/>
                <w:szCs w:val="24"/>
              </w:rPr>
              <w:br/>
            </w:r>
            <w:proofErr w:type="gramStart"/>
            <w:r w:rsidR="00E41F1D" w:rsidRPr="00246206">
              <w:rPr>
                <w:rFonts w:ascii="Times New Roman" w:hAnsi="Times New Roman"/>
                <w:b/>
                <w:sz w:val="24"/>
                <w:szCs w:val="24"/>
                <w:lang w:val="en-IE"/>
              </w:rPr>
              <w:t>COM(</w:t>
            </w:r>
            <w:proofErr w:type="gramEnd"/>
            <w:r w:rsidR="00E41F1D" w:rsidRPr="00246206">
              <w:rPr>
                <w:rFonts w:ascii="Times New Roman" w:hAnsi="Times New Roman"/>
                <w:b/>
                <w:sz w:val="24"/>
                <w:szCs w:val="24"/>
                <w:lang w:val="en-IE"/>
              </w:rPr>
              <w:t>2025) 280 final</w:t>
            </w:r>
            <w:r w:rsidR="001C4138" w:rsidRPr="007C39E5">
              <w:rPr>
                <w:rFonts w:ascii="Times New Roman" w:hAnsi="Times New Roman"/>
                <w:b/>
                <w:sz w:val="24"/>
                <w:szCs w:val="24"/>
                <w:lang w:val="en-IE"/>
              </w:rPr>
              <w:br/>
              <w:t>E</w:t>
            </w:r>
            <w:r w:rsidR="001C4138" w:rsidRPr="007C39E5">
              <w:rPr>
                <w:rFonts w:ascii="Times New Roman" w:hAnsi="Times New Roman"/>
                <w:b/>
                <w:sz w:val="24"/>
                <w:szCs w:val="24"/>
              </w:rPr>
              <w:t>ESC</w:t>
            </w:r>
            <w:r>
              <w:rPr>
                <w:rFonts w:ascii="Times New Roman" w:hAnsi="Times New Roman"/>
                <w:b/>
                <w:sz w:val="24"/>
                <w:szCs w:val="24"/>
              </w:rPr>
              <w:t xml:space="preserve"> </w:t>
            </w:r>
            <w:r w:rsidR="001C4138" w:rsidRPr="007C39E5">
              <w:rPr>
                <w:rFonts w:ascii="Times New Roman" w:hAnsi="Times New Roman"/>
                <w:b/>
                <w:sz w:val="24"/>
                <w:szCs w:val="24"/>
              </w:rPr>
              <w:t>-</w:t>
            </w:r>
            <w:r>
              <w:rPr>
                <w:rFonts w:ascii="Times New Roman" w:hAnsi="Times New Roman"/>
                <w:b/>
                <w:sz w:val="24"/>
                <w:szCs w:val="24"/>
              </w:rPr>
              <w:t xml:space="preserve"> </w:t>
            </w:r>
            <w:r w:rsidR="001C4138" w:rsidRPr="007C39E5">
              <w:rPr>
                <w:rFonts w:ascii="Times New Roman" w:hAnsi="Times New Roman"/>
                <w:b/>
                <w:sz w:val="24"/>
                <w:szCs w:val="24"/>
              </w:rPr>
              <w:t>202</w:t>
            </w:r>
            <w:r w:rsidR="007C39E5" w:rsidRPr="007C39E5">
              <w:rPr>
                <w:rFonts w:ascii="Times New Roman" w:hAnsi="Times New Roman"/>
                <w:b/>
                <w:sz w:val="24"/>
                <w:szCs w:val="24"/>
              </w:rPr>
              <w:t>5</w:t>
            </w:r>
            <w:r>
              <w:rPr>
                <w:rFonts w:ascii="Times New Roman" w:hAnsi="Times New Roman"/>
                <w:b/>
                <w:sz w:val="24"/>
                <w:szCs w:val="24"/>
              </w:rPr>
              <w:t xml:space="preserve"> - </w:t>
            </w:r>
            <w:r w:rsidR="00D7206B">
              <w:rPr>
                <w:rFonts w:ascii="Times New Roman" w:hAnsi="Times New Roman"/>
                <w:b/>
                <w:sz w:val="24"/>
                <w:szCs w:val="24"/>
              </w:rPr>
              <w:t>0996</w:t>
            </w:r>
            <w:r w:rsidR="001C4138" w:rsidRPr="007C39E5">
              <w:rPr>
                <w:rFonts w:ascii="Times New Roman" w:hAnsi="Times New Roman"/>
                <w:b/>
                <w:sz w:val="24"/>
                <w:szCs w:val="24"/>
              </w:rPr>
              <w:t>-</w:t>
            </w:r>
            <w:r w:rsidR="007C39E5" w:rsidRPr="007C39E5">
              <w:rPr>
                <w:rFonts w:ascii="Times New Roman" w:hAnsi="Times New Roman"/>
                <w:b/>
                <w:sz w:val="24"/>
                <w:szCs w:val="24"/>
              </w:rPr>
              <w:t>CCMI</w:t>
            </w:r>
            <w:r w:rsidR="001C4138" w:rsidRPr="007C39E5">
              <w:rPr>
                <w:rFonts w:ascii="Times New Roman" w:hAnsi="Times New Roman"/>
                <w:b/>
                <w:sz w:val="24"/>
                <w:szCs w:val="24"/>
              </w:rPr>
              <w:t>/</w:t>
            </w:r>
            <w:r w:rsidR="007C39E5">
              <w:rPr>
                <w:rFonts w:ascii="Times New Roman" w:hAnsi="Times New Roman"/>
                <w:b/>
                <w:sz w:val="24"/>
                <w:szCs w:val="24"/>
              </w:rPr>
              <w:t>247</w:t>
            </w:r>
            <w:r w:rsidR="001C4138" w:rsidRPr="00807B48">
              <w:rPr>
                <w:rFonts w:ascii="Times New Roman" w:hAnsi="Times New Roman"/>
                <w:b/>
                <w:sz w:val="24"/>
                <w:szCs w:val="24"/>
              </w:rPr>
              <w:br/>
            </w:r>
            <w:r w:rsidR="007C39E5">
              <w:rPr>
                <w:rFonts w:ascii="Times New Roman" w:hAnsi="Times New Roman"/>
                <w:b/>
                <w:sz w:val="24"/>
                <w:szCs w:val="24"/>
              </w:rPr>
              <w:t>599</w:t>
            </w:r>
            <w:r>
              <w:rPr>
                <w:rFonts w:ascii="Times New Roman" w:hAnsi="Times New Roman"/>
                <w:b/>
                <w:sz w:val="24"/>
                <w:szCs w:val="24"/>
                <w:vertAlign w:val="superscript"/>
              </w:rPr>
              <w:t>th</w:t>
            </w:r>
            <w:r w:rsidR="007C39E5">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sidR="007C39E5">
              <w:rPr>
                <w:rFonts w:ascii="Times New Roman" w:hAnsi="Times New Roman"/>
                <w:b/>
                <w:sz w:val="24"/>
                <w:szCs w:val="24"/>
              </w:rPr>
              <w:t xml:space="preserve">September 2025 </w:t>
            </w:r>
            <w:r w:rsidR="001C4138" w:rsidRPr="00807B48">
              <w:rPr>
                <w:rFonts w:ascii="Times New Roman" w:hAnsi="Times New Roman"/>
                <w:b/>
                <w:sz w:val="24"/>
                <w:szCs w:val="24"/>
              </w:rPr>
              <w:br/>
              <w:t xml:space="preserve">Rapporteur: </w:t>
            </w:r>
            <w:r w:rsidR="007C39E5" w:rsidRPr="007C39E5">
              <w:rPr>
                <w:rFonts w:ascii="Times New Roman" w:hAnsi="Times New Roman"/>
                <w:b/>
                <w:sz w:val="24"/>
                <w:szCs w:val="24"/>
              </w:rPr>
              <w:t xml:space="preserve">Carole DESIANO </w:t>
            </w:r>
            <w:r>
              <w:rPr>
                <w:rFonts w:ascii="Times New Roman" w:hAnsi="Times New Roman"/>
                <w:b/>
                <w:sz w:val="24"/>
                <w:szCs w:val="24"/>
              </w:rPr>
              <w:t>(FR-II)</w:t>
            </w:r>
          </w:p>
          <w:p w14:paraId="3A4EDC3A" w14:textId="4C89BE00" w:rsidR="001C4138" w:rsidRPr="004F6117" w:rsidRDefault="001C4138" w:rsidP="007C39E5">
            <w:pPr>
              <w:spacing w:after="0"/>
              <w:rPr>
                <w:rFonts w:ascii="Times New Roman" w:hAnsi="Times New Roman"/>
                <w:b/>
                <w:sz w:val="24"/>
                <w:szCs w:val="24"/>
              </w:rPr>
            </w:pPr>
            <w:r w:rsidRPr="00807B48">
              <w:rPr>
                <w:rFonts w:ascii="Times New Roman" w:hAnsi="Times New Roman"/>
                <w:b/>
                <w:sz w:val="24"/>
                <w:szCs w:val="24"/>
              </w:rPr>
              <w:t xml:space="preserve">DG </w:t>
            </w:r>
            <w:r w:rsidR="007C39E5">
              <w:rPr>
                <w:rFonts w:ascii="Times New Roman" w:hAnsi="Times New Roman"/>
                <w:b/>
                <w:sz w:val="24"/>
                <w:szCs w:val="24"/>
              </w:rPr>
              <w:t>ENV</w:t>
            </w:r>
            <w:r w:rsidRPr="00807B48">
              <w:rPr>
                <w:rFonts w:ascii="Times New Roman" w:hAnsi="Times New Roman"/>
                <w:b/>
                <w:sz w:val="24"/>
                <w:szCs w:val="24"/>
              </w:rPr>
              <w:t>– Commissioner</w:t>
            </w:r>
            <w:r w:rsidR="007C39E5">
              <w:rPr>
                <w:rFonts w:ascii="Times New Roman" w:hAnsi="Times New Roman"/>
                <w:b/>
                <w:sz w:val="24"/>
                <w:szCs w:val="24"/>
              </w:rPr>
              <w:t xml:space="preserve"> </w:t>
            </w:r>
            <w:r w:rsidR="009F195F">
              <w:rPr>
                <w:rFonts w:ascii="Times New Roman" w:hAnsi="Times New Roman"/>
                <w:b/>
                <w:sz w:val="24"/>
                <w:szCs w:val="24"/>
              </w:rPr>
              <w:t>ROSWALL</w:t>
            </w:r>
          </w:p>
        </w:tc>
      </w:tr>
      <w:tr w:rsidR="00734613" w:rsidRPr="00442552" w14:paraId="1937071F" w14:textId="77777777" w:rsidTr="368D731E">
        <w:trPr>
          <w:jc w:val="center"/>
        </w:trPr>
        <w:tc>
          <w:tcPr>
            <w:tcW w:w="9711" w:type="dxa"/>
          </w:tcPr>
          <w:p w14:paraId="1E50B4DB" w14:textId="474E05E0"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w:t>
            </w:r>
            <w:r w:rsidR="009F195F">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368D731E">
        <w:trPr>
          <w:jc w:val="center"/>
        </w:trPr>
        <w:tc>
          <w:tcPr>
            <w:tcW w:w="9711" w:type="dxa"/>
          </w:tcPr>
          <w:p w14:paraId="44CF0372" w14:textId="0D05BDD1" w:rsidR="00D500EE" w:rsidRPr="007C4D3B" w:rsidRDefault="00D500EE" w:rsidP="001D67F2">
            <w:pPr>
              <w:pStyle w:val="Heading2"/>
              <w:numPr>
                <w:ilvl w:val="0"/>
                <w:numId w:val="0"/>
              </w:numPr>
              <w:rPr>
                <w:bCs/>
                <w:sz w:val="24"/>
                <w:szCs w:val="24"/>
              </w:rPr>
            </w:pPr>
            <w:r w:rsidRPr="007C4D3B">
              <w:rPr>
                <w:bCs/>
                <w:sz w:val="24"/>
                <w:szCs w:val="24"/>
              </w:rPr>
              <w:t xml:space="preserve">The Commission </w:t>
            </w:r>
            <w:r w:rsidR="001D67F2" w:rsidRPr="007C4D3B">
              <w:rPr>
                <w:bCs/>
                <w:sz w:val="24"/>
                <w:szCs w:val="24"/>
              </w:rPr>
              <w:t xml:space="preserve">welcomes </w:t>
            </w:r>
            <w:r w:rsidRPr="007C4D3B">
              <w:rPr>
                <w:bCs/>
                <w:sz w:val="24"/>
                <w:szCs w:val="24"/>
              </w:rPr>
              <w:t xml:space="preserve">the </w:t>
            </w:r>
            <w:r w:rsidR="009F195F" w:rsidRPr="007C4D3B">
              <w:rPr>
                <w:bCs/>
                <w:sz w:val="24"/>
                <w:szCs w:val="24"/>
              </w:rPr>
              <w:t xml:space="preserve">Committee’s </w:t>
            </w:r>
            <w:r w:rsidRPr="007C4D3B">
              <w:rPr>
                <w:bCs/>
                <w:sz w:val="24"/>
                <w:szCs w:val="24"/>
              </w:rPr>
              <w:t xml:space="preserve">second </w:t>
            </w:r>
            <w:r w:rsidR="009F195F" w:rsidRPr="007C4D3B">
              <w:rPr>
                <w:bCs/>
                <w:sz w:val="24"/>
                <w:szCs w:val="24"/>
              </w:rPr>
              <w:t>o</w:t>
            </w:r>
            <w:r w:rsidRPr="007C4D3B">
              <w:rPr>
                <w:bCs/>
                <w:sz w:val="24"/>
                <w:szCs w:val="24"/>
              </w:rPr>
              <w:t xml:space="preserve">wn </w:t>
            </w:r>
            <w:r w:rsidR="009F195F" w:rsidRPr="007C4D3B">
              <w:rPr>
                <w:bCs/>
                <w:sz w:val="24"/>
                <w:szCs w:val="24"/>
              </w:rPr>
              <w:t>- i</w:t>
            </w:r>
            <w:r w:rsidRPr="007C4D3B">
              <w:rPr>
                <w:bCs/>
                <w:sz w:val="24"/>
                <w:szCs w:val="24"/>
              </w:rPr>
              <w:t xml:space="preserve">nitiative </w:t>
            </w:r>
            <w:r w:rsidR="009F195F" w:rsidRPr="007C4D3B">
              <w:rPr>
                <w:bCs/>
                <w:sz w:val="24"/>
                <w:szCs w:val="24"/>
              </w:rPr>
              <w:t>o</w:t>
            </w:r>
            <w:r w:rsidRPr="007C4D3B">
              <w:rPr>
                <w:bCs/>
                <w:sz w:val="24"/>
                <w:szCs w:val="24"/>
              </w:rPr>
              <w:t xml:space="preserve">pinion </w:t>
            </w:r>
            <w:r w:rsidR="001D67F2" w:rsidRPr="007C4D3B">
              <w:rPr>
                <w:bCs/>
                <w:sz w:val="24"/>
                <w:szCs w:val="24"/>
              </w:rPr>
              <w:t xml:space="preserve">(the first one being 2024/587 – 2025/CCMI/223) </w:t>
            </w:r>
            <w:r w:rsidRPr="007C4D3B">
              <w:rPr>
                <w:bCs/>
                <w:sz w:val="24"/>
                <w:szCs w:val="24"/>
              </w:rPr>
              <w:t>in reaction</w:t>
            </w:r>
            <w:r w:rsidR="00945C5A" w:rsidRPr="007C4D3B">
              <w:rPr>
                <w:bCs/>
                <w:sz w:val="24"/>
                <w:szCs w:val="24"/>
              </w:rPr>
              <w:t xml:space="preserve"> to</w:t>
            </w:r>
            <w:r w:rsidRPr="007C4D3B">
              <w:rPr>
                <w:bCs/>
                <w:sz w:val="24"/>
                <w:szCs w:val="24"/>
              </w:rPr>
              <w:t xml:space="preserve"> the European Water Resilience Strategy of June </w:t>
            </w:r>
            <w:r w:rsidR="00E529EC" w:rsidRPr="007C4D3B">
              <w:rPr>
                <w:bCs/>
                <w:sz w:val="24"/>
                <w:szCs w:val="24"/>
              </w:rPr>
              <w:t>2025</w:t>
            </w:r>
            <w:r w:rsidR="002E4F13" w:rsidRPr="007C4D3B">
              <w:rPr>
                <w:rStyle w:val="FootnoteReference"/>
                <w:bCs/>
                <w:sz w:val="24"/>
                <w:szCs w:val="24"/>
              </w:rPr>
              <w:footnoteReference w:id="2"/>
            </w:r>
            <w:r w:rsidR="00E529EC" w:rsidRPr="007C4D3B">
              <w:rPr>
                <w:bCs/>
                <w:sz w:val="24"/>
                <w:szCs w:val="24"/>
              </w:rPr>
              <w:t xml:space="preserve"> </w:t>
            </w:r>
            <w:r w:rsidRPr="007C4D3B">
              <w:rPr>
                <w:bCs/>
                <w:sz w:val="24"/>
                <w:szCs w:val="24"/>
              </w:rPr>
              <w:t xml:space="preserve">and </w:t>
            </w:r>
            <w:r w:rsidR="001D67F2" w:rsidRPr="007C4D3B">
              <w:rPr>
                <w:bCs/>
                <w:sz w:val="24"/>
                <w:szCs w:val="24"/>
              </w:rPr>
              <w:t xml:space="preserve">its reiterated broad support to the Commission’s </w:t>
            </w:r>
            <w:r w:rsidRPr="007C4D3B">
              <w:rPr>
                <w:bCs/>
                <w:sz w:val="24"/>
                <w:szCs w:val="24"/>
              </w:rPr>
              <w:t>W</w:t>
            </w:r>
            <w:r w:rsidR="00F75381" w:rsidRPr="007C4D3B">
              <w:rPr>
                <w:bCs/>
                <w:sz w:val="24"/>
                <w:szCs w:val="24"/>
              </w:rPr>
              <w:t>ater Resilience S</w:t>
            </w:r>
            <w:r w:rsidRPr="007C4D3B">
              <w:rPr>
                <w:bCs/>
                <w:sz w:val="24"/>
                <w:szCs w:val="24"/>
              </w:rPr>
              <w:t>trategy.</w:t>
            </w:r>
          </w:p>
          <w:p w14:paraId="6C56A225" w14:textId="77777777" w:rsidR="000A4D54" w:rsidRPr="007C4D3B" w:rsidRDefault="000A4D54" w:rsidP="001D67F2">
            <w:pPr>
              <w:pStyle w:val="Heading2"/>
              <w:numPr>
                <w:ilvl w:val="0"/>
                <w:numId w:val="0"/>
              </w:numPr>
              <w:rPr>
                <w:bCs/>
                <w:sz w:val="24"/>
                <w:szCs w:val="24"/>
              </w:rPr>
            </w:pPr>
          </w:p>
          <w:p w14:paraId="08F7A281" w14:textId="2DE6D48C" w:rsidR="000B3D11" w:rsidRPr="007C4D3B" w:rsidRDefault="00EE4541" w:rsidP="008E6C07">
            <w:pPr>
              <w:jc w:val="both"/>
              <w:rPr>
                <w:rFonts w:ascii="Times New Roman" w:eastAsia="Times New Roman" w:hAnsi="Times New Roman"/>
                <w:bCs/>
                <w:sz w:val="24"/>
                <w:szCs w:val="24"/>
                <w:lang w:val="en-US"/>
              </w:rPr>
            </w:pPr>
            <w:r w:rsidRPr="007C4D3B">
              <w:rPr>
                <w:rFonts w:ascii="Times New Roman" w:eastAsia="Times New Roman" w:hAnsi="Times New Roman"/>
                <w:bCs/>
                <w:sz w:val="24"/>
                <w:szCs w:val="24"/>
                <w:lang w:val="en-US"/>
              </w:rPr>
              <w:t xml:space="preserve">The second Opinion puts a particular emphasis on Europe’s </w:t>
            </w:r>
            <w:r w:rsidRPr="007C4D3B">
              <w:rPr>
                <w:rFonts w:ascii="Times New Roman" w:eastAsia="Times New Roman" w:hAnsi="Times New Roman"/>
                <w:b/>
                <w:sz w:val="24"/>
                <w:szCs w:val="24"/>
                <w:lang w:val="en-US"/>
              </w:rPr>
              <w:t>decarbonization strategy</w:t>
            </w:r>
            <w:r w:rsidRPr="007C4D3B">
              <w:rPr>
                <w:rFonts w:ascii="Times New Roman" w:eastAsia="Times New Roman" w:hAnsi="Times New Roman"/>
                <w:bCs/>
                <w:sz w:val="24"/>
                <w:szCs w:val="24"/>
                <w:lang w:val="en-US"/>
              </w:rPr>
              <w:t xml:space="preserve">. </w:t>
            </w:r>
            <w:r w:rsidR="00E8236D" w:rsidRPr="007C4D3B">
              <w:rPr>
                <w:rFonts w:ascii="Times New Roman" w:eastAsia="Times New Roman" w:hAnsi="Times New Roman"/>
                <w:bCs/>
                <w:sz w:val="24"/>
                <w:szCs w:val="24"/>
                <w:lang w:val="en-US"/>
              </w:rPr>
              <w:t>According to</w:t>
            </w:r>
            <w:r w:rsidRPr="007C4D3B">
              <w:rPr>
                <w:rFonts w:ascii="Times New Roman" w:eastAsia="Times New Roman" w:hAnsi="Times New Roman"/>
                <w:bCs/>
                <w:sz w:val="24"/>
                <w:szCs w:val="24"/>
                <w:lang w:val="en-US"/>
              </w:rPr>
              <w:t xml:space="preserve"> the EESC, </w:t>
            </w:r>
            <w:r w:rsidR="001128C0" w:rsidRPr="007C4D3B">
              <w:rPr>
                <w:rFonts w:ascii="Times New Roman" w:eastAsia="Times New Roman" w:hAnsi="Times New Roman"/>
                <w:bCs/>
                <w:sz w:val="24"/>
                <w:szCs w:val="24"/>
                <w:lang w:val="en-US"/>
              </w:rPr>
              <w:t xml:space="preserve">decarbonization </w:t>
            </w:r>
            <w:r w:rsidRPr="007C4D3B">
              <w:rPr>
                <w:rFonts w:ascii="Times New Roman" w:eastAsia="Times New Roman" w:hAnsi="Times New Roman"/>
                <w:bCs/>
                <w:sz w:val="24"/>
                <w:szCs w:val="24"/>
                <w:lang w:val="en-US"/>
              </w:rPr>
              <w:t xml:space="preserve">pathways (electrification, green hydrogen and carbon capture, </w:t>
            </w:r>
            <w:proofErr w:type="spellStart"/>
            <w:r w:rsidRPr="007C4D3B">
              <w:rPr>
                <w:rFonts w:ascii="Times New Roman" w:eastAsia="Times New Roman" w:hAnsi="Times New Roman"/>
                <w:bCs/>
                <w:sz w:val="24"/>
                <w:szCs w:val="24"/>
                <w:lang w:val="en-US"/>
              </w:rPr>
              <w:t>utilisation</w:t>
            </w:r>
            <w:proofErr w:type="spellEnd"/>
            <w:r w:rsidRPr="007C4D3B">
              <w:rPr>
                <w:rFonts w:ascii="Times New Roman" w:eastAsia="Times New Roman" w:hAnsi="Times New Roman"/>
                <w:bCs/>
                <w:sz w:val="24"/>
                <w:szCs w:val="24"/>
                <w:lang w:val="en-US"/>
              </w:rPr>
              <w:t xml:space="preserve"> and storage (CCUS)) requir</w:t>
            </w:r>
            <w:r w:rsidR="00F75381" w:rsidRPr="007C4D3B">
              <w:rPr>
                <w:rFonts w:ascii="Times New Roman" w:eastAsia="Times New Roman" w:hAnsi="Times New Roman"/>
                <w:bCs/>
                <w:sz w:val="24"/>
                <w:szCs w:val="24"/>
                <w:lang w:val="en-US"/>
              </w:rPr>
              <w:t>e</w:t>
            </w:r>
            <w:r w:rsidRPr="007C4D3B">
              <w:rPr>
                <w:rFonts w:ascii="Times New Roman" w:eastAsia="Times New Roman" w:hAnsi="Times New Roman"/>
                <w:bCs/>
                <w:sz w:val="24"/>
                <w:szCs w:val="24"/>
                <w:lang w:val="en-US"/>
              </w:rPr>
              <w:t xml:space="preserve"> new qualities and volumes of water, while offering greater efficiency through closed-loop systems. The Commission takes note that </w:t>
            </w:r>
            <w:proofErr w:type="spellStart"/>
            <w:r w:rsidRPr="007C4D3B">
              <w:rPr>
                <w:rFonts w:ascii="Times New Roman" w:eastAsia="Times New Roman" w:hAnsi="Times New Roman"/>
                <w:bCs/>
                <w:sz w:val="24"/>
                <w:szCs w:val="24"/>
                <w:lang w:val="en-US"/>
              </w:rPr>
              <w:t>decarbonisation</w:t>
            </w:r>
            <w:proofErr w:type="spellEnd"/>
            <w:r w:rsidRPr="007C4D3B">
              <w:rPr>
                <w:rFonts w:ascii="Times New Roman" w:eastAsia="Times New Roman" w:hAnsi="Times New Roman"/>
                <w:bCs/>
                <w:sz w:val="24"/>
                <w:szCs w:val="24"/>
                <w:lang w:val="en-US"/>
              </w:rPr>
              <w:t xml:space="preserve"> and industrial water consumption must be better understood as it is essential to guiding the EU’s green transition policy sustainably.</w:t>
            </w:r>
          </w:p>
          <w:p w14:paraId="2A90B17A" w14:textId="0B74D18B" w:rsidR="00E529EC" w:rsidRPr="007C4D3B" w:rsidRDefault="00E529EC" w:rsidP="008E6C07">
            <w:pPr>
              <w:jc w:val="both"/>
              <w:rPr>
                <w:rFonts w:ascii="Times New Roman" w:eastAsia="Times New Roman" w:hAnsi="Times New Roman"/>
                <w:bCs/>
                <w:sz w:val="24"/>
                <w:szCs w:val="24"/>
                <w:lang w:val="en-US"/>
              </w:rPr>
            </w:pPr>
            <w:r w:rsidRPr="007C4D3B">
              <w:rPr>
                <w:rFonts w:ascii="Times New Roman" w:eastAsia="Times New Roman" w:hAnsi="Times New Roman"/>
                <w:bCs/>
                <w:sz w:val="24"/>
                <w:szCs w:val="24"/>
                <w:lang w:val="en-US"/>
              </w:rPr>
              <w:t xml:space="preserve">The Commission notes that water resilience features in the objectives of the main funding </w:t>
            </w:r>
            <w:proofErr w:type="spellStart"/>
            <w:r w:rsidRPr="007C4D3B">
              <w:rPr>
                <w:rFonts w:ascii="Times New Roman" w:eastAsia="Times New Roman" w:hAnsi="Times New Roman"/>
                <w:bCs/>
                <w:sz w:val="24"/>
                <w:szCs w:val="24"/>
                <w:lang w:val="en-US"/>
              </w:rPr>
              <w:t>programmes</w:t>
            </w:r>
            <w:proofErr w:type="spellEnd"/>
            <w:r w:rsidRPr="007C4D3B">
              <w:rPr>
                <w:rFonts w:ascii="Times New Roman" w:eastAsia="Times New Roman" w:hAnsi="Times New Roman"/>
                <w:bCs/>
                <w:sz w:val="24"/>
                <w:szCs w:val="24"/>
                <w:lang w:val="en-US"/>
              </w:rPr>
              <w:t xml:space="preserve"> of the next EU budget </w:t>
            </w:r>
            <w:r w:rsidR="00945C5A" w:rsidRPr="007C4D3B">
              <w:rPr>
                <w:rFonts w:ascii="Times New Roman" w:eastAsia="Times New Roman" w:hAnsi="Times New Roman"/>
                <w:bCs/>
                <w:sz w:val="24"/>
                <w:szCs w:val="24"/>
                <w:lang w:val="en-US"/>
              </w:rPr>
              <w:t>and</w:t>
            </w:r>
            <w:r w:rsidRPr="007C4D3B">
              <w:rPr>
                <w:rFonts w:ascii="Times New Roman" w:eastAsia="Times New Roman" w:hAnsi="Times New Roman"/>
                <w:bCs/>
                <w:sz w:val="24"/>
                <w:szCs w:val="24"/>
                <w:lang w:val="en-US"/>
              </w:rPr>
              <w:t xml:space="preserve"> in</w:t>
            </w:r>
            <w:r w:rsidR="00945C5A" w:rsidRPr="007C4D3B">
              <w:rPr>
                <w:rFonts w:ascii="Times New Roman" w:eastAsia="Times New Roman" w:hAnsi="Times New Roman"/>
                <w:bCs/>
                <w:sz w:val="24"/>
                <w:szCs w:val="24"/>
                <w:lang w:val="en-US"/>
              </w:rPr>
              <w:t xml:space="preserve"> the</w:t>
            </w:r>
            <w:r w:rsidRPr="007C4D3B">
              <w:rPr>
                <w:rFonts w:ascii="Times New Roman" w:eastAsia="Times New Roman" w:hAnsi="Times New Roman"/>
                <w:bCs/>
                <w:sz w:val="24"/>
                <w:szCs w:val="24"/>
                <w:lang w:val="en-US"/>
              </w:rPr>
              <w:t xml:space="preserve"> National and Regional Partnership Plans.</w:t>
            </w:r>
          </w:p>
          <w:p w14:paraId="77DDDE7B" w14:textId="1C6B848E" w:rsidR="00EE4541" w:rsidRPr="007C4D3B" w:rsidRDefault="000C51B4" w:rsidP="008E6C07">
            <w:pPr>
              <w:jc w:val="both"/>
              <w:rPr>
                <w:rFonts w:ascii="Times New Roman" w:eastAsia="Times New Roman" w:hAnsi="Times New Roman"/>
                <w:bCs/>
                <w:sz w:val="24"/>
                <w:szCs w:val="24"/>
                <w:lang w:val="en-US"/>
              </w:rPr>
            </w:pPr>
            <w:r w:rsidRPr="007C4D3B">
              <w:rPr>
                <w:rFonts w:ascii="Times New Roman" w:eastAsia="Times New Roman" w:hAnsi="Times New Roman"/>
                <w:bCs/>
                <w:sz w:val="24"/>
                <w:szCs w:val="24"/>
                <w:lang w:val="en-US"/>
              </w:rPr>
              <w:t xml:space="preserve">On the </w:t>
            </w:r>
            <w:r w:rsidRPr="007C4D3B">
              <w:rPr>
                <w:rFonts w:ascii="Times New Roman" w:eastAsia="Times New Roman" w:hAnsi="Times New Roman"/>
                <w:b/>
                <w:sz w:val="24"/>
                <w:szCs w:val="24"/>
                <w:lang w:val="en-US"/>
              </w:rPr>
              <w:t>energy transition</w:t>
            </w:r>
            <w:r w:rsidRPr="007C4D3B">
              <w:rPr>
                <w:rFonts w:ascii="Times New Roman" w:eastAsia="Times New Roman" w:hAnsi="Times New Roman"/>
                <w:bCs/>
                <w:sz w:val="24"/>
                <w:szCs w:val="24"/>
                <w:lang w:val="en-US"/>
              </w:rPr>
              <w:t xml:space="preserve">: </w:t>
            </w:r>
            <w:r w:rsidR="000B3D11" w:rsidRPr="007C4D3B">
              <w:rPr>
                <w:rFonts w:ascii="Times New Roman" w:eastAsia="Times New Roman" w:hAnsi="Times New Roman"/>
                <w:bCs/>
                <w:sz w:val="24"/>
                <w:szCs w:val="24"/>
                <w:lang w:val="en-US"/>
              </w:rPr>
              <w:t xml:space="preserve">The Commission </w:t>
            </w:r>
            <w:r w:rsidR="00E8236D" w:rsidRPr="007C4D3B">
              <w:rPr>
                <w:rFonts w:ascii="Times New Roman" w:eastAsia="Times New Roman" w:hAnsi="Times New Roman"/>
                <w:bCs/>
                <w:sz w:val="24"/>
                <w:szCs w:val="24"/>
                <w:lang w:val="en-US"/>
              </w:rPr>
              <w:t xml:space="preserve">takes </w:t>
            </w:r>
            <w:r w:rsidR="000B3D11" w:rsidRPr="007C4D3B">
              <w:rPr>
                <w:rFonts w:ascii="Times New Roman" w:eastAsia="Times New Roman" w:hAnsi="Times New Roman"/>
                <w:bCs/>
                <w:sz w:val="24"/>
                <w:szCs w:val="24"/>
                <w:lang w:val="en-US"/>
              </w:rPr>
              <w:t>note</w:t>
            </w:r>
            <w:r w:rsidR="00E8236D" w:rsidRPr="007C4D3B">
              <w:rPr>
                <w:rFonts w:ascii="Times New Roman" w:eastAsia="Times New Roman" w:hAnsi="Times New Roman"/>
                <w:bCs/>
                <w:sz w:val="24"/>
                <w:szCs w:val="24"/>
                <w:lang w:val="en-US"/>
              </w:rPr>
              <w:t xml:space="preserve"> of</w:t>
            </w:r>
            <w:r w:rsidR="000B3D11" w:rsidRPr="007C4D3B">
              <w:rPr>
                <w:rFonts w:ascii="Times New Roman" w:eastAsia="Times New Roman" w:hAnsi="Times New Roman"/>
                <w:bCs/>
                <w:sz w:val="24"/>
                <w:szCs w:val="24"/>
                <w:lang w:val="en-US"/>
              </w:rPr>
              <w:t xml:space="preserve"> </w:t>
            </w:r>
            <w:r w:rsidR="00EE4541" w:rsidRPr="007C4D3B">
              <w:rPr>
                <w:rFonts w:ascii="Times New Roman" w:eastAsia="Times New Roman" w:hAnsi="Times New Roman"/>
                <w:bCs/>
                <w:sz w:val="24"/>
                <w:szCs w:val="24"/>
                <w:lang w:val="en-US"/>
              </w:rPr>
              <w:t>the EESC’s view</w:t>
            </w:r>
            <w:r w:rsidR="000B3D11" w:rsidRPr="007C4D3B">
              <w:rPr>
                <w:rFonts w:ascii="Times New Roman" w:eastAsia="Times New Roman" w:hAnsi="Times New Roman"/>
                <w:bCs/>
                <w:sz w:val="24"/>
                <w:szCs w:val="24"/>
                <w:lang w:val="en-US"/>
              </w:rPr>
              <w:t xml:space="preserve"> that</w:t>
            </w:r>
            <w:r w:rsidR="00EE4541" w:rsidRPr="007C4D3B">
              <w:rPr>
                <w:rFonts w:ascii="Times New Roman" w:eastAsia="Times New Roman" w:hAnsi="Times New Roman"/>
                <w:bCs/>
                <w:sz w:val="24"/>
                <w:szCs w:val="24"/>
                <w:lang w:val="en-US"/>
              </w:rPr>
              <w:t xml:space="preserve"> hydrogen-based </w:t>
            </w:r>
            <w:proofErr w:type="spellStart"/>
            <w:r w:rsidR="00EE4541" w:rsidRPr="007C4D3B">
              <w:rPr>
                <w:rFonts w:ascii="Times New Roman" w:eastAsia="Times New Roman" w:hAnsi="Times New Roman"/>
                <w:bCs/>
                <w:sz w:val="24"/>
                <w:szCs w:val="24"/>
                <w:lang w:val="en-US"/>
              </w:rPr>
              <w:t>decarbonisation</w:t>
            </w:r>
            <w:proofErr w:type="spellEnd"/>
            <w:r w:rsidR="00EE4541" w:rsidRPr="007C4D3B">
              <w:rPr>
                <w:rFonts w:ascii="Times New Roman" w:eastAsia="Times New Roman" w:hAnsi="Times New Roman"/>
                <w:bCs/>
                <w:sz w:val="24"/>
                <w:szCs w:val="24"/>
                <w:lang w:val="en-US"/>
              </w:rPr>
              <w:t xml:space="preserve"> has </w:t>
            </w:r>
            <w:r w:rsidR="001128C0" w:rsidRPr="007C4D3B">
              <w:rPr>
                <w:rFonts w:ascii="Times New Roman" w:eastAsia="Times New Roman" w:hAnsi="Times New Roman"/>
                <w:bCs/>
                <w:sz w:val="24"/>
                <w:szCs w:val="24"/>
                <w:lang w:val="en-US"/>
              </w:rPr>
              <w:t>‘</w:t>
            </w:r>
            <w:r w:rsidR="00EE4541" w:rsidRPr="007C4D3B">
              <w:rPr>
                <w:rFonts w:ascii="Times New Roman" w:eastAsia="Times New Roman" w:hAnsi="Times New Roman"/>
                <w:bCs/>
                <w:sz w:val="24"/>
                <w:szCs w:val="24"/>
                <w:lang w:val="en-US"/>
              </w:rPr>
              <w:t>major implications</w:t>
            </w:r>
            <w:r w:rsidR="001128C0" w:rsidRPr="007C4D3B">
              <w:rPr>
                <w:rFonts w:ascii="Times New Roman" w:eastAsia="Times New Roman" w:hAnsi="Times New Roman"/>
                <w:bCs/>
                <w:sz w:val="24"/>
                <w:szCs w:val="24"/>
                <w:lang w:val="en-US"/>
              </w:rPr>
              <w:t>’</w:t>
            </w:r>
            <w:r w:rsidR="00EE4541" w:rsidRPr="007C4D3B">
              <w:rPr>
                <w:rFonts w:ascii="Times New Roman" w:eastAsia="Times New Roman" w:hAnsi="Times New Roman"/>
                <w:bCs/>
                <w:sz w:val="24"/>
                <w:szCs w:val="24"/>
                <w:lang w:val="en-US"/>
              </w:rPr>
              <w:t xml:space="preserve"> for water demand as its expansion may compete with other industrial or domestic water needs, </w:t>
            </w:r>
            <w:proofErr w:type="gramStart"/>
            <w:r w:rsidR="00945C5A" w:rsidRPr="007C4D3B">
              <w:rPr>
                <w:rFonts w:ascii="Times New Roman" w:eastAsia="Times New Roman" w:hAnsi="Times New Roman"/>
                <w:bCs/>
                <w:sz w:val="24"/>
                <w:szCs w:val="24"/>
                <w:lang w:val="en-US"/>
              </w:rPr>
              <w:t xml:space="preserve">in </w:t>
            </w:r>
            <w:r w:rsidR="00EE4541" w:rsidRPr="007C4D3B">
              <w:rPr>
                <w:rFonts w:ascii="Times New Roman" w:eastAsia="Times New Roman" w:hAnsi="Times New Roman"/>
                <w:bCs/>
                <w:sz w:val="24"/>
                <w:szCs w:val="24"/>
                <w:lang w:val="en-US"/>
              </w:rPr>
              <w:t>particular in</w:t>
            </w:r>
            <w:proofErr w:type="gramEnd"/>
            <w:r w:rsidR="00EE4541" w:rsidRPr="007C4D3B">
              <w:rPr>
                <w:rFonts w:ascii="Times New Roman" w:eastAsia="Times New Roman" w:hAnsi="Times New Roman"/>
                <w:bCs/>
                <w:sz w:val="24"/>
                <w:szCs w:val="24"/>
                <w:lang w:val="en-US"/>
              </w:rPr>
              <w:t xml:space="preserve"> water-stressed areas. The EESC recommends </w:t>
            </w:r>
            <w:proofErr w:type="spellStart"/>
            <w:r w:rsidR="00EE4541" w:rsidRPr="007C4D3B">
              <w:rPr>
                <w:rFonts w:ascii="Times New Roman" w:eastAsia="Times New Roman" w:hAnsi="Times New Roman"/>
                <w:bCs/>
                <w:sz w:val="24"/>
                <w:szCs w:val="24"/>
                <w:lang w:val="en-US"/>
              </w:rPr>
              <w:t>prioritising</w:t>
            </w:r>
            <w:proofErr w:type="spellEnd"/>
            <w:r w:rsidR="00EE4541" w:rsidRPr="007C4D3B">
              <w:rPr>
                <w:rFonts w:ascii="Times New Roman" w:eastAsia="Times New Roman" w:hAnsi="Times New Roman"/>
                <w:bCs/>
                <w:sz w:val="24"/>
                <w:szCs w:val="24"/>
                <w:lang w:val="en-US"/>
              </w:rPr>
              <w:t xml:space="preserve"> the adoption of water-efficient </w:t>
            </w:r>
            <w:proofErr w:type="spellStart"/>
            <w:r w:rsidR="00EE4541" w:rsidRPr="007C4D3B">
              <w:rPr>
                <w:rFonts w:ascii="Times New Roman" w:eastAsia="Times New Roman" w:hAnsi="Times New Roman"/>
                <w:bCs/>
                <w:sz w:val="24"/>
                <w:szCs w:val="24"/>
                <w:lang w:val="en-US"/>
              </w:rPr>
              <w:t>decarbonisation</w:t>
            </w:r>
            <w:proofErr w:type="spellEnd"/>
            <w:r w:rsidR="00EE4541" w:rsidRPr="007C4D3B">
              <w:rPr>
                <w:rFonts w:ascii="Times New Roman" w:eastAsia="Times New Roman" w:hAnsi="Times New Roman"/>
                <w:bCs/>
                <w:sz w:val="24"/>
                <w:szCs w:val="24"/>
                <w:lang w:val="en-US"/>
              </w:rPr>
              <w:t xml:space="preserve"> </w:t>
            </w:r>
            <w:proofErr w:type="gramStart"/>
            <w:r w:rsidR="00EE4541" w:rsidRPr="007C4D3B">
              <w:rPr>
                <w:rFonts w:ascii="Times New Roman" w:eastAsia="Times New Roman" w:hAnsi="Times New Roman"/>
                <w:bCs/>
                <w:sz w:val="24"/>
                <w:szCs w:val="24"/>
                <w:lang w:val="en-US"/>
              </w:rPr>
              <w:t>technologies</w:t>
            </w:r>
            <w:proofErr w:type="gramEnd"/>
            <w:r w:rsidR="00EE4541" w:rsidRPr="007C4D3B">
              <w:rPr>
                <w:rFonts w:ascii="Times New Roman" w:eastAsia="Times New Roman" w:hAnsi="Times New Roman"/>
                <w:bCs/>
                <w:sz w:val="24"/>
                <w:szCs w:val="24"/>
                <w:lang w:val="en-US"/>
              </w:rPr>
              <w:t xml:space="preserve"> in industries in transition.</w:t>
            </w:r>
            <w:r w:rsidR="000B3D11" w:rsidRPr="007C4D3B">
              <w:rPr>
                <w:rFonts w:ascii="Times New Roman" w:eastAsia="Times New Roman" w:hAnsi="Times New Roman"/>
                <w:bCs/>
                <w:sz w:val="24"/>
                <w:szCs w:val="24"/>
                <w:lang w:val="en-US"/>
              </w:rPr>
              <w:t xml:space="preserve"> </w:t>
            </w:r>
            <w:r w:rsidR="00886F49" w:rsidRPr="007C4D3B">
              <w:rPr>
                <w:rFonts w:ascii="Times New Roman" w:eastAsia="Times New Roman" w:hAnsi="Times New Roman"/>
                <w:bCs/>
                <w:sz w:val="24"/>
                <w:szCs w:val="24"/>
                <w:lang w:val="en-US"/>
              </w:rPr>
              <w:t>T</w:t>
            </w:r>
            <w:r w:rsidR="000B3D11" w:rsidRPr="007C4D3B">
              <w:rPr>
                <w:rFonts w:ascii="Times New Roman" w:eastAsia="Times New Roman" w:hAnsi="Times New Roman"/>
                <w:bCs/>
                <w:sz w:val="24"/>
                <w:szCs w:val="24"/>
                <w:lang w:val="en-US"/>
              </w:rPr>
              <w:t xml:space="preserve">he European Water Resilience Strategy’s Water Efficiency First </w:t>
            </w:r>
            <w:r w:rsidR="00886F49" w:rsidRPr="007C4D3B">
              <w:rPr>
                <w:rFonts w:ascii="Times New Roman" w:eastAsia="Times New Roman" w:hAnsi="Times New Roman"/>
                <w:bCs/>
                <w:sz w:val="24"/>
                <w:szCs w:val="24"/>
                <w:lang w:val="en-US"/>
              </w:rPr>
              <w:t>P</w:t>
            </w:r>
            <w:r w:rsidR="000B3D11" w:rsidRPr="007C4D3B">
              <w:rPr>
                <w:rFonts w:ascii="Times New Roman" w:eastAsia="Times New Roman" w:hAnsi="Times New Roman"/>
                <w:bCs/>
                <w:sz w:val="24"/>
                <w:szCs w:val="24"/>
                <w:lang w:val="en-US"/>
              </w:rPr>
              <w:t xml:space="preserve">rinciple promotes water efficiency in </w:t>
            </w:r>
            <w:r w:rsidR="00886F49" w:rsidRPr="007C4D3B">
              <w:rPr>
                <w:rFonts w:ascii="Times New Roman" w:eastAsia="Times New Roman" w:hAnsi="Times New Roman"/>
                <w:bCs/>
                <w:sz w:val="24"/>
                <w:szCs w:val="24"/>
                <w:lang w:val="en-US"/>
              </w:rPr>
              <w:t xml:space="preserve">more </w:t>
            </w:r>
            <w:r w:rsidR="000B3D11" w:rsidRPr="007C4D3B">
              <w:rPr>
                <w:rFonts w:ascii="Times New Roman" w:eastAsia="Times New Roman" w:hAnsi="Times New Roman"/>
                <w:bCs/>
                <w:sz w:val="24"/>
                <w:szCs w:val="24"/>
                <w:lang w:val="en-US"/>
              </w:rPr>
              <w:t>general terms</w:t>
            </w:r>
            <w:r w:rsidR="00886F49" w:rsidRPr="007C4D3B">
              <w:rPr>
                <w:rFonts w:ascii="Times New Roman" w:eastAsia="Times New Roman" w:hAnsi="Times New Roman"/>
                <w:bCs/>
                <w:sz w:val="24"/>
                <w:szCs w:val="24"/>
                <w:lang w:val="en-US"/>
              </w:rPr>
              <w:t xml:space="preserve"> with the aspirational objective to increase water efficiency by +10% </w:t>
            </w:r>
            <w:r w:rsidR="001D67F2" w:rsidRPr="007C4D3B">
              <w:rPr>
                <w:rFonts w:ascii="Times New Roman" w:eastAsia="Times New Roman" w:hAnsi="Times New Roman"/>
                <w:bCs/>
                <w:sz w:val="24"/>
                <w:szCs w:val="24"/>
                <w:lang w:val="en-US"/>
              </w:rPr>
              <w:t xml:space="preserve">by </w:t>
            </w:r>
            <w:r w:rsidR="00886F49" w:rsidRPr="007C4D3B">
              <w:rPr>
                <w:rFonts w:ascii="Times New Roman" w:eastAsia="Times New Roman" w:hAnsi="Times New Roman"/>
                <w:bCs/>
                <w:sz w:val="24"/>
                <w:szCs w:val="24"/>
                <w:lang w:val="en-US"/>
              </w:rPr>
              <w:t>2030.</w:t>
            </w:r>
          </w:p>
          <w:p w14:paraId="65BD83ED" w14:textId="45291120" w:rsidR="00904E2A" w:rsidRPr="007C4D3B" w:rsidRDefault="00904E2A" w:rsidP="008E6C07">
            <w:pPr>
              <w:jc w:val="both"/>
              <w:rPr>
                <w:rFonts w:ascii="Times New Roman" w:eastAsia="Times New Roman" w:hAnsi="Times New Roman"/>
                <w:bCs/>
                <w:sz w:val="24"/>
                <w:szCs w:val="24"/>
                <w:lang w:val="en-US"/>
              </w:rPr>
            </w:pPr>
            <w:r w:rsidRPr="007C4D3B">
              <w:rPr>
                <w:rFonts w:ascii="Times New Roman" w:eastAsia="Times New Roman" w:hAnsi="Times New Roman"/>
                <w:bCs/>
                <w:sz w:val="24"/>
                <w:szCs w:val="24"/>
                <w:lang w:val="en-US"/>
              </w:rPr>
              <w:t xml:space="preserve">The second Opinion also underlines the </w:t>
            </w:r>
            <w:r w:rsidRPr="007C4D3B">
              <w:rPr>
                <w:rFonts w:ascii="Times New Roman" w:eastAsia="Times New Roman" w:hAnsi="Times New Roman"/>
                <w:b/>
                <w:sz w:val="24"/>
                <w:szCs w:val="24"/>
                <w:lang w:val="en-US"/>
              </w:rPr>
              <w:t>potential of digital tools</w:t>
            </w:r>
            <w:r w:rsidRPr="007C4D3B">
              <w:rPr>
                <w:rFonts w:ascii="Times New Roman" w:eastAsia="Times New Roman" w:hAnsi="Times New Roman"/>
                <w:bCs/>
                <w:sz w:val="24"/>
                <w:szCs w:val="24"/>
                <w:lang w:val="en-US"/>
              </w:rPr>
              <w:t xml:space="preserve"> for sustainable water manag</w:t>
            </w:r>
            <w:r w:rsidR="00E8236D" w:rsidRPr="007C4D3B">
              <w:rPr>
                <w:rFonts w:ascii="Times New Roman" w:eastAsia="Times New Roman" w:hAnsi="Times New Roman"/>
                <w:bCs/>
                <w:sz w:val="24"/>
                <w:szCs w:val="24"/>
                <w:lang w:val="en-US"/>
              </w:rPr>
              <w:t>ement</w:t>
            </w:r>
            <w:r w:rsidRPr="007C4D3B">
              <w:rPr>
                <w:rFonts w:ascii="Times New Roman" w:eastAsia="Times New Roman" w:hAnsi="Times New Roman"/>
                <w:bCs/>
                <w:sz w:val="24"/>
                <w:szCs w:val="24"/>
                <w:lang w:val="en-US"/>
              </w:rPr>
              <w:t xml:space="preserve"> while warning about Artificial Intelligence becoming one of the world’s most water-intensive processes in the future. The Commission observes that data centers can indeed exert significant local pressures on water, and that new data </w:t>
            </w:r>
            <w:proofErr w:type="spellStart"/>
            <w:r w:rsidRPr="007C4D3B">
              <w:rPr>
                <w:rFonts w:ascii="Times New Roman" w:eastAsia="Times New Roman" w:hAnsi="Times New Roman"/>
                <w:bCs/>
                <w:sz w:val="24"/>
                <w:szCs w:val="24"/>
                <w:lang w:val="en-US"/>
              </w:rPr>
              <w:t>cent</w:t>
            </w:r>
            <w:r w:rsidR="001D2E08" w:rsidRPr="007C4D3B">
              <w:rPr>
                <w:rFonts w:ascii="Times New Roman" w:eastAsia="Times New Roman" w:hAnsi="Times New Roman"/>
                <w:bCs/>
                <w:sz w:val="24"/>
                <w:szCs w:val="24"/>
                <w:lang w:val="en-US"/>
              </w:rPr>
              <w:t>res</w:t>
            </w:r>
            <w:proofErr w:type="spellEnd"/>
            <w:r w:rsidRPr="007C4D3B">
              <w:rPr>
                <w:rFonts w:ascii="Times New Roman" w:eastAsia="Times New Roman" w:hAnsi="Times New Roman"/>
                <w:bCs/>
                <w:sz w:val="24"/>
                <w:szCs w:val="24"/>
                <w:lang w:val="en-US"/>
              </w:rPr>
              <w:t xml:space="preserve"> should by preference be built outside regions that already suffer from water stress, or are predicted to come under pressure, unless the data </w:t>
            </w:r>
            <w:proofErr w:type="spellStart"/>
            <w:r w:rsidRPr="007C4D3B">
              <w:rPr>
                <w:rFonts w:ascii="Times New Roman" w:eastAsia="Times New Roman" w:hAnsi="Times New Roman"/>
                <w:bCs/>
                <w:sz w:val="24"/>
                <w:szCs w:val="24"/>
                <w:lang w:val="en-US"/>
              </w:rPr>
              <w:t>cent</w:t>
            </w:r>
            <w:r w:rsidR="001D2E08" w:rsidRPr="007C4D3B">
              <w:rPr>
                <w:rFonts w:ascii="Times New Roman" w:eastAsia="Times New Roman" w:hAnsi="Times New Roman"/>
                <w:bCs/>
                <w:sz w:val="24"/>
                <w:szCs w:val="24"/>
                <w:lang w:val="en-US"/>
              </w:rPr>
              <w:t>re</w:t>
            </w:r>
            <w:proofErr w:type="spellEnd"/>
            <w:r w:rsidRPr="007C4D3B">
              <w:rPr>
                <w:rFonts w:ascii="Times New Roman" w:eastAsia="Times New Roman" w:hAnsi="Times New Roman"/>
                <w:bCs/>
                <w:sz w:val="24"/>
                <w:szCs w:val="24"/>
                <w:lang w:val="en-US"/>
              </w:rPr>
              <w:t xml:space="preserve"> can be cooled</w:t>
            </w:r>
            <w:r w:rsidR="001D67F2" w:rsidRPr="007C4D3B">
              <w:rPr>
                <w:rFonts w:ascii="Times New Roman" w:eastAsia="Times New Roman" w:hAnsi="Times New Roman"/>
                <w:bCs/>
                <w:sz w:val="24"/>
                <w:szCs w:val="24"/>
                <w:lang w:val="en-US"/>
              </w:rPr>
              <w:t xml:space="preserve"> by technologies that do not require water</w:t>
            </w:r>
            <w:r w:rsidRPr="007C4D3B">
              <w:rPr>
                <w:rFonts w:ascii="Times New Roman" w:eastAsia="Times New Roman" w:hAnsi="Times New Roman"/>
                <w:bCs/>
                <w:sz w:val="24"/>
                <w:szCs w:val="24"/>
                <w:lang w:val="en-US"/>
              </w:rPr>
              <w:t xml:space="preserve">. The European Water strategy supports </w:t>
            </w:r>
            <w:r w:rsidR="001D67F2" w:rsidRPr="007C4D3B">
              <w:rPr>
                <w:rFonts w:ascii="Times New Roman" w:eastAsia="Times New Roman" w:hAnsi="Times New Roman"/>
                <w:bCs/>
                <w:sz w:val="24"/>
                <w:szCs w:val="24"/>
                <w:lang w:val="en-US"/>
              </w:rPr>
              <w:t xml:space="preserve">a more efficient use of water and </w:t>
            </w:r>
            <w:r w:rsidRPr="007C4D3B">
              <w:rPr>
                <w:rFonts w:ascii="Times New Roman" w:eastAsia="Times New Roman" w:hAnsi="Times New Roman"/>
                <w:bCs/>
                <w:sz w:val="24"/>
                <w:szCs w:val="24"/>
                <w:lang w:val="en-US"/>
              </w:rPr>
              <w:t xml:space="preserve">research on </w:t>
            </w:r>
            <w:r w:rsidR="001D67F2" w:rsidRPr="007C4D3B">
              <w:rPr>
                <w:rFonts w:ascii="Times New Roman" w:eastAsia="Times New Roman" w:hAnsi="Times New Roman"/>
                <w:bCs/>
                <w:sz w:val="24"/>
                <w:szCs w:val="24"/>
                <w:lang w:val="en-US"/>
              </w:rPr>
              <w:t xml:space="preserve">dry </w:t>
            </w:r>
            <w:r w:rsidRPr="007C4D3B">
              <w:rPr>
                <w:rFonts w:ascii="Times New Roman" w:eastAsia="Times New Roman" w:hAnsi="Times New Roman"/>
                <w:bCs/>
                <w:sz w:val="24"/>
                <w:szCs w:val="24"/>
                <w:lang w:val="en-US"/>
              </w:rPr>
              <w:t xml:space="preserve">cooling </w:t>
            </w:r>
            <w:r w:rsidR="001D67F2" w:rsidRPr="007C4D3B">
              <w:rPr>
                <w:rFonts w:ascii="Times New Roman" w:eastAsia="Times New Roman" w:hAnsi="Times New Roman"/>
                <w:bCs/>
                <w:sz w:val="24"/>
                <w:szCs w:val="24"/>
                <w:lang w:val="en-US"/>
              </w:rPr>
              <w:t xml:space="preserve">in </w:t>
            </w:r>
            <w:r w:rsidRPr="007C4D3B">
              <w:rPr>
                <w:rFonts w:ascii="Times New Roman" w:eastAsia="Times New Roman" w:hAnsi="Times New Roman"/>
                <w:bCs/>
                <w:sz w:val="24"/>
                <w:szCs w:val="24"/>
                <w:lang w:val="en-US"/>
              </w:rPr>
              <w:t>data centers in various ways.</w:t>
            </w:r>
          </w:p>
          <w:p w14:paraId="0FA969F9" w14:textId="7F069B42" w:rsidR="003F7251" w:rsidRPr="007C4D3B" w:rsidRDefault="003F7251" w:rsidP="001D67F2">
            <w:pPr>
              <w:jc w:val="both"/>
              <w:rPr>
                <w:rFonts w:ascii="Times New Roman" w:eastAsia="Times New Roman" w:hAnsi="Times New Roman"/>
                <w:bCs/>
                <w:sz w:val="24"/>
                <w:szCs w:val="24"/>
                <w:lang w:val="en-US"/>
              </w:rPr>
            </w:pPr>
            <w:r w:rsidRPr="007C4D3B">
              <w:rPr>
                <w:rFonts w:ascii="Times New Roman" w:eastAsia="Times New Roman" w:hAnsi="Times New Roman"/>
                <w:bCs/>
                <w:sz w:val="24"/>
                <w:szCs w:val="24"/>
                <w:lang w:val="en-US"/>
              </w:rPr>
              <w:lastRenderedPageBreak/>
              <w:t xml:space="preserve">The Commission notes the EESC’ </w:t>
            </w:r>
            <w:r w:rsidR="00EE4541" w:rsidRPr="007C4D3B">
              <w:rPr>
                <w:rFonts w:ascii="Times New Roman" w:eastAsia="Times New Roman" w:hAnsi="Times New Roman"/>
                <w:bCs/>
                <w:sz w:val="24"/>
                <w:szCs w:val="24"/>
                <w:lang w:val="en-US"/>
              </w:rPr>
              <w:t xml:space="preserve">concern </w:t>
            </w:r>
            <w:r w:rsidRPr="007C4D3B">
              <w:rPr>
                <w:rFonts w:ascii="Times New Roman" w:eastAsia="Times New Roman" w:hAnsi="Times New Roman"/>
                <w:bCs/>
                <w:sz w:val="24"/>
                <w:szCs w:val="24"/>
                <w:lang w:val="en-US"/>
              </w:rPr>
              <w:t xml:space="preserve">that </w:t>
            </w:r>
            <w:r w:rsidR="00E24F75" w:rsidRPr="007C4D3B">
              <w:rPr>
                <w:rFonts w:ascii="Times New Roman" w:eastAsia="Times New Roman" w:hAnsi="Times New Roman"/>
                <w:bCs/>
                <w:sz w:val="24"/>
                <w:szCs w:val="24"/>
                <w:lang w:val="en-US"/>
              </w:rPr>
              <w:t xml:space="preserve">water has not adequately </w:t>
            </w:r>
            <w:r w:rsidR="00EE4541" w:rsidRPr="007C4D3B">
              <w:rPr>
                <w:rFonts w:ascii="Times New Roman" w:eastAsia="Times New Roman" w:hAnsi="Times New Roman"/>
                <w:bCs/>
                <w:sz w:val="24"/>
                <w:szCs w:val="24"/>
                <w:lang w:val="en-US"/>
              </w:rPr>
              <w:t xml:space="preserve">been </w:t>
            </w:r>
            <w:r w:rsidR="00E24F75" w:rsidRPr="007C4D3B">
              <w:rPr>
                <w:rFonts w:ascii="Times New Roman" w:eastAsia="Times New Roman" w:hAnsi="Times New Roman"/>
                <w:bCs/>
                <w:sz w:val="24"/>
                <w:szCs w:val="24"/>
                <w:lang w:val="en-US"/>
              </w:rPr>
              <w:t xml:space="preserve">addressed in the </w:t>
            </w:r>
            <w:r w:rsidR="00E24F75" w:rsidRPr="007C4D3B">
              <w:rPr>
                <w:rFonts w:ascii="Times New Roman" w:eastAsia="Times New Roman" w:hAnsi="Times New Roman"/>
                <w:b/>
                <w:sz w:val="24"/>
                <w:szCs w:val="24"/>
                <w:lang w:val="en-US"/>
              </w:rPr>
              <w:t>Critical Raw Materials Act</w:t>
            </w:r>
            <w:r w:rsidR="001128C0" w:rsidRPr="007C4D3B">
              <w:rPr>
                <w:rStyle w:val="FootnoteReference"/>
                <w:rFonts w:ascii="Times New Roman" w:eastAsia="Times New Roman" w:hAnsi="Times New Roman"/>
                <w:b/>
                <w:sz w:val="24"/>
                <w:szCs w:val="24"/>
                <w:lang w:val="en-US"/>
              </w:rPr>
              <w:footnoteReference w:id="3"/>
            </w:r>
            <w:r w:rsidR="00EE4541" w:rsidRPr="007C4D3B">
              <w:rPr>
                <w:rFonts w:ascii="Times New Roman" w:eastAsia="Times New Roman" w:hAnsi="Times New Roman"/>
                <w:bCs/>
                <w:sz w:val="24"/>
                <w:szCs w:val="24"/>
                <w:lang w:val="en-US"/>
              </w:rPr>
              <w:t xml:space="preserve"> and that the extracting and minding industry </w:t>
            </w:r>
            <w:r w:rsidRPr="007C4D3B">
              <w:rPr>
                <w:rFonts w:ascii="Times New Roman" w:eastAsia="Times New Roman" w:hAnsi="Times New Roman"/>
                <w:bCs/>
                <w:sz w:val="24"/>
                <w:szCs w:val="24"/>
                <w:lang w:val="en-US"/>
              </w:rPr>
              <w:t xml:space="preserve">should reduce water losses </w:t>
            </w:r>
            <w:r w:rsidR="00EE4541" w:rsidRPr="007C4D3B">
              <w:rPr>
                <w:rFonts w:ascii="Times New Roman" w:eastAsia="Times New Roman" w:hAnsi="Times New Roman"/>
                <w:bCs/>
                <w:sz w:val="24"/>
                <w:szCs w:val="24"/>
                <w:lang w:val="en-US"/>
              </w:rPr>
              <w:t>(</w:t>
            </w:r>
            <w:r w:rsidRPr="007C4D3B">
              <w:rPr>
                <w:rFonts w:ascii="Times New Roman" w:eastAsia="Times New Roman" w:hAnsi="Times New Roman"/>
                <w:bCs/>
                <w:sz w:val="24"/>
                <w:szCs w:val="24"/>
                <w:lang w:val="en-US"/>
              </w:rPr>
              <w:t>evaporation, leakage, waste, or water contamination</w:t>
            </w:r>
            <w:r w:rsidR="00EE4541" w:rsidRPr="007C4D3B">
              <w:rPr>
                <w:rFonts w:ascii="Times New Roman" w:eastAsia="Times New Roman" w:hAnsi="Times New Roman"/>
                <w:bCs/>
                <w:sz w:val="24"/>
                <w:szCs w:val="24"/>
                <w:lang w:val="en-US"/>
              </w:rPr>
              <w:t>)</w:t>
            </w:r>
            <w:r w:rsidR="00E24F75" w:rsidRPr="007C4D3B">
              <w:rPr>
                <w:rFonts w:ascii="Times New Roman" w:eastAsia="Times New Roman" w:hAnsi="Times New Roman"/>
                <w:bCs/>
                <w:sz w:val="24"/>
                <w:szCs w:val="24"/>
                <w:lang w:val="en-US"/>
              </w:rPr>
              <w:t xml:space="preserve"> and that targeted policies should address water scarcity in industrial areas by promoting </w:t>
            </w:r>
            <w:proofErr w:type="spellStart"/>
            <w:r w:rsidR="00EE4541" w:rsidRPr="007C4D3B">
              <w:rPr>
                <w:rFonts w:ascii="Times New Roman" w:eastAsia="Times New Roman" w:hAnsi="Times New Roman"/>
                <w:bCs/>
                <w:sz w:val="24"/>
                <w:szCs w:val="24"/>
                <w:lang w:val="en-US"/>
              </w:rPr>
              <w:t>a.o.</w:t>
            </w:r>
            <w:proofErr w:type="spellEnd"/>
            <w:r w:rsidR="00EE4541" w:rsidRPr="007C4D3B">
              <w:rPr>
                <w:rFonts w:ascii="Times New Roman" w:eastAsia="Times New Roman" w:hAnsi="Times New Roman"/>
                <w:bCs/>
                <w:sz w:val="24"/>
                <w:szCs w:val="24"/>
                <w:lang w:val="en-US"/>
              </w:rPr>
              <w:t xml:space="preserve"> </w:t>
            </w:r>
            <w:r w:rsidR="00E24F75" w:rsidRPr="007C4D3B">
              <w:rPr>
                <w:rFonts w:ascii="Times New Roman" w:eastAsia="Times New Roman" w:hAnsi="Times New Roman"/>
                <w:bCs/>
                <w:sz w:val="24"/>
                <w:szCs w:val="24"/>
                <w:lang w:val="en-US"/>
              </w:rPr>
              <w:t>water reuse.</w:t>
            </w:r>
          </w:p>
          <w:p w14:paraId="41C12C6A" w14:textId="37DC12D5" w:rsidR="003F7251" w:rsidRPr="007C4D3B" w:rsidRDefault="003F7251" w:rsidP="368D731E">
            <w:pPr>
              <w:jc w:val="both"/>
              <w:rPr>
                <w:rFonts w:ascii="Times New Roman" w:eastAsia="Times New Roman" w:hAnsi="Times New Roman"/>
                <w:sz w:val="24"/>
                <w:szCs w:val="24"/>
                <w:lang w:val="en-US"/>
              </w:rPr>
            </w:pPr>
            <w:r w:rsidRPr="007C4D3B">
              <w:rPr>
                <w:rFonts w:ascii="Times New Roman" w:eastAsia="Times New Roman" w:hAnsi="Times New Roman"/>
                <w:sz w:val="24"/>
                <w:szCs w:val="24"/>
                <w:lang w:val="en-US"/>
              </w:rPr>
              <w:t xml:space="preserve">The Commission welcomes the EESC views that sustainable water management should be integrated into companies’ </w:t>
            </w:r>
            <w:r w:rsidRPr="007C4D3B">
              <w:rPr>
                <w:rFonts w:ascii="Times New Roman" w:eastAsia="Times New Roman" w:hAnsi="Times New Roman"/>
                <w:b/>
                <w:bCs/>
                <w:sz w:val="24"/>
                <w:szCs w:val="24"/>
                <w:lang w:val="en-US"/>
              </w:rPr>
              <w:t>corporate social responsibility</w:t>
            </w:r>
            <w:r w:rsidRPr="007C4D3B">
              <w:rPr>
                <w:rFonts w:ascii="Times New Roman" w:eastAsia="Times New Roman" w:hAnsi="Times New Roman"/>
                <w:sz w:val="24"/>
                <w:szCs w:val="24"/>
                <w:lang w:val="en-US"/>
              </w:rPr>
              <w:t xml:space="preserve"> (CSR) strategies to foster commitment. The Commission </w:t>
            </w:r>
            <w:r w:rsidR="001D67F2" w:rsidRPr="007C4D3B">
              <w:rPr>
                <w:rFonts w:ascii="Times New Roman" w:eastAsia="Times New Roman" w:hAnsi="Times New Roman"/>
                <w:sz w:val="24"/>
                <w:szCs w:val="24"/>
                <w:lang w:val="en-US"/>
              </w:rPr>
              <w:t xml:space="preserve">takes note of the opinion of </w:t>
            </w:r>
            <w:r w:rsidRPr="007C4D3B">
              <w:rPr>
                <w:rFonts w:ascii="Times New Roman" w:eastAsia="Times New Roman" w:hAnsi="Times New Roman"/>
                <w:sz w:val="24"/>
                <w:szCs w:val="24"/>
                <w:lang w:val="en-US"/>
              </w:rPr>
              <w:t xml:space="preserve">the EESC that the IT industry should </w:t>
            </w:r>
            <w:proofErr w:type="spellStart"/>
            <w:r w:rsidRPr="007C4D3B">
              <w:rPr>
                <w:rFonts w:ascii="Times New Roman" w:eastAsia="Times New Roman" w:hAnsi="Times New Roman"/>
                <w:sz w:val="24"/>
                <w:szCs w:val="24"/>
                <w:lang w:val="en-US"/>
              </w:rPr>
              <w:t>prioritise</w:t>
            </w:r>
            <w:proofErr w:type="spellEnd"/>
            <w:r w:rsidRPr="007C4D3B">
              <w:rPr>
                <w:rFonts w:ascii="Times New Roman" w:eastAsia="Times New Roman" w:hAnsi="Times New Roman"/>
                <w:sz w:val="24"/>
                <w:szCs w:val="24"/>
                <w:lang w:val="en-US"/>
              </w:rPr>
              <w:t xml:space="preserve"> less energy-intensive learning models and algorithms, where possible alternatives exist. </w:t>
            </w:r>
            <w:r w:rsidR="00691BB8" w:rsidRPr="007C4D3B">
              <w:rPr>
                <w:rFonts w:ascii="Times New Roman" w:eastAsia="Times New Roman" w:hAnsi="Times New Roman"/>
                <w:sz w:val="24"/>
                <w:szCs w:val="24"/>
                <w:lang w:val="en-US"/>
              </w:rPr>
              <w:t>Using r</w:t>
            </w:r>
            <w:r w:rsidRPr="007C4D3B">
              <w:rPr>
                <w:rFonts w:ascii="Times New Roman" w:eastAsia="Times New Roman" w:hAnsi="Times New Roman"/>
                <w:sz w:val="24"/>
                <w:szCs w:val="24"/>
                <w:lang w:val="en-US"/>
              </w:rPr>
              <w:t>enewable energy</w:t>
            </w:r>
            <w:r w:rsidR="5824334A" w:rsidRPr="007C4D3B">
              <w:rPr>
                <w:rFonts w:ascii="Times New Roman" w:eastAsia="Times New Roman" w:hAnsi="Times New Roman"/>
                <w:sz w:val="24"/>
                <w:szCs w:val="24"/>
                <w:lang w:val="en-US"/>
              </w:rPr>
              <w:t xml:space="preserve"> </w:t>
            </w:r>
            <w:r w:rsidR="7E623BCB" w:rsidRPr="007C4D3B">
              <w:rPr>
                <w:rFonts w:ascii="Times New Roman" w:eastAsia="Times New Roman" w:hAnsi="Times New Roman"/>
                <w:sz w:val="24"/>
                <w:szCs w:val="24"/>
                <w:lang w:val="en-US"/>
              </w:rPr>
              <w:t xml:space="preserve">and </w:t>
            </w:r>
            <w:r w:rsidR="00691BB8" w:rsidRPr="007C4D3B">
              <w:rPr>
                <w:rFonts w:ascii="Times New Roman" w:eastAsia="Times New Roman" w:hAnsi="Times New Roman"/>
                <w:sz w:val="24"/>
                <w:szCs w:val="24"/>
                <w:lang w:val="en-US"/>
              </w:rPr>
              <w:t xml:space="preserve">enhancing </w:t>
            </w:r>
            <w:r w:rsidR="7E623BCB" w:rsidRPr="007C4D3B">
              <w:rPr>
                <w:rFonts w:ascii="Times New Roman" w:eastAsia="Times New Roman" w:hAnsi="Times New Roman"/>
                <w:sz w:val="24"/>
                <w:szCs w:val="24"/>
                <w:lang w:val="en-US"/>
              </w:rPr>
              <w:t>water</w:t>
            </w:r>
            <w:r w:rsidR="03266B11" w:rsidRPr="007C4D3B">
              <w:rPr>
                <w:rFonts w:ascii="Times New Roman" w:eastAsia="Times New Roman" w:hAnsi="Times New Roman"/>
                <w:sz w:val="24"/>
                <w:szCs w:val="24"/>
                <w:lang w:val="en-US"/>
              </w:rPr>
              <w:t xml:space="preserve"> </w:t>
            </w:r>
            <w:r w:rsidR="25C9CECF" w:rsidRPr="007C4D3B">
              <w:rPr>
                <w:rFonts w:ascii="Times New Roman" w:eastAsia="Times New Roman" w:hAnsi="Times New Roman"/>
                <w:sz w:val="24"/>
                <w:szCs w:val="24"/>
                <w:lang w:val="en-US"/>
              </w:rPr>
              <w:t>efficiency</w:t>
            </w:r>
            <w:r w:rsidR="64D12ED9" w:rsidRPr="007C4D3B">
              <w:rPr>
                <w:rFonts w:ascii="Times New Roman" w:eastAsia="Times New Roman" w:hAnsi="Times New Roman"/>
                <w:sz w:val="24"/>
                <w:szCs w:val="24"/>
                <w:lang w:val="en-US"/>
              </w:rPr>
              <w:t xml:space="preserve"> </w:t>
            </w:r>
            <w:r w:rsidRPr="007C4D3B">
              <w:rPr>
                <w:rFonts w:ascii="Times New Roman" w:eastAsia="Times New Roman" w:hAnsi="Times New Roman"/>
                <w:sz w:val="24"/>
                <w:szCs w:val="24"/>
                <w:lang w:val="en-US"/>
              </w:rPr>
              <w:t>should be promoted</w:t>
            </w:r>
            <w:r w:rsidR="00E529EC" w:rsidRPr="007C4D3B">
              <w:rPr>
                <w:rFonts w:ascii="Times New Roman" w:eastAsia="Times New Roman" w:hAnsi="Times New Roman"/>
                <w:sz w:val="24"/>
                <w:szCs w:val="24"/>
                <w:lang w:val="en-US"/>
              </w:rPr>
              <w:t xml:space="preserve">, particularly in data </w:t>
            </w:r>
            <w:proofErr w:type="spellStart"/>
            <w:r w:rsidR="00691BB8" w:rsidRPr="007C4D3B">
              <w:rPr>
                <w:rFonts w:ascii="Times New Roman" w:eastAsia="Times New Roman" w:hAnsi="Times New Roman"/>
                <w:sz w:val="24"/>
                <w:szCs w:val="24"/>
                <w:lang w:val="en-US"/>
              </w:rPr>
              <w:t>centres</w:t>
            </w:r>
            <w:proofErr w:type="spellEnd"/>
            <w:r w:rsidRPr="007C4D3B">
              <w:rPr>
                <w:rFonts w:ascii="Times New Roman" w:eastAsia="Times New Roman" w:hAnsi="Times New Roman"/>
                <w:sz w:val="24"/>
                <w:szCs w:val="24"/>
                <w:lang w:val="en-US"/>
              </w:rPr>
              <w:t xml:space="preserve">. </w:t>
            </w:r>
            <w:r w:rsidR="00EE4541" w:rsidRPr="007C4D3B">
              <w:rPr>
                <w:rFonts w:ascii="Times New Roman" w:eastAsia="Times New Roman" w:hAnsi="Times New Roman"/>
                <w:sz w:val="24"/>
                <w:szCs w:val="24"/>
                <w:lang w:val="en-US"/>
              </w:rPr>
              <w:t>In this context i</w:t>
            </w:r>
            <w:r w:rsidRPr="007C4D3B">
              <w:rPr>
                <w:rFonts w:ascii="Times New Roman" w:eastAsia="Times New Roman" w:hAnsi="Times New Roman"/>
                <w:sz w:val="24"/>
                <w:szCs w:val="24"/>
                <w:lang w:val="en-US"/>
              </w:rPr>
              <w:t xml:space="preserve">t should be </w:t>
            </w:r>
            <w:r w:rsidR="00EE4541" w:rsidRPr="007C4D3B">
              <w:rPr>
                <w:rFonts w:ascii="Times New Roman" w:eastAsia="Times New Roman" w:hAnsi="Times New Roman"/>
                <w:sz w:val="24"/>
                <w:szCs w:val="24"/>
                <w:lang w:val="en-US"/>
              </w:rPr>
              <w:t xml:space="preserve">recalled </w:t>
            </w:r>
            <w:r w:rsidRPr="007C4D3B">
              <w:rPr>
                <w:rFonts w:ascii="Times New Roman" w:eastAsia="Times New Roman" w:hAnsi="Times New Roman"/>
                <w:sz w:val="24"/>
                <w:szCs w:val="24"/>
                <w:lang w:val="en-US"/>
              </w:rPr>
              <w:t>that processing for cryptocurrency blockchain technologies can lead to a particularly high energy</w:t>
            </w:r>
            <w:r w:rsidR="00E700CB" w:rsidRPr="007C4D3B">
              <w:rPr>
                <w:rFonts w:ascii="Times New Roman" w:eastAsia="Times New Roman" w:hAnsi="Times New Roman"/>
                <w:sz w:val="24"/>
                <w:szCs w:val="24"/>
                <w:lang w:val="en-US"/>
              </w:rPr>
              <w:t xml:space="preserve"> </w:t>
            </w:r>
            <w:r w:rsidR="009E29CC" w:rsidRPr="007C4D3B">
              <w:rPr>
                <w:rFonts w:ascii="Times New Roman" w:eastAsia="Times New Roman" w:hAnsi="Times New Roman"/>
                <w:sz w:val="24"/>
                <w:szCs w:val="24"/>
                <w:lang w:val="en-US"/>
              </w:rPr>
              <w:t>consumption</w:t>
            </w:r>
            <w:r w:rsidRPr="007C4D3B">
              <w:rPr>
                <w:rFonts w:ascii="Times New Roman" w:eastAsia="Times New Roman" w:hAnsi="Times New Roman"/>
                <w:sz w:val="24"/>
                <w:szCs w:val="24"/>
                <w:lang w:val="en-US"/>
              </w:rPr>
              <w:t xml:space="preserve"> and related water footprint</w:t>
            </w:r>
            <w:r w:rsidR="00EE4541" w:rsidRPr="007C4D3B">
              <w:rPr>
                <w:rFonts w:ascii="Times New Roman" w:eastAsia="Times New Roman" w:hAnsi="Times New Roman"/>
                <w:sz w:val="24"/>
                <w:szCs w:val="24"/>
                <w:lang w:val="en-US"/>
              </w:rPr>
              <w:t xml:space="preserve">. </w:t>
            </w:r>
            <w:r w:rsidR="00E529EC" w:rsidRPr="007C4D3B">
              <w:rPr>
                <w:rFonts w:ascii="Times New Roman" w:eastAsia="Times New Roman" w:hAnsi="Times New Roman"/>
                <w:sz w:val="24"/>
                <w:szCs w:val="24"/>
                <w:lang w:val="en-US"/>
              </w:rPr>
              <w:t xml:space="preserve">In this context, the Commission will propose a rating scheme for energy and water efficiency in data </w:t>
            </w:r>
            <w:proofErr w:type="spellStart"/>
            <w:r w:rsidR="00E529EC" w:rsidRPr="007C4D3B">
              <w:rPr>
                <w:rFonts w:ascii="Times New Roman" w:eastAsia="Times New Roman" w:hAnsi="Times New Roman"/>
                <w:sz w:val="24"/>
                <w:szCs w:val="24"/>
                <w:lang w:val="en-US"/>
              </w:rPr>
              <w:t>centres</w:t>
            </w:r>
            <w:proofErr w:type="spellEnd"/>
            <w:r w:rsidR="00E529EC" w:rsidRPr="007C4D3B">
              <w:rPr>
                <w:rFonts w:ascii="Times New Roman" w:eastAsia="Times New Roman" w:hAnsi="Times New Roman"/>
                <w:sz w:val="24"/>
                <w:szCs w:val="24"/>
                <w:lang w:val="en-US"/>
              </w:rPr>
              <w:t>.</w:t>
            </w:r>
          </w:p>
          <w:p w14:paraId="3523F1C0" w14:textId="5D04AE93" w:rsidR="003F7251" w:rsidRPr="007C4D3B" w:rsidRDefault="003F7251" w:rsidP="003F7251">
            <w:pPr>
              <w:pStyle w:val="Heading2"/>
              <w:numPr>
                <w:ilvl w:val="0"/>
                <w:numId w:val="0"/>
              </w:numPr>
              <w:rPr>
                <w:bCs/>
                <w:sz w:val="24"/>
                <w:szCs w:val="24"/>
              </w:rPr>
            </w:pPr>
            <w:r w:rsidRPr="007C4D3B">
              <w:rPr>
                <w:bCs/>
                <w:sz w:val="24"/>
                <w:szCs w:val="24"/>
              </w:rPr>
              <w:t xml:space="preserve">As regards the EESC’ call to promote a </w:t>
            </w:r>
            <w:r w:rsidRPr="007C4D3B">
              <w:rPr>
                <w:b/>
                <w:sz w:val="24"/>
                <w:szCs w:val="24"/>
              </w:rPr>
              <w:t>European Water Label</w:t>
            </w:r>
            <w:r w:rsidRPr="007C4D3B">
              <w:rPr>
                <w:bCs/>
                <w:sz w:val="24"/>
                <w:szCs w:val="24"/>
              </w:rPr>
              <w:t xml:space="preserve"> for the IT industry, the Commission would point out that water use effectiveness in data </w:t>
            </w:r>
            <w:proofErr w:type="spellStart"/>
            <w:r w:rsidRPr="007C4D3B">
              <w:rPr>
                <w:bCs/>
                <w:sz w:val="24"/>
                <w:szCs w:val="24"/>
              </w:rPr>
              <w:t>cent</w:t>
            </w:r>
            <w:r w:rsidR="001D2E08" w:rsidRPr="007C4D3B">
              <w:rPr>
                <w:bCs/>
                <w:sz w:val="24"/>
                <w:szCs w:val="24"/>
              </w:rPr>
              <w:t>res</w:t>
            </w:r>
            <w:proofErr w:type="spellEnd"/>
            <w:r w:rsidRPr="007C4D3B">
              <w:rPr>
                <w:bCs/>
                <w:sz w:val="24"/>
                <w:szCs w:val="24"/>
              </w:rPr>
              <w:t xml:space="preserve"> can also be promoted through the </w:t>
            </w:r>
            <w:r w:rsidR="001D67F2" w:rsidRPr="007C4D3B">
              <w:rPr>
                <w:bCs/>
                <w:sz w:val="24"/>
                <w:szCs w:val="24"/>
              </w:rPr>
              <w:t xml:space="preserve">Energy Efficiency Directive and the </w:t>
            </w:r>
            <w:proofErr w:type="spellStart"/>
            <w:r w:rsidRPr="007C4D3B">
              <w:rPr>
                <w:bCs/>
                <w:sz w:val="24"/>
                <w:szCs w:val="24"/>
              </w:rPr>
              <w:t>Ecodesign</w:t>
            </w:r>
            <w:proofErr w:type="spellEnd"/>
            <w:r w:rsidRPr="007C4D3B">
              <w:rPr>
                <w:bCs/>
                <w:sz w:val="24"/>
                <w:szCs w:val="24"/>
              </w:rPr>
              <w:t xml:space="preserve"> for Sustainable Products Regulation.  </w:t>
            </w:r>
          </w:p>
          <w:p w14:paraId="0125FC57" w14:textId="77777777" w:rsidR="00E8182C" w:rsidRPr="007C4D3B" w:rsidRDefault="00E8182C" w:rsidP="000A4D54">
            <w:pPr>
              <w:pStyle w:val="Heading2"/>
              <w:numPr>
                <w:ilvl w:val="0"/>
                <w:numId w:val="0"/>
              </w:numPr>
              <w:rPr>
                <w:bCs/>
                <w:sz w:val="24"/>
                <w:szCs w:val="24"/>
              </w:rPr>
            </w:pPr>
          </w:p>
          <w:p w14:paraId="3CF0D06E" w14:textId="4B1BF94E" w:rsidR="008F77AE" w:rsidRPr="007C4D3B" w:rsidRDefault="000A4D54" w:rsidP="00825AA6">
            <w:pPr>
              <w:pStyle w:val="Heading2"/>
              <w:numPr>
                <w:ilvl w:val="0"/>
                <w:numId w:val="0"/>
              </w:numPr>
              <w:rPr>
                <w:bCs/>
                <w:sz w:val="24"/>
                <w:szCs w:val="24"/>
              </w:rPr>
            </w:pPr>
            <w:r w:rsidRPr="007C4D3B">
              <w:rPr>
                <w:bCs/>
                <w:sz w:val="24"/>
                <w:szCs w:val="24"/>
              </w:rPr>
              <w:t xml:space="preserve">The Commission concurs with the EESC that professionals in the water sector require sustained support for </w:t>
            </w:r>
            <w:r w:rsidRPr="007C4D3B">
              <w:rPr>
                <w:b/>
                <w:sz w:val="24"/>
                <w:szCs w:val="24"/>
              </w:rPr>
              <w:t>up-skilling and re-skilling</w:t>
            </w:r>
            <w:r w:rsidRPr="007C4D3B">
              <w:rPr>
                <w:bCs/>
                <w:sz w:val="24"/>
                <w:szCs w:val="24"/>
              </w:rPr>
              <w:t xml:space="preserve">. </w:t>
            </w:r>
            <w:r w:rsidR="00E8182C" w:rsidRPr="007C4D3B">
              <w:rPr>
                <w:bCs/>
                <w:sz w:val="24"/>
                <w:szCs w:val="24"/>
              </w:rPr>
              <w:t xml:space="preserve">As set out in reply to EESC Opinion 2024/587 – 2025/CCMI/223, </w:t>
            </w:r>
            <w:r w:rsidR="00E8182C" w:rsidRPr="007C4D3B">
              <w:rPr>
                <w:sz w:val="24"/>
                <w:szCs w:val="24"/>
                <w:lang w:val="en-GB"/>
              </w:rPr>
              <w:t xml:space="preserve">the Commission agrees that the proposed European Water Academy should be organised </w:t>
            </w:r>
            <w:proofErr w:type="gramStart"/>
            <w:r w:rsidR="001D2E08" w:rsidRPr="007C4D3B">
              <w:rPr>
                <w:sz w:val="24"/>
                <w:szCs w:val="24"/>
                <w:lang w:val="en-GB"/>
              </w:rPr>
              <w:t>taking into account</w:t>
            </w:r>
            <w:proofErr w:type="gramEnd"/>
            <w:r w:rsidR="001D2E08" w:rsidRPr="007C4D3B">
              <w:rPr>
                <w:sz w:val="24"/>
                <w:szCs w:val="24"/>
                <w:lang w:val="en-GB"/>
              </w:rPr>
              <w:t xml:space="preserve"> directly</w:t>
            </w:r>
            <w:r w:rsidR="00E8182C" w:rsidRPr="007C4D3B">
              <w:rPr>
                <w:sz w:val="24"/>
                <w:szCs w:val="24"/>
                <w:lang w:val="en-GB"/>
              </w:rPr>
              <w:t xml:space="preserve"> these realities on the ground. Both public authorities and the private sector are facing an ageing workforce and consequently a skills gap. </w:t>
            </w:r>
            <w:r w:rsidR="00F2439C" w:rsidRPr="007C4D3B">
              <w:rPr>
                <w:sz w:val="24"/>
                <w:szCs w:val="24"/>
                <w:lang w:val="en-GB"/>
              </w:rPr>
              <w:t>The Commission also underlines the important role that the future European Institute of Innovation and Technology’s (EIT) Knowledge and Innovation Community (KIC) on Water, Marine and Maritime Sectors and Ecosystems will play by fostering the interplay between entrepreneurship education, business creation and research – these are the three pillars of the knowledge innovation triangle</w:t>
            </w:r>
            <w:r w:rsidR="00F2439C" w:rsidRPr="007C4D3B">
              <w:rPr>
                <w:b/>
                <w:bCs/>
                <w:sz w:val="24"/>
                <w:szCs w:val="24"/>
                <w:lang w:val="en-GB"/>
              </w:rPr>
              <w:t>.</w:t>
            </w:r>
            <w:r w:rsidR="00F2439C" w:rsidRPr="007C4D3B">
              <w:rPr>
                <w:sz w:val="24"/>
                <w:szCs w:val="24"/>
                <w:lang w:val="en-GB"/>
              </w:rPr>
              <w:t xml:space="preserve"> The KIC will also create an innovation ecosystem that will leverage a demand-driven skills development across Europe. </w:t>
            </w:r>
            <w:r w:rsidR="00E8182C" w:rsidRPr="007C4D3B">
              <w:rPr>
                <w:sz w:val="24"/>
                <w:szCs w:val="24"/>
                <w:lang w:val="en-GB"/>
              </w:rPr>
              <w:t>The Union of Skills package including the European Social Fund can boost training for authorities, water management professionals, and communities. For fresh</w:t>
            </w:r>
            <w:r w:rsidR="002E4F13" w:rsidRPr="007C4D3B">
              <w:rPr>
                <w:sz w:val="24"/>
                <w:szCs w:val="24"/>
                <w:lang w:val="en-GB"/>
              </w:rPr>
              <w:t xml:space="preserve"> </w:t>
            </w:r>
            <w:r w:rsidR="00E8182C" w:rsidRPr="007C4D3B">
              <w:rPr>
                <w:sz w:val="24"/>
                <w:szCs w:val="24"/>
                <w:lang w:val="en-GB"/>
              </w:rPr>
              <w:t>water and the ocean, skills in science, technology and engineering as well as maths (STEM) must be promoted</w:t>
            </w:r>
            <w:r w:rsidR="00F2439C" w:rsidRPr="007C4D3B">
              <w:rPr>
                <w:sz w:val="24"/>
                <w:szCs w:val="24"/>
                <w:lang w:val="en-GB"/>
              </w:rPr>
              <w:t xml:space="preserve"> along the whole talent pipeline – from school education up until lifelong learning. The STEM Education Strategic Plan</w:t>
            </w:r>
            <w:r w:rsidR="00F2439C" w:rsidRPr="007C4D3B">
              <w:rPr>
                <w:rStyle w:val="FootnoteReference"/>
                <w:sz w:val="24"/>
                <w:szCs w:val="24"/>
              </w:rPr>
              <w:footnoteReference w:id="4"/>
            </w:r>
            <w:r w:rsidR="00F2439C" w:rsidRPr="007C4D3B">
              <w:rPr>
                <w:sz w:val="24"/>
                <w:szCs w:val="24"/>
                <w:lang w:val="en-GB"/>
              </w:rPr>
              <w:t xml:space="preserve"> offers numerous opportunities in that respect.</w:t>
            </w:r>
            <w:r w:rsidR="00E8182C" w:rsidRPr="007C4D3B">
              <w:rPr>
                <w:sz w:val="24"/>
                <w:szCs w:val="24"/>
                <w:lang w:val="en-GB"/>
              </w:rPr>
              <w:t xml:space="preserve"> The Commission will also enhance vocational training by increasing its support to the Platform of Vocational Excellence.</w:t>
            </w:r>
            <w:r w:rsidR="00E20884">
              <w:rPr>
                <w:bCs/>
                <w:sz w:val="24"/>
                <w:szCs w:val="24"/>
              </w:rPr>
              <w:br/>
            </w:r>
            <w:r w:rsidR="00825AA6" w:rsidRPr="007C4D3B">
              <w:rPr>
                <w:b/>
                <w:sz w:val="24"/>
                <w:szCs w:val="24"/>
              </w:rPr>
              <w:br/>
            </w:r>
            <w:r w:rsidR="000C51B4" w:rsidRPr="007C4D3B">
              <w:rPr>
                <w:b/>
                <w:sz w:val="24"/>
                <w:szCs w:val="24"/>
              </w:rPr>
              <w:t>Water Efficiency in IT</w:t>
            </w:r>
            <w:r w:rsidR="000C51B4" w:rsidRPr="007C4D3B">
              <w:rPr>
                <w:bCs/>
                <w:sz w:val="24"/>
                <w:szCs w:val="24"/>
              </w:rPr>
              <w:t xml:space="preserve"> </w:t>
            </w:r>
            <w:r w:rsidR="00D500EE" w:rsidRPr="007C4D3B">
              <w:rPr>
                <w:bCs/>
                <w:sz w:val="24"/>
                <w:szCs w:val="24"/>
              </w:rPr>
              <w:t xml:space="preserve">The Commission takes note of </w:t>
            </w:r>
            <w:r w:rsidR="001D2E08" w:rsidRPr="007C4D3B">
              <w:rPr>
                <w:bCs/>
                <w:sz w:val="24"/>
                <w:szCs w:val="24"/>
              </w:rPr>
              <w:t xml:space="preserve">the </w:t>
            </w:r>
            <w:r w:rsidR="00D500EE" w:rsidRPr="007C4D3B">
              <w:rPr>
                <w:bCs/>
                <w:sz w:val="24"/>
                <w:szCs w:val="24"/>
              </w:rPr>
              <w:t xml:space="preserve">EESC calling upon </w:t>
            </w:r>
            <w:r w:rsidR="009D5D74" w:rsidRPr="007C4D3B">
              <w:rPr>
                <w:bCs/>
                <w:sz w:val="24"/>
                <w:szCs w:val="24"/>
              </w:rPr>
              <w:t xml:space="preserve">IT </w:t>
            </w:r>
            <w:r w:rsidR="00D500EE" w:rsidRPr="007C4D3B">
              <w:rPr>
                <w:bCs/>
                <w:sz w:val="24"/>
                <w:szCs w:val="24"/>
              </w:rPr>
              <w:t xml:space="preserve">companies to be </w:t>
            </w:r>
            <w:r w:rsidR="00D500EE" w:rsidRPr="007C4D3B">
              <w:rPr>
                <w:bCs/>
                <w:sz w:val="24"/>
                <w:szCs w:val="24"/>
              </w:rPr>
              <w:lastRenderedPageBreak/>
              <w:t xml:space="preserve">transparent about water consumption and </w:t>
            </w:r>
            <w:r w:rsidR="00525E02" w:rsidRPr="007C4D3B">
              <w:rPr>
                <w:bCs/>
                <w:sz w:val="24"/>
                <w:szCs w:val="24"/>
              </w:rPr>
              <w:t xml:space="preserve">to increase </w:t>
            </w:r>
            <w:r w:rsidR="00D500EE" w:rsidRPr="007C4D3B">
              <w:rPr>
                <w:bCs/>
                <w:sz w:val="24"/>
                <w:szCs w:val="24"/>
              </w:rPr>
              <w:t xml:space="preserve">incentives </w:t>
            </w:r>
            <w:r w:rsidR="00525E02" w:rsidRPr="007C4D3B">
              <w:rPr>
                <w:bCs/>
                <w:sz w:val="24"/>
                <w:szCs w:val="24"/>
              </w:rPr>
              <w:t>for</w:t>
            </w:r>
            <w:r w:rsidR="001D2E08" w:rsidRPr="007C4D3B">
              <w:rPr>
                <w:bCs/>
                <w:sz w:val="24"/>
                <w:szCs w:val="24"/>
              </w:rPr>
              <w:t xml:space="preserve"> the use of</w:t>
            </w:r>
            <w:r w:rsidR="00525E02" w:rsidRPr="007C4D3B">
              <w:rPr>
                <w:bCs/>
                <w:sz w:val="24"/>
                <w:szCs w:val="24"/>
              </w:rPr>
              <w:t xml:space="preserve"> more water </w:t>
            </w:r>
            <w:r w:rsidR="00D500EE" w:rsidRPr="007C4D3B">
              <w:rPr>
                <w:bCs/>
                <w:sz w:val="24"/>
                <w:szCs w:val="24"/>
              </w:rPr>
              <w:t xml:space="preserve">efficient </w:t>
            </w:r>
            <w:r w:rsidR="009D5D74" w:rsidRPr="007C4D3B">
              <w:rPr>
                <w:bCs/>
                <w:sz w:val="24"/>
                <w:szCs w:val="24"/>
              </w:rPr>
              <w:t xml:space="preserve">IT </w:t>
            </w:r>
            <w:r w:rsidR="00D500EE" w:rsidRPr="007C4D3B">
              <w:rPr>
                <w:bCs/>
                <w:sz w:val="24"/>
                <w:szCs w:val="24"/>
              </w:rPr>
              <w:t>equipment</w:t>
            </w:r>
            <w:r w:rsidR="009D5D74" w:rsidRPr="007C4D3B">
              <w:rPr>
                <w:bCs/>
                <w:sz w:val="24"/>
                <w:szCs w:val="24"/>
              </w:rPr>
              <w:t xml:space="preserve">. </w:t>
            </w:r>
            <w:r w:rsidR="00E8182C" w:rsidRPr="007C4D3B">
              <w:rPr>
                <w:bCs/>
                <w:sz w:val="24"/>
                <w:szCs w:val="24"/>
              </w:rPr>
              <w:t>T</w:t>
            </w:r>
            <w:r w:rsidR="009D5D74" w:rsidRPr="007C4D3B">
              <w:rPr>
                <w:bCs/>
                <w:sz w:val="24"/>
                <w:szCs w:val="24"/>
              </w:rPr>
              <w:t>he European Water Resilience Strategy</w:t>
            </w:r>
            <w:r w:rsidR="00E8182C" w:rsidRPr="007C4D3B">
              <w:rPr>
                <w:bCs/>
                <w:sz w:val="24"/>
                <w:szCs w:val="24"/>
              </w:rPr>
              <w:t xml:space="preserve"> also supports the development of</w:t>
            </w:r>
            <w:r w:rsidR="001D2E08" w:rsidRPr="007C4D3B">
              <w:rPr>
                <w:bCs/>
                <w:sz w:val="24"/>
                <w:szCs w:val="24"/>
              </w:rPr>
              <w:t xml:space="preserve"> a</w:t>
            </w:r>
            <w:r w:rsidR="00E8182C" w:rsidRPr="007C4D3B">
              <w:rPr>
                <w:bCs/>
                <w:sz w:val="24"/>
                <w:szCs w:val="24"/>
              </w:rPr>
              <w:t xml:space="preserve"> more water efficient IT equipment</w:t>
            </w:r>
            <w:r w:rsidR="009D5D74" w:rsidRPr="007C4D3B">
              <w:rPr>
                <w:bCs/>
                <w:sz w:val="24"/>
                <w:szCs w:val="24"/>
              </w:rPr>
              <w:t xml:space="preserve"> strategy</w:t>
            </w:r>
            <w:r w:rsidR="000C51B4" w:rsidRPr="007C4D3B">
              <w:rPr>
                <w:bCs/>
                <w:sz w:val="24"/>
                <w:szCs w:val="24"/>
              </w:rPr>
              <w:t xml:space="preserve">. The </w:t>
            </w:r>
            <w:r w:rsidR="001D67F2" w:rsidRPr="007C4D3B">
              <w:rPr>
                <w:bCs/>
                <w:sz w:val="24"/>
                <w:szCs w:val="24"/>
              </w:rPr>
              <w:t>Commission will</w:t>
            </w:r>
            <w:r w:rsidR="000C51B4" w:rsidRPr="007C4D3B">
              <w:rPr>
                <w:bCs/>
                <w:sz w:val="24"/>
                <w:szCs w:val="24"/>
              </w:rPr>
              <w:t xml:space="preserve"> promote </w:t>
            </w:r>
            <w:proofErr w:type="gramStart"/>
            <w:r w:rsidR="000C51B4" w:rsidRPr="007C4D3B">
              <w:rPr>
                <w:bCs/>
                <w:sz w:val="24"/>
                <w:szCs w:val="24"/>
              </w:rPr>
              <w:t xml:space="preserve">a </w:t>
            </w:r>
            <w:r w:rsidR="000C51B4" w:rsidRPr="007C4D3B">
              <w:rPr>
                <w:sz w:val="24"/>
                <w:szCs w:val="24"/>
              </w:rPr>
              <w:t>public-</w:t>
            </w:r>
            <w:proofErr w:type="gramEnd"/>
            <w:r w:rsidR="000C51B4" w:rsidRPr="007C4D3B">
              <w:rPr>
                <w:sz w:val="24"/>
                <w:szCs w:val="24"/>
              </w:rPr>
              <w:t xml:space="preserve">private initiative to achieve technological breakthroughs in feasible and affordable methods for dry cooling, if the right partners are found. </w:t>
            </w:r>
            <w:r w:rsidR="000C51B4" w:rsidRPr="007C4D3B">
              <w:rPr>
                <w:bCs/>
                <w:sz w:val="24"/>
                <w:szCs w:val="24"/>
              </w:rPr>
              <w:t xml:space="preserve">The Commission also takes note of </w:t>
            </w:r>
            <w:r w:rsidR="001D2E08" w:rsidRPr="007C4D3B">
              <w:rPr>
                <w:bCs/>
                <w:sz w:val="24"/>
                <w:szCs w:val="24"/>
              </w:rPr>
              <w:t xml:space="preserve">the </w:t>
            </w:r>
            <w:r w:rsidR="000C51B4" w:rsidRPr="007C4D3B">
              <w:rPr>
                <w:bCs/>
                <w:sz w:val="24"/>
                <w:szCs w:val="24"/>
              </w:rPr>
              <w:t xml:space="preserve">EESC’s views on building data </w:t>
            </w:r>
            <w:proofErr w:type="spellStart"/>
            <w:r w:rsidR="000C51B4" w:rsidRPr="007C4D3B">
              <w:rPr>
                <w:bCs/>
                <w:sz w:val="24"/>
                <w:szCs w:val="24"/>
              </w:rPr>
              <w:t>cent</w:t>
            </w:r>
            <w:r w:rsidR="001D2E08" w:rsidRPr="007C4D3B">
              <w:rPr>
                <w:bCs/>
                <w:sz w:val="24"/>
                <w:szCs w:val="24"/>
              </w:rPr>
              <w:t>re</w:t>
            </w:r>
            <w:r w:rsidR="000C51B4" w:rsidRPr="007C4D3B">
              <w:rPr>
                <w:bCs/>
                <w:sz w:val="24"/>
                <w:szCs w:val="24"/>
              </w:rPr>
              <w:t>s</w:t>
            </w:r>
            <w:proofErr w:type="spellEnd"/>
            <w:r w:rsidR="000C51B4" w:rsidRPr="007C4D3B">
              <w:rPr>
                <w:bCs/>
                <w:sz w:val="24"/>
                <w:szCs w:val="24"/>
              </w:rPr>
              <w:t xml:space="preserve"> close to the sea or rivers. In the Commission’s view, the location of water-cooled data </w:t>
            </w:r>
            <w:proofErr w:type="spellStart"/>
            <w:r w:rsidR="000C51B4" w:rsidRPr="007C4D3B">
              <w:rPr>
                <w:bCs/>
                <w:sz w:val="24"/>
                <w:szCs w:val="24"/>
              </w:rPr>
              <w:t>cent</w:t>
            </w:r>
            <w:r w:rsidR="001D2E08" w:rsidRPr="007C4D3B">
              <w:rPr>
                <w:bCs/>
                <w:sz w:val="24"/>
                <w:szCs w:val="24"/>
              </w:rPr>
              <w:t>res</w:t>
            </w:r>
            <w:proofErr w:type="spellEnd"/>
            <w:r w:rsidR="000C51B4" w:rsidRPr="007C4D3B">
              <w:rPr>
                <w:bCs/>
                <w:sz w:val="24"/>
                <w:szCs w:val="24"/>
              </w:rPr>
              <w:t xml:space="preserve"> as well as other water</w:t>
            </w:r>
            <w:r w:rsidR="009E29CC" w:rsidRPr="007C4D3B">
              <w:rPr>
                <w:bCs/>
                <w:sz w:val="24"/>
                <w:szCs w:val="24"/>
              </w:rPr>
              <w:t>-</w:t>
            </w:r>
            <w:r w:rsidR="000C51B4" w:rsidRPr="007C4D3B">
              <w:rPr>
                <w:bCs/>
                <w:sz w:val="24"/>
                <w:szCs w:val="24"/>
              </w:rPr>
              <w:t>consuming economic activities should generally depend on water availability in a river basin.</w:t>
            </w:r>
          </w:p>
          <w:p w14:paraId="1CAE4DCD" w14:textId="77777777" w:rsidR="008F77AE" w:rsidRPr="007C4D3B" w:rsidRDefault="008F77AE" w:rsidP="00825AA6">
            <w:pPr>
              <w:pStyle w:val="Heading2"/>
              <w:numPr>
                <w:ilvl w:val="0"/>
                <w:numId w:val="0"/>
              </w:numPr>
              <w:rPr>
                <w:bCs/>
                <w:sz w:val="24"/>
                <w:szCs w:val="24"/>
              </w:rPr>
            </w:pPr>
          </w:p>
          <w:p w14:paraId="2EA1062F" w14:textId="762CA7CB" w:rsidR="008F77AE" w:rsidRPr="007C4D3B" w:rsidRDefault="008F77AE" w:rsidP="00C6609B">
            <w:pPr>
              <w:pStyle w:val="Heading2"/>
              <w:numPr>
                <w:ilvl w:val="0"/>
                <w:numId w:val="0"/>
              </w:numPr>
              <w:rPr>
                <w:bCs/>
                <w:sz w:val="24"/>
                <w:szCs w:val="24"/>
              </w:rPr>
            </w:pPr>
            <w:r w:rsidRPr="007C4D3B">
              <w:rPr>
                <w:b/>
                <w:sz w:val="24"/>
                <w:szCs w:val="24"/>
              </w:rPr>
              <w:t>Digital action plan for the water sector</w:t>
            </w:r>
            <w:r w:rsidRPr="007C4D3B">
              <w:rPr>
                <w:bCs/>
                <w:sz w:val="24"/>
                <w:szCs w:val="24"/>
              </w:rPr>
              <w:t xml:space="preserve">: </w:t>
            </w:r>
            <w:r w:rsidR="00C6609B" w:rsidRPr="007C4D3B">
              <w:rPr>
                <w:bCs/>
                <w:sz w:val="24"/>
                <w:szCs w:val="24"/>
              </w:rPr>
              <w:t xml:space="preserve">The Commission acknowledges the EESC’s call for a dedicated action plan to </w:t>
            </w:r>
            <w:proofErr w:type="gramStart"/>
            <w:r w:rsidR="00C6609B" w:rsidRPr="007C4D3B">
              <w:rPr>
                <w:bCs/>
                <w:sz w:val="24"/>
                <w:szCs w:val="24"/>
              </w:rPr>
              <w:t>defragment</w:t>
            </w:r>
            <w:proofErr w:type="gramEnd"/>
            <w:r w:rsidR="00C6609B" w:rsidRPr="007C4D3B">
              <w:rPr>
                <w:bCs/>
                <w:sz w:val="24"/>
                <w:szCs w:val="24"/>
              </w:rPr>
              <w:t xml:space="preserve"> the water sector and accelerate its digital transformation. As a key component of its 2026 Work </w:t>
            </w:r>
            <w:proofErr w:type="spellStart"/>
            <w:r w:rsidR="00C6609B" w:rsidRPr="007C4D3B">
              <w:rPr>
                <w:bCs/>
                <w:sz w:val="24"/>
                <w:szCs w:val="24"/>
              </w:rPr>
              <w:t>Programme</w:t>
            </w:r>
            <w:proofErr w:type="spellEnd"/>
            <w:r w:rsidR="00C6609B" w:rsidRPr="007C4D3B">
              <w:rPr>
                <w:bCs/>
                <w:sz w:val="24"/>
                <w:szCs w:val="24"/>
              </w:rPr>
              <w:t>, the Commission will develop a comprehensive action plan to modernize the sector across three primary pillars. This includes leveraging AI-driven Big Data analytics to process complex datasets for enhanced predictive capabilities, the large-scale deployment of the Internet of Things (IoT) to enable agile and real-time management, and the routine integration of Earth Observation data into standard water management practices. The action plan is designed to provide more reliable services, reduce administrative burdens, and foster a more competitive market. EU-level initiatives will focus specifically on interoperability and standardization to ensure systems can communicate effectively across borders. By improving cooperation and transparency, this initiative aims to provide citizens with better data and ensure the smarter, long-term management of Europe’s water resources.</w:t>
            </w:r>
          </w:p>
          <w:p w14:paraId="30D14481" w14:textId="0A432FDA" w:rsidR="0049246C" w:rsidRPr="007C4D3B" w:rsidRDefault="000C51B4" w:rsidP="00825AA6">
            <w:pPr>
              <w:pStyle w:val="Heading2"/>
              <w:numPr>
                <w:ilvl w:val="0"/>
                <w:numId w:val="0"/>
              </w:numPr>
              <w:rPr>
                <w:sz w:val="24"/>
                <w:szCs w:val="24"/>
                <w:lang w:val="en-IE"/>
              </w:rPr>
            </w:pPr>
            <w:r w:rsidRPr="007C4D3B">
              <w:rPr>
                <w:b/>
                <w:bCs/>
                <w:sz w:val="24"/>
                <w:szCs w:val="24"/>
              </w:rPr>
              <w:t>Pricing</w:t>
            </w:r>
            <w:r w:rsidRPr="007C4D3B">
              <w:rPr>
                <w:sz w:val="24"/>
                <w:szCs w:val="24"/>
              </w:rPr>
              <w:t xml:space="preserve">: </w:t>
            </w:r>
            <w:r w:rsidR="00D500EE" w:rsidRPr="007C4D3B">
              <w:rPr>
                <w:sz w:val="24"/>
                <w:szCs w:val="24"/>
              </w:rPr>
              <w:t xml:space="preserve">The </w:t>
            </w:r>
            <w:r w:rsidR="00904E2A" w:rsidRPr="007C4D3B">
              <w:rPr>
                <w:sz w:val="24"/>
                <w:szCs w:val="24"/>
              </w:rPr>
              <w:t xml:space="preserve">Commission finally notes the </w:t>
            </w:r>
            <w:r w:rsidR="00D500EE" w:rsidRPr="007C4D3B">
              <w:rPr>
                <w:sz w:val="24"/>
                <w:szCs w:val="24"/>
              </w:rPr>
              <w:t>Committee</w:t>
            </w:r>
            <w:r w:rsidR="00904E2A" w:rsidRPr="007C4D3B">
              <w:rPr>
                <w:sz w:val="24"/>
                <w:szCs w:val="24"/>
              </w:rPr>
              <w:t xml:space="preserve">’s view that </w:t>
            </w:r>
            <w:r w:rsidR="00D500EE" w:rsidRPr="007C4D3B">
              <w:rPr>
                <w:sz w:val="24"/>
                <w:szCs w:val="24"/>
              </w:rPr>
              <w:t xml:space="preserve">progressive pricing </w:t>
            </w:r>
            <w:r w:rsidR="00904E2A" w:rsidRPr="007C4D3B">
              <w:rPr>
                <w:sz w:val="24"/>
                <w:szCs w:val="24"/>
              </w:rPr>
              <w:t xml:space="preserve">should be used </w:t>
            </w:r>
            <w:r w:rsidR="00D500EE" w:rsidRPr="007C4D3B">
              <w:rPr>
                <w:sz w:val="24"/>
                <w:szCs w:val="24"/>
              </w:rPr>
              <w:t>as an</w:t>
            </w:r>
            <w:r w:rsidR="00C04115" w:rsidRPr="007C4D3B">
              <w:rPr>
                <w:sz w:val="24"/>
                <w:szCs w:val="24"/>
              </w:rPr>
              <w:t> </w:t>
            </w:r>
            <w:r w:rsidR="00D500EE" w:rsidRPr="007C4D3B">
              <w:rPr>
                <w:sz w:val="24"/>
                <w:szCs w:val="24"/>
              </w:rPr>
              <w:t>incentive to reduce water consumption</w:t>
            </w:r>
            <w:r w:rsidR="002A6714" w:rsidRPr="007C4D3B">
              <w:rPr>
                <w:sz w:val="24"/>
                <w:szCs w:val="24"/>
              </w:rPr>
              <w:t xml:space="preserve">. </w:t>
            </w:r>
            <w:r w:rsidR="00886F49" w:rsidRPr="007C4D3B">
              <w:rPr>
                <w:sz w:val="24"/>
                <w:szCs w:val="24"/>
                <w:lang w:val="en-GB"/>
              </w:rPr>
              <w:t>As already set out in reply to</w:t>
            </w:r>
            <w:r w:rsidR="001D2E08" w:rsidRPr="007C4D3B">
              <w:rPr>
                <w:sz w:val="24"/>
                <w:szCs w:val="24"/>
                <w:lang w:val="en-GB"/>
              </w:rPr>
              <w:t xml:space="preserve"> the</w:t>
            </w:r>
            <w:r w:rsidR="00886F49" w:rsidRPr="007C4D3B">
              <w:rPr>
                <w:sz w:val="24"/>
                <w:szCs w:val="24"/>
                <w:lang w:val="en-GB"/>
              </w:rPr>
              <w:t xml:space="preserve"> EESC Opinion </w:t>
            </w:r>
            <w:r w:rsidR="00886F49" w:rsidRPr="007C4D3B">
              <w:rPr>
                <w:sz w:val="24"/>
                <w:szCs w:val="24"/>
              </w:rPr>
              <w:t>2024/587 – 2025/CCMI/223, t</w:t>
            </w:r>
            <w:r w:rsidR="00886F49" w:rsidRPr="007C4D3B">
              <w:rPr>
                <w:sz w:val="24"/>
                <w:szCs w:val="24"/>
                <w:lang w:val="en-GB"/>
              </w:rPr>
              <w:t>he Commission agrees with the EESC on the central role of water pricing policies in support of long-term water security with pricing based on the cost-recovery principle while maintaining also affordability. In this respect, the Commission is committed to continue to work with Member States on the effective implementation of Article 9 of the Water Framework Directive, in line with the recommendations made by the Commission to Member States based on its assessment of the 3</w:t>
            </w:r>
            <w:r w:rsidR="00886F49" w:rsidRPr="007C4D3B">
              <w:rPr>
                <w:sz w:val="24"/>
                <w:szCs w:val="24"/>
                <w:vertAlign w:val="superscript"/>
                <w:lang w:val="en-GB"/>
              </w:rPr>
              <w:t>rd</w:t>
            </w:r>
            <w:r w:rsidR="00886F49" w:rsidRPr="007C4D3B">
              <w:rPr>
                <w:sz w:val="24"/>
                <w:szCs w:val="24"/>
                <w:lang w:val="en-GB"/>
              </w:rPr>
              <w:t xml:space="preserve"> River Basin Management Plans</w:t>
            </w:r>
            <w:r w:rsidR="00886F49" w:rsidRPr="007C4D3B">
              <w:rPr>
                <w:sz w:val="24"/>
                <w:szCs w:val="24"/>
                <w:lang w:val="en-IE"/>
              </w:rPr>
              <w:t>.</w:t>
            </w:r>
          </w:p>
        </w:tc>
      </w:tr>
    </w:tbl>
    <w:p w14:paraId="4B31F071" w14:textId="77777777" w:rsidR="00077C4F" w:rsidRPr="007C4D3B" w:rsidRDefault="00077C4F" w:rsidP="00077C4F">
      <w:pPr>
        <w:rPr>
          <w:rFonts w:ascii="Times New Roman" w:hAnsi="Times New Roman"/>
          <w:sz w:val="2"/>
          <w:szCs w:val="2"/>
        </w:rPr>
      </w:pPr>
    </w:p>
    <w:p w14:paraId="7A8371B3" w14:textId="1FADD5D1" w:rsidR="004F6117" w:rsidRPr="009F195F" w:rsidRDefault="004F6117" w:rsidP="00751910">
      <w:pPr>
        <w:rPr>
          <w:rFonts w:ascii="Times New Roman" w:hAnsi="Times New Roman"/>
          <w:b/>
          <w:strike/>
          <w:sz w:val="2"/>
          <w:szCs w:val="2"/>
          <w:u w:val="single"/>
        </w:rPr>
      </w:pPr>
    </w:p>
    <w:p w14:paraId="6AF07B14" w14:textId="26AEAB66" w:rsidR="004F6117" w:rsidRPr="009F195F" w:rsidRDefault="004F6117" w:rsidP="00751910">
      <w:pPr>
        <w:rPr>
          <w:rFonts w:ascii="Times New Roman" w:hAnsi="Times New Roman"/>
          <w:b/>
          <w:strike/>
          <w:sz w:val="2"/>
          <w:szCs w:val="2"/>
          <w:u w:val="single"/>
        </w:rPr>
      </w:pPr>
    </w:p>
    <w:sectPr w:rsidR="004F6117" w:rsidRPr="009F19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2BBC" w14:textId="77777777" w:rsidR="0018388B" w:rsidRDefault="0018388B" w:rsidP="00FF63EA">
      <w:pPr>
        <w:spacing w:after="0" w:line="240" w:lineRule="auto"/>
      </w:pPr>
      <w:r>
        <w:separator/>
      </w:r>
    </w:p>
  </w:endnote>
  <w:endnote w:type="continuationSeparator" w:id="0">
    <w:p w14:paraId="1AA83A98" w14:textId="77777777" w:rsidR="0018388B" w:rsidRDefault="0018388B" w:rsidP="00FF63EA">
      <w:pPr>
        <w:spacing w:after="0" w:line="240" w:lineRule="auto"/>
      </w:pPr>
      <w:r>
        <w:continuationSeparator/>
      </w:r>
    </w:p>
  </w:endnote>
  <w:endnote w:type="continuationNotice" w:id="1">
    <w:p w14:paraId="23CBE64B" w14:textId="77777777" w:rsidR="0018388B" w:rsidRDefault="00183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1A78" w14:textId="77777777" w:rsidR="0018388B" w:rsidRDefault="0018388B" w:rsidP="00FF63EA">
      <w:pPr>
        <w:spacing w:after="0" w:line="240" w:lineRule="auto"/>
      </w:pPr>
      <w:r>
        <w:separator/>
      </w:r>
    </w:p>
  </w:footnote>
  <w:footnote w:type="continuationSeparator" w:id="0">
    <w:p w14:paraId="671E6775" w14:textId="77777777" w:rsidR="0018388B" w:rsidRDefault="0018388B" w:rsidP="00FF63EA">
      <w:pPr>
        <w:spacing w:after="0" w:line="240" w:lineRule="auto"/>
      </w:pPr>
      <w:r>
        <w:continuationSeparator/>
      </w:r>
    </w:p>
  </w:footnote>
  <w:footnote w:type="continuationNotice" w:id="1">
    <w:p w14:paraId="3C1D5DAC" w14:textId="77777777" w:rsidR="0018388B" w:rsidRDefault="0018388B">
      <w:pPr>
        <w:spacing w:after="0" w:line="240" w:lineRule="auto"/>
      </w:pPr>
    </w:p>
  </w:footnote>
  <w:footnote w:id="2">
    <w:p w14:paraId="7E309A4E" w14:textId="0FC339E5" w:rsidR="002E4F13" w:rsidRPr="00E20884" w:rsidRDefault="002E4F13" w:rsidP="00E700CB">
      <w:pPr>
        <w:pStyle w:val="FootnoteText"/>
        <w:widowControl w:val="0"/>
        <w:spacing w:after="0" w:line="240" w:lineRule="auto"/>
        <w:ind w:left="142" w:hanging="284"/>
        <w:jc w:val="both"/>
        <w:rPr>
          <w:rFonts w:ascii="Times New Roman" w:hAnsi="Times New Roman"/>
        </w:rPr>
      </w:pPr>
      <w:r w:rsidRPr="00E20884">
        <w:rPr>
          <w:rStyle w:val="FootnoteReference"/>
          <w:rFonts w:ascii="Times New Roman" w:hAnsi="Times New Roman"/>
        </w:rPr>
        <w:footnoteRef/>
      </w:r>
      <w:r w:rsidRPr="00E20884">
        <w:rPr>
          <w:rFonts w:ascii="Times New Roman" w:hAnsi="Times New Roman"/>
        </w:rPr>
        <w:t xml:space="preserve"> </w:t>
      </w:r>
      <w:r w:rsidRPr="00E20884">
        <w:rPr>
          <w:rFonts w:ascii="Times New Roman" w:hAnsi="Times New Roman"/>
        </w:rPr>
        <w:tab/>
      </w:r>
      <w:r w:rsidR="00EA5CDC" w:rsidRPr="00E20884">
        <w:rPr>
          <w:rFonts w:ascii="Times New Roman" w:hAnsi="Times New Roman"/>
        </w:rPr>
        <w:t>European Water Resilience Strategy (</w:t>
      </w:r>
      <w:hyperlink r:id="rId1" w:history="1">
        <w:r w:rsidR="00C04115" w:rsidRPr="00E20884">
          <w:rPr>
            <w:rStyle w:val="Hyperlink"/>
            <w:rFonts w:ascii="Times New Roman" w:hAnsi="Times New Roman"/>
          </w:rPr>
          <w:t>https://eur-lex.europa.eu/legal-content/EN/TXT/HTML/?uri=CELEX:52025DC0280</w:t>
        </w:r>
      </w:hyperlink>
      <w:r w:rsidR="00C04115" w:rsidRPr="00E20884">
        <w:rPr>
          <w:rFonts w:ascii="Times New Roman" w:hAnsi="Times New Roman"/>
        </w:rPr>
        <w:t xml:space="preserve"> </w:t>
      </w:r>
      <w:r w:rsidR="00EA5CDC" w:rsidRPr="00E20884">
        <w:rPr>
          <w:rFonts w:ascii="Times New Roman" w:hAnsi="Times New Roman"/>
        </w:rPr>
        <w:t>).</w:t>
      </w:r>
    </w:p>
  </w:footnote>
  <w:footnote w:id="3">
    <w:p w14:paraId="3B7F3102" w14:textId="73C19470" w:rsidR="001128C0" w:rsidRPr="001128C0" w:rsidRDefault="001128C0" w:rsidP="00E700CB">
      <w:pPr>
        <w:pStyle w:val="FootnoteText"/>
        <w:widowControl w:val="0"/>
        <w:spacing w:after="0" w:line="240" w:lineRule="auto"/>
        <w:ind w:left="142" w:right="-142" w:hanging="284"/>
        <w:jc w:val="both"/>
      </w:pPr>
      <w:r w:rsidRPr="00C04115">
        <w:rPr>
          <w:rStyle w:val="FootnoteReference"/>
          <w:rFonts w:ascii="Times New Roman" w:hAnsi="Times New Roman"/>
        </w:rPr>
        <w:footnoteRef/>
      </w:r>
      <w:r w:rsidRPr="00C04115">
        <w:rPr>
          <w:rFonts w:ascii="Times New Roman" w:hAnsi="Times New Roman"/>
        </w:rPr>
        <w:t xml:space="preserve"> </w:t>
      </w:r>
      <w:r w:rsidRPr="00C04115">
        <w:rPr>
          <w:rFonts w:ascii="Times New Roman" w:hAnsi="Times New Roman"/>
        </w:rPr>
        <w:tab/>
        <w:t>Regulation (EU) 2024/1252 of the European Parliament and of the Council of 11 April 2024 establishing a framework for ensuring a secure and sustainable supply of critical raw materials and amending Regulations (EU) No 168/2013, (EU) 2018/858, (EU) 2018/1724 and (EU) 2019/1020 (</w:t>
      </w:r>
      <w:hyperlink r:id="rId2" w:tooltip="Gives access to this document through its ELI URI." w:history="1">
        <w:r w:rsidRPr="00C04115">
          <w:rPr>
            <w:rStyle w:val="Hyperlink"/>
            <w:rFonts w:ascii="Times New Roman" w:hAnsi="Times New Roman"/>
          </w:rPr>
          <w:t>http://data.europa.eu/eli/reg/2024/1252/oj</w:t>
        </w:r>
      </w:hyperlink>
      <w:r w:rsidRPr="00C04115">
        <w:rPr>
          <w:rFonts w:ascii="Times New Roman" w:hAnsi="Times New Roman"/>
        </w:rPr>
        <w:t>).</w:t>
      </w:r>
    </w:p>
  </w:footnote>
  <w:footnote w:id="4">
    <w:p w14:paraId="4C837365" w14:textId="4B251BA5" w:rsidR="00F2439C" w:rsidRPr="00C04115" w:rsidRDefault="00F2439C" w:rsidP="007C4D3B">
      <w:pPr>
        <w:pStyle w:val="FootnoteText"/>
        <w:widowControl w:val="0"/>
        <w:spacing w:after="0" w:line="240" w:lineRule="auto"/>
        <w:ind w:left="142" w:hanging="284"/>
        <w:jc w:val="both"/>
        <w:rPr>
          <w:rFonts w:ascii="Times New Roman" w:hAnsi="Times New Roman"/>
          <w:lang w:val="pt-PT"/>
        </w:rPr>
      </w:pPr>
      <w:r w:rsidRPr="00C04115">
        <w:rPr>
          <w:rStyle w:val="FootnoteReference"/>
          <w:rFonts w:ascii="Times New Roman" w:hAnsi="Times New Roman"/>
        </w:rPr>
        <w:footnoteRef/>
      </w:r>
      <w:r w:rsidRPr="00C04115">
        <w:rPr>
          <w:rFonts w:ascii="Times New Roman" w:hAnsi="Times New Roman"/>
          <w:lang w:val="pt-PT"/>
        </w:rPr>
        <w:t xml:space="preserve"> </w:t>
      </w:r>
      <w:r w:rsidR="002E4F13" w:rsidRPr="00C04115">
        <w:rPr>
          <w:rFonts w:ascii="Times New Roman" w:hAnsi="Times New Roman"/>
          <w:lang w:val="pt-PT"/>
        </w:rPr>
        <w:tab/>
      </w:r>
      <w:proofErr w:type="gramStart"/>
      <w:r w:rsidRPr="00C04115">
        <w:rPr>
          <w:rFonts w:ascii="Times New Roman" w:hAnsi="Times New Roman"/>
          <w:lang w:val="pt-PT"/>
        </w:rPr>
        <w:t>COM(</w:t>
      </w:r>
      <w:proofErr w:type="gramEnd"/>
      <w:r w:rsidRPr="00C04115">
        <w:rPr>
          <w:rFonts w:ascii="Times New Roman" w:hAnsi="Times New Roman"/>
          <w:lang w:val="pt-PT"/>
        </w:rPr>
        <w:t>2025) 89 final (</w:t>
      </w:r>
      <w:hyperlink r:id="rId3" w:history="1">
        <w:r w:rsidRPr="00C04115">
          <w:rPr>
            <w:rStyle w:val="Hyperlink"/>
            <w:rFonts w:ascii="Times New Roman" w:hAnsi="Times New Roman"/>
            <w:lang w:val="pt-PT"/>
          </w:rPr>
          <w:t>https://eur-lex.europa.eu/legal-content/EN/TXT/?uri=celex:52025DC0089</w:t>
        </w:r>
      </w:hyperlink>
      <w:r w:rsidRPr="00C04115">
        <w:rPr>
          <w:rFonts w:ascii="Times New Roman" w:hAnsi="Times New Roman"/>
          <w:lang w:val="pt-PT"/>
        </w:rPr>
        <w:t>)</w:t>
      </w:r>
      <w:r w:rsidR="002E4F13" w:rsidRPr="00C04115">
        <w:rPr>
          <w:rFonts w:ascii="Times New Roman" w:hAnsi="Times New Roman"/>
          <w:lang w:val="pt-P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959919606">
    <w:abstractNumId w:val="0"/>
  </w:num>
  <w:num w:numId="2" w16cid:durableId="30666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33D0"/>
    <w:rsid w:val="00012A37"/>
    <w:rsid w:val="00046B15"/>
    <w:rsid w:val="00050DC7"/>
    <w:rsid w:val="00073A45"/>
    <w:rsid w:val="00076109"/>
    <w:rsid w:val="00077C4F"/>
    <w:rsid w:val="000A4D54"/>
    <w:rsid w:val="000B3D11"/>
    <w:rsid w:val="000B7D9F"/>
    <w:rsid w:val="000C3004"/>
    <w:rsid w:val="000C51B4"/>
    <w:rsid w:val="000C6DF2"/>
    <w:rsid w:val="000E2005"/>
    <w:rsid w:val="000F5FD8"/>
    <w:rsid w:val="001128C0"/>
    <w:rsid w:val="001167C0"/>
    <w:rsid w:val="00135C2A"/>
    <w:rsid w:val="001813A8"/>
    <w:rsid w:val="0018388B"/>
    <w:rsid w:val="00193BA5"/>
    <w:rsid w:val="001B0E0B"/>
    <w:rsid w:val="001C4138"/>
    <w:rsid w:val="001D2E08"/>
    <w:rsid w:val="001D67F2"/>
    <w:rsid w:val="001F2EC6"/>
    <w:rsid w:val="001F65D0"/>
    <w:rsid w:val="00201D33"/>
    <w:rsid w:val="0021528E"/>
    <w:rsid w:val="00217E59"/>
    <w:rsid w:val="00240A40"/>
    <w:rsid w:val="002A6714"/>
    <w:rsid w:val="002C01FA"/>
    <w:rsid w:val="002E4F13"/>
    <w:rsid w:val="002F03FA"/>
    <w:rsid w:val="002F24B8"/>
    <w:rsid w:val="003004D2"/>
    <w:rsid w:val="0032353B"/>
    <w:rsid w:val="003349A3"/>
    <w:rsid w:val="00342C97"/>
    <w:rsid w:val="00377967"/>
    <w:rsid w:val="00386143"/>
    <w:rsid w:val="003968E0"/>
    <w:rsid w:val="00396BD9"/>
    <w:rsid w:val="003B58DC"/>
    <w:rsid w:val="003D1044"/>
    <w:rsid w:val="003E266B"/>
    <w:rsid w:val="003F061C"/>
    <w:rsid w:val="003F686E"/>
    <w:rsid w:val="003F7251"/>
    <w:rsid w:val="00427C55"/>
    <w:rsid w:val="00442552"/>
    <w:rsid w:val="00455A1C"/>
    <w:rsid w:val="004675B5"/>
    <w:rsid w:val="004770D6"/>
    <w:rsid w:val="00477FA2"/>
    <w:rsid w:val="0049065B"/>
    <w:rsid w:val="0049246C"/>
    <w:rsid w:val="00495999"/>
    <w:rsid w:val="004A544B"/>
    <w:rsid w:val="004F6117"/>
    <w:rsid w:val="004F63F1"/>
    <w:rsid w:val="004F651E"/>
    <w:rsid w:val="005047AF"/>
    <w:rsid w:val="00514690"/>
    <w:rsid w:val="0052596B"/>
    <w:rsid w:val="00525E02"/>
    <w:rsid w:val="005327DA"/>
    <w:rsid w:val="00554D8D"/>
    <w:rsid w:val="00557300"/>
    <w:rsid w:val="00565B46"/>
    <w:rsid w:val="00566450"/>
    <w:rsid w:val="00573835"/>
    <w:rsid w:val="00581306"/>
    <w:rsid w:val="005C3105"/>
    <w:rsid w:val="005D5E53"/>
    <w:rsid w:val="005D7DE1"/>
    <w:rsid w:val="00644CA9"/>
    <w:rsid w:val="0068160D"/>
    <w:rsid w:val="00691BB8"/>
    <w:rsid w:val="00692C2F"/>
    <w:rsid w:val="00695797"/>
    <w:rsid w:val="006964E1"/>
    <w:rsid w:val="00696A5E"/>
    <w:rsid w:val="006B3B69"/>
    <w:rsid w:val="006F3882"/>
    <w:rsid w:val="006F60E4"/>
    <w:rsid w:val="00723307"/>
    <w:rsid w:val="00734613"/>
    <w:rsid w:val="00751910"/>
    <w:rsid w:val="00751E60"/>
    <w:rsid w:val="007547B5"/>
    <w:rsid w:val="00795A9E"/>
    <w:rsid w:val="007A606D"/>
    <w:rsid w:val="007A61DD"/>
    <w:rsid w:val="007A644F"/>
    <w:rsid w:val="007B381A"/>
    <w:rsid w:val="007C2214"/>
    <w:rsid w:val="007C39E5"/>
    <w:rsid w:val="007C4AAA"/>
    <w:rsid w:val="007C4D3B"/>
    <w:rsid w:val="007D66FD"/>
    <w:rsid w:val="007E07E9"/>
    <w:rsid w:val="0080517C"/>
    <w:rsid w:val="00807B48"/>
    <w:rsid w:val="008135CA"/>
    <w:rsid w:val="0081584F"/>
    <w:rsid w:val="00825AA6"/>
    <w:rsid w:val="008703BF"/>
    <w:rsid w:val="00875CF7"/>
    <w:rsid w:val="00886F49"/>
    <w:rsid w:val="008925CE"/>
    <w:rsid w:val="00897687"/>
    <w:rsid w:val="008A5CB7"/>
    <w:rsid w:val="008C4D41"/>
    <w:rsid w:val="008E6C07"/>
    <w:rsid w:val="008F77AE"/>
    <w:rsid w:val="00904E2A"/>
    <w:rsid w:val="009128C7"/>
    <w:rsid w:val="00945C5A"/>
    <w:rsid w:val="00981F45"/>
    <w:rsid w:val="00994D12"/>
    <w:rsid w:val="009B128B"/>
    <w:rsid w:val="009C118A"/>
    <w:rsid w:val="009D5D74"/>
    <w:rsid w:val="009E29CC"/>
    <w:rsid w:val="009F195F"/>
    <w:rsid w:val="009F1EC7"/>
    <w:rsid w:val="00A16F07"/>
    <w:rsid w:val="00A62C7B"/>
    <w:rsid w:val="00A64831"/>
    <w:rsid w:val="00A7709A"/>
    <w:rsid w:val="00A825E7"/>
    <w:rsid w:val="00AB3323"/>
    <w:rsid w:val="00AE1842"/>
    <w:rsid w:val="00AE3C7C"/>
    <w:rsid w:val="00B31306"/>
    <w:rsid w:val="00B42814"/>
    <w:rsid w:val="00B7402D"/>
    <w:rsid w:val="00B83936"/>
    <w:rsid w:val="00BD6EB7"/>
    <w:rsid w:val="00BE301F"/>
    <w:rsid w:val="00BE73CA"/>
    <w:rsid w:val="00BF04E9"/>
    <w:rsid w:val="00C02369"/>
    <w:rsid w:val="00C04115"/>
    <w:rsid w:val="00C16BBC"/>
    <w:rsid w:val="00C45F39"/>
    <w:rsid w:val="00C54D27"/>
    <w:rsid w:val="00C6609B"/>
    <w:rsid w:val="00C76EEB"/>
    <w:rsid w:val="00CC40F9"/>
    <w:rsid w:val="00CD5021"/>
    <w:rsid w:val="00CE1108"/>
    <w:rsid w:val="00D01F5A"/>
    <w:rsid w:val="00D1716E"/>
    <w:rsid w:val="00D31FCB"/>
    <w:rsid w:val="00D500EE"/>
    <w:rsid w:val="00D64E05"/>
    <w:rsid w:val="00D70C1B"/>
    <w:rsid w:val="00D7206B"/>
    <w:rsid w:val="00D92FD3"/>
    <w:rsid w:val="00DA3B6E"/>
    <w:rsid w:val="00DB7581"/>
    <w:rsid w:val="00DC70C1"/>
    <w:rsid w:val="00E20884"/>
    <w:rsid w:val="00E238ED"/>
    <w:rsid w:val="00E24F75"/>
    <w:rsid w:val="00E41F1D"/>
    <w:rsid w:val="00E529EC"/>
    <w:rsid w:val="00E53F77"/>
    <w:rsid w:val="00E60302"/>
    <w:rsid w:val="00E700CB"/>
    <w:rsid w:val="00E8182C"/>
    <w:rsid w:val="00E8236D"/>
    <w:rsid w:val="00E83C12"/>
    <w:rsid w:val="00E904C8"/>
    <w:rsid w:val="00EA1BBF"/>
    <w:rsid w:val="00EA5CDC"/>
    <w:rsid w:val="00EA6BE6"/>
    <w:rsid w:val="00EB29A9"/>
    <w:rsid w:val="00EB77D2"/>
    <w:rsid w:val="00EC345F"/>
    <w:rsid w:val="00ED17FE"/>
    <w:rsid w:val="00EE4541"/>
    <w:rsid w:val="00F177C1"/>
    <w:rsid w:val="00F23AF3"/>
    <w:rsid w:val="00F2439C"/>
    <w:rsid w:val="00F31066"/>
    <w:rsid w:val="00F316C8"/>
    <w:rsid w:val="00F51BA0"/>
    <w:rsid w:val="00F632DE"/>
    <w:rsid w:val="00F735E4"/>
    <w:rsid w:val="00F75381"/>
    <w:rsid w:val="00F96AFB"/>
    <w:rsid w:val="00FB7834"/>
    <w:rsid w:val="00FD4B6A"/>
    <w:rsid w:val="00FF03A8"/>
    <w:rsid w:val="00FF0C06"/>
    <w:rsid w:val="00FF63EA"/>
    <w:rsid w:val="03266B11"/>
    <w:rsid w:val="167FA793"/>
    <w:rsid w:val="25C9CECF"/>
    <w:rsid w:val="27A9A4A2"/>
    <w:rsid w:val="368D731E"/>
    <w:rsid w:val="48F8C158"/>
    <w:rsid w:val="4D1B0A7A"/>
    <w:rsid w:val="528F8FD7"/>
    <w:rsid w:val="5824334A"/>
    <w:rsid w:val="5D95FDFD"/>
    <w:rsid w:val="632CE96B"/>
    <w:rsid w:val="64D12ED9"/>
    <w:rsid w:val="7E623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7E3F9069-1B3A-437B-932D-78A108C3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D500EE"/>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D500EE"/>
    <w:pPr>
      <w:numPr>
        <w:ilvl w:val="1"/>
        <w:numId w:val="1"/>
      </w:numPr>
      <w:spacing w:after="0" w:line="288" w:lineRule="auto"/>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D500EE"/>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D500EE"/>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D500EE"/>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D500EE"/>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D500EE"/>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D500EE"/>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D500EE"/>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00EE"/>
    <w:rPr>
      <w:rFonts w:ascii="Times New Roman" w:eastAsia="Times New Roman" w:hAnsi="Times New Roman"/>
      <w:kern w:val="28"/>
      <w:sz w:val="22"/>
      <w:szCs w:val="22"/>
      <w:lang w:val="en-US" w:eastAsia="en-US"/>
    </w:rPr>
  </w:style>
  <w:style w:type="character" w:customStyle="1" w:styleId="Heading2Char">
    <w:name w:val="Heading 2 Char"/>
    <w:link w:val="Heading2"/>
    <w:rsid w:val="00D500EE"/>
    <w:rPr>
      <w:rFonts w:ascii="Times New Roman" w:eastAsia="Times New Roman" w:hAnsi="Times New Roman"/>
      <w:sz w:val="22"/>
      <w:szCs w:val="22"/>
      <w:lang w:val="en-US" w:eastAsia="en-US"/>
    </w:rPr>
  </w:style>
  <w:style w:type="character" w:customStyle="1" w:styleId="Heading3Char">
    <w:name w:val="Heading 3 Char"/>
    <w:link w:val="Heading3"/>
    <w:rsid w:val="00D500EE"/>
    <w:rPr>
      <w:rFonts w:ascii="Times New Roman" w:eastAsia="Times New Roman" w:hAnsi="Times New Roman"/>
      <w:sz w:val="22"/>
      <w:szCs w:val="22"/>
      <w:lang w:val="en-US" w:eastAsia="en-US"/>
    </w:rPr>
  </w:style>
  <w:style w:type="character" w:customStyle="1" w:styleId="Heading4Char">
    <w:name w:val="Heading 4 Char"/>
    <w:link w:val="Heading4"/>
    <w:rsid w:val="00D500EE"/>
    <w:rPr>
      <w:rFonts w:ascii="Times New Roman" w:eastAsia="Times New Roman" w:hAnsi="Times New Roman"/>
      <w:sz w:val="22"/>
      <w:szCs w:val="22"/>
      <w:lang w:val="en-US" w:eastAsia="en-US"/>
    </w:rPr>
  </w:style>
  <w:style w:type="character" w:customStyle="1" w:styleId="Heading5Char">
    <w:name w:val="Heading 5 Char"/>
    <w:link w:val="Heading5"/>
    <w:rsid w:val="00D500EE"/>
    <w:rPr>
      <w:rFonts w:ascii="Times New Roman" w:eastAsia="Times New Roman" w:hAnsi="Times New Roman"/>
      <w:sz w:val="22"/>
      <w:szCs w:val="22"/>
      <w:lang w:val="en-US" w:eastAsia="en-US"/>
    </w:rPr>
  </w:style>
  <w:style w:type="character" w:customStyle="1" w:styleId="Heading6Char">
    <w:name w:val="Heading 6 Char"/>
    <w:link w:val="Heading6"/>
    <w:rsid w:val="00D500EE"/>
    <w:rPr>
      <w:rFonts w:ascii="Times New Roman" w:eastAsia="Times New Roman" w:hAnsi="Times New Roman"/>
      <w:sz w:val="22"/>
      <w:szCs w:val="22"/>
      <w:lang w:val="en-US" w:eastAsia="en-US"/>
    </w:rPr>
  </w:style>
  <w:style w:type="character" w:customStyle="1" w:styleId="Heading7Char">
    <w:name w:val="Heading 7 Char"/>
    <w:link w:val="Heading7"/>
    <w:rsid w:val="00D500EE"/>
    <w:rPr>
      <w:rFonts w:ascii="Times New Roman" w:eastAsia="Times New Roman" w:hAnsi="Times New Roman"/>
      <w:sz w:val="22"/>
      <w:szCs w:val="22"/>
      <w:lang w:val="en-US" w:eastAsia="en-US"/>
    </w:rPr>
  </w:style>
  <w:style w:type="character" w:customStyle="1" w:styleId="Heading8Char">
    <w:name w:val="Heading 8 Char"/>
    <w:link w:val="Heading8"/>
    <w:rsid w:val="00D500EE"/>
    <w:rPr>
      <w:rFonts w:ascii="Times New Roman" w:eastAsia="Times New Roman" w:hAnsi="Times New Roman"/>
      <w:sz w:val="22"/>
      <w:szCs w:val="22"/>
      <w:lang w:val="en-US" w:eastAsia="en-US"/>
    </w:rPr>
  </w:style>
  <w:style w:type="character" w:customStyle="1" w:styleId="Heading9Char">
    <w:name w:val="Heading 9 Char"/>
    <w:link w:val="Heading9"/>
    <w:rsid w:val="00D500EE"/>
    <w:rPr>
      <w:rFonts w:ascii="Times New Roman" w:eastAsia="Times New Roman" w:hAnsi="Times New Roman"/>
      <w:sz w:val="22"/>
      <w:szCs w:val="22"/>
      <w:lang w:val="en-US" w:eastAsia="en-US"/>
    </w:rPr>
  </w:style>
  <w:style w:type="paragraph" w:styleId="ListParagraph">
    <w:name w:val="List Paragraph"/>
    <w:basedOn w:val="Normal"/>
    <w:uiPriority w:val="34"/>
    <w:qFormat/>
    <w:rsid w:val="00EE4541"/>
    <w:pPr>
      <w:spacing w:after="0" w:line="288" w:lineRule="auto"/>
      <w:ind w:left="720"/>
      <w:contextualSpacing/>
      <w:jc w:val="both"/>
    </w:pPr>
    <w:rPr>
      <w:rFonts w:ascii="Times New Roman" w:eastAsia="Times New Roman" w:hAnsi="Times New Roman"/>
      <w:szCs w:val="20"/>
      <w:lang w:val="en-US"/>
    </w:rPr>
  </w:style>
  <w:style w:type="paragraph" w:customStyle="1" w:styleId="Default">
    <w:name w:val="Default"/>
    <w:rsid w:val="000C51B4"/>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1D67F2"/>
    <w:rPr>
      <w:sz w:val="22"/>
      <w:szCs w:val="22"/>
      <w:lang w:val="en-GB" w:eastAsia="en-US"/>
    </w:rPr>
  </w:style>
  <w:style w:type="character" w:styleId="CommentReference">
    <w:name w:val="annotation reference"/>
    <w:uiPriority w:val="99"/>
    <w:semiHidden/>
    <w:unhideWhenUsed/>
    <w:rsid w:val="00073A45"/>
    <w:rPr>
      <w:sz w:val="16"/>
      <w:szCs w:val="16"/>
    </w:rPr>
  </w:style>
  <w:style w:type="paragraph" w:styleId="CommentText">
    <w:name w:val="annotation text"/>
    <w:basedOn w:val="Normal"/>
    <w:link w:val="CommentTextChar"/>
    <w:uiPriority w:val="99"/>
    <w:unhideWhenUsed/>
    <w:rsid w:val="00073A45"/>
    <w:rPr>
      <w:sz w:val="20"/>
      <w:szCs w:val="20"/>
    </w:rPr>
  </w:style>
  <w:style w:type="character" w:customStyle="1" w:styleId="CommentTextChar">
    <w:name w:val="Comment Text Char"/>
    <w:link w:val="CommentText"/>
    <w:uiPriority w:val="99"/>
    <w:rsid w:val="00073A45"/>
    <w:rPr>
      <w:lang w:val="en-GB" w:eastAsia="en-US"/>
    </w:rPr>
  </w:style>
  <w:style w:type="paragraph" w:styleId="CommentSubject">
    <w:name w:val="annotation subject"/>
    <w:basedOn w:val="CommentText"/>
    <w:next w:val="CommentText"/>
    <w:link w:val="CommentSubjectChar"/>
    <w:uiPriority w:val="99"/>
    <w:semiHidden/>
    <w:unhideWhenUsed/>
    <w:rsid w:val="00073A45"/>
    <w:rPr>
      <w:b/>
      <w:bCs/>
    </w:rPr>
  </w:style>
  <w:style w:type="character" w:customStyle="1" w:styleId="CommentSubjectChar">
    <w:name w:val="Comment Subject Char"/>
    <w:link w:val="CommentSubject"/>
    <w:uiPriority w:val="99"/>
    <w:semiHidden/>
    <w:rsid w:val="00073A45"/>
    <w:rPr>
      <w:b/>
      <w:bCs/>
      <w:lang w:val="en-GB" w:eastAsia="en-US"/>
    </w:rPr>
  </w:style>
  <w:style w:type="paragraph" w:styleId="Header">
    <w:name w:val="header"/>
    <w:basedOn w:val="Normal"/>
    <w:link w:val="HeaderChar"/>
    <w:uiPriority w:val="99"/>
    <w:semiHidden/>
    <w:unhideWhenUsed/>
    <w:rsid w:val="002F24B8"/>
    <w:pPr>
      <w:tabs>
        <w:tab w:val="center" w:pos="4513"/>
        <w:tab w:val="right" w:pos="9026"/>
      </w:tabs>
    </w:pPr>
  </w:style>
  <w:style w:type="character" w:customStyle="1" w:styleId="HeaderChar">
    <w:name w:val="Header Char"/>
    <w:link w:val="Header"/>
    <w:uiPriority w:val="99"/>
    <w:semiHidden/>
    <w:rsid w:val="002F24B8"/>
    <w:rPr>
      <w:sz w:val="22"/>
      <w:szCs w:val="22"/>
      <w:lang w:val="en-GB" w:eastAsia="en-US"/>
    </w:rPr>
  </w:style>
  <w:style w:type="paragraph" w:styleId="Footer">
    <w:name w:val="footer"/>
    <w:basedOn w:val="Normal"/>
    <w:link w:val="FooterChar"/>
    <w:uiPriority w:val="99"/>
    <w:semiHidden/>
    <w:unhideWhenUsed/>
    <w:rsid w:val="002F24B8"/>
    <w:pPr>
      <w:tabs>
        <w:tab w:val="center" w:pos="4513"/>
        <w:tab w:val="right" w:pos="9026"/>
      </w:tabs>
    </w:pPr>
  </w:style>
  <w:style w:type="character" w:customStyle="1" w:styleId="FooterChar">
    <w:name w:val="Footer Char"/>
    <w:link w:val="Footer"/>
    <w:uiPriority w:val="99"/>
    <w:semiHidden/>
    <w:rsid w:val="002F24B8"/>
    <w:rPr>
      <w:sz w:val="22"/>
      <w:szCs w:val="22"/>
      <w:lang w:val="en-GB" w:eastAsia="en-US"/>
    </w:rPr>
  </w:style>
  <w:style w:type="paragraph" w:styleId="FootnoteText">
    <w:name w:val="footnote text"/>
    <w:basedOn w:val="Normal"/>
    <w:link w:val="FootnoteTextChar"/>
    <w:uiPriority w:val="99"/>
    <w:semiHidden/>
    <w:unhideWhenUsed/>
    <w:rsid w:val="00F2439C"/>
    <w:rPr>
      <w:sz w:val="20"/>
      <w:szCs w:val="20"/>
    </w:rPr>
  </w:style>
  <w:style w:type="character" w:customStyle="1" w:styleId="FootnoteTextChar">
    <w:name w:val="Footnote Text Char"/>
    <w:link w:val="FootnoteText"/>
    <w:uiPriority w:val="99"/>
    <w:semiHidden/>
    <w:rsid w:val="00F2439C"/>
    <w:rPr>
      <w:lang w:val="en-GB" w:eastAsia="en-US"/>
    </w:rPr>
  </w:style>
  <w:style w:type="character" w:styleId="FootnoteReference">
    <w:name w:val="footnote reference"/>
    <w:uiPriority w:val="99"/>
    <w:semiHidden/>
    <w:unhideWhenUsed/>
    <w:rsid w:val="00F2439C"/>
    <w:rPr>
      <w:vertAlign w:val="superscript"/>
    </w:rPr>
  </w:style>
  <w:style w:type="character" w:styleId="Hyperlink">
    <w:name w:val="Hyperlink"/>
    <w:uiPriority w:val="99"/>
    <w:unhideWhenUsed/>
    <w:rsid w:val="00F2439C"/>
    <w:rPr>
      <w:color w:val="0563C1"/>
      <w:u w:val="single"/>
    </w:rPr>
  </w:style>
  <w:style w:type="character" w:styleId="UnresolvedMention">
    <w:name w:val="Unresolved Mention"/>
    <w:uiPriority w:val="99"/>
    <w:semiHidden/>
    <w:unhideWhenUsed/>
    <w:rsid w:val="00112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738">
      <w:bodyDiv w:val="1"/>
      <w:marLeft w:val="0"/>
      <w:marRight w:val="0"/>
      <w:marTop w:val="0"/>
      <w:marBottom w:val="0"/>
      <w:divBdr>
        <w:top w:val="none" w:sz="0" w:space="0" w:color="auto"/>
        <w:left w:val="none" w:sz="0" w:space="0" w:color="auto"/>
        <w:bottom w:val="none" w:sz="0" w:space="0" w:color="auto"/>
        <w:right w:val="none" w:sz="0" w:space="0" w:color="auto"/>
      </w:divBdr>
    </w:div>
    <w:div w:id="1198011013">
      <w:bodyDiv w:val="1"/>
      <w:marLeft w:val="0"/>
      <w:marRight w:val="0"/>
      <w:marTop w:val="0"/>
      <w:marBottom w:val="0"/>
      <w:divBdr>
        <w:top w:val="none" w:sz="0" w:space="0" w:color="auto"/>
        <w:left w:val="none" w:sz="0" w:space="0" w:color="auto"/>
        <w:bottom w:val="none" w:sz="0" w:space="0" w:color="auto"/>
        <w:right w:val="none" w:sz="0" w:space="0" w:color="auto"/>
      </w:divBdr>
    </w:div>
    <w:div w:id="1879924675">
      <w:bodyDiv w:val="1"/>
      <w:marLeft w:val="0"/>
      <w:marRight w:val="0"/>
      <w:marTop w:val="0"/>
      <w:marBottom w:val="0"/>
      <w:divBdr>
        <w:top w:val="none" w:sz="0" w:space="0" w:color="auto"/>
        <w:left w:val="none" w:sz="0" w:space="0" w:color="auto"/>
        <w:bottom w:val="none" w:sz="0" w:space="0" w:color="auto"/>
        <w:right w:val="none" w:sz="0" w:space="0" w:color="auto"/>
      </w:divBdr>
    </w:div>
    <w:div w:id="19960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5DC0089" TargetMode="External"/><Relationship Id="rId2" Type="http://schemas.openxmlformats.org/officeDocument/2006/relationships/hyperlink" Target="http://data.europa.eu/eli/reg/2024/1252/oj" TargetMode="External"/><Relationship Id="rId1" Type="http://schemas.openxmlformats.org/officeDocument/2006/relationships/hyperlink" Target="https://eur-lex.europa.eu/legal-content/EN/TXT/HTML/?uri=CELEX:52025DC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196DC3F03B3B40AC07EA36E337EF2E" ma:contentTypeVersion="6" ma:contentTypeDescription="Create a new document." ma:contentTypeScope="" ma:versionID="82170ea980b8b9be493561190ca00797">
  <xsd:schema xmlns:xsd="http://www.w3.org/2001/XMLSchema" xmlns:xs="http://www.w3.org/2001/XMLSchema" xmlns:p="http://schemas.microsoft.com/office/2006/metadata/properties" xmlns:ns2="01a0fdfd-ac06-4db1-bb7b-65cdf86bab59" xmlns:ns3="3d773fd8-5df6-4e26-b464-76be9c5c7a6f" targetNamespace="http://schemas.microsoft.com/office/2006/metadata/properties" ma:root="true" ma:fieldsID="f9426d05df98e985b0248ec851b27bb9" ns2:_="" ns3:_="">
    <xsd:import namespace="01a0fdfd-ac06-4db1-bb7b-65cdf86bab59"/>
    <xsd:import namespace="3d773fd8-5df6-4e26-b464-76be9c5c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0fdfd-ac06-4db1-bb7b-65cdf86b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73fd8-5df6-4e26-b464-76be9c5c7a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8ABA5-A8E8-4539-B761-F87C562FA5CF}">
  <ds:schemaRefs>
    <ds:schemaRef ds:uri="http://schemas.microsoft.com/sharepoint/v3/contenttype/forms"/>
  </ds:schemaRefs>
</ds:datastoreItem>
</file>

<file path=customXml/itemProps2.xml><?xml version="1.0" encoding="utf-8"?>
<ds:datastoreItem xmlns:ds="http://schemas.openxmlformats.org/officeDocument/2006/customXml" ds:itemID="{17AE5C12-ECBA-4532-89A2-5D4ED64218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ABC2A-79B2-4A34-9867-4CFAD9A8CFC0}">
  <ds:schemaRefs>
    <ds:schemaRef ds:uri="http://schemas.openxmlformats.org/officeDocument/2006/bibliography"/>
  </ds:schemaRefs>
</ds:datastoreItem>
</file>

<file path=customXml/itemProps4.xml><?xml version="1.0" encoding="utf-8"?>
<ds:datastoreItem xmlns:ds="http://schemas.openxmlformats.org/officeDocument/2006/customXml" ds:itemID="{A21B9896-28F3-4800-9EA1-8CCFBDA5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0fdfd-ac06-4db1-bb7b-65cdf86bab59"/>
    <ds:schemaRef ds:uri="3d773fd8-5df6-4e26-b464-76be9c5c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1177</Words>
  <Characters>6913</Characters>
  <Application>Microsoft Office Word</Application>
  <DocSecurity>0</DocSecurity>
  <Lines>104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dc:description/>
  <cp:lastModifiedBy>ROSSI Simona (SG-EXT)</cp:lastModifiedBy>
  <cp:revision>3</cp:revision>
  <cp:lastPrinted>2013-02-27T18:02:00Z</cp:lastPrinted>
  <dcterms:created xsi:type="dcterms:W3CDTF">2026-03-18T14:48:00Z</dcterms:created>
  <dcterms:modified xsi:type="dcterms:W3CDTF">2026-03-18T14:56:00Z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0x01010079196DC3F03B3B40AC07EA36E337EF2E</vt:lpwstr>
  </property>
</Properties>
</file>