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554137" w:rsidRDefault="00077C4F" w:rsidP="00554137">
      <w:pPr>
        <w:spacing w:after="0" w:line="240" w:lineRule="auto"/>
        <w:ind w:left="-709"/>
        <w:rPr>
          <w:rFonts w:ascii="Times New Roman" w:hAnsi="Times New Roman"/>
          <w:bCs/>
          <w:sz w:val="4"/>
          <w:szCs w:val="4"/>
        </w:rPr>
      </w:pPr>
    </w:p>
    <w:tbl>
      <w:tblPr>
        <w:tblW w:w="1024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243"/>
      </w:tblGrid>
      <w:tr w:rsidR="001C4138" w:rsidRPr="00442552" w14:paraId="7E6372DC" w14:textId="77777777" w:rsidTr="5F006F85">
        <w:trPr>
          <w:jc w:val="center"/>
        </w:trPr>
        <w:tc>
          <w:tcPr>
            <w:tcW w:w="10243" w:type="dxa"/>
          </w:tcPr>
          <w:p w14:paraId="3A4EDC3A" w14:textId="18FD24E3" w:rsidR="001C4138" w:rsidRPr="00742F37" w:rsidRDefault="00800628" w:rsidP="00742F37">
            <w:pPr>
              <w:widowControl w:val="0"/>
              <w:spacing w:before="120" w:after="120"/>
              <w:rPr>
                <w:rFonts w:ascii="Times New Roman" w:hAnsi="Times New Roman"/>
                <w:b/>
                <w:bCs/>
                <w:sz w:val="24"/>
                <w:szCs w:val="24"/>
              </w:rPr>
            </w:pPr>
            <w:r w:rsidRPr="00742F37">
              <w:rPr>
                <w:rFonts w:ascii="Times New Roman" w:hAnsi="Times New Roman"/>
                <w:b/>
                <w:sz w:val="24"/>
                <w:szCs w:val="24"/>
              </w:rPr>
              <w:t xml:space="preserve">Permanent materials </w:t>
            </w:r>
            <w:r w:rsidR="00742F37" w:rsidRPr="00742F37">
              <w:rPr>
                <w:rFonts w:ascii="Times New Roman" w:hAnsi="Times New Roman"/>
                <w:b/>
                <w:sz w:val="24"/>
                <w:szCs w:val="24"/>
              </w:rPr>
              <w:t>–</w:t>
            </w:r>
            <w:r w:rsidRPr="00742F37">
              <w:rPr>
                <w:rFonts w:ascii="Times New Roman" w:hAnsi="Times New Roman"/>
                <w:b/>
                <w:sz w:val="24"/>
                <w:szCs w:val="24"/>
              </w:rPr>
              <w:t xml:space="preserve"> </w:t>
            </w:r>
            <w:r w:rsidRPr="00324B4F">
              <w:rPr>
                <w:rFonts w:ascii="Times New Roman" w:hAnsi="Times New Roman"/>
                <w:b/>
                <w:sz w:val="24"/>
                <w:szCs w:val="24"/>
              </w:rPr>
              <w:t>Facilitating the potential of permanent materials in the EU circular economy</w:t>
            </w:r>
            <w:r w:rsidR="00554137" w:rsidRPr="00742F37">
              <w:rPr>
                <w:rFonts w:ascii="Times New Roman" w:hAnsi="Times New Roman"/>
                <w:b/>
                <w:sz w:val="24"/>
                <w:szCs w:val="24"/>
              </w:rPr>
              <w:br/>
            </w:r>
            <w:r w:rsidR="00554137" w:rsidRPr="00324B4F">
              <w:rPr>
                <w:rFonts w:ascii="Times New Roman" w:hAnsi="Times New Roman"/>
                <w:b/>
                <w:sz w:val="24"/>
                <w:szCs w:val="24"/>
              </w:rPr>
              <w:t>(own</w:t>
            </w:r>
            <w:r w:rsidR="001A7120">
              <w:rPr>
                <w:rFonts w:ascii="Times New Roman" w:hAnsi="Times New Roman"/>
                <w:b/>
                <w:sz w:val="24"/>
                <w:szCs w:val="24"/>
              </w:rPr>
              <w:t>-</w:t>
            </w:r>
            <w:r w:rsidR="00554137" w:rsidRPr="00324B4F">
              <w:rPr>
                <w:rFonts w:ascii="Times New Roman" w:hAnsi="Times New Roman"/>
                <w:b/>
                <w:sz w:val="24"/>
                <w:szCs w:val="24"/>
              </w:rPr>
              <w:t>initiative opinion</w:t>
            </w:r>
            <w:r w:rsidR="00554137" w:rsidRPr="00742F37">
              <w:rPr>
                <w:rFonts w:ascii="Times New Roman" w:hAnsi="Times New Roman"/>
                <w:b/>
                <w:sz w:val="24"/>
                <w:szCs w:val="24"/>
              </w:rPr>
              <w:t>)</w:t>
            </w:r>
            <w:r w:rsidR="00742F37">
              <w:rPr>
                <w:rFonts w:ascii="Times New Roman" w:hAnsi="Times New Roman"/>
                <w:b/>
                <w:sz w:val="24"/>
                <w:szCs w:val="24"/>
              </w:rPr>
              <w:br/>
            </w:r>
            <w:r w:rsidR="001C4138" w:rsidRPr="00324B4F">
              <w:rPr>
                <w:rFonts w:ascii="Times New Roman" w:hAnsi="Times New Roman"/>
                <w:b/>
                <w:sz w:val="24"/>
                <w:szCs w:val="24"/>
              </w:rPr>
              <w:t>EESC-202</w:t>
            </w:r>
            <w:r w:rsidR="00554137" w:rsidRPr="00324B4F">
              <w:rPr>
                <w:rFonts w:ascii="Times New Roman" w:hAnsi="Times New Roman"/>
                <w:b/>
                <w:sz w:val="24"/>
                <w:szCs w:val="24"/>
              </w:rPr>
              <w:t>5</w:t>
            </w:r>
            <w:r w:rsidR="00742F37" w:rsidRPr="00324B4F">
              <w:rPr>
                <w:rFonts w:ascii="Times New Roman" w:hAnsi="Times New Roman"/>
                <w:b/>
                <w:sz w:val="24"/>
                <w:szCs w:val="24"/>
              </w:rPr>
              <w:t>-02364</w:t>
            </w:r>
            <w:r w:rsidRPr="00324B4F">
              <w:rPr>
                <w:rFonts w:ascii="Times New Roman" w:hAnsi="Times New Roman"/>
                <w:b/>
                <w:sz w:val="24"/>
                <w:szCs w:val="24"/>
              </w:rPr>
              <w:t xml:space="preserve"> </w:t>
            </w:r>
            <w:r w:rsidR="00742F37" w:rsidRPr="00742F37">
              <w:rPr>
                <w:rFonts w:ascii="Times New Roman" w:hAnsi="Times New Roman"/>
                <w:b/>
                <w:sz w:val="24"/>
                <w:szCs w:val="24"/>
              </w:rPr>
              <w:t>–</w:t>
            </w:r>
            <w:r w:rsidRPr="00324B4F">
              <w:rPr>
                <w:rFonts w:ascii="Times New Roman" w:hAnsi="Times New Roman"/>
                <w:b/>
                <w:sz w:val="24"/>
                <w:szCs w:val="24"/>
              </w:rPr>
              <w:t>C</w:t>
            </w:r>
            <w:r w:rsidR="003F6612">
              <w:rPr>
                <w:rFonts w:ascii="Times New Roman" w:hAnsi="Times New Roman"/>
                <w:b/>
                <w:sz w:val="24"/>
                <w:szCs w:val="24"/>
              </w:rPr>
              <w:t>C</w:t>
            </w:r>
            <w:r w:rsidRPr="00324B4F">
              <w:rPr>
                <w:rFonts w:ascii="Times New Roman" w:hAnsi="Times New Roman"/>
                <w:b/>
                <w:sz w:val="24"/>
                <w:szCs w:val="24"/>
              </w:rPr>
              <w:t>MI/246</w:t>
            </w:r>
            <w:r w:rsidR="00742F37" w:rsidRPr="00324B4F">
              <w:rPr>
                <w:rFonts w:ascii="Times New Roman" w:hAnsi="Times New Roman"/>
                <w:b/>
                <w:sz w:val="24"/>
                <w:szCs w:val="24"/>
              </w:rPr>
              <w:br/>
            </w:r>
            <w:r w:rsidRPr="00742F37">
              <w:rPr>
                <w:rFonts w:ascii="Times New Roman" w:hAnsi="Times New Roman"/>
                <w:b/>
                <w:sz w:val="24"/>
                <w:szCs w:val="24"/>
              </w:rPr>
              <w:t>601</w:t>
            </w:r>
            <w:r w:rsidR="00983066" w:rsidRPr="00E64F42">
              <w:rPr>
                <w:rFonts w:ascii="Times New Roman" w:hAnsi="Times New Roman"/>
                <w:b/>
                <w:sz w:val="24"/>
                <w:szCs w:val="24"/>
                <w:vertAlign w:val="superscript"/>
              </w:rPr>
              <w:t>st</w:t>
            </w:r>
            <w:r w:rsidR="001C4138" w:rsidRPr="00324B4F">
              <w:rPr>
                <w:rFonts w:ascii="Times New Roman" w:hAnsi="Times New Roman"/>
                <w:b/>
                <w:sz w:val="24"/>
                <w:szCs w:val="24"/>
              </w:rPr>
              <w:t xml:space="preserve"> </w:t>
            </w:r>
            <w:r w:rsidR="001C4138" w:rsidRPr="00742F37">
              <w:rPr>
                <w:rFonts w:ascii="Times New Roman" w:hAnsi="Times New Roman"/>
                <w:b/>
                <w:sz w:val="24"/>
                <w:szCs w:val="24"/>
              </w:rPr>
              <w:t xml:space="preserve">Plenary Session – </w:t>
            </w:r>
            <w:r w:rsidR="00742F37">
              <w:rPr>
                <w:rFonts w:ascii="Times New Roman" w:hAnsi="Times New Roman"/>
                <w:b/>
                <w:sz w:val="24"/>
                <w:szCs w:val="24"/>
              </w:rPr>
              <w:t>Dec</w:t>
            </w:r>
            <w:r w:rsidRPr="00742F37">
              <w:rPr>
                <w:rFonts w:ascii="Times New Roman" w:hAnsi="Times New Roman"/>
                <w:b/>
                <w:sz w:val="24"/>
                <w:szCs w:val="24"/>
              </w:rPr>
              <w:t>ember 2025</w:t>
            </w:r>
            <w:r w:rsidR="001C4138" w:rsidRPr="00742F37">
              <w:rPr>
                <w:rFonts w:ascii="Times New Roman" w:hAnsi="Times New Roman"/>
                <w:b/>
                <w:sz w:val="24"/>
                <w:szCs w:val="24"/>
              </w:rPr>
              <w:br/>
              <w:t xml:space="preserve">Rapporteur: </w:t>
            </w:r>
            <w:r w:rsidRPr="00324B4F">
              <w:rPr>
                <w:rFonts w:ascii="Times New Roman" w:hAnsi="Times New Roman"/>
                <w:b/>
                <w:sz w:val="24"/>
                <w:szCs w:val="24"/>
              </w:rPr>
              <w:t>Andrea MONE (IT</w:t>
            </w:r>
            <w:r w:rsidR="00742F37">
              <w:rPr>
                <w:rFonts w:ascii="Times New Roman" w:hAnsi="Times New Roman"/>
                <w:b/>
                <w:sz w:val="24"/>
                <w:szCs w:val="24"/>
              </w:rPr>
              <w:t>-</w:t>
            </w:r>
            <w:r w:rsidRPr="00324B4F">
              <w:rPr>
                <w:rFonts w:ascii="Times New Roman" w:hAnsi="Times New Roman"/>
                <w:b/>
                <w:sz w:val="24"/>
                <w:szCs w:val="24"/>
              </w:rPr>
              <w:t>II)</w:t>
            </w:r>
            <w:r w:rsidR="00742F37">
              <w:rPr>
                <w:rFonts w:ascii="Times New Roman" w:hAnsi="Times New Roman"/>
                <w:b/>
                <w:sz w:val="24"/>
                <w:szCs w:val="24"/>
              </w:rPr>
              <w:br/>
            </w:r>
            <w:r w:rsidR="00742F37" w:rsidRPr="00324B4F">
              <w:rPr>
                <w:rFonts w:ascii="Times New Roman" w:hAnsi="Times New Roman"/>
                <w:b/>
                <w:sz w:val="24"/>
                <w:szCs w:val="24"/>
              </w:rPr>
              <w:t>Co-rapporteur: Michal PINTÉR (SK</w:t>
            </w:r>
            <w:r w:rsidR="00742F37">
              <w:rPr>
                <w:rFonts w:ascii="Times New Roman" w:hAnsi="Times New Roman"/>
                <w:b/>
                <w:sz w:val="24"/>
                <w:szCs w:val="24"/>
              </w:rPr>
              <w:t>-</w:t>
            </w:r>
            <w:r w:rsidR="00983066">
              <w:rPr>
                <w:rFonts w:ascii="Times New Roman" w:hAnsi="Times New Roman"/>
                <w:b/>
                <w:sz w:val="24"/>
                <w:szCs w:val="24"/>
              </w:rPr>
              <w:t>I</w:t>
            </w:r>
            <w:r w:rsidR="00742F37" w:rsidRPr="00324B4F">
              <w:rPr>
                <w:rFonts w:ascii="Times New Roman" w:hAnsi="Times New Roman"/>
                <w:b/>
                <w:sz w:val="24"/>
                <w:szCs w:val="24"/>
              </w:rPr>
              <w:t>)</w:t>
            </w:r>
            <w:r w:rsidR="00742F37">
              <w:rPr>
                <w:rFonts w:ascii="Times New Roman" w:hAnsi="Times New Roman"/>
                <w:b/>
                <w:sz w:val="24"/>
                <w:szCs w:val="24"/>
              </w:rPr>
              <w:br/>
            </w:r>
            <w:r w:rsidR="001C4138" w:rsidRPr="00742F37">
              <w:rPr>
                <w:rFonts w:ascii="Times New Roman" w:hAnsi="Times New Roman"/>
                <w:b/>
                <w:sz w:val="24"/>
                <w:szCs w:val="24"/>
              </w:rPr>
              <w:t>DG</w:t>
            </w:r>
            <w:r w:rsidRPr="00742F37">
              <w:rPr>
                <w:rFonts w:ascii="Times New Roman" w:hAnsi="Times New Roman"/>
                <w:b/>
                <w:sz w:val="24"/>
                <w:szCs w:val="24"/>
              </w:rPr>
              <w:t xml:space="preserve"> ENV</w:t>
            </w:r>
            <w:r w:rsidR="001C4138" w:rsidRPr="00742F37">
              <w:rPr>
                <w:rFonts w:ascii="Times New Roman" w:hAnsi="Times New Roman"/>
                <w:b/>
                <w:sz w:val="24"/>
                <w:szCs w:val="24"/>
              </w:rPr>
              <w:t xml:space="preserve"> – Commissioner</w:t>
            </w:r>
            <w:r w:rsidRPr="00742F37">
              <w:rPr>
                <w:rFonts w:ascii="Times New Roman" w:hAnsi="Times New Roman"/>
                <w:b/>
                <w:sz w:val="24"/>
                <w:szCs w:val="24"/>
              </w:rPr>
              <w:t xml:space="preserve"> </w:t>
            </w:r>
            <w:r w:rsidR="00742F37" w:rsidRPr="00742F37">
              <w:rPr>
                <w:rFonts w:ascii="Times New Roman" w:hAnsi="Times New Roman"/>
                <w:b/>
                <w:sz w:val="24"/>
                <w:szCs w:val="24"/>
              </w:rPr>
              <w:t>ROSWALL</w:t>
            </w:r>
          </w:p>
        </w:tc>
      </w:tr>
      <w:tr w:rsidR="00734613" w:rsidRPr="00442552" w14:paraId="1937071F" w14:textId="77777777" w:rsidTr="5F006F85">
        <w:trPr>
          <w:jc w:val="center"/>
        </w:trPr>
        <w:tc>
          <w:tcPr>
            <w:tcW w:w="10243" w:type="dxa"/>
          </w:tcPr>
          <w:p w14:paraId="1E50B4DB" w14:textId="627D9577" w:rsidR="00734613" w:rsidRPr="00742F37" w:rsidRDefault="004F6117" w:rsidP="00742F37">
            <w:pPr>
              <w:widowControl w:val="0"/>
              <w:spacing w:before="120" w:after="120"/>
              <w:jc w:val="center"/>
              <w:rPr>
                <w:rFonts w:ascii="Times New Roman" w:hAnsi="Times New Roman"/>
                <w:b/>
                <w:sz w:val="24"/>
                <w:szCs w:val="24"/>
              </w:rPr>
            </w:pPr>
            <w:r w:rsidRPr="00742F37">
              <w:rPr>
                <w:rFonts w:ascii="Times New Roman" w:hAnsi="Times New Roman"/>
                <w:b/>
                <w:sz w:val="24"/>
                <w:szCs w:val="24"/>
              </w:rPr>
              <w:t>European Commission position on points</w:t>
            </w:r>
            <w:r w:rsidRPr="00742F37">
              <w:rPr>
                <w:rFonts w:ascii="Times New Roman" w:hAnsi="Times New Roman"/>
                <w:b/>
                <w:sz w:val="24"/>
                <w:szCs w:val="24"/>
              </w:rPr>
              <w:br/>
              <w:t xml:space="preserve">of the European Economic and Social Committee </w:t>
            </w:r>
            <w:r w:rsidR="00554137" w:rsidRPr="00742F37">
              <w:rPr>
                <w:rFonts w:ascii="Times New Roman" w:hAnsi="Times New Roman"/>
                <w:b/>
                <w:sz w:val="24"/>
                <w:szCs w:val="24"/>
              </w:rPr>
              <w:t xml:space="preserve">(EESC) </w:t>
            </w:r>
            <w:r w:rsidRPr="00742F37">
              <w:rPr>
                <w:rFonts w:ascii="Times New Roman" w:hAnsi="Times New Roman"/>
                <w:b/>
                <w:sz w:val="24"/>
                <w:szCs w:val="24"/>
              </w:rPr>
              <w:t>opinion</w:t>
            </w:r>
            <w:r w:rsidR="00E83C12" w:rsidRPr="00742F37">
              <w:rPr>
                <w:rFonts w:ascii="Times New Roman" w:hAnsi="Times New Roman"/>
                <w:b/>
                <w:sz w:val="24"/>
                <w:szCs w:val="24"/>
              </w:rPr>
              <w:t xml:space="preserve"> considered as essential</w:t>
            </w:r>
          </w:p>
        </w:tc>
      </w:tr>
      <w:tr w:rsidR="00E20CBA" w:rsidRPr="00DF1577" w14:paraId="746797E4" w14:textId="77777777" w:rsidTr="5F006F85">
        <w:trPr>
          <w:jc w:val="center"/>
        </w:trPr>
        <w:tc>
          <w:tcPr>
            <w:tcW w:w="10243" w:type="dxa"/>
          </w:tcPr>
          <w:p w14:paraId="719D22AD" w14:textId="68571300" w:rsidR="00E20CBA" w:rsidRPr="00742F37" w:rsidRDefault="00E20CBA" w:rsidP="00742F37">
            <w:pPr>
              <w:widowControl w:val="0"/>
              <w:spacing w:before="120" w:after="120"/>
              <w:jc w:val="both"/>
              <w:rPr>
                <w:rFonts w:ascii="Times New Roman" w:hAnsi="Times New Roman"/>
                <w:bCs/>
                <w:sz w:val="24"/>
                <w:szCs w:val="24"/>
              </w:rPr>
            </w:pPr>
            <w:r w:rsidRPr="00742F37">
              <w:rPr>
                <w:rFonts w:ascii="Times New Roman" w:hAnsi="Times New Roman"/>
                <w:bCs/>
                <w:sz w:val="24"/>
                <w:szCs w:val="24"/>
              </w:rPr>
              <w:t>The Commission appreciates the recommendations put forth by the Committee concerning the recognition of permanent materials within the EU’s waste and resources framework.</w:t>
            </w:r>
          </w:p>
          <w:p w14:paraId="34482D20" w14:textId="77777777" w:rsidR="00E20CBA" w:rsidRPr="00742F37" w:rsidRDefault="00E20CBA" w:rsidP="00742F37">
            <w:pPr>
              <w:widowControl w:val="0"/>
              <w:spacing w:before="120" w:after="120"/>
              <w:jc w:val="both"/>
              <w:rPr>
                <w:rFonts w:ascii="Times New Roman" w:hAnsi="Times New Roman"/>
                <w:bCs/>
                <w:sz w:val="24"/>
                <w:szCs w:val="24"/>
              </w:rPr>
            </w:pPr>
            <w:r w:rsidRPr="00742F37">
              <w:rPr>
                <w:rFonts w:ascii="Times New Roman" w:hAnsi="Times New Roman"/>
                <w:bCs/>
                <w:sz w:val="24"/>
                <w:szCs w:val="24"/>
              </w:rPr>
              <w:t>The Commission, while recognising the qualities and benefits associated with high recyclability and quality materials, maintains a material-neutral position, prioritising the overall environmental impact. It is important to note that the concept of 'permanent materials' is not currently established within EU legislation or policy.</w:t>
            </w:r>
          </w:p>
          <w:p w14:paraId="4FF7FC37" w14:textId="6F80CB7A" w:rsidR="00E20CBA" w:rsidRPr="00742F37" w:rsidRDefault="00E20CBA" w:rsidP="00742F37">
            <w:pPr>
              <w:widowControl w:val="0"/>
              <w:spacing w:before="120" w:after="120"/>
              <w:jc w:val="both"/>
              <w:rPr>
                <w:rFonts w:ascii="Times New Roman" w:hAnsi="Times New Roman"/>
                <w:bCs/>
                <w:sz w:val="24"/>
                <w:szCs w:val="24"/>
              </w:rPr>
            </w:pPr>
            <w:r w:rsidRPr="00742F37">
              <w:rPr>
                <w:rFonts w:ascii="Times New Roman" w:hAnsi="Times New Roman"/>
                <w:bCs/>
                <w:sz w:val="24"/>
                <w:szCs w:val="24"/>
              </w:rPr>
              <w:t>The Commission emphasises the necessity for policies to consider materials’ applications and processes, rather than focusing solely on material types. Efficient recycling of materials comparable to permanent materials can be economically advantageous and additionally contribute to circular economy goals. Nevertheless, according to the waste hierarchy, reusing products should be preferred by consumers and industry to recycling, as it enables more sustainable use of resources. Reuse consumes less energy and raw materials. This reduces environmental impact and saves costs. In addition, the</w:t>
            </w:r>
            <w:r w:rsidR="00D4545A">
              <w:rPr>
                <w:rFonts w:ascii="Times New Roman" w:hAnsi="Times New Roman"/>
                <w:bCs/>
                <w:sz w:val="24"/>
                <w:szCs w:val="24"/>
              </w:rPr>
              <w:t> </w:t>
            </w:r>
            <w:r w:rsidRPr="00742F37">
              <w:rPr>
                <w:rFonts w:ascii="Times New Roman" w:hAnsi="Times New Roman"/>
                <w:bCs/>
                <w:sz w:val="24"/>
                <w:szCs w:val="24"/>
              </w:rPr>
              <w:t>original value of the product is retained.</w:t>
            </w:r>
          </w:p>
          <w:p w14:paraId="77F1CA96" w14:textId="2EC26D28" w:rsidR="00E20CBA" w:rsidRPr="00742F37" w:rsidRDefault="00E20CBA" w:rsidP="00742F37">
            <w:pPr>
              <w:widowControl w:val="0"/>
              <w:spacing w:before="120" w:after="120"/>
              <w:jc w:val="both"/>
              <w:rPr>
                <w:rFonts w:ascii="Times New Roman" w:hAnsi="Times New Roman"/>
                <w:bCs/>
                <w:sz w:val="24"/>
                <w:szCs w:val="24"/>
              </w:rPr>
            </w:pPr>
            <w:r w:rsidRPr="00742F37">
              <w:rPr>
                <w:rFonts w:ascii="Times New Roman" w:hAnsi="Times New Roman"/>
                <w:bCs/>
                <w:sz w:val="24"/>
                <w:szCs w:val="24"/>
              </w:rPr>
              <w:t>The Commission does not currently have the mandate to introduce new material definitions into the</w:t>
            </w:r>
            <w:r w:rsidR="00254D46">
              <w:rPr>
                <w:rFonts w:ascii="Times New Roman" w:hAnsi="Times New Roman"/>
                <w:bCs/>
                <w:sz w:val="24"/>
                <w:szCs w:val="24"/>
              </w:rPr>
              <w:t> </w:t>
            </w:r>
            <w:r w:rsidRPr="00742F37">
              <w:rPr>
                <w:rFonts w:ascii="Times New Roman" w:hAnsi="Times New Roman"/>
                <w:bCs/>
                <w:sz w:val="24"/>
                <w:szCs w:val="24"/>
              </w:rPr>
              <w:t>Packaging and Packaging Waste Regulation (PPWR)</w:t>
            </w:r>
            <w:r w:rsidRPr="00742F37">
              <w:rPr>
                <w:rStyle w:val="FootnoteReference"/>
                <w:rFonts w:ascii="Times New Roman" w:hAnsi="Times New Roman"/>
                <w:bCs/>
                <w:sz w:val="24"/>
                <w:szCs w:val="24"/>
              </w:rPr>
              <w:footnoteReference w:id="1"/>
            </w:r>
            <w:r w:rsidRPr="00742F37">
              <w:rPr>
                <w:rFonts w:ascii="Times New Roman" w:hAnsi="Times New Roman"/>
                <w:bCs/>
                <w:sz w:val="24"/>
                <w:szCs w:val="24"/>
              </w:rPr>
              <w:t>.</w:t>
            </w:r>
          </w:p>
          <w:p w14:paraId="11F5C5EB" w14:textId="015DD458" w:rsidR="00E20CBA" w:rsidRPr="00742F37" w:rsidRDefault="00E20CBA" w:rsidP="00742F37">
            <w:pPr>
              <w:widowControl w:val="0"/>
              <w:spacing w:before="120" w:after="120"/>
              <w:jc w:val="both"/>
              <w:rPr>
                <w:rFonts w:ascii="Times New Roman" w:hAnsi="Times New Roman"/>
                <w:bCs/>
                <w:sz w:val="24"/>
                <w:szCs w:val="24"/>
              </w:rPr>
            </w:pPr>
            <w:r w:rsidRPr="00742F37">
              <w:rPr>
                <w:rFonts w:ascii="Times New Roman" w:hAnsi="Times New Roman"/>
                <w:bCs/>
                <w:sz w:val="24"/>
                <w:szCs w:val="24"/>
              </w:rPr>
              <w:t>The Commission agrees with the proposal to strengthen and harmonize Extended Producer Responsibility</w:t>
            </w:r>
            <w:r w:rsidR="00742F37">
              <w:rPr>
                <w:rFonts w:ascii="Times New Roman" w:hAnsi="Times New Roman"/>
                <w:bCs/>
                <w:sz w:val="24"/>
                <w:szCs w:val="24"/>
              </w:rPr>
              <w:t> </w:t>
            </w:r>
            <w:r w:rsidRPr="00742F37">
              <w:rPr>
                <w:rFonts w:ascii="Times New Roman" w:hAnsi="Times New Roman"/>
                <w:bCs/>
                <w:sz w:val="24"/>
                <w:szCs w:val="24"/>
              </w:rPr>
              <w:t>(EPR) which is addressed in the PPWR. The PPWR harmonises the criteria for eco-modulation of EPR-fees. The eco-modulation will be based on the recyclability performance grades set in Article</w:t>
            </w:r>
            <w:r w:rsidR="00742F37">
              <w:rPr>
                <w:rFonts w:ascii="Times New Roman" w:hAnsi="Times New Roman"/>
                <w:bCs/>
                <w:sz w:val="24"/>
                <w:szCs w:val="24"/>
              </w:rPr>
              <w:t> </w:t>
            </w:r>
            <w:r w:rsidRPr="00742F37">
              <w:rPr>
                <w:rFonts w:ascii="Times New Roman" w:hAnsi="Times New Roman"/>
                <w:bCs/>
                <w:sz w:val="24"/>
                <w:szCs w:val="24"/>
              </w:rPr>
              <w:t>6. Member States are allowed to use additional criteria, such as reusability and recycled content, when they apply the framework for eco-modulation in their national EPR schemes. This harmonised framework is necessary to prevent regulatory uncertainty for economic operators, particularly those that supply packaging in several Member States, while incentivising more sustainable packaging design.</w:t>
            </w:r>
          </w:p>
          <w:p w14:paraId="1CB691BA" w14:textId="07A7E5A6" w:rsidR="00E20CBA" w:rsidRPr="00742F37" w:rsidRDefault="00E20CBA" w:rsidP="00742F37">
            <w:pPr>
              <w:widowControl w:val="0"/>
              <w:spacing w:before="120" w:after="120"/>
              <w:jc w:val="both"/>
              <w:rPr>
                <w:rFonts w:ascii="Times New Roman" w:hAnsi="Times New Roman"/>
                <w:bCs/>
                <w:sz w:val="24"/>
                <w:szCs w:val="24"/>
              </w:rPr>
            </w:pPr>
            <w:r w:rsidRPr="00742F37">
              <w:rPr>
                <w:rFonts w:ascii="Times New Roman" w:hAnsi="Times New Roman"/>
                <w:bCs/>
                <w:sz w:val="24"/>
                <w:szCs w:val="24"/>
              </w:rPr>
              <w:t xml:space="preserve">Additionally, the Commission emphasizes the importance of eco-design within the PPWR, which mandates that packaging must be conceived with consideration of its entire lifecycle, from production to end-of-life. This means that all packaging must be designed for recyclability, prohibiting </w:t>
            </w:r>
            <w:r w:rsidRPr="00742F37">
              <w:rPr>
                <w:rFonts w:ascii="Times New Roman" w:hAnsi="Times New Roman"/>
                <w:bCs/>
                <w:sz w:val="24"/>
                <w:szCs w:val="24"/>
              </w:rPr>
              <w:lastRenderedPageBreak/>
              <w:t>the</w:t>
            </w:r>
            <w:r w:rsidR="00254D46">
              <w:rPr>
                <w:rFonts w:ascii="Times New Roman" w:hAnsi="Times New Roman"/>
                <w:bCs/>
                <w:sz w:val="24"/>
                <w:szCs w:val="24"/>
              </w:rPr>
              <w:t> </w:t>
            </w:r>
            <w:r w:rsidRPr="00742F37">
              <w:rPr>
                <w:rFonts w:ascii="Times New Roman" w:hAnsi="Times New Roman"/>
                <w:bCs/>
                <w:sz w:val="24"/>
                <w:szCs w:val="24"/>
              </w:rPr>
              <w:t>incineration or landfilling of materials that can be recycled. Furthermore, the PPWR calls upon all stakeholders, including Member States, to enhance their systems for the collection, sorting, and recycling of packaging waste. These efforts aim to significantly reduce waste and conserve natural resources, facilitating a shift towards a more sustainable and circular economy.</w:t>
            </w:r>
          </w:p>
          <w:p w14:paraId="23015FBE" w14:textId="45ECDE10" w:rsidR="00E20CBA" w:rsidRPr="00742F37" w:rsidRDefault="00E20CBA" w:rsidP="00742F37">
            <w:pPr>
              <w:widowControl w:val="0"/>
              <w:spacing w:before="120" w:after="120"/>
              <w:jc w:val="both"/>
              <w:rPr>
                <w:rFonts w:ascii="Times New Roman" w:hAnsi="Times New Roman"/>
                <w:bCs/>
                <w:sz w:val="24"/>
                <w:szCs w:val="24"/>
              </w:rPr>
            </w:pPr>
            <w:r w:rsidRPr="00742F37">
              <w:rPr>
                <w:rFonts w:ascii="Times New Roman" w:hAnsi="Times New Roman"/>
                <w:bCs/>
                <w:sz w:val="24"/>
                <w:szCs w:val="24"/>
              </w:rPr>
              <w:t xml:space="preserve">The Commission supports waste collection, sorting, and recycling in structurally weak regions through Cohesion Policy funding, including </w:t>
            </w:r>
            <w:r w:rsidR="00C67419">
              <w:rPr>
                <w:rFonts w:ascii="Times New Roman" w:hAnsi="Times New Roman"/>
                <w:bCs/>
                <w:sz w:val="24"/>
                <w:szCs w:val="24"/>
              </w:rPr>
              <w:t>EUR </w:t>
            </w:r>
            <w:r w:rsidRPr="00742F37">
              <w:rPr>
                <w:rFonts w:ascii="Times New Roman" w:hAnsi="Times New Roman"/>
                <w:bCs/>
                <w:sz w:val="24"/>
                <w:szCs w:val="24"/>
              </w:rPr>
              <w:t>4.3</w:t>
            </w:r>
            <w:r w:rsidR="00C67419">
              <w:rPr>
                <w:rFonts w:ascii="Times New Roman" w:hAnsi="Times New Roman"/>
                <w:bCs/>
                <w:sz w:val="24"/>
                <w:szCs w:val="24"/>
              </w:rPr>
              <w:t> </w:t>
            </w:r>
            <w:r w:rsidRPr="00742F37">
              <w:rPr>
                <w:rFonts w:ascii="Times New Roman" w:hAnsi="Times New Roman"/>
                <w:bCs/>
                <w:sz w:val="24"/>
                <w:szCs w:val="24"/>
              </w:rPr>
              <w:t>billion from the European Regional Development Fund</w:t>
            </w:r>
            <w:r w:rsidR="00C67419">
              <w:rPr>
                <w:rFonts w:ascii="Times New Roman" w:hAnsi="Times New Roman"/>
                <w:bCs/>
                <w:sz w:val="24"/>
                <w:szCs w:val="24"/>
              </w:rPr>
              <w:t> </w:t>
            </w:r>
            <w:r w:rsidRPr="00742F37">
              <w:rPr>
                <w:rFonts w:ascii="Times New Roman" w:hAnsi="Times New Roman"/>
                <w:bCs/>
                <w:sz w:val="24"/>
                <w:szCs w:val="24"/>
              </w:rPr>
              <w:t>(ERDF) for waste prevention, reuse, and recycling infrastructure in less developed areas, adding 4.5</w:t>
            </w:r>
            <w:r w:rsidR="00C67419">
              <w:rPr>
                <w:rFonts w:ascii="Times New Roman" w:hAnsi="Times New Roman"/>
                <w:bCs/>
                <w:sz w:val="24"/>
                <w:szCs w:val="24"/>
              </w:rPr>
              <w:t> </w:t>
            </w:r>
            <w:r w:rsidRPr="00742F37">
              <w:rPr>
                <w:rFonts w:ascii="Times New Roman" w:hAnsi="Times New Roman"/>
                <w:bCs/>
                <w:sz w:val="24"/>
                <w:szCs w:val="24"/>
              </w:rPr>
              <w:t>million tonnes/year of recycling capacity</w:t>
            </w:r>
            <w:r w:rsidRPr="00742F37">
              <w:rPr>
                <w:rStyle w:val="FootnoteReference"/>
                <w:rFonts w:ascii="Times New Roman" w:hAnsi="Times New Roman"/>
                <w:bCs/>
                <w:sz w:val="24"/>
                <w:szCs w:val="24"/>
              </w:rPr>
              <w:footnoteReference w:id="2"/>
            </w:r>
            <w:r w:rsidRPr="00742F37">
              <w:rPr>
                <w:rFonts w:ascii="Times New Roman" w:hAnsi="Times New Roman"/>
                <w:bCs/>
                <w:sz w:val="24"/>
                <w:szCs w:val="24"/>
              </w:rPr>
              <w:t>.</w:t>
            </w:r>
          </w:p>
          <w:p w14:paraId="06C2C755" w14:textId="1E852A03" w:rsidR="00E20CBA" w:rsidRPr="00742F37" w:rsidRDefault="00E20CBA" w:rsidP="00742F37">
            <w:pPr>
              <w:widowControl w:val="0"/>
              <w:spacing w:before="120" w:after="120"/>
              <w:jc w:val="both"/>
              <w:rPr>
                <w:rFonts w:ascii="Times New Roman" w:hAnsi="Times New Roman"/>
                <w:bCs/>
                <w:sz w:val="24"/>
                <w:szCs w:val="24"/>
              </w:rPr>
            </w:pPr>
            <w:r w:rsidRPr="00742F37">
              <w:rPr>
                <w:rFonts w:ascii="Times New Roman" w:hAnsi="Times New Roman"/>
                <w:bCs/>
                <w:sz w:val="24"/>
                <w:szCs w:val="24"/>
              </w:rPr>
              <w:t>The PPWR also mandates the Commission to come up with a harmonized EU waste sorting labelling system, which aims to improve consumer`s waste sorting and thus increasing</w:t>
            </w:r>
            <w:r w:rsidR="006355AA">
              <w:rPr>
                <w:rFonts w:ascii="Times New Roman" w:hAnsi="Times New Roman"/>
                <w:bCs/>
                <w:sz w:val="24"/>
                <w:szCs w:val="24"/>
              </w:rPr>
              <w:t xml:space="preserve"> the</w:t>
            </w:r>
            <w:r w:rsidRPr="00742F37">
              <w:rPr>
                <w:rFonts w:ascii="Times New Roman" w:hAnsi="Times New Roman"/>
                <w:bCs/>
                <w:sz w:val="24"/>
                <w:szCs w:val="24"/>
              </w:rPr>
              <w:t xml:space="preserve"> efficiency of waste management. These harmonized waste sorting labels will guide consumers in correctly sorting packaging waste, thereby enhancing recycling rates and minimizing environmental impacts. Mandating uniform labels across Member States helps alleviate consumer confusion, thereby improving sorting accuracy and reducing market fragmentation.</w:t>
            </w:r>
          </w:p>
          <w:p w14:paraId="7965AA0B" w14:textId="57C2AD42" w:rsidR="00E20CBA" w:rsidRPr="00742F37" w:rsidRDefault="00E20CBA" w:rsidP="00742F37">
            <w:pPr>
              <w:widowControl w:val="0"/>
              <w:spacing w:before="120" w:after="120"/>
              <w:jc w:val="both"/>
              <w:rPr>
                <w:rFonts w:ascii="Times New Roman" w:hAnsi="Times New Roman"/>
                <w:bCs/>
                <w:sz w:val="24"/>
                <w:szCs w:val="24"/>
              </w:rPr>
            </w:pPr>
            <w:r w:rsidRPr="00742F37">
              <w:rPr>
                <w:rFonts w:ascii="Times New Roman" w:hAnsi="Times New Roman"/>
                <w:bCs/>
                <w:sz w:val="24"/>
                <w:szCs w:val="24"/>
              </w:rPr>
              <w:t>Moreover, the Commission already imposed anti-dumping measures on imports into the EU of certain hot-rolled flat products of iron, non-alloy or other-alloy steel originating in Egypt, Japan and Vietnam to further protect the EU steel industry against economic challenges. The anti-dumping duties imposed range from 11.7% for Egypt, 6.9%-30% for Japan, and 12.1% for Vietnam</w:t>
            </w:r>
            <w:r w:rsidRPr="00742F37">
              <w:rPr>
                <w:rStyle w:val="FootnoteReference"/>
                <w:rFonts w:ascii="Times New Roman" w:hAnsi="Times New Roman"/>
                <w:bCs/>
                <w:sz w:val="24"/>
                <w:szCs w:val="24"/>
              </w:rPr>
              <w:footnoteReference w:id="3"/>
            </w:r>
            <w:r w:rsidRPr="00742F37">
              <w:rPr>
                <w:rFonts w:ascii="Times New Roman" w:hAnsi="Times New Roman"/>
                <w:bCs/>
                <w:sz w:val="24"/>
                <w:szCs w:val="24"/>
              </w:rPr>
              <w:t>.</w:t>
            </w:r>
          </w:p>
          <w:p w14:paraId="4C39619B" w14:textId="2B0FF7F0" w:rsidR="00E20CBA" w:rsidRPr="00742F37" w:rsidRDefault="00E20CBA" w:rsidP="00742F37">
            <w:pPr>
              <w:widowControl w:val="0"/>
              <w:spacing w:before="120" w:after="120"/>
              <w:jc w:val="both"/>
              <w:rPr>
                <w:rFonts w:ascii="Times New Roman" w:hAnsi="Times New Roman"/>
                <w:bCs/>
                <w:sz w:val="24"/>
                <w:szCs w:val="24"/>
              </w:rPr>
            </w:pPr>
            <w:r w:rsidRPr="00742F37">
              <w:rPr>
                <w:rFonts w:ascii="Times New Roman" w:hAnsi="Times New Roman"/>
                <w:bCs/>
                <w:sz w:val="24"/>
                <w:szCs w:val="24"/>
              </w:rPr>
              <w:t>The Commission will reflect on the opportunity of the possible inclusion of permanent materials in the</w:t>
            </w:r>
            <w:r w:rsidR="00D4545A">
              <w:rPr>
                <w:rFonts w:ascii="Times New Roman" w:hAnsi="Times New Roman"/>
                <w:bCs/>
                <w:sz w:val="24"/>
                <w:szCs w:val="24"/>
              </w:rPr>
              <w:t> </w:t>
            </w:r>
            <w:r w:rsidRPr="00742F37">
              <w:rPr>
                <w:rFonts w:ascii="Times New Roman" w:hAnsi="Times New Roman"/>
                <w:bCs/>
                <w:sz w:val="24"/>
                <w:szCs w:val="24"/>
              </w:rPr>
              <w:t>context of future evaluations of the Waste Framework Directive</w:t>
            </w:r>
            <w:r w:rsidRPr="00742F37">
              <w:rPr>
                <w:rStyle w:val="FootnoteReference"/>
                <w:rFonts w:ascii="Times New Roman" w:hAnsi="Times New Roman"/>
                <w:bCs/>
                <w:sz w:val="24"/>
                <w:szCs w:val="24"/>
              </w:rPr>
              <w:footnoteReference w:id="4"/>
            </w:r>
            <w:r w:rsidRPr="00742F37">
              <w:rPr>
                <w:rFonts w:ascii="Times New Roman" w:hAnsi="Times New Roman"/>
                <w:bCs/>
                <w:sz w:val="24"/>
                <w:szCs w:val="24"/>
              </w:rPr>
              <w:t xml:space="preserve"> and of further considerations on circular economy policy and legislation, including in the framework of the Circular Economy Act</w:t>
            </w:r>
            <w:r w:rsidRPr="00742F37">
              <w:rPr>
                <w:rStyle w:val="FootnoteReference"/>
                <w:rFonts w:ascii="Times New Roman" w:hAnsi="Times New Roman"/>
                <w:bCs/>
                <w:sz w:val="24"/>
                <w:szCs w:val="24"/>
              </w:rPr>
              <w:footnoteReference w:id="5"/>
            </w:r>
            <w:r w:rsidRPr="00742F37">
              <w:rPr>
                <w:rFonts w:ascii="Times New Roman" w:hAnsi="Times New Roman"/>
                <w:bCs/>
                <w:sz w:val="24"/>
                <w:szCs w:val="24"/>
              </w:rPr>
              <w:t>.</w:t>
            </w:r>
          </w:p>
          <w:p w14:paraId="0FEF8FAD" w14:textId="1EA769C9" w:rsidR="00E20CBA" w:rsidRPr="00742F37" w:rsidRDefault="00E20CBA" w:rsidP="00742F37">
            <w:pPr>
              <w:widowControl w:val="0"/>
              <w:spacing w:before="120" w:after="120"/>
              <w:jc w:val="both"/>
              <w:rPr>
                <w:rFonts w:ascii="Times New Roman" w:hAnsi="Times New Roman"/>
                <w:b/>
                <w:sz w:val="24"/>
                <w:szCs w:val="24"/>
              </w:rPr>
            </w:pPr>
            <w:r w:rsidRPr="00742F37">
              <w:rPr>
                <w:rFonts w:ascii="Times New Roman" w:hAnsi="Times New Roman"/>
                <w:bCs/>
                <w:sz w:val="24"/>
                <w:szCs w:val="24"/>
              </w:rPr>
              <w:t>While the Commission cannot immediately implement the specific changes proposed by the EESC, it continues to explore comprehensive strategies to reinforce the circular economy through collaborative efforts across various domains. Continued dialogues and reviews with stakeholders, including the</w:t>
            </w:r>
            <w:r w:rsidR="00D4545A">
              <w:rPr>
                <w:rFonts w:ascii="Times New Roman" w:hAnsi="Times New Roman"/>
                <w:bCs/>
                <w:sz w:val="24"/>
                <w:szCs w:val="24"/>
              </w:rPr>
              <w:t> </w:t>
            </w:r>
            <w:r w:rsidRPr="00742F37">
              <w:rPr>
                <w:rFonts w:ascii="Times New Roman" w:hAnsi="Times New Roman"/>
                <w:bCs/>
                <w:sz w:val="24"/>
                <w:szCs w:val="24"/>
              </w:rPr>
              <w:t>EESC, will help shape robust frameworks that collectively advance environmental sustainability and economic resilience.</w:t>
            </w:r>
            <w:r w:rsidR="006355AA">
              <w:rPr>
                <w:rFonts w:ascii="Times New Roman" w:hAnsi="Times New Roman"/>
                <w:bCs/>
                <w:sz w:val="24"/>
                <w:szCs w:val="24"/>
              </w:rPr>
              <w:t xml:space="preserve"> In that regard, the Commission looks forward to the Committee’s exploratory opinion on the Circular Economy Act. </w:t>
            </w:r>
          </w:p>
        </w:tc>
      </w:tr>
    </w:tbl>
    <w:p w14:paraId="41D86A3C" w14:textId="77777777" w:rsidR="00554137" w:rsidRPr="00742F37" w:rsidRDefault="00554137" w:rsidP="00742F37">
      <w:pPr>
        <w:spacing w:after="120"/>
        <w:ind w:left="-709"/>
        <w:rPr>
          <w:rFonts w:ascii="Times New Roman" w:hAnsi="Times New Roman"/>
          <w:bCs/>
          <w:sz w:val="10"/>
          <w:szCs w:val="10"/>
        </w:rPr>
      </w:pPr>
    </w:p>
    <w:sectPr w:rsidR="00554137" w:rsidRPr="00742F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02E5D" w14:textId="77777777" w:rsidR="00B306E7" w:rsidRDefault="00B306E7" w:rsidP="00FF63EA">
      <w:pPr>
        <w:spacing w:after="0" w:line="240" w:lineRule="auto"/>
      </w:pPr>
      <w:r>
        <w:separator/>
      </w:r>
    </w:p>
  </w:endnote>
  <w:endnote w:type="continuationSeparator" w:id="0">
    <w:p w14:paraId="5056161C" w14:textId="77777777" w:rsidR="00B306E7" w:rsidRDefault="00B306E7"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1E192" w14:textId="77777777" w:rsidR="00B306E7" w:rsidRDefault="00B306E7" w:rsidP="00FF63EA">
      <w:pPr>
        <w:spacing w:after="0" w:line="240" w:lineRule="auto"/>
      </w:pPr>
      <w:r>
        <w:separator/>
      </w:r>
    </w:p>
  </w:footnote>
  <w:footnote w:type="continuationSeparator" w:id="0">
    <w:p w14:paraId="2DCBACCE" w14:textId="77777777" w:rsidR="00B306E7" w:rsidRDefault="00B306E7" w:rsidP="00FF63EA">
      <w:pPr>
        <w:spacing w:after="0" w:line="240" w:lineRule="auto"/>
      </w:pPr>
      <w:r>
        <w:continuationSeparator/>
      </w:r>
    </w:p>
  </w:footnote>
  <w:footnote w:id="1">
    <w:p w14:paraId="65B07D68" w14:textId="54911624" w:rsidR="00E20CBA" w:rsidRPr="00C67419" w:rsidRDefault="00E20CBA" w:rsidP="00324B4F">
      <w:pPr>
        <w:pStyle w:val="FootnoteText"/>
        <w:spacing w:after="0" w:line="240" w:lineRule="auto"/>
        <w:ind w:left="-141" w:right="-425" w:hanging="284"/>
        <w:jc w:val="both"/>
        <w:rPr>
          <w:rFonts w:ascii="Times New Roman" w:hAnsi="Times New Roman"/>
        </w:rPr>
      </w:pPr>
      <w:r w:rsidRPr="00C67419">
        <w:rPr>
          <w:rStyle w:val="FootnoteReference"/>
          <w:rFonts w:ascii="Times New Roman" w:hAnsi="Times New Roman"/>
        </w:rPr>
        <w:footnoteRef/>
      </w:r>
      <w:r w:rsidRPr="00C67419">
        <w:rPr>
          <w:rFonts w:ascii="Times New Roman" w:hAnsi="Times New Roman"/>
        </w:rPr>
        <w:t xml:space="preserve"> </w:t>
      </w:r>
      <w:r w:rsidR="00742F37" w:rsidRPr="00C67419">
        <w:rPr>
          <w:rFonts w:ascii="Times New Roman" w:hAnsi="Times New Roman"/>
        </w:rPr>
        <w:tab/>
      </w:r>
      <w:r w:rsidRPr="00C67419">
        <w:rPr>
          <w:rFonts w:ascii="Times New Roman" w:hAnsi="Times New Roman"/>
        </w:rPr>
        <w:t>Regulation (EU) 2025/40 of the European Parliament and of the Council of 19 December 2024 on packaging and packaging waste</w:t>
      </w:r>
      <w:r w:rsidR="00D4545A" w:rsidRPr="00D4545A">
        <w:rPr>
          <w:rFonts w:ascii="Times New Roman" w:hAnsi="Times New Roman"/>
        </w:rPr>
        <w:t xml:space="preserve">, </w:t>
      </w:r>
      <w:r w:rsidR="00D4545A" w:rsidRPr="00324B4F">
        <w:rPr>
          <w:rFonts w:ascii="Times New Roman" w:hAnsi="Times New Roman"/>
        </w:rPr>
        <w:t>amending Regulation (EU) 2019/1020 and Directive (EU) 2019/904, and repealing Directive 94/62/EC</w:t>
      </w:r>
      <w:r w:rsidRPr="00C67419">
        <w:rPr>
          <w:rFonts w:ascii="Times New Roman" w:hAnsi="Times New Roman"/>
        </w:rPr>
        <w:t xml:space="preserve"> (</w:t>
      </w:r>
      <w:hyperlink r:id="rId1" w:history="1">
        <w:r w:rsidRPr="00C67419">
          <w:rPr>
            <w:rStyle w:val="Hyperlink"/>
            <w:rFonts w:ascii="Times New Roman" w:hAnsi="Times New Roman"/>
          </w:rPr>
          <w:t>Regulation - EU - 2025/40 - EN - EUR-Lex</w:t>
        </w:r>
      </w:hyperlink>
      <w:r w:rsidRPr="00C67419">
        <w:rPr>
          <w:rFonts w:ascii="Times New Roman" w:hAnsi="Times New Roman"/>
        </w:rPr>
        <w:t>)</w:t>
      </w:r>
      <w:r w:rsidR="00D4545A">
        <w:rPr>
          <w:rFonts w:ascii="Times New Roman" w:hAnsi="Times New Roman"/>
        </w:rPr>
        <w:t>.</w:t>
      </w:r>
    </w:p>
  </w:footnote>
  <w:footnote w:id="2">
    <w:p w14:paraId="3EC7F4A5" w14:textId="7212A199" w:rsidR="00E20CBA" w:rsidRPr="00C67419" w:rsidRDefault="00E20CBA" w:rsidP="00324B4F">
      <w:pPr>
        <w:pStyle w:val="FootnoteText"/>
        <w:spacing w:after="0" w:line="240" w:lineRule="auto"/>
        <w:ind w:left="-141" w:right="-425" w:hanging="284"/>
        <w:jc w:val="both"/>
        <w:rPr>
          <w:rFonts w:ascii="Times New Roman" w:hAnsi="Times New Roman"/>
        </w:rPr>
      </w:pPr>
      <w:r w:rsidRPr="00C67419">
        <w:rPr>
          <w:rStyle w:val="FootnoteReference"/>
          <w:rFonts w:ascii="Times New Roman" w:hAnsi="Times New Roman"/>
        </w:rPr>
        <w:footnoteRef/>
      </w:r>
      <w:r w:rsidRPr="00C67419">
        <w:rPr>
          <w:rFonts w:ascii="Times New Roman" w:hAnsi="Times New Roman"/>
        </w:rPr>
        <w:t xml:space="preserve"> </w:t>
      </w:r>
      <w:r w:rsidR="00C67419" w:rsidRPr="00C67419">
        <w:rPr>
          <w:rFonts w:ascii="Times New Roman" w:hAnsi="Times New Roman"/>
        </w:rPr>
        <w:tab/>
      </w:r>
      <w:hyperlink r:id="rId2" w:history="1">
        <w:r w:rsidRPr="00C67419">
          <w:rPr>
            <w:rStyle w:val="Hyperlink"/>
            <w:rFonts w:ascii="Times New Roman" w:hAnsi="Times New Roman"/>
          </w:rPr>
          <w:t>Inforegio - Cohesion policy support for the circular economy</w:t>
        </w:r>
      </w:hyperlink>
      <w:r w:rsidR="00C67419" w:rsidRPr="00324B4F">
        <w:rPr>
          <w:rFonts w:ascii="Times New Roman" w:hAnsi="Times New Roman"/>
        </w:rPr>
        <w:t>.</w:t>
      </w:r>
    </w:p>
  </w:footnote>
  <w:footnote w:id="3">
    <w:p w14:paraId="18012D12" w14:textId="4CE10F6A" w:rsidR="00E20CBA" w:rsidRPr="00324B4F" w:rsidRDefault="00E20CBA" w:rsidP="00324B4F">
      <w:pPr>
        <w:pStyle w:val="FootnoteText"/>
        <w:spacing w:after="0" w:line="240" w:lineRule="auto"/>
        <w:ind w:left="-141" w:right="-425" w:hanging="284"/>
        <w:jc w:val="both"/>
        <w:rPr>
          <w:rFonts w:ascii="Times New Roman" w:hAnsi="Times New Roman"/>
        </w:rPr>
      </w:pPr>
      <w:r w:rsidRPr="00C67419">
        <w:rPr>
          <w:rStyle w:val="FootnoteReference"/>
          <w:rFonts w:ascii="Times New Roman" w:hAnsi="Times New Roman"/>
        </w:rPr>
        <w:footnoteRef/>
      </w:r>
      <w:r w:rsidRPr="00C67419">
        <w:rPr>
          <w:rFonts w:ascii="Times New Roman" w:hAnsi="Times New Roman"/>
        </w:rPr>
        <w:t xml:space="preserve"> </w:t>
      </w:r>
      <w:r w:rsidR="00C67419" w:rsidRPr="00C67419">
        <w:rPr>
          <w:rFonts w:ascii="Times New Roman" w:hAnsi="Times New Roman"/>
        </w:rPr>
        <w:tab/>
      </w:r>
      <w:hyperlink r:id="rId3" w:history="1">
        <w:r w:rsidRPr="00C67419">
          <w:rPr>
            <w:rFonts w:ascii="Times New Roman" w:hAnsi="Times New Roman"/>
            <w:color w:val="0000FF"/>
            <w:u w:val="single"/>
          </w:rPr>
          <w:t>Commission acts against unfairly traded imports of flat hot-rolled steel products - Trade and Economic Security</w:t>
        </w:r>
      </w:hyperlink>
      <w:r w:rsidR="00C67419" w:rsidRPr="00324B4F">
        <w:rPr>
          <w:rFonts w:ascii="Times New Roman" w:hAnsi="Times New Roman"/>
        </w:rPr>
        <w:t>.</w:t>
      </w:r>
    </w:p>
  </w:footnote>
  <w:footnote w:id="4">
    <w:p w14:paraId="002AB7D3" w14:textId="39E2512C" w:rsidR="00E20CBA" w:rsidRPr="00C67419" w:rsidRDefault="00E20CBA" w:rsidP="00324B4F">
      <w:pPr>
        <w:pStyle w:val="FootnoteText"/>
        <w:spacing w:after="0" w:line="240" w:lineRule="auto"/>
        <w:ind w:left="-141" w:right="-425" w:hanging="284"/>
        <w:jc w:val="both"/>
        <w:rPr>
          <w:rFonts w:ascii="Times New Roman" w:hAnsi="Times New Roman"/>
        </w:rPr>
      </w:pPr>
      <w:r w:rsidRPr="00C67419">
        <w:rPr>
          <w:rStyle w:val="FootnoteReference"/>
          <w:rFonts w:ascii="Times New Roman" w:hAnsi="Times New Roman"/>
        </w:rPr>
        <w:footnoteRef/>
      </w:r>
      <w:r w:rsidRPr="00C67419">
        <w:rPr>
          <w:rFonts w:ascii="Times New Roman" w:hAnsi="Times New Roman"/>
        </w:rPr>
        <w:t xml:space="preserve"> </w:t>
      </w:r>
      <w:r w:rsidR="00C67419" w:rsidRPr="00C67419">
        <w:rPr>
          <w:rFonts w:ascii="Times New Roman" w:hAnsi="Times New Roman"/>
        </w:rPr>
        <w:tab/>
      </w:r>
      <w:r w:rsidRPr="00C67419">
        <w:rPr>
          <w:rFonts w:ascii="Times New Roman" w:hAnsi="Times New Roman"/>
        </w:rPr>
        <w:t xml:space="preserve">Directive 2008/98/EC of the European Parliament and of the Council of 19 November 2008 on waste and repealing certain </w:t>
      </w:r>
      <w:r w:rsidR="00D4545A" w:rsidRPr="00324B4F">
        <w:rPr>
          <w:rFonts w:ascii="Times New Roman" w:hAnsi="Times New Roman"/>
        </w:rPr>
        <w:t>Directives</w:t>
      </w:r>
      <w:r w:rsidR="00D4545A" w:rsidRPr="00D4545A">
        <w:rPr>
          <w:rFonts w:ascii="Times New Roman" w:hAnsi="Times New Roman"/>
        </w:rPr>
        <w:t xml:space="preserve"> </w:t>
      </w:r>
      <w:r w:rsidRPr="00C67419">
        <w:rPr>
          <w:rFonts w:ascii="Times New Roman" w:hAnsi="Times New Roman"/>
        </w:rPr>
        <w:t>(</w:t>
      </w:r>
      <w:hyperlink r:id="rId4" w:history="1">
        <w:r w:rsidRPr="00C67419">
          <w:rPr>
            <w:rStyle w:val="Hyperlink"/>
            <w:rFonts w:ascii="Times New Roman" w:hAnsi="Times New Roman"/>
          </w:rPr>
          <w:t>Directive - 2008/98 - EN - Waste framework directive - EUR-Lex</w:t>
        </w:r>
      </w:hyperlink>
      <w:r w:rsidRPr="00C67419">
        <w:rPr>
          <w:rFonts w:ascii="Times New Roman" w:hAnsi="Times New Roman"/>
        </w:rPr>
        <w:t>)</w:t>
      </w:r>
      <w:r w:rsidR="00C67419" w:rsidRPr="00C67419">
        <w:rPr>
          <w:rFonts w:ascii="Times New Roman" w:hAnsi="Times New Roman"/>
        </w:rPr>
        <w:t>.</w:t>
      </w:r>
    </w:p>
  </w:footnote>
  <w:footnote w:id="5">
    <w:p w14:paraId="01DADA8B" w14:textId="5A48A156" w:rsidR="00E20CBA" w:rsidRPr="00324B4F" w:rsidRDefault="00E20CBA" w:rsidP="00324B4F">
      <w:pPr>
        <w:pStyle w:val="FootnoteText"/>
        <w:spacing w:after="0" w:line="240" w:lineRule="auto"/>
        <w:ind w:left="-141" w:right="-425" w:hanging="284"/>
        <w:jc w:val="both"/>
        <w:rPr>
          <w:rFonts w:ascii="Times New Roman" w:hAnsi="Times New Roman"/>
        </w:rPr>
      </w:pPr>
      <w:r w:rsidRPr="00C67419">
        <w:rPr>
          <w:rStyle w:val="FootnoteReference"/>
          <w:rFonts w:ascii="Times New Roman" w:hAnsi="Times New Roman"/>
        </w:rPr>
        <w:footnoteRef/>
      </w:r>
      <w:r w:rsidRPr="00C67419">
        <w:rPr>
          <w:rFonts w:ascii="Times New Roman" w:hAnsi="Times New Roman"/>
        </w:rPr>
        <w:t xml:space="preserve"> </w:t>
      </w:r>
      <w:r w:rsidR="00C67419" w:rsidRPr="00C67419">
        <w:rPr>
          <w:rFonts w:ascii="Times New Roman" w:hAnsi="Times New Roman"/>
        </w:rPr>
        <w:tab/>
      </w:r>
      <w:r w:rsidR="00D4545A">
        <w:rPr>
          <w:rFonts w:ascii="Times New Roman" w:hAnsi="Times New Roman"/>
        </w:rPr>
        <w:t>:</w:t>
      </w:r>
      <w:r w:rsidRPr="00C67419">
        <w:rPr>
          <w:rFonts w:ascii="Times New Roman" w:hAnsi="Times New Roman"/>
        </w:rPr>
        <w:t>The Clean Industrial Deal: A joint roadmap for competitiveness and decarbonisation</w:t>
      </w:r>
      <w:r w:rsidR="00D4545A">
        <w:rPr>
          <w:rFonts w:ascii="Times New Roman" w:hAnsi="Times New Roman"/>
        </w:rPr>
        <w:t xml:space="preserve">; </w:t>
      </w:r>
      <w:r w:rsidR="00D4545A" w:rsidRPr="00D4545A">
        <w:rPr>
          <w:rFonts w:ascii="Times New Roman" w:hAnsi="Times New Roman"/>
        </w:rPr>
        <w:t>COM</w:t>
      </w:r>
      <w:r w:rsidR="00D4545A">
        <w:rPr>
          <w:rFonts w:ascii="Times New Roman" w:hAnsi="Times New Roman"/>
        </w:rPr>
        <w:t>(</w:t>
      </w:r>
      <w:r w:rsidR="00D4545A" w:rsidRPr="00D4545A">
        <w:rPr>
          <w:rFonts w:ascii="Times New Roman" w:hAnsi="Times New Roman"/>
        </w:rPr>
        <w:t>2025</w:t>
      </w:r>
      <w:r w:rsidR="00D4545A">
        <w:rPr>
          <w:rFonts w:ascii="Times New Roman" w:hAnsi="Times New Roman"/>
        </w:rPr>
        <w:t xml:space="preserve">) </w:t>
      </w:r>
      <w:r w:rsidR="00D4545A" w:rsidRPr="00D4545A">
        <w:rPr>
          <w:rFonts w:ascii="Times New Roman" w:hAnsi="Times New Roman"/>
        </w:rPr>
        <w:t>85 final</w:t>
      </w:r>
      <w:r w:rsidRPr="00C67419">
        <w:rPr>
          <w:rFonts w:ascii="Times New Roman" w:hAnsi="Times New Roman"/>
        </w:rPr>
        <w:t xml:space="preserve"> (</w:t>
      </w:r>
      <w:hyperlink r:id="rId5" w:history="1">
        <w:r w:rsidRPr="00C67419">
          <w:rPr>
            <w:rStyle w:val="Hyperlink"/>
            <w:rFonts w:ascii="Times New Roman" w:hAnsi="Times New Roman"/>
          </w:rPr>
          <w:t>EUR-Lex - 52025DC0085 - EN - EUR-Lex</w:t>
        </w:r>
      </w:hyperlink>
      <w:r w:rsidRPr="00C67419">
        <w:rPr>
          <w:rFonts w:ascii="Times New Roman" w:hAnsi="Times New Roman"/>
        </w:rPr>
        <w:t>)</w:t>
      </w:r>
      <w:r w:rsidR="00C67419" w:rsidRPr="00C67419">
        <w:rPr>
          <w:rFonts w:ascii="Times New Roman" w:hAnsi="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077C4F"/>
    <w:rsid w:val="00012A37"/>
    <w:rsid w:val="000365D7"/>
    <w:rsid w:val="00046B15"/>
    <w:rsid w:val="00050DC7"/>
    <w:rsid w:val="000522A1"/>
    <w:rsid w:val="0007291C"/>
    <w:rsid w:val="00076109"/>
    <w:rsid w:val="00077C4F"/>
    <w:rsid w:val="000A59B8"/>
    <w:rsid w:val="000C6E91"/>
    <w:rsid w:val="000E491A"/>
    <w:rsid w:val="000F0274"/>
    <w:rsid w:val="000F5FD8"/>
    <w:rsid w:val="001038CF"/>
    <w:rsid w:val="001167C0"/>
    <w:rsid w:val="00135C2A"/>
    <w:rsid w:val="001409AF"/>
    <w:rsid w:val="0014222A"/>
    <w:rsid w:val="001860FF"/>
    <w:rsid w:val="00191746"/>
    <w:rsid w:val="001A7120"/>
    <w:rsid w:val="001B0E0B"/>
    <w:rsid w:val="001C4138"/>
    <w:rsid w:val="001C7B41"/>
    <w:rsid w:val="001E5AA6"/>
    <w:rsid w:val="001F2CC6"/>
    <w:rsid w:val="001F2EC6"/>
    <w:rsid w:val="001F65D0"/>
    <w:rsid w:val="00217E59"/>
    <w:rsid w:val="00246722"/>
    <w:rsid w:val="00254D46"/>
    <w:rsid w:val="002558C5"/>
    <w:rsid w:val="002F03FA"/>
    <w:rsid w:val="003004D2"/>
    <w:rsid w:val="00321CBB"/>
    <w:rsid w:val="003220E7"/>
    <w:rsid w:val="00324B4F"/>
    <w:rsid w:val="003349A3"/>
    <w:rsid w:val="0033622C"/>
    <w:rsid w:val="003406B4"/>
    <w:rsid w:val="00342510"/>
    <w:rsid w:val="00346231"/>
    <w:rsid w:val="00377967"/>
    <w:rsid w:val="00386143"/>
    <w:rsid w:val="00386EB5"/>
    <w:rsid w:val="003B2997"/>
    <w:rsid w:val="003B58DC"/>
    <w:rsid w:val="003F1646"/>
    <w:rsid w:val="003F6612"/>
    <w:rsid w:val="003F686E"/>
    <w:rsid w:val="00427C55"/>
    <w:rsid w:val="00442552"/>
    <w:rsid w:val="00445FAE"/>
    <w:rsid w:val="00455A1C"/>
    <w:rsid w:val="00455B03"/>
    <w:rsid w:val="00462678"/>
    <w:rsid w:val="004675B5"/>
    <w:rsid w:val="004770D6"/>
    <w:rsid w:val="0049246C"/>
    <w:rsid w:val="00494488"/>
    <w:rsid w:val="004A7932"/>
    <w:rsid w:val="004B420B"/>
    <w:rsid w:val="004C7604"/>
    <w:rsid w:val="004F6117"/>
    <w:rsid w:val="004F63F1"/>
    <w:rsid w:val="004F651E"/>
    <w:rsid w:val="005012A2"/>
    <w:rsid w:val="00517567"/>
    <w:rsid w:val="0052596B"/>
    <w:rsid w:val="00530A8C"/>
    <w:rsid w:val="00535B6D"/>
    <w:rsid w:val="00554137"/>
    <w:rsid w:val="00554D8D"/>
    <w:rsid w:val="00564366"/>
    <w:rsid w:val="00573835"/>
    <w:rsid w:val="00581092"/>
    <w:rsid w:val="00581306"/>
    <w:rsid w:val="0058717A"/>
    <w:rsid w:val="005A46A4"/>
    <w:rsid w:val="005C3105"/>
    <w:rsid w:val="005C363F"/>
    <w:rsid w:val="006355AA"/>
    <w:rsid w:val="0066441E"/>
    <w:rsid w:val="00682281"/>
    <w:rsid w:val="00692C2F"/>
    <w:rsid w:val="00695797"/>
    <w:rsid w:val="00696A5E"/>
    <w:rsid w:val="006B3B69"/>
    <w:rsid w:val="006C6677"/>
    <w:rsid w:val="006D1550"/>
    <w:rsid w:val="00712C3C"/>
    <w:rsid w:val="00734613"/>
    <w:rsid w:val="00742F37"/>
    <w:rsid w:val="00751910"/>
    <w:rsid w:val="00751E60"/>
    <w:rsid w:val="007547B5"/>
    <w:rsid w:val="00761ACB"/>
    <w:rsid w:val="00767982"/>
    <w:rsid w:val="0077016D"/>
    <w:rsid w:val="007833FF"/>
    <w:rsid w:val="00795A9E"/>
    <w:rsid w:val="007A606D"/>
    <w:rsid w:val="007C2214"/>
    <w:rsid w:val="00800628"/>
    <w:rsid w:val="00807B48"/>
    <w:rsid w:val="008135CA"/>
    <w:rsid w:val="008150DB"/>
    <w:rsid w:val="0081584F"/>
    <w:rsid w:val="008523CC"/>
    <w:rsid w:val="008703BF"/>
    <w:rsid w:val="008750B3"/>
    <w:rsid w:val="008831C2"/>
    <w:rsid w:val="008925CE"/>
    <w:rsid w:val="008970D5"/>
    <w:rsid w:val="008B1EFE"/>
    <w:rsid w:val="008C4D41"/>
    <w:rsid w:val="008D099C"/>
    <w:rsid w:val="009175C1"/>
    <w:rsid w:val="00920A51"/>
    <w:rsid w:val="009237D6"/>
    <w:rsid w:val="00955B71"/>
    <w:rsid w:val="00981F45"/>
    <w:rsid w:val="00983066"/>
    <w:rsid w:val="00994D12"/>
    <w:rsid w:val="009A3524"/>
    <w:rsid w:val="009A6309"/>
    <w:rsid w:val="009B128B"/>
    <w:rsid w:val="009E5177"/>
    <w:rsid w:val="009F2F77"/>
    <w:rsid w:val="00A16F07"/>
    <w:rsid w:val="00A62C7B"/>
    <w:rsid w:val="00A63118"/>
    <w:rsid w:val="00A7709A"/>
    <w:rsid w:val="00AA0D0B"/>
    <w:rsid w:val="00AC42E8"/>
    <w:rsid w:val="00AE1842"/>
    <w:rsid w:val="00AE3C7C"/>
    <w:rsid w:val="00B04380"/>
    <w:rsid w:val="00B05DA3"/>
    <w:rsid w:val="00B306E7"/>
    <w:rsid w:val="00B31306"/>
    <w:rsid w:val="00B3136E"/>
    <w:rsid w:val="00B42814"/>
    <w:rsid w:val="00B512C1"/>
    <w:rsid w:val="00B66660"/>
    <w:rsid w:val="00B83936"/>
    <w:rsid w:val="00BB1BFA"/>
    <w:rsid w:val="00BD6BB4"/>
    <w:rsid w:val="00BD6EB7"/>
    <w:rsid w:val="00C37BDD"/>
    <w:rsid w:val="00C5093D"/>
    <w:rsid w:val="00C54D27"/>
    <w:rsid w:val="00C67419"/>
    <w:rsid w:val="00C76EEB"/>
    <w:rsid w:val="00C82EE5"/>
    <w:rsid w:val="00CA089A"/>
    <w:rsid w:val="00CC7389"/>
    <w:rsid w:val="00CD1107"/>
    <w:rsid w:val="00D01F5A"/>
    <w:rsid w:val="00D1323B"/>
    <w:rsid w:val="00D13F56"/>
    <w:rsid w:val="00D1716E"/>
    <w:rsid w:val="00D4545A"/>
    <w:rsid w:val="00D64E05"/>
    <w:rsid w:val="00D676A8"/>
    <w:rsid w:val="00D92FD3"/>
    <w:rsid w:val="00D95D2F"/>
    <w:rsid w:val="00DA3B6E"/>
    <w:rsid w:val="00DB7581"/>
    <w:rsid w:val="00DC0E8A"/>
    <w:rsid w:val="00DC70C1"/>
    <w:rsid w:val="00DD3F3F"/>
    <w:rsid w:val="00DF1577"/>
    <w:rsid w:val="00DF6680"/>
    <w:rsid w:val="00E0448E"/>
    <w:rsid w:val="00E20CBA"/>
    <w:rsid w:val="00E33BAF"/>
    <w:rsid w:val="00E50786"/>
    <w:rsid w:val="00E64F42"/>
    <w:rsid w:val="00E755D8"/>
    <w:rsid w:val="00E77740"/>
    <w:rsid w:val="00E83C12"/>
    <w:rsid w:val="00E904C8"/>
    <w:rsid w:val="00E93BF9"/>
    <w:rsid w:val="00E93F44"/>
    <w:rsid w:val="00EA1BBF"/>
    <w:rsid w:val="00EB29A9"/>
    <w:rsid w:val="00EB77D2"/>
    <w:rsid w:val="00F3030C"/>
    <w:rsid w:val="00F316C8"/>
    <w:rsid w:val="00F46605"/>
    <w:rsid w:val="00F57BB7"/>
    <w:rsid w:val="00F632DE"/>
    <w:rsid w:val="00F735E4"/>
    <w:rsid w:val="00F85C4C"/>
    <w:rsid w:val="00F90570"/>
    <w:rsid w:val="00FB7834"/>
    <w:rsid w:val="00FD4B6A"/>
    <w:rsid w:val="00FE11AF"/>
    <w:rsid w:val="00FF03A8"/>
    <w:rsid w:val="00FF0C06"/>
    <w:rsid w:val="00FF0DCA"/>
    <w:rsid w:val="00FF63EA"/>
    <w:rsid w:val="5F006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C1CB0CB4-027F-48A1-873C-9C052E8E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D099C"/>
    <w:rPr>
      <w:sz w:val="20"/>
      <w:szCs w:val="20"/>
    </w:rPr>
  </w:style>
  <w:style w:type="character" w:customStyle="1" w:styleId="FootnoteTextChar">
    <w:name w:val="Footnote Text Char"/>
    <w:link w:val="FootnoteText"/>
    <w:uiPriority w:val="99"/>
    <w:semiHidden/>
    <w:rsid w:val="008D099C"/>
    <w:rPr>
      <w:lang w:eastAsia="en-US"/>
    </w:rPr>
  </w:style>
  <w:style w:type="character" w:styleId="FootnoteReference">
    <w:name w:val="footnote reference"/>
    <w:uiPriority w:val="99"/>
    <w:semiHidden/>
    <w:unhideWhenUsed/>
    <w:rsid w:val="008D099C"/>
    <w:rPr>
      <w:vertAlign w:val="superscript"/>
    </w:rPr>
  </w:style>
  <w:style w:type="character" w:styleId="Hyperlink">
    <w:name w:val="Hyperlink"/>
    <w:uiPriority w:val="99"/>
    <w:unhideWhenUsed/>
    <w:rsid w:val="008D099C"/>
    <w:rPr>
      <w:color w:val="0000FF"/>
      <w:u w:val="single"/>
    </w:rPr>
  </w:style>
  <w:style w:type="character" w:styleId="UnresolvedMention">
    <w:name w:val="Unresolved Mention"/>
    <w:uiPriority w:val="99"/>
    <w:semiHidden/>
    <w:unhideWhenUsed/>
    <w:rsid w:val="00D13F56"/>
    <w:rPr>
      <w:color w:val="605E5C"/>
      <w:shd w:val="clear" w:color="auto" w:fill="E1DFDD"/>
    </w:rPr>
  </w:style>
  <w:style w:type="character" w:styleId="CommentReference">
    <w:name w:val="annotation reference"/>
    <w:uiPriority w:val="99"/>
    <w:semiHidden/>
    <w:unhideWhenUsed/>
    <w:rsid w:val="00564366"/>
    <w:rPr>
      <w:sz w:val="16"/>
      <w:szCs w:val="16"/>
    </w:rPr>
  </w:style>
  <w:style w:type="paragraph" w:styleId="CommentText">
    <w:name w:val="annotation text"/>
    <w:basedOn w:val="Normal"/>
    <w:link w:val="CommentTextChar"/>
    <w:uiPriority w:val="99"/>
    <w:unhideWhenUsed/>
    <w:rsid w:val="00564366"/>
    <w:rPr>
      <w:sz w:val="20"/>
      <w:szCs w:val="20"/>
    </w:rPr>
  </w:style>
  <w:style w:type="character" w:customStyle="1" w:styleId="CommentTextChar">
    <w:name w:val="Comment Text Char"/>
    <w:link w:val="CommentText"/>
    <w:uiPriority w:val="99"/>
    <w:rsid w:val="00564366"/>
    <w:rPr>
      <w:lang w:eastAsia="en-US"/>
    </w:rPr>
  </w:style>
  <w:style w:type="paragraph" w:styleId="CommentSubject">
    <w:name w:val="annotation subject"/>
    <w:basedOn w:val="CommentText"/>
    <w:next w:val="CommentText"/>
    <w:link w:val="CommentSubjectChar"/>
    <w:uiPriority w:val="99"/>
    <w:semiHidden/>
    <w:unhideWhenUsed/>
    <w:rsid w:val="00564366"/>
    <w:rPr>
      <w:b/>
      <w:bCs/>
    </w:rPr>
  </w:style>
  <w:style w:type="character" w:customStyle="1" w:styleId="CommentSubjectChar">
    <w:name w:val="Comment Subject Char"/>
    <w:link w:val="CommentSubject"/>
    <w:uiPriority w:val="99"/>
    <w:semiHidden/>
    <w:rsid w:val="00564366"/>
    <w:rPr>
      <w:b/>
      <w:bCs/>
      <w:lang w:eastAsia="en-US"/>
    </w:rPr>
  </w:style>
  <w:style w:type="paragraph" w:styleId="Header">
    <w:name w:val="header"/>
    <w:basedOn w:val="Normal"/>
    <w:link w:val="HeaderChar"/>
    <w:uiPriority w:val="99"/>
    <w:semiHidden/>
    <w:unhideWhenUsed/>
    <w:rsid w:val="000365D7"/>
    <w:pPr>
      <w:tabs>
        <w:tab w:val="center" w:pos="4513"/>
        <w:tab w:val="right" w:pos="9026"/>
      </w:tabs>
    </w:pPr>
  </w:style>
  <w:style w:type="character" w:customStyle="1" w:styleId="HeaderChar">
    <w:name w:val="Header Char"/>
    <w:link w:val="Header"/>
    <w:uiPriority w:val="99"/>
    <w:semiHidden/>
    <w:rsid w:val="000365D7"/>
    <w:rPr>
      <w:sz w:val="22"/>
      <w:szCs w:val="22"/>
      <w:lang w:eastAsia="en-US"/>
    </w:rPr>
  </w:style>
  <w:style w:type="paragraph" w:styleId="Footer">
    <w:name w:val="footer"/>
    <w:basedOn w:val="Normal"/>
    <w:link w:val="FooterChar"/>
    <w:uiPriority w:val="99"/>
    <w:semiHidden/>
    <w:unhideWhenUsed/>
    <w:rsid w:val="000365D7"/>
    <w:pPr>
      <w:tabs>
        <w:tab w:val="center" w:pos="4513"/>
        <w:tab w:val="right" w:pos="9026"/>
      </w:tabs>
    </w:pPr>
  </w:style>
  <w:style w:type="character" w:customStyle="1" w:styleId="FooterChar">
    <w:name w:val="Footer Char"/>
    <w:link w:val="Footer"/>
    <w:uiPriority w:val="99"/>
    <w:semiHidden/>
    <w:rsid w:val="000365D7"/>
    <w:rPr>
      <w:sz w:val="22"/>
      <w:szCs w:val="22"/>
      <w:lang w:eastAsia="en-US"/>
    </w:rPr>
  </w:style>
  <w:style w:type="paragraph" w:styleId="Revision">
    <w:name w:val="Revision"/>
    <w:hidden/>
    <w:uiPriority w:val="99"/>
    <w:semiHidden/>
    <w:rsid w:val="004B420B"/>
    <w:rPr>
      <w:sz w:val="22"/>
      <w:szCs w:val="22"/>
      <w:lang w:val="en-GB" w:eastAsia="en-US"/>
    </w:rPr>
  </w:style>
  <w:style w:type="character" w:styleId="FollowedHyperlink">
    <w:name w:val="FollowedHyperlink"/>
    <w:basedOn w:val="DefaultParagraphFont"/>
    <w:uiPriority w:val="99"/>
    <w:semiHidden/>
    <w:unhideWhenUsed/>
    <w:rsid w:val="00D454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policy.trade.ec.europa.eu/news/commission-acts-against-unfairly-traded-imports-flat-hot-rolled-steel-products-2025-09-26_en" TargetMode="External"/><Relationship Id="rId2" Type="http://schemas.openxmlformats.org/officeDocument/2006/relationships/hyperlink" Target="https://ec.europa.eu/regional_policy/policy/themes/environment/circular_economy_en" TargetMode="External"/><Relationship Id="rId1" Type="http://schemas.openxmlformats.org/officeDocument/2006/relationships/hyperlink" Target="https://eur-lex.europa.eu/eli/reg/2025/40/oj/eng" TargetMode="External"/><Relationship Id="rId5" Type="http://schemas.openxmlformats.org/officeDocument/2006/relationships/hyperlink" Target="https://eur-lex.europa.eu/legal-content/EN/TXT/?uri=CELEX%3A52025DC0085" TargetMode="External"/><Relationship Id="rId4" Type="http://schemas.openxmlformats.org/officeDocument/2006/relationships/hyperlink" Target="https://eur-lex.europa.eu/eli/dir/2008/98/oj/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3F25791F3EF84AB2DFA4E2D28849E8" ma:contentTypeVersion="11" ma:contentTypeDescription="Create a new document." ma:contentTypeScope="" ma:versionID="6d59aa0074f9f2cecd0786f02e3801c0">
  <xsd:schema xmlns:xsd="http://www.w3.org/2001/XMLSchema" xmlns:xs="http://www.w3.org/2001/XMLSchema" xmlns:p="http://schemas.microsoft.com/office/2006/metadata/properties" xmlns:ns3="d6c7f4e5-379c-4058-b0c0-904795c819d4" targetNamespace="http://schemas.microsoft.com/office/2006/metadata/properties" ma:root="true" ma:fieldsID="8f53397607eb1b8bf9edf792b9ea04fb" ns3:_="">
    <xsd:import namespace="d6c7f4e5-379c-4058-b0c0-904795c819d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_activity"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7f4e5-379c-4058-b0c0-904795c819d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6c7f4e5-379c-4058-b0c0-904795c819d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4589AE-0BB8-423F-A456-50632A945A76}">
  <ds:schemaRefs>
    <ds:schemaRef ds:uri="http://schemas.openxmlformats.org/officeDocument/2006/bibliography"/>
  </ds:schemaRefs>
</ds:datastoreItem>
</file>

<file path=customXml/itemProps2.xml><?xml version="1.0" encoding="utf-8"?>
<ds:datastoreItem xmlns:ds="http://schemas.openxmlformats.org/officeDocument/2006/customXml" ds:itemID="{23FEA9C2-76B0-4E6B-95AE-57871AE6A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7f4e5-379c-4058-b0c0-904795c81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64EB74-CF9A-400B-9671-B8B4976915AD}">
  <ds:schemaRefs>
    <ds:schemaRef ds:uri="http://schemas.microsoft.com/office/2006/metadata/properties"/>
    <ds:schemaRef ds:uri="http://schemas.microsoft.com/office/infopath/2007/PartnerControls"/>
    <ds:schemaRef ds:uri="d6c7f4e5-379c-4058-b0c0-904795c819d4"/>
  </ds:schemaRefs>
</ds:datastoreItem>
</file>

<file path=customXml/itemProps4.xml><?xml version="1.0" encoding="utf-8"?>
<ds:datastoreItem xmlns:ds="http://schemas.openxmlformats.org/officeDocument/2006/customXml" ds:itemID="{C4D5347D-D5B4-49CB-8DF5-874F6A7987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706</Words>
  <Characters>4428</Characters>
  <Application>Microsoft Office Word</Application>
  <DocSecurity>0</DocSecurity>
  <Lines>64</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5119</CharactersWithSpaces>
  <SharedDoc>false</SharedDoc>
  <HLinks>
    <vt:vector size="30" baseType="variant">
      <vt:variant>
        <vt:i4>7733282</vt:i4>
      </vt:variant>
      <vt:variant>
        <vt:i4>12</vt:i4>
      </vt:variant>
      <vt:variant>
        <vt:i4>0</vt:i4>
      </vt:variant>
      <vt:variant>
        <vt:i4>5</vt:i4>
      </vt:variant>
      <vt:variant>
        <vt:lpwstr>https://eur-lex.europa.eu/legal-content/EN/TXT/?uri=CELEX%3A52025DC0085</vt:lpwstr>
      </vt:variant>
      <vt:variant>
        <vt:lpwstr/>
      </vt:variant>
      <vt:variant>
        <vt:i4>4194398</vt:i4>
      </vt:variant>
      <vt:variant>
        <vt:i4>9</vt:i4>
      </vt:variant>
      <vt:variant>
        <vt:i4>0</vt:i4>
      </vt:variant>
      <vt:variant>
        <vt:i4>5</vt:i4>
      </vt:variant>
      <vt:variant>
        <vt:lpwstr>https://eur-lex.europa.eu/eli/dir/2008/98/oj/eng</vt:lpwstr>
      </vt:variant>
      <vt:variant>
        <vt:lpwstr/>
      </vt:variant>
      <vt:variant>
        <vt:i4>7471181</vt:i4>
      </vt:variant>
      <vt:variant>
        <vt:i4>6</vt:i4>
      </vt:variant>
      <vt:variant>
        <vt:i4>0</vt:i4>
      </vt:variant>
      <vt:variant>
        <vt:i4>5</vt:i4>
      </vt:variant>
      <vt:variant>
        <vt:lpwstr>https://policy.trade.ec.europa.eu/news/commission-acts-against-unfairly-traded-imports-flat-hot-rolled-steel-products-2025-09-26_en</vt:lpwstr>
      </vt:variant>
      <vt:variant>
        <vt:lpwstr/>
      </vt:variant>
      <vt:variant>
        <vt:i4>4587625</vt:i4>
      </vt:variant>
      <vt:variant>
        <vt:i4>3</vt:i4>
      </vt:variant>
      <vt:variant>
        <vt:i4>0</vt:i4>
      </vt:variant>
      <vt:variant>
        <vt:i4>5</vt:i4>
      </vt:variant>
      <vt:variant>
        <vt:lpwstr>https://ec.europa.eu/regional_policy/policy/themes/environment/circular_economy_en</vt:lpwstr>
      </vt:variant>
      <vt:variant>
        <vt:lpwstr/>
      </vt:variant>
      <vt:variant>
        <vt:i4>4980823</vt:i4>
      </vt:variant>
      <vt:variant>
        <vt:i4>0</vt:i4>
      </vt:variant>
      <vt:variant>
        <vt:i4>0</vt:i4>
      </vt:variant>
      <vt:variant>
        <vt:i4>5</vt:i4>
      </vt:variant>
      <vt:variant>
        <vt:lpwstr>https://eur-lex.europa.eu/eli/reg/2025/40/oj/eng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dc:description/>
  <cp:lastModifiedBy>ROSSI Simona (SG)</cp:lastModifiedBy>
  <cp:revision>3</cp:revision>
  <cp:lastPrinted>2013-02-27T18:02:00Z</cp:lastPrinted>
  <dcterms:created xsi:type="dcterms:W3CDTF">2026-04-24T09:36:00Z</dcterms:created>
  <dcterms:modified xsi:type="dcterms:W3CDTF">2026-04-24T09:37:00Z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0x010100C23F25791F3EF84AB2DFA4E2D28849E8</vt:lpwstr>
  </property>
</Properties>
</file>