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32A0" w14:textId="77777777" w:rsidR="00077C4F" w:rsidRPr="00094399" w:rsidRDefault="00077C4F" w:rsidP="00554137">
      <w:pPr>
        <w:spacing w:after="0" w:line="240" w:lineRule="auto"/>
        <w:ind w:left="-709"/>
        <w:rPr>
          <w:rFonts w:ascii="Times New Roman" w:hAnsi="Times New Roman"/>
          <w:bCs/>
          <w:sz w:val="4"/>
          <w:szCs w:val="4"/>
          <w:lang w:val="en-GB"/>
        </w:rPr>
      </w:pPr>
    </w:p>
    <w:tbl>
      <w:tblPr>
        <w:tblW w:w="10243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3"/>
      </w:tblGrid>
      <w:tr w:rsidR="001C4138" w:rsidRPr="0093181F" w14:paraId="7E6372DC" w14:textId="77777777" w:rsidTr="58D43516">
        <w:trPr>
          <w:jc w:val="center"/>
        </w:trPr>
        <w:tc>
          <w:tcPr>
            <w:tcW w:w="10243" w:type="dxa"/>
          </w:tcPr>
          <w:p w14:paraId="3A4EDC3A" w14:textId="2343BA86" w:rsidR="001C4138" w:rsidRPr="00EC3110" w:rsidRDefault="00D50A49" w:rsidP="00D83702">
            <w:pPr>
              <w:widowControl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Nuclear Illustrative Programme</w:t>
            </w:r>
            <w:r w:rsidR="00554137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</w:r>
            <w:r w:rsidR="003323FC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(mandatory referral)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</w:r>
            <w:proofErr w:type="gramStart"/>
            <w:r w:rsidR="0075282F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COM(</w:t>
            </w:r>
            <w:proofErr w:type="gramEnd"/>
            <w:r w:rsidR="0075282F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2025) 315  final 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</w:r>
            <w:r w:rsidR="007650D0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EESC-2025-02173</w:t>
            </w:r>
            <w:r w:rsidR="004A7932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‒ </w:t>
            </w:r>
            <w:r w:rsidR="00A71A39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TEN/856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</w:r>
            <w:r w:rsidR="00EA1355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601</w:t>
            </w:r>
            <w:r w:rsidR="001C4138" w:rsidRPr="00D8370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st</w:t>
            </w:r>
            <w:r w:rsidR="001C4138" w:rsidRPr="00D8370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Plenary Session – </w:t>
            </w:r>
            <w:r w:rsidR="00EA1355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December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 </w:t>
            </w:r>
            <w:r w:rsidR="00EA1355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2025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  <w:t xml:space="preserve">Rapporteur: </w:t>
            </w:r>
            <w:r w:rsidR="00B260BB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Dumitru FORNEA </w:t>
            </w:r>
            <w:r w:rsidR="000413AF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</w:t>
            </w:r>
            <w:r w:rsidR="006A4551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RO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- </w:t>
            </w:r>
            <w:r w:rsidR="006A4551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II</w:t>
            </w:r>
            <w:r w:rsidR="000413AF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</w:t>
            </w:r>
            <w:r w:rsidR="000413AF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  <w:t>Co-rapporteur: Alena MASTANTUONO</w:t>
            </w:r>
            <w:r w:rsidR="004A0F02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(CZ - I)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  <w:t xml:space="preserve">DG </w:t>
            </w:r>
            <w:r w:rsidR="00F2354F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ENER</w:t>
            </w:r>
            <w:r w:rsidR="001C4138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– Commissioner</w:t>
            </w:r>
            <w:r w:rsidR="006F5B15" w:rsidRPr="00EC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JØRGENSEN</w:t>
            </w:r>
          </w:p>
        </w:tc>
      </w:tr>
      <w:tr w:rsidR="00734613" w:rsidRPr="0093181F" w14:paraId="1937071F" w14:textId="77777777" w:rsidTr="58D43516">
        <w:trPr>
          <w:jc w:val="center"/>
        </w:trPr>
        <w:tc>
          <w:tcPr>
            <w:tcW w:w="10243" w:type="dxa"/>
          </w:tcPr>
          <w:p w14:paraId="1E50B4DB" w14:textId="6210B328" w:rsidR="00734613" w:rsidRPr="00094399" w:rsidRDefault="004F6117" w:rsidP="004F611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9439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European Commission position on points </w:t>
            </w:r>
            <w:r w:rsidRPr="0009439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br/>
              <w:t xml:space="preserve">of the European Economic and Social Committee </w:t>
            </w:r>
            <w:r w:rsidR="00554137" w:rsidRPr="0009439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(EESC) </w:t>
            </w:r>
            <w:r w:rsidRPr="0009439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opinion</w:t>
            </w:r>
            <w:r w:rsidR="00E83C12" w:rsidRPr="0009439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considered as essential</w:t>
            </w:r>
          </w:p>
        </w:tc>
      </w:tr>
      <w:tr w:rsidR="00734613" w:rsidRPr="0093181F" w14:paraId="673DDC1B" w14:textId="77777777" w:rsidTr="58D43516">
        <w:trPr>
          <w:jc w:val="center"/>
        </w:trPr>
        <w:tc>
          <w:tcPr>
            <w:tcW w:w="10243" w:type="dxa"/>
          </w:tcPr>
          <w:p w14:paraId="0CC0BCCC" w14:textId="003B3CA5" w:rsidR="007D4200" w:rsidRDefault="007D4200" w:rsidP="00A9730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bookmarkStart w:id="0" w:name="_Hlk220332080"/>
            <w:r w:rsidRPr="007D4200">
              <w:rPr>
                <w:rFonts w:ascii="Times New Roman" w:eastAsia="Times New Roman" w:hAnsi="Times New Roman"/>
                <w:sz w:val="24"/>
                <w:szCs w:val="24"/>
              </w:rPr>
              <w:t>The Commission would like to thank the Committee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D4200">
              <w:rPr>
                <w:rFonts w:ascii="Times New Roman" w:eastAsia="Times New Roman" w:hAnsi="Times New Roman"/>
                <w:sz w:val="24"/>
                <w:szCs w:val="24"/>
              </w:rPr>
              <w:t>for this timely own-initiative opinion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3E13675" w14:textId="4112E3FA" w:rsidR="00D63F2A" w:rsidRPr="00094399" w:rsidRDefault="00E0397C" w:rsidP="00A9730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Homegrown, affordable and clean energy supports our decarbonisation, competitiveness and resilience objectives</w:t>
            </w:r>
            <w:r w:rsidR="00207B5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as </w:t>
            </w:r>
            <w:r w:rsidR="00207B5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outlined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in the Clean Industrial Deal</w:t>
            </w:r>
            <w:r w:rsidR="008C58B2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en-GB"/>
              </w:rPr>
              <w:footnoteReference w:id="2"/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and </w:t>
            </w:r>
            <w:r w:rsidR="00207B5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Action Plan for Affordable Energy</w:t>
            </w:r>
            <w:r w:rsidR="008C58B2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en-GB"/>
              </w:rPr>
              <w:footnoteReference w:id="3"/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  <w:r w:rsidR="0098047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207B5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In accordance with EU Treaties, t</w:t>
            </w:r>
            <w:r w:rsidR="0098047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he choice of energy sources in the</w:t>
            </w:r>
            <w:r w:rsidR="00207B5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national</w:t>
            </w:r>
            <w:r w:rsidR="0098047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energy mix, including nuclear energy, remains within the remit of each Member State. </w:t>
            </w:r>
            <w:r w:rsidR="0018046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For some Member States, nuclear energy is an</w:t>
            </w:r>
            <w:r w:rsidR="0047650C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 </w:t>
            </w:r>
            <w:r w:rsidR="0018046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important component of decarbonisation, industrial competitiveness, and security of supply strategies. The updated National Energy and Climate Plans (NECPs) indicate that </w:t>
            </w:r>
            <w:r w:rsid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total </w:t>
            </w:r>
            <w:r w:rsidR="0018046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installed nuclear capacity </w:t>
            </w:r>
            <w:r w:rsid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in the EU </w:t>
            </w:r>
            <w:r w:rsidR="0018046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is </w:t>
            </w:r>
            <w:r w:rsidR="006F544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expected</w:t>
            </w:r>
            <w:r w:rsidR="0062406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18046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to increase</w:t>
            </w:r>
            <w:r w:rsid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by 2050</w:t>
            </w:r>
            <w:r w:rsidR="0018046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. </w:t>
            </w:r>
            <w:r w:rsidR="009E27E7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Current plans for new builds in the EU </w:t>
            </w:r>
            <w:r w:rsidR="00DB1C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underscore the need for the</w:t>
            </w:r>
            <w:r w:rsidR="009E27E7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supply chain to </w:t>
            </w:r>
            <w:r w:rsidR="00DB1C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expand to meet the demand for nuclear power plant components</w:t>
            </w:r>
            <w:r w:rsidR="009E27E7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</w:p>
          <w:p w14:paraId="2CB95F94" w14:textId="49C139E4" w:rsidR="007D6488" w:rsidRPr="00094399" w:rsidRDefault="00DB1CDD" w:rsidP="00A9730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Implementing </w:t>
            </w:r>
            <w:r w:rsidR="00133EB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Member States’ plans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for </w:t>
            </w:r>
            <w:r w:rsidR="00133EB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nuclear energy will require significant investments until 2050. </w:t>
            </w:r>
            <w:r w:rsidR="00D63F2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A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mix </w:t>
            </w:r>
            <w:r w:rsidR="00D63F2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of diverse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financing </w:t>
            </w:r>
            <w:r w:rsidR="00D63F2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sources complemented by de-risking instruments may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meet</w:t>
            </w:r>
            <w:r w:rsidR="00C2672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these investment needs</w:t>
            </w:r>
            <w:r w:rsidR="00E7572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. </w:t>
            </w:r>
            <w:r w:rsidR="00B97C6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Commission concurs with the </w:t>
            </w:r>
            <w:r w:rsidR="00ED6363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Committee</w:t>
            </w:r>
            <w:r w:rsidR="00B97C6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’s recommendation to </w:t>
            </w:r>
            <w:r w:rsidR="000A56BB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facilitate</w:t>
            </w:r>
            <w:r w:rsidR="00B97C6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investment.</w:t>
            </w:r>
            <w:r w:rsidR="00FE7A2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23110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</w:t>
            </w:r>
            <w:r w:rsidR="0051297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he Commission adopted a </w:t>
            </w:r>
            <w:r w:rsidR="0051297A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 xml:space="preserve">new State aid framework accompanying the Clean Industrial Deal </w:t>
            </w:r>
            <w:r w:rsidR="0051297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(CISAF)</w:t>
            </w:r>
            <w:r w:rsidR="001A0369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 </w:t>
            </w:r>
            <w:r w:rsidR="00770B7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(</w:t>
            </w:r>
            <w:r w:rsidR="00770B74" w:rsidRPr="00094399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en-GB"/>
              </w:rPr>
              <w:footnoteReference w:id="4"/>
            </w:r>
            <w:r w:rsidR="00770B7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)</w:t>
            </w:r>
            <w:r w:rsidR="0051297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, which streamlines State aid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for </w:t>
            </w:r>
            <w:r w:rsidR="0051297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manufacturing capacity in clean technologies, including nuclear technologies. </w:t>
            </w:r>
            <w:r w:rsidR="00A25809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Furthermore, t</w:t>
            </w:r>
            <w:r w:rsidR="001B7B9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he Commission provided </w:t>
            </w:r>
            <w:r w:rsidR="001B7B91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guidance to Member States on design</w:t>
            </w:r>
            <w:r w:rsidR="0005150D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ing</w:t>
            </w:r>
            <w:r w:rsidR="001B7B91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 xml:space="preserve"> Contracts for Difference (</w:t>
            </w:r>
            <w:proofErr w:type="spellStart"/>
            <w:r w:rsidR="001B7B91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CfD</w:t>
            </w:r>
            <w:r w:rsidR="00A25809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proofErr w:type="spellEnd"/>
            <w:r w:rsidR="001B7B91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)</w:t>
            </w:r>
            <w:r w:rsidR="001B7B9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for </w:t>
            </w:r>
            <w:r w:rsidR="003575A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energy generat</w:t>
            </w:r>
            <w:r w:rsidR="004961C5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ion assets</w:t>
            </w:r>
            <w:r w:rsidR="001A0369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 </w:t>
            </w:r>
            <w:r w:rsidR="00B448B9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(</w:t>
            </w:r>
            <w:r w:rsidR="00B448B9" w:rsidRPr="00094399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en-GB"/>
              </w:rPr>
              <w:footnoteReference w:id="5"/>
            </w:r>
            <w:r w:rsidR="00B448B9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)</w:t>
            </w:r>
            <w:r w:rsidR="003575A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, including nuclear installations. 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By d</w:t>
            </w:r>
            <w:r w:rsidR="00F977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esigning </w:t>
            </w:r>
            <w:proofErr w:type="spellStart"/>
            <w:r w:rsidR="00F977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CfDs</w:t>
            </w:r>
            <w:proofErr w:type="spellEnd"/>
            <w:r w:rsidR="00F977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in line with this guidance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</w:t>
            </w:r>
            <w:r w:rsidR="00F977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analysis of State aid notifications for nuclear installations – conducted under Articles 107 and 108 TFEU – </w:t>
            </w:r>
            <w:r w:rsidR="00F977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may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be</w:t>
            </w:r>
            <w:r w:rsidR="00F977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further streamline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d</w:t>
            </w:r>
            <w:r w:rsidR="00F977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</w:p>
          <w:p w14:paraId="28BEB4DD" w14:textId="0A226361" w:rsidR="00077DFA" w:rsidRPr="00094399" w:rsidRDefault="00A32BF2" w:rsidP="00A9730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The question of</w:t>
            </w:r>
            <w:r w:rsidR="71BBF555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sources of financing is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linked to</w:t>
            </w:r>
            <w:r w:rsidR="71BBF555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discussions leading up to the </w:t>
            </w:r>
            <w:r w:rsidR="71BBF555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 xml:space="preserve">2028-2034 </w:t>
            </w:r>
            <w:r w:rsidR="514DC0E4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Multiannual Financial Framework (MFF)</w:t>
            </w:r>
            <w:r w:rsidR="71BBF555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. </w:t>
            </w:r>
            <w:r w:rsidR="514DC0E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Commission 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has </w:t>
            </w:r>
            <w:r w:rsidR="514DC0E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presented its proposal for financing nuclear research and innovation, 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through</w:t>
            </w:r>
            <w:r w:rsidR="514DC0E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</w:t>
            </w:r>
            <w:r w:rsidR="514DC0E4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Euratom Research and Training Programme</w:t>
            </w:r>
            <w:r w:rsidR="514DC0E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 in the next MFF.</w:t>
            </w:r>
            <w:r w:rsidR="1ECC11D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However, t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he Commission </w:t>
            </w:r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is not </w:t>
            </w:r>
            <w:proofErr w:type="gramStart"/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in a position</w:t>
            </w:r>
            <w:proofErr w:type="gramEnd"/>
            <w:r w:rsidR="0005150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to reflect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</w:t>
            </w:r>
            <w:r w:rsidR="00ED6363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Committee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’s recommendation to introduce in the</w:t>
            </w:r>
            <w:r w:rsidR="00FD283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Nuclear Illustrative Programme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FD283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(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PINC</w:t>
            </w:r>
            <w:r w:rsidR="00FD283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)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a commitment to open EU cohesion funds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to 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nuclear energy, as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this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falls </w:t>
            </w:r>
            <w:r w:rsidR="00F9054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outside of the </w:t>
            </w:r>
            <w:r w:rsidR="00FD283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PINC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’s scope</w:t>
            </w:r>
            <w:r w:rsidR="530A9DE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017A3E48" w14:textId="644B294C" w:rsidR="00DE067D" w:rsidRPr="00094399" w:rsidRDefault="00F61B3C" w:rsidP="00A9730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lastRenderedPageBreak/>
              <w:t xml:space="preserve">The Commission </w:t>
            </w:r>
            <w:r w:rsidR="007077E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welcomes</w:t>
            </w:r>
            <w:r w:rsidR="007077E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</w:t>
            </w:r>
            <w:r w:rsidR="00A3554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Committee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’s recommendation t</w:t>
            </w:r>
            <w:r w:rsidR="0009078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o further investigate total system </w:t>
            </w:r>
            <w:proofErr w:type="gramStart"/>
            <w:r w:rsidR="0009078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costs</w:t>
            </w:r>
            <w:proofErr w:type="gramEnd"/>
            <w:r w:rsidR="0009078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and the role nuclear energy plays therein</w:t>
            </w:r>
            <w:r w:rsidR="00026E5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. </w:t>
            </w:r>
            <w:r w:rsidR="00DE067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By supplying clean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A32BF2" w:rsidRPr="00A32BF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and reliable</w:t>
            </w:r>
            <w:r w:rsidR="00DE067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baseload as well as flexible power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</w:t>
            </w:r>
            <w:r w:rsidR="00DE067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nuclear energy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can aid</w:t>
            </w:r>
            <w:r w:rsidR="00DE067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system integration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with added</w:t>
            </w:r>
            <w:r w:rsidR="00DE067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grid stability</w:t>
            </w:r>
            <w:r w:rsidR="00A75A7B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 (</w:t>
            </w:r>
            <w:r w:rsidR="00A75A7B" w:rsidRPr="00094399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en-GB"/>
              </w:rPr>
              <w:footnoteReference w:id="6"/>
            </w:r>
            <w:r w:rsidR="00A75A7B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)</w:t>
            </w:r>
            <w:r w:rsidR="00DE067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  <w:r w:rsidR="00950EA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Although nuclear energy has h</w:t>
            </w:r>
            <w:r w:rsidR="0088003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igh upfront capital costs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</w:t>
            </w:r>
            <w:r w:rsidR="0088003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systemic savings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can reduce </w:t>
            </w:r>
            <w:r w:rsidR="0088003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investment needs for transmission, distribution, and storage infrastructure. </w:t>
            </w:r>
            <w:r w:rsidR="00950EA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Flexibility requirements are expected to increase across all timescales (daily, weekly, and seasonal)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 and</w:t>
            </w:r>
            <w:r w:rsidR="00DE067D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w</w:t>
            </w:r>
            <w:r w:rsidR="00EA5C29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here utilised, nuclear energy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can </w:t>
            </w:r>
            <w:r w:rsidR="00EA5C29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primarily support weekly and longer-term flexibility needs. </w:t>
            </w:r>
            <w:r w:rsidR="001A732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Commission will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assess</w:t>
            </w:r>
            <w:r w:rsidR="001A732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</w:t>
            </w:r>
            <w:r w:rsidR="001A7324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future energy system needs</w:t>
            </w:r>
            <w:r w:rsidR="001A732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while preparing</w:t>
            </w:r>
            <w:r w:rsidR="001A732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policy framework for the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next </w:t>
            </w:r>
            <w:r w:rsidR="001A732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decade</w:t>
            </w:r>
            <w:r w:rsidR="00CE26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</w:p>
          <w:p w14:paraId="29FA2330" w14:textId="5510B0DF" w:rsidR="007A442E" w:rsidRPr="00094399" w:rsidRDefault="00A44F3F" w:rsidP="00F750AF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There is a growing </w:t>
            </w:r>
            <w:r w:rsidR="006F544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industrial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interest in the development of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Small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and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Advanced M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odular </w:t>
            </w:r>
            <w:r w:rsidR="002D293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R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eactors (SMRs and AMRs) as well as microreactors worldwide. </w:t>
            </w:r>
            <w:r w:rsidR="00D85587" w:rsidRPr="00D8558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The European Industrial Alliance on SMRs aims to facilitate and accelerate the development, demonstration, and deployment of SMRs in Europe by the early 2030s.</w:t>
            </w:r>
            <w:r w:rsidR="00A31741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D04F38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Commission </w:t>
            </w:r>
            <w:r w:rsidR="003E73D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agrees </w:t>
            </w:r>
            <w:r w:rsidR="00D04F38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with the </w:t>
            </w:r>
            <w:r w:rsidR="00A3554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Committee</w:t>
            </w:r>
            <w:r w:rsidR="00D04F38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’s recommendation to consider </w:t>
            </w:r>
            <w:r w:rsidR="006F544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outputs </w:t>
            </w:r>
            <w:r w:rsidR="003E73D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from </w:t>
            </w:r>
            <w:r w:rsidR="006F544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the European</w:t>
            </w:r>
            <w:r w:rsidR="00810D3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D04F38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SMR Industrial Alliance. </w:t>
            </w:r>
            <w:r w:rsidR="007A442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Building</w:t>
            </w:r>
            <w:r w:rsidR="006F544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also</w:t>
            </w:r>
            <w:r w:rsidR="007A442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on </w:t>
            </w:r>
            <w:r w:rsidR="006F544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this </w:t>
            </w:r>
            <w:r w:rsidR="007A442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work, the Commission</w:t>
            </w:r>
            <w:r w:rsidR="0051467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704500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has adopted the first</w:t>
            </w:r>
            <w:r w:rsidR="007B61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 </w:t>
            </w:r>
            <w:r w:rsidR="007A442E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SMR strategy</w:t>
            </w:r>
            <w:r w:rsidR="007A442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4B17E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on</w:t>
            </w:r>
            <w:r w:rsidR="007A442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development and deployment of such reactors in the EU </w:t>
            </w:r>
            <w:r w:rsidR="003E73D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as of </w:t>
            </w:r>
            <w:r w:rsidR="00A3554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</w:t>
            </w:r>
            <w:r w:rsidR="007A442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early 2030s</w:t>
            </w:r>
            <w:r w:rsidR="00704500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on 10 March 2026</w:t>
            </w:r>
            <w:r w:rsidR="007A442E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  <w:r w:rsidR="003A065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Commission also announced the launch of the design phase of a potential </w:t>
            </w:r>
            <w:r w:rsidR="003A065C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Important Project of Common European Interest (IPCEI)</w:t>
            </w:r>
            <w:r w:rsidR="003A065C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candidate on innovative nuclear technologies, which may also support SMRs.</w:t>
            </w:r>
          </w:p>
          <w:p w14:paraId="79A58378" w14:textId="7571A9FD" w:rsidR="003A63C6" w:rsidRPr="00094399" w:rsidRDefault="001310A8" w:rsidP="00A9730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bookmarkStart w:id="1" w:name="_Hlk220335520"/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Commission </w:t>
            </w:r>
            <w:r w:rsidR="00F371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aligns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with the </w:t>
            </w:r>
            <w:r w:rsidR="00A3554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Committee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’s recommendation to further consider hydrogen</w:t>
            </w:r>
            <w:r w:rsidR="00F371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, recognising its significance for </w:t>
            </w:r>
            <w:r w:rsidR="00F91338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the EU</w:t>
            </w:r>
            <w:r w:rsidR="00A851B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</w:t>
            </w:r>
            <w:r w:rsidR="00F91338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s energy transition, net</w:t>
            </w:r>
            <w:r w:rsidR="00F371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F91338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zero, and sustainable development</w:t>
            </w:r>
            <w:r w:rsidR="00F371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  <w:r w:rsidR="00AB729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bookmarkEnd w:id="1"/>
            <w:r w:rsidR="00FB02A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The EU</w:t>
            </w:r>
            <w:r w:rsidR="00013B9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</w:t>
            </w:r>
            <w:r w:rsidR="00FB02A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s hydrogen strategy and </w:t>
            </w:r>
            <w:proofErr w:type="spellStart"/>
            <w:r w:rsidR="00FB02A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REPowerEU</w:t>
            </w:r>
            <w:proofErr w:type="spellEnd"/>
            <w:r w:rsidR="00FB02A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plan have put forward a comprehensive framework to support the uptake of renewable and low-carbon hydrogen to </w:t>
            </w:r>
            <w:r w:rsidR="00F371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aid</w:t>
            </w:r>
            <w:r w:rsidR="00FB02A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EU</w:t>
            </w:r>
            <w:r w:rsidR="00F371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decarbonisation</w:t>
            </w:r>
            <w:r w:rsidR="00FB02A4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. </w:t>
            </w:r>
            <w:r w:rsidR="009D615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SMRs and AMRs </w:t>
            </w:r>
            <w:r w:rsidR="00F371E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could become part</w:t>
            </w:r>
            <w:r w:rsidR="009D615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of future hybrid energy systems, serving as a reliable source of heat for hard-to-abate industries, including low-carbon hydrogen production</w:t>
            </w:r>
            <w:r w:rsidR="007B0A01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. </w:t>
            </w:r>
            <w:r w:rsidR="003A63C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Commission has adopted the </w:t>
            </w:r>
            <w:r w:rsidR="004635AF" w:rsidRPr="004635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Commission Delegated Regulation specifying a methodology for assessing greenhouse gas emissions savings from low-carbon fuel</w:t>
            </w:r>
            <w:r w:rsidR="004635AF" w:rsidRPr="008D5E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s</w:t>
            </w:r>
            <w:r w:rsidR="00D26D08" w:rsidRPr="008D5EF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(</w:t>
            </w:r>
            <w:r w:rsidR="00D26D08" w:rsidRPr="008D5EF7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en-GB"/>
              </w:rPr>
              <w:footnoteReference w:id="7"/>
            </w:r>
            <w:r w:rsidR="00D26D08" w:rsidRPr="008D5EF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)</w:t>
            </w:r>
            <w:r w:rsidR="003A63C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, </w:t>
            </w:r>
            <w:r w:rsidR="00B9318E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which reduces regulatory uncertainty on </w:t>
            </w:r>
            <w:r w:rsidR="00CF073B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low-carbon fuels for investors and </w:t>
            </w:r>
            <w:r w:rsidR="003A63C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thus further pav</w:t>
            </w:r>
            <w:r w:rsidR="00CF073B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es</w:t>
            </w:r>
            <w:r w:rsidR="003A63C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way for hydrogen production. </w:t>
            </w:r>
            <w:r w:rsidR="00C34E5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To </w:t>
            </w:r>
            <w:r w:rsidR="0043130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qualify as</w:t>
            </w:r>
            <w:r w:rsidR="00C34E5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low carbon, hydrogen and related fuels must </w:t>
            </w:r>
            <w:r w:rsidR="00431306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achieve</w:t>
            </w:r>
            <w:r w:rsidR="00C34E5A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70% greenhouse gas emission savings compared to the use of unabated fossil fuels.</w:t>
            </w:r>
          </w:p>
          <w:p w14:paraId="30D14481" w14:textId="3472E28E" w:rsidR="0049246C" w:rsidRPr="00094399" w:rsidRDefault="00431306" w:rsidP="006D13FD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 Commission shares the </w:t>
            </w:r>
            <w:r w:rsidR="00A3554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Committee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’s view on the importance of the</w:t>
            </w:r>
            <w:r w:rsidRPr="00094399">
              <w:rPr>
                <w:lang w:val="en-GB"/>
              </w:rPr>
              <w:t xml:space="preserve">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European Radioisotopes Valley Initiative </w:t>
            </w:r>
            <w:r w:rsidR="0093181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for </w:t>
            </w:r>
            <w:r w:rsidR="0093181F" w:rsidRP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strengthening</w:t>
            </w:r>
            <w:r w:rsidR="0093181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the 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medical radioisotopes</w:t>
            </w:r>
            <w:r w:rsidR="0093181F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value chain in the EU</w:t>
            </w:r>
            <w:r w:rsidR="00704500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704500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s </w:t>
            </w:r>
            <w:r w:rsidR="0093181F" w:rsidRP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indicated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in the </w:t>
            </w:r>
            <w:proofErr w:type="spellStart"/>
            <w:r w:rsidR="00955943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REPowerEU</w:t>
            </w:r>
            <w:proofErr w:type="spellEnd"/>
            <w:r w:rsidR="00955943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 xml:space="preserve"> Roadmap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 Fur</w:t>
            </w:r>
            <w:r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hermore, </w:t>
            </w:r>
            <w:r w:rsid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t</w:t>
            </w:r>
            <w:r w:rsidR="0093181F" w:rsidRP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he </w:t>
            </w:r>
            <w:r w:rsidR="00A3554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Committee</w:t>
            </w:r>
            <w:r w:rsidR="0093181F" w:rsidRP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’s emphasis on securing the </w:t>
            </w:r>
            <w:r w:rsidR="00B706FA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EU </w:t>
            </w:r>
            <w:r w:rsidR="0093181F" w:rsidRP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radioisotope supply chain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is reflected in the Commission</w:t>
            </w:r>
            <w:r w:rsid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’s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proposal for the next </w:t>
            </w:r>
            <w:r w:rsidR="00955943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Euratom Research and Training Programme</w:t>
            </w:r>
            <w:r w:rsidR="0093181F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,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and among the topics in the candidate </w:t>
            </w:r>
            <w:r w:rsidR="00955943" w:rsidRPr="000943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IPCEI on innovative nuclear technologies</w:t>
            </w:r>
            <w:r w:rsidR="00955943" w:rsidRPr="0009439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  <w:bookmarkEnd w:id="0"/>
          </w:p>
        </w:tc>
      </w:tr>
    </w:tbl>
    <w:p w14:paraId="41D86A3C" w14:textId="77777777" w:rsidR="00554137" w:rsidRPr="00094399" w:rsidRDefault="00554137" w:rsidP="00774555">
      <w:pPr>
        <w:ind w:left="-426"/>
        <w:rPr>
          <w:rFonts w:ascii="Times New Roman" w:hAnsi="Times New Roman"/>
          <w:b/>
          <w:sz w:val="16"/>
          <w:szCs w:val="16"/>
          <w:u w:val="single"/>
          <w:lang w:val="en-GB"/>
        </w:rPr>
      </w:pPr>
    </w:p>
    <w:sectPr w:rsidR="00554137" w:rsidRPr="0009439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5693" w14:textId="77777777" w:rsidR="00860BF4" w:rsidRDefault="00860BF4" w:rsidP="00FF63EA">
      <w:pPr>
        <w:spacing w:after="0" w:line="240" w:lineRule="auto"/>
      </w:pPr>
      <w:r>
        <w:separator/>
      </w:r>
    </w:p>
  </w:endnote>
  <w:endnote w:type="continuationSeparator" w:id="0">
    <w:p w14:paraId="2FB8C8D7" w14:textId="77777777" w:rsidR="00860BF4" w:rsidRDefault="00860BF4" w:rsidP="00FF63EA">
      <w:pPr>
        <w:spacing w:after="0" w:line="240" w:lineRule="auto"/>
      </w:pPr>
      <w:r>
        <w:continuationSeparator/>
      </w:r>
    </w:p>
  </w:endnote>
  <w:endnote w:type="continuationNotice" w:id="1">
    <w:p w14:paraId="44666685" w14:textId="77777777" w:rsidR="00860BF4" w:rsidRDefault="00860B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97FE" w14:textId="77777777" w:rsidR="0093181F" w:rsidRDefault="0093181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97A4AEE" w14:textId="77777777" w:rsidR="0093181F" w:rsidRDefault="00931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FE78" w14:textId="77777777" w:rsidR="00860BF4" w:rsidRDefault="00860BF4" w:rsidP="00FF63EA">
      <w:pPr>
        <w:spacing w:after="0" w:line="240" w:lineRule="auto"/>
      </w:pPr>
      <w:r>
        <w:separator/>
      </w:r>
    </w:p>
  </w:footnote>
  <w:footnote w:type="continuationSeparator" w:id="0">
    <w:p w14:paraId="533A7CFD" w14:textId="77777777" w:rsidR="00860BF4" w:rsidRDefault="00860BF4" w:rsidP="00FF63EA">
      <w:pPr>
        <w:spacing w:after="0" w:line="240" w:lineRule="auto"/>
      </w:pPr>
      <w:r>
        <w:continuationSeparator/>
      </w:r>
    </w:p>
  </w:footnote>
  <w:footnote w:type="continuationNotice" w:id="1">
    <w:p w14:paraId="13598404" w14:textId="77777777" w:rsidR="00860BF4" w:rsidRDefault="00860BF4">
      <w:pPr>
        <w:spacing w:after="0" w:line="240" w:lineRule="auto"/>
      </w:pPr>
    </w:p>
  </w:footnote>
  <w:footnote w:id="2">
    <w:p w14:paraId="392AE0F5" w14:textId="37ECF5D1" w:rsidR="008C58B2" w:rsidRPr="007D4200" w:rsidRDefault="008C58B2" w:rsidP="007D4200">
      <w:pPr>
        <w:pStyle w:val="FootnoteText"/>
        <w:widowControl w:val="0"/>
        <w:ind w:right="-284" w:hanging="426"/>
        <w:jc w:val="both"/>
        <w:rPr>
          <w:rFonts w:ascii="Times New Roman" w:hAnsi="Times New Roman" w:cs="Times New Roman"/>
          <w:lang w:val="fr-BE"/>
        </w:rPr>
      </w:pPr>
      <w:r w:rsidRPr="007D4200">
        <w:rPr>
          <w:rStyle w:val="FootnoteReference"/>
          <w:rFonts w:ascii="Times New Roman" w:hAnsi="Times New Roman" w:cs="Times New Roman"/>
        </w:rPr>
        <w:footnoteRef/>
      </w:r>
      <w:r w:rsidRPr="007D4200">
        <w:rPr>
          <w:rFonts w:ascii="Times New Roman" w:hAnsi="Times New Roman" w:cs="Times New Roman"/>
          <w:lang w:val="fr-BE"/>
        </w:rPr>
        <w:t xml:space="preserve"> </w:t>
      </w:r>
      <w:r w:rsidRPr="007D4200">
        <w:rPr>
          <w:rFonts w:ascii="Times New Roman" w:hAnsi="Times New Roman" w:cs="Times New Roman"/>
          <w:lang w:val="fr-BE"/>
        </w:rPr>
        <w:tab/>
      </w:r>
      <w:proofErr w:type="gramStart"/>
      <w:r w:rsidRPr="007D4200">
        <w:rPr>
          <w:rFonts w:ascii="Times New Roman" w:hAnsi="Times New Roman" w:cs="Times New Roman"/>
          <w:lang w:val="fr-BE"/>
        </w:rPr>
        <w:t>COM(</w:t>
      </w:r>
      <w:proofErr w:type="gramEnd"/>
      <w:r w:rsidRPr="007D4200">
        <w:rPr>
          <w:rFonts w:ascii="Times New Roman" w:hAnsi="Times New Roman" w:cs="Times New Roman"/>
          <w:lang w:val="fr-BE"/>
        </w:rPr>
        <w:t>2025) 85 final (</w:t>
      </w:r>
      <w:hyperlink r:id="rId1" w:history="1">
        <w:r w:rsidRPr="007D4200">
          <w:rPr>
            <w:rStyle w:val="Hyperlink"/>
            <w:rFonts w:ascii="Times New Roman" w:hAnsi="Times New Roman" w:cs="Times New Roman"/>
            <w:lang w:val="fr-BE"/>
          </w:rPr>
          <w:t>EUR-Lex - 52025DC0085 - EN - EUR-Lex</w:t>
        </w:r>
      </w:hyperlink>
      <w:r w:rsidRPr="007D4200">
        <w:rPr>
          <w:rFonts w:ascii="Times New Roman" w:hAnsi="Times New Roman" w:cs="Times New Roman"/>
          <w:lang w:val="fr-BE"/>
        </w:rPr>
        <w:t>).</w:t>
      </w:r>
    </w:p>
  </w:footnote>
  <w:footnote w:id="3">
    <w:p w14:paraId="25FFF95B" w14:textId="0E59374A" w:rsidR="008C58B2" w:rsidRPr="007D4200" w:rsidRDefault="008C58B2" w:rsidP="007D4200">
      <w:pPr>
        <w:pStyle w:val="FootnoteText"/>
        <w:widowControl w:val="0"/>
        <w:ind w:right="-284" w:hanging="426"/>
        <w:jc w:val="both"/>
        <w:rPr>
          <w:rFonts w:ascii="Times New Roman" w:hAnsi="Times New Roman" w:cs="Times New Roman"/>
          <w:lang w:val="fr-BE"/>
        </w:rPr>
      </w:pPr>
      <w:r w:rsidRPr="007D4200">
        <w:rPr>
          <w:rStyle w:val="FootnoteReference"/>
          <w:rFonts w:ascii="Times New Roman" w:hAnsi="Times New Roman" w:cs="Times New Roman"/>
        </w:rPr>
        <w:footnoteRef/>
      </w:r>
      <w:r w:rsidRPr="007D4200">
        <w:rPr>
          <w:rFonts w:ascii="Times New Roman" w:hAnsi="Times New Roman" w:cs="Times New Roman"/>
          <w:lang w:val="fr-BE"/>
        </w:rPr>
        <w:t xml:space="preserve"> </w:t>
      </w:r>
      <w:r w:rsidRPr="007D4200">
        <w:rPr>
          <w:rFonts w:ascii="Times New Roman" w:hAnsi="Times New Roman" w:cs="Times New Roman"/>
          <w:lang w:val="fr-BE"/>
        </w:rPr>
        <w:tab/>
      </w:r>
      <w:proofErr w:type="gramStart"/>
      <w:r w:rsidRPr="007D4200">
        <w:rPr>
          <w:rFonts w:ascii="Times New Roman" w:hAnsi="Times New Roman" w:cs="Times New Roman"/>
          <w:lang w:val="fr-BE"/>
        </w:rPr>
        <w:t>COM(</w:t>
      </w:r>
      <w:proofErr w:type="gramEnd"/>
      <w:r w:rsidRPr="007D4200">
        <w:rPr>
          <w:rFonts w:ascii="Times New Roman" w:hAnsi="Times New Roman" w:cs="Times New Roman"/>
          <w:lang w:val="fr-BE"/>
        </w:rPr>
        <w:t>2025) 79 final (</w:t>
      </w:r>
      <w:r>
        <w:fldChar w:fldCharType="begin"/>
      </w:r>
      <w:r w:rsidRPr="005C28CE">
        <w:rPr>
          <w:lang w:val="fr-BE"/>
        </w:rPr>
        <w:instrText>HYPERLINK "https://eur-lex.europa.eu/legal-content/EN/TXT/?uri=celex:52025DC0079"</w:instrText>
      </w:r>
      <w:r>
        <w:fldChar w:fldCharType="separate"/>
      </w:r>
      <w:r w:rsidRPr="007D4200">
        <w:rPr>
          <w:rStyle w:val="Hyperlink"/>
          <w:rFonts w:ascii="Times New Roman" w:hAnsi="Times New Roman" w:cs="Times New Roman"/>
          <w:lang w:val="fr-BE"/>
        </w:rPr>
        <w:t>EUR-Lex - 52025DC0079 - EN - EUR-Lex</w:t>
      </w:r>
      <w:r>
        <w:fldChar w:fldCharType="end"/>
      </w:r>
      <w:r w:rsidRPr="007D4200">
        <w:rPr>
          <w:rFonts w:ascii="Times New Roman" w:hAnsi="Times New Roman" w:cs="Times New Roman"/>
          <w:lang w:val="fr-BE"/>
        </w:rPr>
        <w:t>).</w:t>
      </w:r>
    </w:p>
  </w:footnote>
  <w:footnote w:id="4">
    <w:p w14:paraId="040FF32A" w14:textId="320E001B" w:rsidR="00770B74" w:rsidRPr="007D4200" w:rsidRDefault="00770B74" w:rsidP="007D4200">
      <w:pPr>
        <w:pStyle w:val="FootnoteText"/>
        <w:widowControl w:val="0"/>
        <w:ind w:right="-284" w:hanging="426"/>
        <w:jc w:val="both"/>
        <w:rPr>
          <w:rFonts w:ascii="Times New Roman" w:hAnsi="Times New Roman" w:cs="Times New Roman"/>
          <w:lang w:val="fr-BE"/>
        </w:rPr>
      </w:pPr>
      <w:r w:rsidRPr="008C58B2">
        <w:rPr>
          <w:rStyle w:val="FootnoteReference"/>
          <w:rFonts w:ascii="Times New Roman" w:hAnsi="Times New Roman" w:cs="Times New Roman"/>
        </w:rPr>
        <w:footnoteRef/>
      </w:r>
      <w:r w:rsidRPr="007D4200">
        <w:rPr>
          <w:rFonts w:ascii="Times New Roman" w:hAnsi="Times New Roman" w:cs="Times New Roman"/>
          <w:lang w:val="fr-BE"/>
        </w:rPr>
        <w:t xml:space="preserve"> </w:t>
      </w:r>
      <w:r w:rsidR="007B61C4" w:rsidRPr="007D4200">
        <w:rPr>
          <w:rFonts w:ascii="Times New Roman" w:hAnsi="Times New Roman" w:cs="Times New Roman"/>
          <w:lang w:val="fr-BE"/>
        </w:rPr>
        <w:tab/>
      </w:r>
      <w:proofErr w:type="gramStart"/>
      <w:r w:rsidR="00B448B9" w:rsidRPr="007D4200">
        <w:rPr>
          <w:rFonts w:ascii="Times New Roman" w:hAnsi="Times New Roman" w:cs="Times New Roman"/>
          <w:lang w:val="fr-BE"/>
        </w:rPr>
        <w:t>C</w:t>
      </w:r>
      <w:r w:rsidR="001A0369" w:rsidRPr="007D4200">
        <w:rPr>
          <w:rFonts w:ascii="Times New Roman" w:hAnsi="Times New Roman" w:cs="Times New Roman"/>
          <w:lang w:val="fr-BE"/>
        </w:rPr>
        <w:t>(</w:t>
      </w:r>
      <w:proofErr w:type="gramEnd"/>
      <w:r w:rsidR="00B448B9" w:rsidRPr="007D4200">
        <w:rPr>
          <w:rFonts w:ascii="Times New Roman" w:hAnsi="Times New Roman" w:cs="Times New Roman"/>
          <w:lang w:val="fr-BE"/>
        </w:rPr>
        <w:t>2025</w:t>
      </w:r>
      <w:r w:rsidR="001A0369" w:rsidRPr="007D4200">
        <w:rPr>
          <w:rFonts w:ascii="Times New Roman" w:hAnsi="Times New Roman" w:cs="Times New Roman"/>
          <w:lang w:val="fr-BE"/>
        </w:rPr>
        <w:t xml:space="preserve">) </w:t>
      </w:r>
      <w:r w:rsidR="00B448B9" w:rsidRPr="007D4200">
        <w:rPr>
          <w:rFonts w:ascii="Times New Roman" w:hAnsi="Times New Roman" w:cs="Times New Roman"/>
          <w:lang w:val="fr-BE"/>
        </w:rPr>
        <w:t>3602</w:t>
      </w:r>
      <w:r w:rsidR="007B61C4" w:rsidRPr="007D4200">
        <w:rPr>
          <w:rFonts w:ascii="Times New Roman" w:hAnsi="Times New Roman" w:cs="Times New Roman"/>
          <w:lang w:val="fr-BE"/>
        </w:rPr>
        <w:t xml:space="preserve"> ( </w:t>
      </w:r>
      <w:r w:rsidR="007B61C4">
        <w:fldChar w:fldCharType="begin"/>
      </w:r>
      <w:r w:rsidR="007B61C4" w:rsidRPr="005C28CE">
        <w:rPr>
          <w:lang w:val="fr-BE"/>
        </w:rPr>
        <w:instrText>HYPERLINK "http://data.europa.eu/eli/C/2025/3602/oj" \o "Gives access to this document through its ELI URI."</w:instrText>
      </w:r>
      <w:r w:rsidR="007B61C4">
        <w:fldChar w:fldCharType="separate"/>
      </w:r>
      <w:r w:rsidR="007B61C4" w:rsidRPr="007D4200">
        <w:rPr>
          <w:rStyle w:val="Hyperlink"/>
          <w:rFonts w:ascii="Times New Roman" w:hAnsi="Times New Roman" w:cs="Times New Roman"/>
          <w:lang w:val="fr-BE"/>
        </w:rPr>
        <w:t>http://data.europa.eu/eli/C/2025/3602/oj</w:t>
      </w:r>
      <w:r w:rsidR="007B61C4">
        <w:fldChar w:fldCharType="end"/>
      </w:r>
      <w:r w:rsidR="007B61C4" w:rsidRPr="007D4200">
        <w:rPr>
          <w:rFonts w:ascii="Times New Roman" w:hAnsi="Times New Roman" w:cs="Times New Roman"/>
          <w:lang w:val="fr-BE"/>
        </w:rPr>
        <w:t>).</w:t>
      </w:r>
    </w:p>
  </w:footnote>
  <w:footnote w:id="5">
    <w:p w14:paraId="5347D246" w14:textId="165316D3" w:rsidR="00B448B9" w:rsidRPr="007D4200" w:rsidRDefault="00B448B9" w:rsidP="007D4200">
      <w:pPr>
        <w:pStyle w:val="FootnoteText"/>
        <w:widowControl w:val="0"/>
        <w:ind w:right="-284" w:hanging="426"/>
        <w:jc w:val="both"/>
        <w:rPr>
          <w:rFonts w:ascii="Times New Roman" w:hAnsi="Times New Roman" w:cs="Times New Roman"/>
          <w:lang w:val="en-GB"/>
        </w:rPr>
      </w:pPr>
      <w:r w:rsidRPr="008C58B2">
        <w:rPr>
          <w:rStyle w:val="FootnoteReference"/>
          <w:rFonts w:ascii="Times New Roman" w:hAnsi="Times New Roman" w:cs="Times New Roman"/>
        </w:rPr>
        <w:footnoteRef/>
      </w:r>
      <w:r w:rsidRPr="007D4200">
        <w:rPr>
          <w:rFonts w:ascii="Times New Roman" w:hAnsi="Times New Roman" w:cs="Times New Roman"/>
          <w:lang w:val="en-GB"/>
        </w:rPr>
        <w:t xml:space="preserve"> </w:t>
      </w:r>
      <w:r w:rsidR="007B61C4" w:rsidRPr="007D4200">
        <w:rPr>
          <w:rFonts w:ascii="Times New Roman" w:hAnsi="Times New Roman" w:cs="Times New Roman"/>
          <w:lang w:val="en-GB"/>
        </w:rPr>
        <w:tab/>
      </w:r>
      <w:r w:rsidR="00CD2A18" w:rsidRPr="007D4200">
        <w:rPr>
          <w:rFonts w:ascii="Times New Roman" w:hAnsi="Times New Roman" w:cs="Times New Roman"/>
          <w:lang w:val="en-GB"/>
        </w:rPr>
        <w:t>C(2025) 8479 final</w:t>
      </w:r>
      <w:r w:rsidR="00AC6FE4" w:rsidRPr="007D4200">
        <w:rPr>
          <w:rFonts w:ascii="Times New Roman" w:hAnsi="Times New Roman" w:cs="Times New Roman"/>
          <w:lang w:val="en-GB"/>
        </w:rPr>
        <w:t xml:space="preserve"> (</w:t>
      </w:r>
      <w:hyperlink r:id="rId2" w:tooltip="Gives access to this document through its ELI URI." w:history="1">
        <w:r w:rsidR="00AC6FE4" w:rsidRPr="007D4200">
          <w:rPr>
            <w:rStyle w:val="Hyperlink"/>
            <w:rFonts w:ascii="Times New Roman" w:hAnsi="Times New Roman" w:cs="Times New Roman"/>
            <w:lang w:val="en-GB"/>
          </w:rPr>
          <w:t>http://data.europa.eu/eli/C/2025/6701/oj</w:t>
        </w:r>
      </w:hyperlink>
      <w:r w:rsidR="00AC6FE4" w:rsidRPr="007D4200">
        <w:rPr>
          <w:rFonts w:ascii="Times New Roman" w:hAnsi="Times New Roman" w:cs="Times New Roman"/>
          <w:lang w:val="en-GB"/>
        </w:rPr>
        <w:t>).</w:t>
      </w:r>
    </w:p>
  </w:footnote>
  <w:footnote w:id="6">
    <w:p w14:paraId="3F3B874C" w14:textId="5630DAE7" w:rsidR="00A75A7B" w:rsidRPr="00CA626E" w:rsidRDefault="00A75A7B" w:rsidP="007D4200">
      <w:pPr>
        <w:pStyle w:val="FootnoteText"/>
        <w:widowControl w:val="0"/>
        <w:ind w:right="-142" w:hanging="426"/>
        <w:jc w:val="both"/>
        <w:rPr>
          <w:rFonts w:ascii="Times New Roman" w:hAnsi="Times New Roman" w:cs="Times New Roman"/>
        </w:rPr>
      </w:pPr>
      <w:r w:rsidRPr="00CA626E">
        <w:rPr>
          <w:rStyle w:val="FootnoteReference"/>
          <w:rFonts w:ascii="Times New Roman" w:hAnsi="Times New Roman" w:cs="Times New Roman"/>
        </w:rPr>
        <w:footnoteRef/>
      </w:r>
      <w:r w:rsidRPr="00CA626E">
        <w:rPr>
          <w:rFonts w:ascii="Times New Roman" w:hAnsi="Times New Roman" w:cs="Times New Roman"/>
        </w:rPr>
        <w:t xml:space="preserve"> </w:t>
      </w:r>
      <w:r w:rsidR="008C58B2">
        <w:rPr>
          <w:rFonts w:ascii="Times New Roman" w:hAnsi="Times New Roman" w:cs="Times New Roman"/>
        </w:rPr>
        <w:tab/>
      </w:r>
      <w:r w:rsidR="00CA626E" w:rsidRPr="00CA626E">
        <w:rPr>
          <w:rFonts w:ascii="Times New Roman" w:hAnsi="Times New Roman" w:cs="Times New Roman"/>
        </w:rPr>
        <w:t>Under the conditions set in the licence of the nuclear power plants by the Nuclear Regulatory Authority</w:t>
      </w:r>
      <w:r w:rsidR="00CA626E">
        <w:rPr>
          <w:rFonts w:ascii="Times New Roman" w:hAnsi="Times New Roman" w:cs="Times New Roman"/>
        </w:rPr>
        <w:t>.</w:t>
      </w:r>
    </w:p>
  </w:footnote>
  <w:footnote w:id="7">
    <w:p w14:paraId="77440F3C" w14:textId="6A6508E3" w:rsidR="00D26D08" w:rsidRPr="007D4200" w:rsidRDefault="00D26D08" w:rsidP="007D4200">
      <w:pPr>
        <w:pStyle w:val="FootnoteText"/>
        <w:widowControl w:val="0"/>
        <w:ind w:right="-142" w:hanging="426"/>
        <w:jc w:val="both"/>
        <w:rPr>
          <w:lang w:val="fr-BE"/>
        </w:rPr>
      </w:pPr>
      <w:r w:rsidRPr="00744833">
        <w:rPr>
          <w:rFonts w:ascii="Times New Roman" w:hAnsi="Times New Roman" w:cs="Times New Roman"/>
          <w:vertAlign w:val="superscript"/>
        </w:rPr>
        <w:footnoteRef/>
      </w:r>
      <w:r w:rsidRPr="007D4200">
        <w:rPr>
          <w:rFonts w:ascii="Times New Roman" w:hAnsi="Times New Roman" w:cs="Times New Roman"/>
          <w:lang w:val="fr-BE"/>
        </w:rPr>
        <w:t xml:space="preserve"> </w:t>
      </w:r>
      <w:r w:rsidR="008C58B2" w:rsidRPr="007D4200">
        <w:rPr>
          <w:rFonts w:ascii="Times New Roman" w:hAnsi="Times New Roman" w:cs="Times New Roman"/>
          <w:lang w:val="fr-BE"/>
        </w:rPr>
        <w:tab/>
      </w:r>
      <w:r w:rsidR="00C3781C" w:rsidRPr="007D4200">
        <w:rPr>
          <w:rFonts w:ascii="Times New Roman" w:hAnsi="Times New Roman" w:cs="Times New Roman"/>
          <w:lang w:val="fr-BE"/>
        </w:rPr>
        <w:t>C/2025/4674</w:t>
      </w:r>
      <w:r w:rsidR="008C58B2" w:rsidRPr="007D4200">
        <w:rPr>
          <w:rFonts w:ascii="Times New Roman" w:hAnsi="Times New Roman" w:cs="Times New Roman"/>
          <w:lang w:val="fr-BE"/>
        </w:rPr>
        <w:t xml:space="preserve"> (</w:t>
      </w:r>
      <w:r w:rsidR="00C35954">
        <w:fldChar w:fldCharType="begin"/>
      </w:r>
      <w:r w:rsidR="00C35954" w:rsidRPr="005C28CE">
        <w:rPr>
          <w:lang w:val="fr-BE"/>
        </w:rPr>
        <w:instrText>HYPERLINK "https://eur-lex.europa.eu/legal-content/EN/TXT/?uri=intcom:C%282025%294674"</w:instrText>
      </w:r>
      <w:r w:rsidR="00C35954">
        <w:fldChar w:fldCharType="separate"/>
      </w:r>
      <w:r w:rsidR="00C35954" w:rsidRPr="007D4200">
        <w:rPr>
          <w:rStyle w:val="Hyperlink"/>
          <w:rFonts w:ascii="Times New Roman" w:hAnsi="Times New Roman" w:cs="Times New Roman"/>
          <w:lang w:val="fr-BE"/>
        </w:rPr>
        <w:t xml:space="preserve">EUR-Lex - </w:t>
      </w:r>
      <w:proofErr w:type="gramStart"/>
      <w:r w:rsidR="00C35954" w:rsidRPr="007D4200">
        <w:rPr>
          <w:rStyle w:val="Hyperlink"/>
          <w:rFonts w:ascii="Times New Roman" w:hAnsi="Times New Roman" w:cs="Times New Roman"/>
          <w:lang w:val="fr-BE"/>
        </w:rPr>
        <w:t>C(</w:t>
      </w:r>
      <w:proofErr w:type="gramEnd"/>
      <w:r w:rsidR="00C35954" w:rsidRPr="007D4200">
        <w:rPr>
          <w:rStyle w:val="Hyperlink"/>
          <w:rFonts w:ascii="Times New Roman" w:hAnsi="Times New Roman" w:cs="Times New Roman"/>
          <w:lang w:val="fr-BE"/>
        </w:rPr>
        <w:t>2025)4674 - EN - EUR-Lex</w:t>
      </w:r>
      <w:r w:rsidR="00C35954">
        <w:fldChar w:fldCharType="end"/>
      </w:r>
      <w:r w:rsidR="00C35954" w:rsidRPr="007D4200">
        <w:rPr>
          <w:rFonts w:ascii="Times New Roman" w:hAnsi="Times New Roman" w:cs="Times New Roman"/>
          <w:lang w:val="fr-BE"/>
        </w:rPr>
        <w:t>)</w:t>
      </w:r>
      <w:r w:rsidR="00C35954">
        <w:rPr>
          <w:rFonts w:ascii="Times New Roman" w:hAnsi="Times New Roman" w:cs="Times New Roman"/>
          <w:lang w:val="fr-BE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77C4F"/>
    <w:rsid w:val="00010D2E"/>
    <w:rsid w:val="00012A37"/>
    <w:rsid w:val="00013B9F"/>
    <w:rsid w:val="00025C3E"/>
    <w:rsid w:val="00026E56"/>
    <w:rsid w:val="000413AF"/>
    <w:rsid w:val="000442F8"/>
    <w:rsid w:val="000453FA"/>
    <w:rsid w:val="00046B15"/>
    <w:rsid w:val="00050DC7"/>
    <w:rsid w:val="0005150D"/>
    <w:rsid w:val="000526E2"/>
    <w:rsid w:val="00060B94"/>
    <w:rsid w:val="000627C1"/>
    <w:rsid w:val="00073438"/>
    <w:rsid w:val="00076109"/>
    <w:rsid w:val="00077C4F"/>
    <w:rsid w:val="00077DFA"/>
    <w:rsid w:val="00080B71"/>
    <w:rsid w:val="0009078C"/>
    <w:rsid w:val="00094399"/>
    <w:rsid w:val="000A56BB"/>
    <w:rsid w:val="000B2EB0"/>
    <w:rsid w:val="000B5E42"/>
    <w:rsid w:val="000C0C60"/>
    <w:rsid w:val="000C242C"/>
    <w:rsid w:val="000E5BF4"/>
    <w:rsid w:val="000F0274"/>
    <w:rsid w:val="000F5FD8"/>
    <w:rsid w:val="000F7FF6"/>
    <w:rsid w:val="00101EC8"/>
    <w:rsid w:val="00105452"/>
    <w:rsid w:val="00114784"/>
    <w:rsid w:val="00115025"/>
    <w:rsid w:val="001167C0"/>
    <w:rsid w:val="00121E77"/>
    <w:rsid w:val="00125607"/>
    <w:rsid w:val="001310A8"/>
    <w:rsid w:val="00133EB1"/>
    <w:rsid w:val="00135C2A"/>
    <w:rsid w:val="00143794"/>
    <w:rsid w:val="001444C7"/>
    <w:rsid w:val="0015012F"/>
    <w:rsid w:val="00151502"/>
    <w:rsid w:val="001532A9"/>
    <w:rsid w:val="0018046C"/>
    <w:rsid w:val="0018291D"/>
    <w:rsid w:val="00193D6B"/>
    <w:rsid w:val="0019561C"/>
    <w:rsid w:val="001A0369"/>
    <w:rsid w:val="001A7324"/>
    <w:rsid w:val="001B0E0B"/>
    <w:rsid w:val="001B7B91"/>
    <w:rsid w:val="001C4138"/>
    <w:rsid w:val="001E07A8"/>
    <w:rsid w:val="001E09B6"/>
    <w:rsid w:val="001F2EC6"/>
    <w:rsid w:val="001F65D0"/>
    <w:rsid w:val="002035F9"/>
    <w:rsid w:val="002058FD"/>
    <w:rsid w:val="0020590F"/>
    <w:rsid w:val="00207B51"/>
    <w:rsid w:val="00213071"/>
    <w:rsid w:val="00217E59"/>
    <w:rsid w:val="00221965"/>
    <w:rsid w:val="0022418B"/>
    <w:rsid w:val="00226D9D"/>
    <w:rsid w:val="0023110F"/>
    <w:rsid w:val="00232990"/>
    <w:rsid w:val="0024022B"/>
    <w:rsid w:val="00263856"/>
    <w:rsid w:val="00266691"/>
    <w:rsid w:val="002818F4"/>
    <w:rsid w:val="002B2E0D"/>
    <w:rsid w:val="002C46B7"/>
    <w:rsid w:val="002C58D0"/>
    <w:rsid w:val="002D16A5"/>
    <w:rsid w:val="002D2933"/>
    <w:rsid w:val="002F03FA"/>
    <w:rsid w:val="00300390"/>
    <w:rsid w:val="003004D2"/>
    <w:rsid w:val="00301FAA"/>
    <w:rsid w:val="0030398B"/>
    <w:rsid w:val="00311144"/>
    <w:rsid w:val="003114E2"/>
    <w:rsid w:val="00321ECB"/>
    <w:rsid w:val="003220E7"/>
    <w:rsid w:val="003323FC"/>
    <w:rsid w:val="003349A3"/>
    <w:rsid w:val="003359CA"/>
    <w:rsid w:val="00337A30"/>
    <w:rsid w:val="0034493E"/>
    <w:rsid w:val="00346D5C"/>
    <w:rsid w:val="00352590"/>
    <w:rsid w:val="003570EC"/>
    <w:rsid w:val="003575A1"/>
    <w:rsid w:val="00367C4A"/>
    <w:rsid w:val="00377967"/>
    <w:rsid w:val="003817C4"/>
    <w:rsid w:val="00384B20"/>
    <w:rsid w:val="00386143"/>
    <w:rsid w:val="003A065C"/>
    <w:rsid w:val="003A21E4"/>
    <w:rsid w:val="003A4BAD"/>
    <w:rsid w:val="003A63C6"/>
    <w:rsid w:val="003B58DC"/>
    <w:rsid w:val="003B5EAA"/>
    <w:rsid w:val="003C30C9"/>
    <w:rsid w:val="003D642A"/>
    <w:rsid w:val="003E026C"/>
    <w:rsid w:val="003E73D3"/>
    <w:rsid w:val="003F1BAC"/>
    <w:rsid w:val="003F686E"/>
    <w:rsid w:val="00410530"/>
    <w:rsid w:val="0041599A"/>
    <w:rsid w:val="00431306"/>
    <w:rsid w:val="00442552"/>
    <w:rsid w:val="00450BF3"/>
    <w:rsid w:val="00451183"/>
    <w:rsid w:val="00455A1C"/>
    <w:rsid w:val="00456BE2"/>
    <w:rsid w:val="004635AF"/>
    <w:rsid w:val="004675B5"/>
    <w:rsid w:val="00473284"/>
    <w:rsid w:val="0047650C"/>
    <w:rsid w:val="004770D6"/>
    <w:rsid w:val="00477241"/>
    <w:rsid w:val="0049156D"/>
    <w:rsid w:val="0049246C"/>
    <w:rsid w:val="004961C5"/>
    <w:rsid w:val="004A0F02"/>
    <w:rsid w:val="004A2263"/>
    <w:rsid w:val="004A7932"/>
    <w:rsid w:val="004B17E6"/>
    <w:rsid w:val="004C4D28"/>
    <w:rsid w:val="004C7604"/>
    <w:rsid w:val="004F6117"/>
    <w:rsid w:val="004F63F1"/>
    <w:rsid w:val="004F651E"/>
    <w:rsid w:val="00506D1E"/>
    <w:rsid w:val="0051297A"/>
    <w:rsid w:val="0051467C"/>
    <w:rsid w:val="00515A34"/>
    <w:rsid w:val="0052596B"/>
    <w:rsid w:val="00547429"/>
    <w:rsid w:val="00554137"/>
    <w:rsid w:val="00554BD8"/>
    <w:rsid w:val="00554D8D"/>
    <w:rsid w:val="005560B2"/>
    <w:rsid w:val="00573835"/>
    <w:rsid w:val="00574BD7"/>
    <w:rsid w:val="00577089"/>
    <w:rsid w:val="00581306"/>
    <w:rsid w:val="00582303"/>
    <w:rsid w:val="005860B3"/>
    <w:rsid w:val="005974F5"/>
    <w:rsid w:val="005B6B72"/>
    <w:rsid w:val="005C285B"/>
    <w:rsid w:val="005C28CE"/>
    <w:rsid w:val="005C3105"/>
    <w:rsid w:val="005C593F"/>
    <w:rsid w:val="005D5BB3"/>
    <w:rsid w:val="005E53BA"/>
    <w:rsid w:val="005F3209"/>
    <w:rsid w:val="005F75E6"/>
    <w:rsid w:val="00603854"/>
    <w:rsid w:val="00603B1B"/>
    <w:rsid w:val="00604657"/>
    <w:rsid w:val="00607C40"/>
    <w:rsid w:val="00611368"/>
    <w:rsid w:val="006144C1"/>
    <w:rsid w:val="00617C48"/>
    <w:rsid w:val="0062133E"/>
    <w:rsid w:val="0062406F"/>
    <w:rsid w:val="00631162"/>
    <w:rsid w:val="00642FB2"/>
    <w:rsid w:val="00647D31"/>
    <w:rsid w:val="0065016C"/>
    <w:rsid w:val="00692C2F"/>
    <w:rsid w:val="00695797"/>
    <w:rsid w:val="00696A5E"/>
    <w:rsid w:val="006A4551"/>
    <w:rsid w:val="006A57C4"/>
    <w:rsid w:val="006B33B4"/>
    <w:rsid w:val="006B3B69"/>
    <w:rsid w:val="006B3D7D"/>
    <w:rsid w:val="006B53A6"/>
    <w:rsid w:val="006B795F"/>
    <w:rsid w:val="006C3005"/>
    <w:rsid w:val="006D13FD"/>
    <w:rsid w:val="006E3297"/>
    <w:rsid w:val="006E4C48"/>
    <w:rsid w:val="006E6220"/>
    <w:rsid w:val="006F544A"/>
    <w:rsid w:val="006F5B15"/>
    <w:rsid w:val="006F7DD2"/>
    <w:rsid w:val="00702949"/>
    <w:rsid w:val="00704500"/>
    <w:rsid w:val="007077EF"/>
    <w:rsid w:val="00717339"/>
    <w:rsid w:val="007312E3"/>
    <w:rsid w:val="00734613"/>
    <w:rsid w:val="00744833"/>
    <w:rsid w:val="00745292"/>
    <w:rsid w:val="00751910"/>
    <w:rsid w:val="00751E60"/>
    <w:rsid w:val="0075282F"/>
    <w:rsid w:val="007547B5"/>
    <w:rsid w:val="007650D0"/>
    <w:rsid w:val="0076526E"/>
    <w:rsid w:val="00770B74"/>
    <w:rsid w:val="00774555"/>
    <w:rsid w:val="00783E6B"/>
    <w:rsid w:val="00790B88"/>
    <w:rsid w:val="00795A9E"/>
    <w:rsid w:val="007A442E"/>
    <w:rsid w:val="007A606D"/>
    <w:rsid w:val="007B0A01"/>
    <w:rsid w:val="007B61C4"/>
    <w:rsid w:val="007C2214"/>
    <w:rsid w:val="007D25E5"/>
    <w:rsid w:val="007D345D"/>
    <w:rsid w:val="007D4200"/>
    <w:rsid w:val="007D6488"/>
    <w:rsid w:val="007D6826"/>
    <w:rsid w:val="007E794C"/>
    <w:rsid w:val="00807B48"/>
    <w:rsid w:val="00810D3C"/>
    <w:rsid w:val="008135CA"/>
    <w:rsid w:val="0081584F"/>
    <w:rsid w:val="00826F37"/>
    <w:rsid w:val="008320AF"/>
    <w:rsid w:val="00832881"/>
    <w:rsid w:val="00841608"/>
    <w:rsid w:val="008426DA"/>
    <w:rsid w:val="00853418"/>
    <w:rsid w:val="00860BF4"/>
    <w:rsid w:val="00860F8D"/>
    <w:rsid w:val="00862B65"/>
    <w:rsid w:val="008703BF"/>
    <w:rsid w:val="008750B3"/>
    <w:rsid w:val="00876668"/>
    <w:rsid w:val="00880034"/>
    <w:rsid w:val="008925CE"/>
    <w:rsid w:val="008B1409"/>
    <w:rsid w:val="008B5A36"/>
    <w:rsid w:val="008C4D41"/>
    <w:rsid w:val="008C58B2"/>
    <w:rsid w:val="008D5EF7"/>
    <w:rsid w:val="008D7DB6"/>
    <w:rsid w:val="008E59D7"/>
    <w:rsid w:val="008F5789"/>
    <w:rsid w:val="0090708F"/>
    <w:rsid w:val="00907DD4"/>
    <w:rsid w:val="0091463A"/>
    <w:rsid w:val="009175C1"/>
    <w:rsid w:val="00923996"/>
    <w:rsid w:val="0093181F"/>
    <w:rsid w:val="00950EAF"/>
    <w:rsid w:val="00951E20"/>
    <w:rsid w:val="00955943"/>
    <w:rsid w:val="00955B54"/>
    <w:rsid w:val="00964BC8"/>
    <w:rsid w:val="009668FE"/>
    <w:rsid w:val="00980471"/>
    <w:rsid w:val="00981F45"/>
    <w:rsid w:val="009867EA"/>
    <w:rsid w:val="00990D7E"/>
    <w:rsid w:val="00994D12"/>
    <w:rsid w:val="00997AE8"/>
    <w:rsid w:val="009A1566"/>
    <w:rsid w:val="009A3524"/>
    <w:rsid w:val="009B128B"/>
    <w:rsid w:val="009B3FFE"/>
    <w:rsid w:val="009C2810"/>
    <w:rsid w:val="009D5A82"/>
    <w:rsid w:val="009D6153"/>
    <w:rsid w:val="009D783C"/>
    <w:rsid w:val="009E27E7"/>
    <w:rsid w:val="00A03607"/>
    <w:rsid w:val="00A16F07"/>
    <w:rsid w:val="00A177B3"/>
    <w:rsid w:val="00A25809"/>
    <w:rsid w:val="00A25907"/>
    <w:rsid w:val="00A30F68"/>
    <w:rsid w:val="00A31741"/>
    <w:rsid w:val="00A32BF2"/>
    <w:rsid w:val="00A3554F"/>
    <w:rsid w:val="00A432EF"/>
    <w:rsid w:val="00A44F3F"/>
    <w:rsid w:val="00A62C7B"/>
    <w:rsid w:val="00A71A39"/>
    <w:rsid w:val="00A72D9E"/>
    <w:rsid w:val="00A73E89"/>
    <w:rsid w:val="00A74C6E"/>
    <w:rsid w:val="00A75A7B"/>
    <w:rsid w:val="00A768AB"/>
    <w:rsid w:val="00A7709A"/>
    <w:rsid w:val="00A81C6D"/>
    <w:rsid w:val="00A851BA"/>
    <w:rsid w:val="00A90FBC"/>
    <w:rsid w:val="00A944FD"/>
    <w:rsid w:val="00A97307"/>
    <w:rsid w:val="00AA0D0B"/>
    <w:rsid w:val="00AB1C2B"/>
    <w:rsid w:val="00AB7293"/>
    <w:rsid w:val="00AC6FE4"/>
    <w:rsid w:val="00AE1842"/>
    <w:rsid w:val="00AE3C7C"/>
    <w:rsid w:val="00B00B9C"/>
    <w:rsid w:val="00B13BCE"/>
    <w:rsid w:val="00B156A8"/>
    <w:rsid w:val="00B260BB"/>
    <w:rsid w:val="00B31306"/>
    <w:rsid w:val="00B35C12"/>
    <w:rsid w:val="00B410A8"/>
    <w:rsid w:val="00B42814"/>
    <w:rsid w:val="00B448B9"/>
    <w:rsid w:val="00B44B26"/>
    <w:rsid w:val="00B56594"/>
    <w:rsid w:val="00B60DAC"/>
    <w:rsid w:val="00B706FA"/>
    <w:rsid w:val="00B774FF"/>
    <w:rsid w:val="00B83936"/>
    <w:rsid w:val="00B9318E"/>
    <w:rsid w:val="00B962E6"/>
    <w:rsid w:val="00B97C61"/>
    <w:rsid w:val="00BA598A"/>
    <w:rsid w:val="00BC2511"/>
    <w:rsid w:val="00BD6EB7"/>
    <w:rsid w:val="00BD7A2D"/>
    <w:rsid w:val="00BF2C65"/>
    <w:rsid w:val="00C11C86"/>
    <w:rsid w:val="00C21085"/>
    <w:rsid w:val="00C224BB"/>
    <w:rsid w:val="00C2672A"/>
    <w:rsid w:val="00C34E5A"/>
    <w:rsid w:val="00C35954"/>
    <w:rsid w:val="00C3781C"/>
    <w:rsid w:val="00C37BDD"/>
    <w:rsid w:val="00C50206"/>
    <w:rsid w:val="00C54B61"/>
    <w:rsid w:val="00C54D27"/>
    <w:rsid w:val="00C743AB"/>
    <w:rsid w:val="00C76EEB"/>
    <w:rsid w:val="00C83B6B"/>
    <w:rsid w:val="00CA28FE"/>
    <w:rsid w:val="00CA5725"/>
    <w:rsid w:val="00CA626E"/>
    <w:rsid w:val="00CA7379"/>
    <w:rsid w:val="00CB5202"/>
    <w:rsid w:val="00CB5C10"/>
    <w:rsid w:val="00CD2A18"/>
    <w:rsid w:val="00CE26E1"/>
    <w:rsid w:val="00CF073B"/>
    <w:rsid w:val="00CF25D4"/>
    <w:rsid w:val="00CF4B7F"/>
    <w:rsid w:val="00CF5235"/>
    <w:rsid w:val="00D01F5A"/>
    <w:rsid w:val="00D0414F"/>
    <w:rsid w:val="00D04F38"/>
    <w:rsid w:val="00D07F1D"/>
    <w:rsid w:val="00D1323B"/>
    <w:rsid w:val="00D1716E"/>
    <w:rsid w:val="00D26D08"/>
    <w:rsid w:val="00D31AFF"/>
    <w:rsid w:val="00D456E2"/>
    <w:rsid w:val="00D50A49"/>
    <w:rsid w:val="00D5262F"/>
    <w:rsid w:val="00D550EB"/>
    <w:rsid w:val="00D55F86"/>
    <w:rsid w:val="00D63F2A"/>
    <w:rsid w:val="00D64E05"/>
    <w:rsid w:val="00D70F0C"/>
    <w:rsid w:val="00D71723"/>
    <w:rsid w:val="00D8346B"/>
    <w:rsid w:val="00D834CD"/>
    <w:rsid w:val="00D83702"/>
    <w:rsid w:val="00D85587"/>
    <w:rsid w:val="00D92AD4"/>
    <w:rsid w:val="00D92FD3"/>
    <w:rsid w:val="00DA3B6E"/>
    <w:rsid w:val="00DB1CDD"/>
    <w:rsid w:val="00DB5DA3"/>
    <w:rsid w:val="00DB7581"/>
    <w:rsid w:val="00DB7FC8"/>
    <w:rsid w:val="00DC70C1"/>
    <w:rsid w:val="00DD795A"/>
    <w:rsid w:val="00DE067D"/>
    <w:rsid w:val="00E025F4"/>
    <w:rsid w:val="00E0397C"/>
    <w:rsid w:val="00E127A2"/>
    <w:rsid w:val="00E14A9E"/>
    <w:rsid w:val="00E20B9E"/>
    <w:rsid w:val="00E30003"/>
    <w:rsid w:val="00E34CBF"/>
    <w:rsid w:val="00E34F73"/>
    <w:rsid w:val="00E429C3"/>
    <w:rsid w:val="00E5357B"/>
    <w:rsid w:val="00E6167C"/>
    <w:rsid w:val="00E70891"/>
    <w:rsid w:val="00E755D8"/>
    <w:rsid w:val="00E7572F"/>
    <w:rsid w:val="00E810A6"/>
    <w:rsid w:val="00E83C12"/>
    <w:rsid w:val="00E904C8"/>
    <w:rsid w:val="00EA1355"/>
    <w:rsid w:val="00EA1BBF"/>
    <w:rsid w:val="00EA5C29"/>
    <w:rsid w:val="00EB0AD5"/>
    <w:rsid w:val="00EB29A9"/>
    <w:rsid w:val="00EB5BAB"/>
    <w:rsid w:val="00EB77D2"/>
    <w:rsid w:val="00EC3110"/>
    <w:rsid w:val="00ED6363"/>
    <w:rsid w:val="00F2354F"/>
    <w:rsid w:val="00F316C8"/>
    <w:rsid w:val="00F31A82"/>
    <w:rsid w:val="00F371E1"/>
    <w:rsid w:val="00F3794D"/>
    <w:rsid w:val="00F46CA9"/>
    <w:rsid w:val="00F532B9"/>
    <w:rsid w:val="00F57582"/>
    <w:rsid w:val="00F61B3C"/>
    <w:rsid w:val="00F632DE"/>
    <w:rsid w:val="00F735E4"/>
    <w:rsid w:val="00F750AF"/>
    <w:rsid w:val="00F761D8"/>
    <w:rsid w:val="00F777CF"/>
    <w:rsid w:val="00F81B3F"/>
    <w:rsid w:val="00F90546"/>
    <w:rsid w:val="00F91338"/>
    <w:rsid w:val="00F977DD"/>
    <w:rsid w:val="00FB02A4"/>
    <w:rsid w:val="00FB7834"/>
    <w:rsid w:val="00FC7E34"/>
    <w:rsid w:val="00FD1720"/>
    <w:rsid w:val="00FD283E"/>
    <w:rsid w:val="00FD3893"/>
    <w:rsid w:val="00FD44AD"/>
    <w:rsid w:val="00FD4B6A"/>
    <w:rsid w:val="00FD742D"/>
    <w:rsid w:val="00FE7A26"/>
    <w:rsid w:val="00FF03A8"/>
    <w:rsid w:val="00FF14E7"/>
    <w:rsid w:val="00FF63EA"/>
    <w:rsid w:val="0A80A345"/>
    <w:rsid w:val="0D9852DC"/>
    <w:rsid w:val="1ADBFB17"/>
    <w:rsid w:val="1ECC11DD"/>
    <w:rsid w:val="38FFA166"/>
    <w:rsid w:val="482E273F"/>
    <w:rsid w:val="4BF3EAA8"/>
    <w:rsid w:val="4F9F2D22"/>
    <w:rsid w:val="51127F73"/>
    <w:rsid w:val="514DC0E4"/>
    <w:rsid w:val="530A9DEF"/>
    <w:rsid w:val="58D43516"/>
    <w:rsid w:val="71BBF555"/>
    <w:rsid w:val="7327613F"/>
    <w:rsid w:val="7E8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DBEE9"/>
  <w15:chartTrackingRefBased/>
  <w15:docId w15:val="{762DCEB0-A593-46BA-ADDC-6A0EABCA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Fußnotentextf,fn,Style 7,Fußnotentext Char,Fußnotentext Char1 Char1,Fußnotentext Char Char Char Char,Fußnotentext Char1 Char Char Char,Fußnotentext Char Char,Fußnote,Fuﬂnotentextf,f,ft"/>
    <w:basedOn w:val="Normal"/>
    <w:link w:val="FootnoteTextChar"/>
    <w:uiPriority w:val="99"/>
    <w:unhideWhenUsed/>
    <w:qFormat/>
    <w:rsid w:val="00E0397C"/>
    <w:pPr>
      <w:spacing w:after="0" w:line="240" w:lineRule="auto"/>
    </w:pPr>
    <w:rPr>
      <w:rFonts w:ascii="Arial" w:eastAsia="Arial" w:hAnsi="Arial" w:cs="Arial"/>
      <w:kern w:val="2"/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Fußnotentextf Char,fn Char,Style 7 Char,Fußnotentext Char Char1,Fußnotentext Char1 Char1 Char,Fußnotentext Char Char Char Char Char,Fußnotentext Char Char Char,f Char"/>
    <w:link w:val="FootnoteText"/>
    <w:uiPriority w:val="99"/>
    <w:qFormat/>
    <w:rsid w:val="00E0397C"/>
    <w:rPr>
      <w:rFonts w:ascii="Arial" w:eastAsia="Arial" w:hAnsi="Arial" w:cs="Arial"/>
      <w:kern w:val="2"/>
      <w:lang w:val="en-IE" w:eastAsia="en-US"/>
    </w:rPr>
  </w:style>
  <w:style w:type="paragraph" w:styleId="Header">
    <w:name w:val="header"/>
    <w:basedOn w:val="Normal"/>
    <w:link w:val="HeaderChar"/>
    <w:uiPriority w:val="99"/>
    <w:unhideWhenUsed/>
    <w:rsid w:val="003A4B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A4B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4B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A4BAD"/>
    <w:rPr>
      <w:sz w:val="22"/>
      <w:szCs w:val="22"/>
      <w:lang w:eastAsia="en-US"/>
    </w:rPr>
  </w:style>
  <w:style w:type="character" w:styleId="FootnoteReference">
    <w:name w:val="footnote reference"/>
    <w:uiPriority w:val="99"/>
    <w:semiHidden/>
    <w:unhideWhenUsed/>
    <w:rsid w:val="00770B7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44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4B2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44B2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B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4B26"/>
    <w:rPr>
      <w:b/>
      <w:bCs/>
      <w:lang w:eastAsia="en-US"/>
    </w:rPr>
  </w:style>
  <w:style w:type="paragraph" w:styleId="Revision">
    <w:name w:val="Revision"/>
    <w:hidden/>
    <w:uiPriority w:val="99"/>
    <w:semiHidden/>
    <w:rsid w:val="00860F8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26F3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26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6701/oj" TargetMode="External"/><Relationship Id="rId1" Type="http://schemas.openxmlformats.org/officeDocument/2006/relationships/hyperlink" Target="https://eur-lex.europa.eu/legal-content/EN/TXT/?uri=celex:52025DC0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c666ed-fe46-43d6-bf30-6de2567680e6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7100A9351204890AE6EC9E8983010" ma:contentTypeVersion="10" ma:contentTypeDescription="Create a new document." ma:contentTypeScope="" ma:versionID="e97d29b1770148343b73576c29187785">
  <xsd:schema xmlns:xsd="http://www.w3.org/2001/XMLSchema" xmlns:xs="http://www.w3.org/2001/XMLSchema" xmlns:p="http://schemas.microsoft.com/office/2006/metadata/properties" xmlns:ns2="30c666ed-fe46-43d6-bf30-6de2567680e6" targetNamespace="http://schemas.microsoft.com/office/2006/metadata/properties" ma:root="true" ma:fieldsID="e76b89cd66126d706bb5f708ee2905ac" ns2:_="">
    <xsd:import namespace="30c666ed-fe46-43d6-bf30-6de256768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666ed-fe46-43d6-bf30-6de256768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FA8911-B0AD-487D-82AB-7956F0504AE3}">
  <ds:schemaRefs>
    <ds:schemaRef ds:uri="http://schemas.microsoft.com/office/2006/metadata/properties"/>
    <ds:schemaRef ds:uri="http://schemas.microsoft.com/office/infopath/2007/PartnerControls"/>
    <ds:schemaRef ds:uri="30c666ed-fe46-43d6-bf30-6de2567680e6"/>
  </ds:schemaRefs>
</ds:datastoreItem>
</file>

<file path=customXml/itemProps2.xml><?xml version="1.0" encoding="utf-8"?>
<ds:datastoreItem xmlns:ds="http://schemas.openxmlformats.org/officeDocument/2006/customXml" ds:itemID="{4F5178D9-68BC-497D-AC24-614AE9184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CD25D6-F407-4D5B-9C22-5FB0D3C70D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75A8BB-F511-41B7-9F57-0A77E09D6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666ed-fe46-43d6-bf30-6de256768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820</Words>
  <Characters>4873</Characters>
  <Application>Microsoft Office Word</Application>
  <DocSecurity>0</DocSecurity>
  <Lines>67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PUIA Manuela Morena (SG)</dc:creator>
  <cp:keywords/>
  <cp:lastModifiedBy>ROSSI Simona (SG)</cp:lastModifiedBy>
  <cp:revision>2</cp:revision>
  <cp:lastPrinted>2013-02-28T12:02:00Z</cp:lastPrinted>
  <dcterms:created xsi:type="dcterms:W3CDTF">2026-04-17T08:54:00Z</dcterms:created>
  <dcterms:modified xsi:type="dcterms:W3CDTF">2026-04-17T08:54:00Z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2023-04-12T12:31:59Z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633b4ac4-9ed9-4135-981c-e588276a87bc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0x010100BF37100A9351204890AE6EC9E8983010</vt:lpwstr>
  </property>
  <property fmtid="{D5CDD505-2E9C-101B-9397-08002B2CF9AE}" pid="10" name="MediaServiceImageTags">
    <vt:lpwstr/>
  </property>
</Properties>
</file>