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0CE" w:rsidRDefault="00077C4F" w:rsidP="00442552">
      <w:pPr>
        <w:rPr>
          <w:rFonts w:ascii="Times New Roman" w:hAnsi="Times New Roman"/>
          <w:b/>
          <w:sz w:val="2"/>
          <w:szCs w:val="2"/>
          <w:u w:val="single"/>
        </w:rPr>
      </w:pPr>
    </w:p>
    <w:tbl>
      <w:tblPr>
        <w:tblW w:w="998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88"/>
      </w:tblGrid>
      <w:tr w:rsidR="002C46B5" w:rsidRPr="00442552" w14:paraId="34222E23" w14:textId="77777777" w:rsidTr="0029477C">
        <w:trPr>
          <w:jc w:val="center"/>
        </w:trPr>
        <w:tc>
          <w:tcPr>
            <w:tcW w:w="9988" w:type="dxa"/>
          </w:tcPr>
          <w:p w14:paraId="01A50E4C" w14:textId="6EC38CC3" w:rsidR="002C46B5" w:rsidRPr="006621AA" w:rsidRDefault="002C46B5" w:rsidP="003B0FA5">
            <w:pPr>
              <w:widowControl w:val="0"/>
              <w:spacing w:before="120" w:after="120"/>
              <w:rPr>
                <w:rFonts w:ascii="Times New Roman" w:hAnsi="Times New Roman"/>
                <w:b/>
                <w:sz w:val="24"/>
                <w:szCs w:val="24"/>
              </w:rPr>
            </w:pPr>
            <w:r w:rsidRPr="006621AA">
              <w:rPr>
                <w:rFonts w:ascii="Times New Roman" w:hAnsi="Times New Roman"/>
                <w:b/>
                <w:sz w:val="24"/>
                <w:szCs w:val="24"/>
              </w:rPr>
              <w:t>Establishing the European Social Fund as part of the National and Regional Partnership Plan</w:t>
            </w:r>
            <w:r w:rsidRPr="006621AA">
              <w:rPr>
                <w:rFonts w:ascii="Times New Roman" w:hAnsi="Times New Roman"/>
                <w:b/>
                <w:sz w:val="24"/>
                <w:szCs w:val="24"/>
              </w:rPr>
              <w:br/>
              <w:t>(mandatory opinion)</w:t>
            </w:r>
            <w:r w:rsidRPr="006621AA">
              <w:rPr>
                <w:rFonts w:ascii="Times New Roman" w:hAnsi="Times New Roman"/>
                <w:b/>
                <w:sz w:val="24"/>
                <w:szCs w:val="24"/>
              </w:rPr>
              <w:br/>
            </w:r>
            <w:proofErr w:type="gramStart"/>
            <w:r w:rsidRPr="006621AA">
              <w:rPr>
                <w:rFonts w:ascii="Times New Roman" w:hAnsi="Times New Roman"/>
                <w:b/>
                <w:sz w:val="24"/>
                <w:szCs w:val="24"/>
              </w:rPr>
              <w:t>COM(</w:t>
            </w:r>
            <w:proofErr w:type="gramEnd"/>
            <w:r w:rsidRPr="006621AA">
              <w:rPr>
                <w:rFonts w:ascii="Times New Roman" w:hAnsi="Times New Roman"/>
                <w:b/>
                <w:sz w:val="24"/>
                <w:szCs w:val="24"/>
              </w:rPr>
              <w:t>2025) 558 final</w:t>
            </w:r>
            <w:r w:rsidRPr="006621AA">
              <w:rPr>
                <w:rFonts w:ascii="Times New Roman" w:hAnsi="Times New Roman"/>
                <w:b/>
                <w:sz w:val="24"/>
                <w:szCs w:val="24"/>
                <w:lang w:val="en-IE"/>
              </w:rPr>
              <w:br/>
              <w:t xml:space="preserve">EESC-2025-03058 </w:t>
            </w:r>
            <w:r w:rsidRPr="006621AA">
              <w:rPr>
                <w:rFonts w:ascii="Times New Roman" w:hAnsi="Times New Roman"/>
                <w:b/>
                <w:sz w:val="24"/>
                <w:szCs w:val="24"/>
              </w:rPr>
              <w:t>‒ SOC/845</w:t>
            </w:r>
            <w:r w:rsidRPr="006621AA">
              <w:rPr>
                <w:rFonts w:ascii="Times New Roman" w:hAnsi="Times New Roman"/>
                <w:b/>
                <w:sz w:val="24"/>
                <w:szCs w:val="24"/>
              </w:rPr>
              <w:br/>
              <w:t>602</w:t>
            </w:r>
            <w:proofErr w:type="spellStart"/>
            <w:r w:rsidRPr="003B0FA5">
              <w:rPr>
                <w:rFonts w:ascii="Times New Roman" w:hAnsi="Times New Roman"/>
                <w:b/>
                <w:sz w:val="24"/>
                <w:szCs w:val="24"/>
                <w:vertAlign w:val="superscript"/>
                <w:lang w:val="en-IE"/>
              </w:rPr>
              <w:t>nd</w:t>
            </w:r>
            <w:proofErr w:type="spellEnd"/>
            <w:r w:rsidRPr="003B0FA5">
              <w:rPr>
                <w:rFonts w:ascii="Times New Roman" w:hAnsi="Times New Roman"/>
                <w:b/>
                <w:sz w:val="24"/>
                <w:szCs w:val="24"/>
                <w:lang w:val="en-IE"/>
              </w:rPr>
              <w:t xml:space="preserve"> </w:t>
            </w:r>
            <w:r w:rsidRPr="006621AA">
              <w:rPr>
                <w:rFonts w:ascii="Times New Roman" w:hAnsi="Times New Roman"/>
                <w:b/>
                <w:sz w:val="24"/>
                <w:szCs w:val="24"/>
              </w:rPr>
              <w:t xml:space="preserve">Plenary Session – January 2026 </w:t>
            </w:r>
            <w:r w:rsidRPr="006621AA">
              <w:rPr>
                <w:rFonts w:ascii="Times New Roman" w:hAnsi="Times New Roman"/>
                <w:b/>
                <w:sz w:val="24"/>
                <w:szCs w:val="24"/>
              </w:rPr>
              <w:br/>
              <w:t>Rapporteur: Nicoletta MERLO (IT</w:t>
            </w:r>
            <w:r>
              <w:rPr>
                <w:rFonts w:ascii="Times New Roman" w:hAnsi="Times New Roman"/>
                <w:b/>
                <w:sz w:val="24"/>
                <w:szCs w:val="24"/>
              </w:rPr>
              <w:t>-II</w:t>
            </w:r>
            <w:r w:rsidRPr="006621AA">
              <w:rPr>
                <w:rFonts w:ascii="Times New Roman" w:hAnsi="Times New Roman"/>
                <w:b/>
                <w:sz w:val="24"/>
                <w:szCs w:val="24"/>
              </w:rPr>
              <w:t>)</w:t>
            </w:r>
            <w:r w:rsidRPr="006621AA">
              <w:rPr>
                <w:rFonts w:ascii="Times New Roman" w:hAnsi="Times New Roman"/>
                <w:b/>
                <w:sz w:val="24"/>
                <w:szCs w:val="24"/>
              </w:rPr>
              <w:br/>
              <w:t>DG EMPL – Executive Vice-President MÎNZATU</w:t>
            </w:r>
          </w:p>
        </w:tc>
      </w:tr>
      <w:tr w:rsidR="00734613" w:rsidRPr="00442552" w14:paraId="1937071F" w14:textId="77777777" w:rsidTr="0029477C">
        <w:trPr>
          <w:jc w:val="center"/>
        </w:trPr>
        <w:tc>
          <w:tcPr>
            <w:tcW w:w="9988" w:type="dxa"/>
          </w:tcPr>
          <w:p w14:paraId="1E50B4DB" w14:textId="2F1B7E92"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6621AA">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9477C">
        <w:trPr>
          <w:jc w:val="center"/>
        </w:trPr>
        <w:tc>
          <w:tcPr>
            <w:tcW w:w="9988" w:type="dxa"/>
          </w:tcPr>
          <w:p w14:paraId="24E99A4D" w14:textId="2B339567" w:rsidR="00734613" w:rsidRPr="000408EC" w:rsidRDefault="5520910E" w:rsidP="00466A29">
            <w:pPr>
              <w:spacing w:before="120" w:after="120"/>
              <w:jc w:val="both"/>
              <w:rPr>
                <w:rFonts w:ascii="Times New Roman" w:hAnsi="Times New Roman"/>
                <w:sz w:val="24"/>
                <w:szCs w:val="24"/>
              </w:rPr>
            </w:pPr>
            <w:r w:rsidRPr="000408EC">
              <w:rPr>
                <w:rFonts w:ascii="Times New Roman" w:hAnsi="Times New Roman"/>
                <w:sz w:val="24"/>
                <w:szCs w:val="24"/>
              </w:rPr>
              <w:t>The Commission thanks the Committee for its opinion on the Commission proposal for a</w:t>
            </w:r>
            <w:r w:rsidR="00337A5E" w:rsidRPr="000408EC">
              <w:rPr>
                <w:rFonts w:ascii="Times New Roman" w:hAnsi="Times New Roman"/>
                <w:sz w:val="24"/>
                <w:szCs w:val="24"/>
              </w:rPr>
              <w:t> </w:t>
            </w:r>
            <w:r w:rsidRPr="000408EC">
              <w:rPr>
                <w:rFonts w:ascii="Times New Roman" w:hAnsi="Times New Roman"/>
                <w:sz w:val="24"/>
                <w:szCs w:val="24"/>
              </w:rPr>
              <w:t>Regulation of the European Parliament and of the Council establishing the European Social Fund as part of the National and Regional Partnership Plan</w:t>
            </w:r>
            <w:r w:rsidR="00337A5E" w:rsidRPr="000408EC">
              <w:rPr>
                <w:rStyle w:val="FootnoteReference"/>
                <w:rFonts w:ascii="Times New Roman" w:hAnsi="Times New Roman"/>
                <w:sz w:val="24"/>
                <w:szCs w:val="24"/>
              </w:rPr>
              <w:footnoteReference w:id="1"/>
            </w:r>
            <w:r w:rsidRPr="000408EC">
              <w:rPr>
                <w:rFonts w:ascii="Times New Roman" w:hAnsi="Times New Roman"/>
                <w:sz w:val="24"/>
                <w:szCs w:val="24"/>
              </w:rPr>
              <w:t xml:space="preserve"> and takes note of its recommendations.</w:t>
            </w:r>
          </w:p>
          <w:p w14:paraId="3A82D7E7" w14:textId="4D3257D2" w:rsidR="00331BE1" w:rsidRPr="000408EC" w:rsidRDefault="00331BE1" w:rsidP="00466A29">
            <w:pPr>
              <w:spacing w:before="120" w:after="120"/>
              <w:jc w:val="both"/>
              <w:rPr>
                <w:rFonts w:ascii="Times New Roman" w:hAnsi="Times New Roman"/>
                <w:sz w:val="24"/>
                <w:szCs w:val="24"/>
              </w:rPr>
            </w:pPr>
            <w:r w:rsidRPr="000408EC">
              <w:rPr>
                <w:rFonts w:ascii="Times New Roman" w:hAnsi="Times New Roman"/>
                <w:sz w:val="24"/>
                <w:szCs w:val="24"/>
              </w:rPr>
              <w:t xml:space="preserve">On point 1.1, the Commission notes that the 14% target for social spending </w:t>
            </w:r>
            <w:r w:rsidR="00220C10" w:rsidRPr="000408EC">
              <w:rPr>
                <w:rFonts w:ascii="Times New Roman" w:hAnsi="Times New Roman"/>
                <w:sz w:val="24"/>
                <w:szCs w:val="24"/>
              </w:rPr>
              <w:t xml:space="preserve">represents </w:t>
            </w:r>
            <w:r w:rsidRPr="000408EC">
              <w:rPr>
                <w:rFonts w:ascii="Times New Roman" w:hAnsi="Times New Roman"/>
                <w:sz w:val="24"/>
                <w:szCs w:val="24"/>
              </w:rPr>
              <w:t xml:space="preserve">a minimum target. </w:t>
            </w:r>
            <w:proofErr w:type="gramStart"/>
            <w:r w:rsidRPr="000408EC">
              <w:rPr>
                <w:rFonts w:ascii="Times New Roman" w:hAnsi="Times New Roman"/>
                <w:sz w:val="24"/>
                <w:szCs w:val="24"/>
              </w:rPr>
              <w:t>On the basis of</w:t>
            </w:r>
            <w:proofErr w:type="gramEnd"/>
            <w:r w:rsidRPr="000408EC">
              <w:rPr>
                <w:rFonts w:ascii="Times New Roman" w:hAnsi="Times New Roman"/>
                <w:sz w:val="24"/>
                <w:szCs w:val="24"/>
              </w:rPr>
              <w:t xml:space="preserve"> the challenges and needs at national, regional and local level, the Commission will ensure</w:t>
            </w:r>
            <w:r w:rsidR="00072B12" w:rsidRPr="000408EC">
              <w:rPr>
                <w:rFonts w:ascii="Times New Roman" w:hAnsi="Times New Roman"/>
                <w:sz w:val="24"/>
                <w:szCs w:val="24"/>
              </w:rPr>
              <w:t>,</w:t>
            </w:r>
            <w:r w:rsidRPr="000408EC">
              <w:rPr>
                <w:rFonts w:ascii="Times New Roman" w:hAnsi="Times New Roman"/>
                <w:sz w:val="24"/>
                <w:szCs w:val="24"/>
              </w:rPr>
              <w:t xml:space="preserve"> during the negotiations on the National and Regional Partnership Plans (NRPPs)</w:t>
            </w:r>
            <w:r w:rsidR="00072B12" w:rsidRPr="000408EC">
              <w:rPr>
                <w:rFonts w:ascii="Times New Roman" w:hAnsi="Times New Roman"/>
                <w:sz w:val="24"/>
                <w:szCs w:val="24"/>
              </w:rPr>
              <w:t>,</w:t>
            </w:r>
            <w:r w:rsidRPr="000408EC">
              <w:rPr>
                <w:rFonts w:ascii="Times New Roman" w:hAnsi="Times New Roman"/>
                <w:sz w:val="24"/>
                <w:szCs w:val="24"/>
              </w:rPr>
              <w:t xml:space="preserve"> that the planned resources are commensurate to those challenges.</w:t>
            </w:r>
          </w:p>
          <w:p w14:paraId="0702647D" w14:textId="74F76C47" w:rsidR="00EB1483" w:rsidRPr="000408EC" w:rsidRDefault="00EB1483" w:rsidP="00466A29">
            <w:pPr>
              <w:spacing w:before="120" w:after="120"/>
              <w:jc w:val="both"/>
              <w:rPr>
                <w:rFonts w:ascii="Times New Roman" w:hAnsi="Times New Roman"/>
                <w:sz w:val="24"/>
                <w:szCs w:val="24"/>
              </w:rPr>
            </w:pPr>
            <w:r w:rsidRPr="000408EC">
              <w:rPr>
                <w:rFonts w:ascii="Times New Roman" w:hAnsi="Times New Roman"/>
                <w:sz w:val="24"/>
                <w:szCs w:val="24"/>
              </w:rPr>
              <w:t>As concerns point</w:t>
            </w:r>
            <w:r w:rsidR="00072B12" w:rsidRPr="000408EC">
              <w:rPr>
                <w:rFonts w:ascii="Times New Roman" w:hAnsi="Times New Roman"/>
                <w:sz w:val="24"/>
                <w:szCs w:val="24"/>
              </w:rPr>
              <w:t>s</w:t>
            </w:r>
            <w:r w:rsidRPr="000408EC">
              <w:rPr>
                <w:rFonts w:ascii="Times New Roman" w:hAnsi="Times New Roman"/>
                <w:sz w:val="24"/>
                <w:szCs w:val="24"/>
              </w:rPr>
              <w:t xml:space="preserve"> 1.2, 1.10 and 1.11</w:t>
            </w:r>
            <w:r w:rsidR="00072B12" w:rsidRPr="000408EC">
              <w:rPr>
                <w:rFonts w:ascii="Times New Roman" w:hAnsi="Times New Roman"/>
                <w:sz w:val="24"/>
                <w:szCs w:val="24"/>
              </w:rPr>
              <w:t>,</w:t>
            </w:r>
            <w:r w:rsidRPr="000408EC">
              <w:rPr>
                <w:rFonts w:ascii="Times New Roman" w:hAnsi="Times New Roman"/>
                <w:sz w:val="24"/>
                <w:szCs w:val="24"/>
              </w:rPr>
              <w:t xml:space="preserve"> the Commission would like to underline that by bringing together EU support for agriculture, fisheries, cohesion, security, migration, border management and social policy under one coherent strategy and a common set of rules, the National and Regional Partnership Plans (NRPPs) ensure better policy planning and reduce the administrative burden for beneficiaries as well as national and regional authorities. The European Social Fund</w:t>
            </w:r>
            <w:r w:rsidR="00337A5E" w:rsidRPr="000408EC">
              <w:rPr>
                <w:rFonts w:ascii="Times New Roman" w:hAnsi="Times New Roman"/>
                <w:sz w:val="24"/>
                <w:szCs w:val="24"/>
              </w:rPr>
              <w:t xml:space="preserve"> (ESF)</w:t>
            </w:r>
            <w:r w:rsidRPr="000408EC">
              <w:rPr>
                <w:rFonts w:ascii="Times New Roman" w:hAnsi="Times New Roman"/>
                <w:sz w:val="24"/>
                <w:szCs w:val="24"/>
              </w:rPr>
              <w:t xml:space="preserve"> has within this single rulebook its own dedicated regulation.</w:t>
            </w:r>
          </w:p>
          <w:p w14:paraId="69A99ED5" w14:textId="069159A5" w:rsidR="00331BE1" w:rsidRPr="000408EC" w:rsidRDefault="6E77EC03" w:rsidP="00466A29">
            <w:pPr>
              <w:spacing w:before="120" w:after="120"/>
              <w:jc w:val="both"/>
              <w:rPr>
                <w:rFonts w:ascii="Times New Roman" w:hAnsi="Times New Roman"/>
                <w:sz w:val="24"/>
                <w:szCs w:val="24"/>
              </w:rPr>
            </w:pPr>
            <w:r w:rsidRPr="000408EC">
              <w:rPr>
                <w:rFonts w:ascii="Times New Roman" w:hAnsi="Times New Roman"/>
                <w:sz w:val="24"/>
                <w:szCs w:val="24"/>
              </w:rPr>
              <w:t>On point 1.3</w:t>
            </w:r>
            <w:r w:rsidR="00337A5E" w:rsidRPr="000408EC">
              <w:rPr>
                <w:rFonts w:ascii="Times New Roman" w:hAnsi="Times New Roman"/>
                <w:sz w:val="24"/>
                <w:szCs w:val="24"/>
              </w:rPr>
              <w:t>,</w:t>
            </w:r>
            <w:r w:rsidRPr="000408EC">
              <w:rPr>
                <w:rFonts w:ascii="Times New Roman" w:hAnsi="Times New Roman"/>
                <w:sz w:val="24"/>
                <w:szCs w:val="24"/>
              </w:rPr>
              <w:t xml:space="preserve"> the Commission would like to highlight that this is exactly what the single rulebook that the NRPP regulation</w:t>
            </w:r>
            <w:r w:rsidR="36CD8CA8" w:rsidRPr="000408EC">
              <w:rPr>
                <w:rFonts w:ascii="Times New Roman" w:hAnsi="Times New Roman"/>
                <w:sz w:val="24"/>
                <w:szCs w:val="24"/>
              </w:rPr>
              <w:t xml:space="preserve"> puts forwards intends to achieve: easier access to funding for beneficiaries with fewer, often diverging between </w:t>
            </w:r>
            <w:r w:rsidR="4055F9D3" w:rsidRPr="000408EC">
              <w:rPr>
                <w:rFonts w:ascii="Times New Roman" w:hAnsi="Times New Roman"/>
                <w:sz w:val="24"/>
                <w:szCs w:val="24"/>
              </w:rPr>
              <w:t>F</w:t>
            </w:r>
            <w:r w:rsidR="36CD8CA8" w:rsidRPr="000408EC">
              <w:rPr>
                <w:rFonts w:ascii="Times New Roman" w:hAnsi="Times New Roman"/>
                <w:sz w:val="24"/>
                <w:szCs w:val="24"/>
              </w:rPr>
              <w:t>unds, rules.</w:t>
            </w:r>
          </w:p>
          <w:p w14:paraId="18614FBE" w14:textId="0834DFD2" w:rsidR="0034510E" w:rsidRPr="000408EC" w:rsidRDefault="36CD8CA8" w:rsidP="2024066C">
            <w:pPr>
              <w:spacing w:before="120" w:after="120"/>
              <w:jc w:val="both"/>
              <w:rPr>
                <w:rFonts w:ascii="Times New Roman" w:eastAsia="Times New Roman" w:hAnsi="Times New Roman"/>
                <w:sz w:val="24"/>
                <w:szCs w:val="24"/>
              </w:rPr>
            </w:pPr>
            <w:r w:rsidRPr="000408EC">
              <w:rPr>
                <w:rFonts w:ascii="Times New Roman" w:hAnsi="Times New Roman"/>
                <w:sz w:val="24"/>
                <w:szCs w:val="24"/>
              </w:rPr>
              <w:t>The Commission takes note of point</w:t>
            </w:r>
            <w:r w:rsidR="00072B12" w:rsidRPr="000408EC">
              <w:rPr>
                <w:rFonts w:ascii="Times New Roman" w:hAnsi="Times New Roman"/>
                <w:sz w:val="24"/>
                <w:szCs w:val="24"/>
              </w:rPr>
              <w:t>s</w:t>
            </w:r>
            <w:r w:rsidRPr="000408EC">
              <w:rPr>
                <w:rFonts w:ascii="Times New Roman" w:hAnsi="Times New Roman"/>
                <w:sz w:val="24"/>
                <w:szCs w:val="24"/>
              </w:rPr>
              <w:t xml:space="preserve"> </w:t>
            </w:r>
            <w:r w:rsidR="1A2B7139" w:rsidRPr="000408EC">
              <w:rPr>
                <w:rFonts w:ascii="Times New Roman" w:hAnsi="Times New Roman"/>
                <w:sz w:val="24"/>
                <w:szCs w:val="24"/>
              </w:rPr>
              <w:t xml:space="preserve">1.4, 1.5, </w:t>
            </w:r>
            <w:r w:rsidRPr="000408EC">
              <w:rPr>
                <w:rFonts w:ascii="Times New Roman" w:hAnsi="Times New Roman"/>
                <w:sz w:val="24"/>
                <w:szCs w:val="24"/>
              </w:rPr>
              <w:t>1.7</w:t>
            </w:r>
            <w:r w:rsidR="1A2B7139" w:rsidRPr="000408EC">
              <w:rPr>
                <w:rFonts w:ascii="Times New Roman" w:hAnsi="Times New Roman"/>
                <w:sz w:val="24"/>
                <w:szCs w:val="24"/>
              </w:rPr>
              <w:t>, 1.8 and 1.9. The Commission would like to underline its full support for the importance of the partnership principle</w:t>
            </w:r>
            <w:r w:rsidR="08AF5C5E" w:rsidRPr="000408EC">
              <w:rPr>
                <w:rFonts w:ascii="Times New Roman" w:hAnsi="Times New Roman"/>
                <w:sz w:val="24"/>
                <w:szCs w:val="24"/>
              </w:rPr>
              <w:t xml:space="preserve"> which is at the core of the Commission</w:t>
            </w:r>
            <w:r w:rsidR="219A58A4" w:rsidRPr="000408EC">
              <w:rPr>
                <w:rFonts w:ascii="Times New Roman" w:hAnsi="Times New Roman"/>
                <w:sz w:val="24"/>
                <w:szCs w:val="24"/>
              </w:rPr>
              <w:t>’s</w:t>
            </w:r>
            <w:r w:rsidR="08AF5C5E" w:rsidRPr="000408EC">
              <w:rPr>
                <w:rFonts w:ascii="Times New Roman" w:hAnsi="Times New Roman"/>
                <w:sz w:val="24"/>
                <w:szCs w:val="24"/>
              </w:rPr>
              <w:t xml:space="preserve"> proposal</w:t>
            </w:r>
            <w:r w:rsidR="1A2B7139" w:rsidRPr="000408EC">
              <w:rPr>
                <w:rFonts w:ascii="Times New Roman" w:hAnsi="Times New Roman"/>
                <w:sz w:val="24"/>
                <w:szCs w:val="24"/>
              </w:rPr>
              <w:t xml:space="preserve">. </w:t>
            </w:r>
            <w:r w:rsidR="00337A5E" w:rsidRPr="000408EC">
              <w:rPr>
                <w:rFonts w:ascii="Times New Roman" w:hAnsi="Times New Roman"/>
                <w:sz w:val="24"/>
                <w:szCs w:val="24"/>
              </w:rPr>
              <w:t>A p</w:t>
            </w:r>
            <w:r w:rsidR="1A2B7139" w:rsidRPr="000408EC">
              <w:rPr>
                <w:rFonts w:ascii="Times New Roman" w:hAnsi="Times New Roman"/>
                <w:sz w:val="24"/>
                <w:szCs w:val="24"/>
              </w:rPr>
              <w:t xml:space="preserve">artnership between the Commission, the Member States, regions, local communities and all other relevant stakeholders is indispensable to achieve </w:t>
            </w:r>
            <w:r w:rsidR="00A52559" w:rsidRPr="000408EC">
              <w:rPr>
                <w:rFonts w:ascii="Times New Roman" w:hAnsi="Times New Roman"/>
                <w:sz w:val="24"/>
                <w:szCs w:val="24"/>
              </w:rPr>
              <w:t xml:space="preserve">the EU’s </w:t>
            </w:r>
            <w:r w:rsidR="1A2B7139" w:rsidRPr="000408EC">
              <w:rPr>
                <w:rFonts w:ascii="Times New Roman" w:hAnsi="Times New Roman"/>
                <w:sz w:val="24"/>
                <w:szCs w:val="24"/>
              </w:rPr>
              <w:t>objectives. Therefore, the European Code of Conduct on Partnership</w:t>
            </w:r>
            <w:r w:rsidR="00337A5E" w:rsidRPr="000408EC">
              <w:rPr>
                <w:rFonts w:ascii="Times New Roman" w:hAnsi="Times New Roman"/>
                <w:sz w:val="24"/>
                <w:szCs w:val="24"/>
              </w:rPr>
              <w:t xml:space="preserve"> (ECCP)</w:t>
            </w:r>
            <w:r w:rsidR="1A2B7139" w:rsidRPr="000408EC">
              <w:rPr>
                <w:rFonts w:ascii="Times New Roman" w:hAnsi="Times New Roman"/>
                <w:sz w:val="24"/>
                <w:szCs w:val="24"/>
              </w:rPr>
              <w:t xml:space="preserve"> will continue to apply to the NRPPs, ensuring that all elements of stakeholder involvement present in the current Cohesion Policy are preserved.</w:t>
            </w:r>
            <w:r w:rsidR="7FA49970" w:rsidRPr="000408EC">
              <w:rPr>
                <w:rFonts w:ascii="Times New Roman" w:eastAsia="Times New Roman" w:hAnsi="Times New Roman"/>
                <w:sz w:val="24"/>
                <w:szCs w:val="24"/>
              </w:rPr>
              <w:t xml:space="preserve"> The Commission proposal establishes that the number of partners in the monitoring committee, including economic and social partners and relevant bodies representing civil society, must be equal or superior to members belonging to authorities or intermediate bodies. Each member of the monitoring committee will have a vote.</w:t>
            </w:r>
          </w:p>
          <w:p w14:paraId="206CF5C2" w14:textId="4B8D61B4" w:rsidR="00EB1483" w:rsidRPr="000408EC" w:rsidRDefault="00EB1483" w:rsidP="00466A29">
            <w:pPr>
              <w:spacing w:before="120" w:after="120"/>
              <w:jc w:val="both"/>
              <w:rPr>
                <w:rFonts w:ascii="Times New Roman" w:hAnsi="Times New Roman"/>
                <w:sz w:val="24"/>
                <w:szCs w:val="24"/>
              </w:rPr>
            </w:pPr>
            <w:r w:rsidRPr="000408EC">
              <w:rPr>
                <w:rFonts w:ascii="Times New Roman" w:hAnsi="Times New Roman"/>
                <w:sz w:val="24"/>
                <w:szCs w:val="24"/>
              </w:rPr>
              <w:t>On point 1.12</w:t>
            </w:r>
            <w:r w:rsidR="00072B12" w:rsidRPr="000408EC">
              <w:rPr>
                <w:rFonts w:ascii="Times New Roman" w:hAnsi="Times New Roman"/>
                <w:sz w:val="24"/>
                <w:szCs w:val="24"/>
              </w:rPr>
              <w:t>,</w:t>
            </w:r>
            <w:r w:rsidRPr="000408EC">
              <w:rPr>
                <w:rFonts w:ascii="Times New Roman" w:hAnsi="Times New Roman"/>
                <w:sz w:val="24"/>
                <w:szCs w:val="24"/>
              </w:rPr>
              <w:t xml:space="preserve"> the Commission </w:t>
            </w:r>
            <w:r w:rsidR="00662B88" w:rsidRPr="000408EC">
              <w:rPr>
                <w:rFonts w:ascii="Times New Roman" w:hAnsi="Times New Roman"/>
                <w:sz w:val="24"/>
                <w:szCs w:val="24"/>
              </w:rPr>
              <w:t xml:space="preserve">agrees with the Committee that investing in administrative capacity can make an important contribution to the effective and efficient implementation of EU funds, </w:t>
            </w:r>
            <w:r w:rsidR="00662B88" w:rsidRPr="000408EC">
              <w:rPr>
                <w:rFonts w:ascii="Times New Roman" w:hAnsi="Times New Roman"/>
                <w:sz w:val="24"/>
                <w:szCs w:val="24"/>
              </w:rPr>
              <w:lastRenderedPageBreak/>
              <w:t>including the ESF.</w:t>
            </w:r>
          </w:p>
          <w:p w14:paraId="0ACED62F" w14:textId="648FBD6F" w:rsidR="00F92A74" w:rsidRPr="000408EC" w:rsidRDefault="7180ECE3" w:rsidP="2024066C">
            <w:pPr>
              <w:spacing w:before="120" w:after="120"/>
              <w:jc w:val="both"/>
              <w:rPr>
                <w:rFonts w:ascii="Times New Roman" w:hAnsi="Times New Roman"/>
                <w:b/>
                <w:bCs/>
                <w:sz w:val="24"/>
                <w:szCs w:val="24"/>
              </w:rPr>
            </w:pPr>
            <w:r w:rsidRPr="000408EC">
              <w:rPr>
                <w:rFonts w:ascii="Times New Roman" w:hAnsi="Times New Roman"/>
                <w:sz w:val="24"/>
                <w:szCs w:val="24"/>
              </w:rPr>
              <w:t>On point</w:t>
            </w:r>
            <w:r w:rsidR="1DEBC70E" w:rsidRPr="000408EC">
              <w:rPr>
                <w:rFonts w:ascii="Times New Roman" w:hAnsi="Times New Roman"/>
                <w:sz w:val="24"/>
                <w:szCs w:val="24"/>
              </w:rPr>
              <w:t>s 1</w:t>
            </w:r>
            <w:r w:rsidR="318B134A" w:rsidRPr="000408EC">
              <w:rPr>
                <w:rFonts w:ascii="Times New Roman" w:hAnsi="Times New Roman"/>
                <w:sz w:val="24"/>
                <w:szCs w:val="24"/>
              </w:rPr>
              <w:t>.</w:t>
            </w:r>
            <w:r w:rsidRPr="000408EC">
              <w:rPr>
                <w:rFonts w:ascii="Times New Roman" w:hAnsi="Times New Roman"/>
                <w:sz w:val="24"/>
                <w:szCs w:val="24"/>
              </w:rPr>
              <w:t>13</w:t>
            </w:r>
            <w:r w:rsidR="1DEBC70E" w:rsidRPr="000408EC">
              <w:rPr>
                <w:rFonts w:ascii="Times New Roman" w:hAnsi="Times New Roman"/>
                <w:sz w:val="24"/>
                <w:szCs w:val="24"/>
              </w:rPr>
              <w:t xml:space="preserve"> to 1.1</w:t>
            </w:r>
            <w:r w:rsidR="22F35F0F" w:rsidRPr="000408EC">
              <w:rPr>
                <w:rFonts w:ascii="Times New Roman" w:hAnsi="Times New Roman"/>
                <w:sz w:val="24"/>
                <w:szCs w:val="24"/>
              </w:rPr>
              <w:t>9</w:t>
            </w:r>
            <w:r w:rsidR="44BA56D2" w:rsidRPr="000408EC">
              <w:rPr>
                <w:rFonts w:ascii="Times New Roman" w:hAnsi="Times New Roman"/>
                <w:sz w:val="24"/>
                <w:szCs w:val="24"/>
              </w:rPr>
              <w:t xml:space="preserve">, the Commission would like to underline its full support </w:t>
            </w:r>
            <w:r w:rsidR="78868E9C" w:rsidRPr="000408EC">
              <w:rPr>
                <w:rFonts w:ascii="Times New Roman" w:hAnsi="Times New Roman"/>
                <w:sz w:val="24"/>
                <w:szCs w:val="24"/>
              </w:rPr>
              <w:t>in</w:t>
            </w:r>
            <w:r w:rsidR="44BA56D2" w:rsidRPr="000408EC">
              <w:rPr>
                <w:rFonts w:ascii="Times New Roman" w:hAnsi="Times New Roman"/>
                <w:sz w:val="24"/>
                <w:szCs w:val="24"/>
              </w:rPr>
              <w:t xml:space="preserve"> </w:t>
            </w:r>
            <w:r w:rsidR="78868E9C" w:rsidRPr="000408EC">
              <w:rPr>
                <w:rFonts w:ascii="Times New Roman" w:hAnsi="Times New Roman"/>
                <w:sz w:val="24"/>
                <w:szCs w:val="24"/>
              </w:rPr>
              <w:t xml:space="preserve">planning adequate </w:t>
            </w:r>
            <w:r w:rsidR="003B0FA5" w:rsidRPr="000408EC">
              <w:rPr>
                <w:rFonts w:ascii="Times New Roman" w:hAnsi="Times New Roman"/>
                <w:sz w:val="24"/>
                <w:szCs w:val="24"/>
              </w:rPr>
              <w:t xml:space="preserve">funding </w:t>
            </w:r>
            <w:r w:rsidR="78868E9C" w:rsidRPr="000408EC">
              <w:rPr>
                <w:rFonts w:ascii="Times New Roman" w:hAnsi="Times New Roman"/>
                <w:sz w:val="24"/>
                <w:szCs w:val="24"/>
              </w:rPr>
              <w:t>in NRPPs</w:t>
            </w:r>
            <w:r w:rsidR="44BA56D2" w:rsidRPr="000408EC">
              <w:rPr>
                <w:rFonts w:ascii="Times New Roman" w:hAnsi="Times New Roman"/>
                <w:sz w:val="24"/>
                <w:szCs w:val="24"/>
              </w:rPr>
              <w:t xml:space="preserve"> for investments in education, training and skills</w:t>
            </w:r>
            <w:r w:rsidR="78868E9C" w:rsidRPr="000408EC">
              <w:rPr>
                <w:rFonts w:ascii="Times New Roman" w:hAnsi="Times New Roman"/>
                <w:sz w:val="24"/>
                <w:szCs w:val="24"/>
              </w:rPr>
              <w:t xml:space="preserve"> measures and reforms</w:t>
            </w:r>
            <w:r w:rsidR="19AECA3C" w:rsidRPr="000408EC">
              <w:rPr>
                <w:rFonts w:ascii="Times New Roman" w:hAnsi="Times New Roman"/>
                <w:sz w:val="24"/>
                <w:szCs w:val="24"/>
              </w:rPr>
              <w:t>,</w:t>
            </w:r>
            <w:r w:rsidR="13CA4B38" w:rsidRPr="000408EC">
              <w:rPr>
                <w:rFonts w:ascii="Times New Roman" w:hAnsi="Times New Roman"/>
                <w:sz w:val="24"/>
                <w:szCs w:val="24"/>
              </w:rPr>
              <w:t xml:space="preserve"> in line with labour market needs</w:t>
            </w:r>
            <w:r w:rsidR="73A14B42" w:rsidRPr="000408EC">
              <w:rPr>
                <w:rFonts w:ascii="Times New Roman" w:hAnsi="Times New Roman"/>
                <w:sz w:val="24"/>
                <w:szCs w:val="24"/>
              </w:rPr>
              <w:t>, and addressing labour and skills shortage in sectors</w:t>
            </w:r>
            <w:r w:rsidR="7B2F4D7F" w:rsidRPr="000408EC">
              <w:rPr>
                <w:rFonts w:ascii="Times New Roman" w:hAnsi="Times New Roman"/>
                <w:sz w:val="24"/>
                <w:szCs w:val="24"/>
              </w:rPr>
              <w:t xml:space="preserve">, </w:t>
            </w:r>
            <w:r w:rsidR="73A14B42" w:rsidRPr="000408EC">
              <w:rPr>
                <w:rFonts w:ascii="Times New Roman" w:hAnsi="Times New Roman"/>
                <w:sz w:val="24"/>
                <w:szCs w:val="24"/>
              </w:rPr>
              <w:t>such as STEM</w:t>
            </w:r>
            <w:r w:rsidR="0EE3AC8F" w:rsidRPr="000408EC">
              <w:rPr>
                <w:rFonts w:ascii="Times New Roman" w:hAnsi="Times New Roman"/>
                <w:sz w:val="24"/>
                <w:szCs w:val="24"/>
              </w:rPr>
              <w:t xml:space="preserve"> (</w:t>
            </w:r>
            <w:r w:rsidR="0EE3AC8F" w:rsidRPr="000408EC">
              <w:rPr>
                <w:rFonts w:ascii="Times New Roman" w:eastAsia="Times New Roman" w:hAnsi="Times New Roman"/>
                <w:sz w:val="24"/>
                <w:szCs w:val="24"/>
              </w:rPr>
              <w:t>Science, Technology, Engineering and Mathematics</w:t>
            </w:r>
            <w:r w:rsidR="0EE3AC8F" w:rsidRPr="000408EC">
              <w:rPr>
                <w:rFonts w:ascii="Times New Roman" w:hAnsi="Times New Roman"/>
                <w:sz w:val="24"/>
                <w:szCs w:val="24"/>
              </w:rPr>
              <w:t>)</w:t>
            </w:r>
            <w:r w:rsidR="73A14B42" w:rsidRPr="000408EC">
              <w:rPr>
                <w:rFonts w:ascii="Times New Roman" w:hAnsi="Times New Roman"/>
                <w:sz w:val="24"/>
                <w:szCs w:val="24"/>
              </w:rPr>
              <w:t xml:space="preserve">, </w:t>
            </w:r>
            <w:proofErr w:type="gramStart"/>
            <w:r w:rsidR="78868E9C" w:rsidRPr="000408EC">
              <w:rPr>
                <w:rFonts w:ascii="Times New Roman" w:hAnsi="Times New Roman"/>
                <w:sz w:val="24"/>
                <w:szCs w:val="24"/>
              </w:rPr>
              <w:t>in particular for</w:t>
            </w:r>
            <w:proofErr w:type="gramEnd"/>
            <w:r w:rsidR="78868E9C" w:rsidRPr="000408EC">
              <w:rPr>
                <w:rFonts w:ascii="Times New Roman" w:hAnsi="Times New Roman"/>
                <w:sz w:val="24"/>
                <w:szCs w:val="24"/>
              </w:rPr>
              <w:t xml:space="preserve"> vulnerable groups</w:t>
            </w:r>
            <w:r w:rsidR="13CA4B38" w:rsidRPr="000408EC">
              <w:rPr>
                <w:rFonts w:ascii="Times New Roman" w:hAnsi="Times New Roman"/>
                <w:sz w:val="24"/>
                <w:szCs w:val="24"/>
              </w:rPr>
              <w:t>.</w:t>
            </w:r>
            <w:r w:rsidR="63258280" w:rsidRPr="000408EC">
              <w:rPr>
                <w:rFonts w:ascii="Times New Roman" w:hAnsi="Times New Roman"/>
                <w:sz w:val="24"/>
                <w:szCs w:val="24"/>
              </w:rPr>
              <w:t xml:space="preserve"> </w:t>
            </w:r>
            <w:r w:rsidR="4A3A3A18" w:rsidRPr="000408EC">
              <w:rPr>
                <w:rFonts w:ascii="Times New Roman" w:hAnsi="Times New Roman"/>
                <w:sz w:val="24"/>
                <w:szCs w:val="24"/>
              </w:rPr>
              <w:t>Investments in support</w:t>
            </w:r>
            <w:r w:rsidR="38DA3C93" w:rsidRPr="000408EC">
              <w:rPr>
                <w:rFonts w:ascii="Times New Roman" w:hAnsi="Times New Roman"/>
                <w:sz w:val="24"/>
                <w:szCs w:val="24"/>
              </w:rPr>
              <w:t xml:space="preserve"> of</w:t>
            </w:r>
            <w:r w:rsidR="4A3A3A18" w:rsidRPr="000408EC">
              <w:rPr>
                <w:rFonts w:ascii="Times New Roman" w:hAnsi="Times New Roman"/>
                <w:sz w:val="24"/>
                <w:szCs w:val="24"/>
              </w:rPr>
              <w:t xml:space="preserve"> entrepreneurship and self-employment can be part of this effort. D</w:t>
            </w:r>
            <w:r w:rsidR="22F35F0F" w:rsidRPr="000408EC">
              <w:rPr>
                <w:rFonts w:ascii="Times New Roman" w:hAnsi="Times New Roman"/>
                <w:sz w:val="24"/>
                <w:szCs w:val="24"/>
              </w:rPr>
              <w:t xml:space="preserve">uring the negotiations on the NRRPs </w:t>
            </w:r>
            <w:r w:rsidR="63258280" w:rsidRPr="000408EC">
              <w:rPr>
                <w:rFonts w:ascii="Times New Roman" w:hAnsi="Times New Roman"/>
                <w:sz w:val="24"/>
                <w:szCs w:val="24"/>
              </w:rPr>
              <w:t>the Commission will ensure</w:t>
            </w:r>
            <w:r w:rsidR="73A14B42" w:rsidRPr="000408EC">
              <w:rPr>
                <w:rFonts w:ascii="Times New Roman" w:hAnsi="Times New Roman"/>
                <w:sz w:val="24"/>
                <w:szCs w:val="24"/>
              </w:rPr>
              <w:t xml:space="preserve"> that the planned resources are commensurate to EU targets</w:t>
            </w:r>
            <w:r w:rsidR="22F35F0F" w:rsidRPr="000408EC">
              <w:rPr>
                <w:rFonts w:ascii="Times New Roman" w:hAnsi="Times New Roman"/>
                <w:sz w:val="24"/>
                <w:szCs w:val="24"/>
              </w:rPr>
              <w:t xml:space="preserve"> and the needs of the specific Member State and its regions</w:t>
            </w:r>
            <w:r w:rsidR="73A14B42" w:rsidRPr="000408EC">
              <w:rPr>
                <w:rFonts w:ascii="Times New Roman" w:hAnsi="Times New Roman"/>
                <w:sz w:val="24"/>
                <w:szCs w:val="24"/>
              </w:rPr>
              <w:t xml:space="preserve">. </w:t>
            </w:r>
          </w:p>
          <w:p w14:paraId="2CD0D0F1" w14:textId="79632ADB" w:rsidR="3413855D" w:rsidRPr="000408EC" w:rsidRDefault="3413855D" w:rsidP="00CF10E2">
            <w:pPr>
              <w:spacing w:before="120" w:after="120"/>
              <w:jc w:val="both"/>
              <w:rPr>
                <w:rFonts w:ascii="Times New Roman" w:eastAsia="Times New Roman" w:hAnsi="Times New Roman"/>
                <w:sz w:val="24"/>
                <w:szCs w:val="24"/>
              </w:rPr>
            </w:pPr>
            <w:r w:rsidRPr="000408EC">
              <w:rPr>
                <w:rFonts w:ascii="Times New Roman" w:eastAsia="Times New Roman" w:hAnsi="Times New Roman"/>
                <w:sz w:val="24"/>
                <w:szCs w:val="24"/>
              </w:rPr>
              <w:t>On points 1.16, 1.17 and 2.14, the Commission welcomes the Committee’s recommendations to strengthen the focus on STEM’s education and skills development, and to encourage women’s participation in these strategic fields. This is in line with the STEM Education Strategic Plan</w:t>
            </w:r>
            <w:r w:rsidR="003B0FA5" w:rsidRPr="000408EC">
              <w:rPr>
                <w:rStyle w:val="FootnoteReference"/>
                <w:rFonts w:ascii="Times New Roman" w:hAnsi="Times New Roman"/>
                <w:sz w:val="24"/>
                <w:szCs w:val="24"/>
              </w:rPr>
              <w:footnoteReference w:id="2"/>
            </w:r>
            <w:r w:rsidRPr="000408EC">
              <w:rPr>
                <w:rFonts w:ascii="Times New Roman" w:eastAsia="Times New Roman" w:hAnsi="Times New Roman"/>
                <w:sz w:val="24"/>
                <w:szCs w:val="24"/>
              </w:rPr>
              <w:t xml:space="preserve">, whose implementation and success will greatly benefit from the strong involvement of all relevant actors, including the civil society at large. </w:t>
            </w:r>
          </w:p>
          <w:p w14:paraId="7FA8445B" w14:textId="205A2CB1" w:rsidR="002F7F04" w:rsidRPr="000408EC" w:rsidRDefault="002F7F04" w:rsidP="00466A29">
            <w:pPr>
              <w:spacing w:before="120" w:after="120"/>
              <w:jc w:val="both"/>
              <w:rPr>
                <w:rFonts w:ascii="Times New Roman" w:hAnsi="Times New Roman"/>
                <w:bCs/>
                <w:sz w:val="24"/>
                <w:szCs w:val="24"/>
              </w:rPr>
            </w:pPr>
            <w:r w:rsidRPr="000408EC">
              <w:rPr>
                <w:rFonts w:ascii="Times New Roman" w:hAnsi="Times New Roman"/>
                <w:bCs/>
                <w:sz w:val="24"/>
                <w:szCs w:val="24"/>
              </w:rPr>
              <w:t>On point</w:t>
            </w:r>
            <w:r w:rsidR="00072B12" w:rsidRPr="000408EC">
              <w:rPr>
                <w:rFonts w:ascii="Times New Roman" w:hAnsi="Times New Roman"/>
                <w:bCs/>
                <w:sz w:val="24"/>
                <w:szCs w:val="24"/>
              </w:rPr>
              <w:t>s</w:t>
            </w:r>
            <w:r w:rsidRPr="000408EC">
              <w:rPr>
                <w:rFonts w:ascii="Times New Roman" w:hAnsi="Times New Roman"/>
                <w:bCs/>
                <w:sz w:val="24"/>
                <w:szCs w:val="24"/>
              </w:rPr>
              <w:t xml:space="preserve"> </w:t>
            </w:r>
            <w:r w:rsidR="00641B8D" w:rsidRPr="000408EC">
              <w:rPr>
                <w:rFonts w:ascii="Times New Roman" w:hAnsi="Times New Roman"/>
                <w:bCs/>
                <w:sz w:val="24"/>
                <w:szCs w:val="24"/>
              </w:rPr>
              <w:t xml:space="preserve">1.19 and </w:t>
            </w:r>
            <w:r w:rsidRPr="000408EC">
              <w:rPr>
                <w:rFonts w:ascii="Times New Roman" w:hAnsi="Times New Roman"/>
                <w:bCs/>
                <w:sz w:val="24"/>
                <w:szCs w:val="24"/>
              </w:rPr>
              <w:t>1.20, the Commission takes note and highlights that in the Commission’s proposal there are no longer ESF thematic concentration expressed in percentage terms</w:t>
            </w:r>
            <w:r w:rsidR="003B0FA5" w:rsidRPr="000408EC">
              <w:rPr>
                <w:rFonts w:ascii="Times New Roman" w:hAnsi="Times New Roman"/>
                <w:bCs/>
                <w:sz w:val="24"/>
                <w:szCs w:val="24"/>
              </w:rPr>
              <w:t>. However</w:t>
            </w:r>
            <w:r w:rsidRPr="000408EC">
              <w:rPr>
                <w:rFonts w:ascii="Times New Roman" w:hAnsi="Times New Roman"/>
                <w:bCs/>
                <w:sz w:val="24"/>
                <w:szCs w:val="24"/>
              </w:rPr>
              <w:t xml:space="preserve">, the recitals of the ESF regulation as well as Annex VI of the NRPP regulation specify that, beyond the requirement to contribute to all 28 NRPP specific objectives, Member States shall concentrate resources on four types of social measures, including </w:t>
            </w:r>
            <w:r w:rsidR="00641B8D" w:rsidRPr="000408EC">
              <w:rPr>
                <w:rFonts w:ascii="Times New Roman" w:hAnsi="Times New Roman"/>
                <w:bCs/>
                <w:sz w:val="24"/>
                <w:szCs w:val="24"/>
              </w:rPr>
              <w:t xml:space="preserve">youth unemployment and </w:t>
            </w:r>
            <w:r w:rsidRPr="000408EC">
              <w:rPr>
                <w:rFonts w:ascii="Times New Roman" w:hAnsi="Times New Roman"/>
                <w:bCs/>
                <w:sz w:val="24"/>
                <w:szCs w:val="24"/>
              </w:rPr>
              <w:t>social inclusion. </w:t>
            </w:r>
          </w:p>
          <w:p w14:paraId="38A77C95" w14:textId="0CC527E4" w:rsidR="002F7F04" w:rsidRPr="000408EC" w:rsidRDefault="002F7F04" w:rsidP="00466A29">
            <w:pPr>
              <w:spacing w:before="120" w:after="120"/>
              <w:jc w:val="both"/>
              <w:rPr>
                <w:rFonts w:ascii="Times New Roman" w:hAnsi="Times New Roman"/>
                <w:bCs/>
                <w:sz w:val="24"/>
                <w:szCs w:val="24"/>
              </w:rPr>
            </w:pPr>
            <w:r w:rsidRPr="000408EC">
              <w:rPr>
                <w:rFonts w:ascii="Times New Roman" w:hAnsi="Times New Roman"/>
                <w:bCs/>
                <w:sz w:val="24"/>
                <w:szCs w:val="24"/>
              </w:rPr>
              <w:t>In response to point</w:t>
            </w:r>
            <w:r w:rsidR="00072B12" w:rsidRPr="000408EC">
              <w:rPr>
                <w:rFonts w:ascii="Times New Roman" w:hAnsi="Times New Roman"/>
                <w:bCs/>
                <w:sz w:val="24"/>
                <w:szCs w:val="24"/>
              </w:rPr>
              <w:t>s</w:t>
            </w:r>
            <w:r w:rsidR="00641B8D" w:rsidRPr="000408EC">
              <w:rPr>
                <w:rFonts w:ascii="Times New Roman" w:hAnsi="Times New Roman"/>
                <w:bCs/>
                <w:sz w:val="24"/>
                <w:szCs w:val="24"/>
              </w:rPr>
              <w:t xml:space="preserve"> </w:t>
            </w:r>
            <w:r w:rsidR="00FE0A13" w:rsidRPr="000408EC">
              <w:rPr>
                <w:rFonts w:ascii="Times New Roman" w:hAnsi="Times New Roman"/>
                <w:bCs/>
                <w:sz w:val="24"/>
                <w:szCs w:val="24"/>
              </w:rPr>
              <w:t xml:space="preserve">1.6, </w:t>
            </w:r>
            <w:r w:rsidR="00641B8D" w:rsidRPr="000408EC">
              <w:rPr>
                <w:rFonts w:ascii="Times New Roman" w:hAnsi="Times New Roman"/>
                <w:bCs/>
                <w:sz w:val="24"/>
                <w:szCs w:val="24"/>
              </w:rPr>
              <w:t>1.21 and</w:t>
            </w:r>
            <w:r w:rsidRPr="000408EC">
              <w:rPr>
                <w:rFonts w:ascii="Times New Roman" w:hAnsi="Times New Roman"/>
                <w:bCs/>
                <w:sz w:val="24"/>
                <w:szCs w:val="24"/>
              </w:rPr>
              <w:t xml:space="preserve"> 1.22</w:t>
            </w:r>
            <w:r w:rsidR="00A52559" w:rsidRPr="000408EC">
              <w:rPr>
                <w:rFonts w:ascii="Times New Roman" w:hAnsi="Times New Roman"/>
                <w:bCs/>
                <w:sz w:val="24"/>
                <w:szCs w:val="24"/>
              </w:rPr>
              <w:t>,</w:t>
            </w:r>
            <w:r w:rsidRPr="000408EC">
              <w:rPr>
                <w:rFonts w:ascii="Times New Roman" w:hAnsi="Times New Roman"/>
                <w:bCs/>
                <w:sz w:val="24"/>
                <w:szCs w:val="24"/>
              </w:rPr>
              <w:t xml:space="preserve"> the Commission notes that the 2028–2034 ESF proposal emphasises support for persons with disabilities, addressing accessibility, independent living, and rights under the </w:t>
            </w:r>
            <w:r w:rsidR="00072B12" w:rsidRPr="000408EC">
              <w:rPr>
                <w:rFonts w:ascii="Times New Roman" w:hAnsi="Times New Roman"/>
                <w:bCs/>
                <w:sz w:val="24"/>
                <w:szCs w:val="24"/>
              </w:rPr>
              <w:t>United Nations Convention on the Rights of Persons with Disabilities (</w:t>
            </w:r>
            <w:r w:rsidRPr="000408EC">
              <w:rPr>
                <w:rFonts w:ascii="Times New Roman" w:hAnsi="Times New Roman"/>
                <w:bCs/>
                <w:sz w:val="24"/>
                <w:szCs w:val="24"/>
              </w:rPr>
              <w:t>UNCRPD</w:t>
            </w:r>
            <w:r w:rsidR="00072B12" w:rsidRPr="000408EC">
              <w:rPr>
                <w:rFonts w:ascii="Times New Roman" w:hAnsi="Times New Roman"/>
                <w:bCs/>
                <w:sz w:val="24"/>
                <w:szCs w:val="24"/>
              </w:rPr>
              <w:t>)</w:t>
            </w:r>
            <w:r w:rsidRPr="000408EC">
              <w:rPr>
                <w:rFonts w:ascii="Times New Roman" w:hAnsi="Times New Roman"/>
                <w:bCs/>
                <w:sz w:val="24"/>
                <w:szCs w:val="24"/>
              </w:rPr>
              <w:t>. Member States are encouraged to use the ESF for targeted actions promoting gender equality, accessible services, and active participation of persons with disabilities in society and the labour market. </w:t>
            </w:r>
          </w:p>
          <w:p w14:paraId="30D14481" w14:textId="45F6FE86" w:rsidR="0049246C" w:rsidRPr="000408EC" w:rsidRDefault="002F7F04" w:rsidP="000408EC">
            <w:pPr>
              <w:spacing w:before="120" w:after="120"/>
              <w:jc w:val="both"/>
              <w:rPr>
                <w:rFonts w:ascii="Times New Roman" w:hAnsi="Times New Roman"/>
                <w:bCs/>
                <w:sz w:val="24"/>
                <w:szCs w:val="24"/>
              </w:rPr>
            </w:pPr>
            <w:r w:rsidRPr="000408EC">
              <w:rPr>
                <w:rFonts w:ascii="Times New Roman" w:hAnsi="Times New Roman"/>
                <w:bCs/>
                <w:sz w:val="24"/>
                <w:szCs w:val="24"/>
              </w:rPr>
              <w:t>On point 1.24 the Commission acknowledges the importance of communication and training</w:t>
            </w:r>
            <w:r w:rsidRPr="000408EC">
              <w:rPr>
                <w:rFonts w:ascii="Times New Roman" w:hAnsi="Times New Roman"/>
                <w:sz w:val="24"/>
                <w:szCs w:val="24"/>
              </w:rPr>
              <w:t xml:space="preserve"> </w:t>
            </w:r>
            <w:r w:rsidRPr="000408EC">
              <w:rPr>
                <w:rFonts w:ascii="Times New Roman" w:hAnsi="Times New Roman"/>
                <w:bCs/>
                <w:sz w:val="24"/>
                <w:szCs w:val="24"/>
              </w:rPr>
              <w:t>on opportunities to access the ESF</w:t>
            </w:r>
            <w:r w:rsidR="00E5018C" w:rsidRPr="000408EC">
              <w:rPr>
                <w:rFonts w:ascii="Times New Roman" w:hAnsi="Times New Roman"/>
                <w:bCs/>
                <w:sz w:val="24"/>
                <w:szCs w:val="24"/>
              </w:rPr>
              <w:t xml:space="preserve"> and fully supports the view of the Committee that</w:t>
            </w:r>
            <w:r w:rsidR="00FE0A13" w:rsidRPr="000408EC">
              <w:rPr>
                <w:rFonts w:ascii="Times New Roman" w:hAnsi="Times New Roman"/>
                <w:bCs/>
                <w:sz w:val="24"/>
                <w:szCs w:val="24"/>
              </w:rPr>
              <w:t xml:space="preserve"> </w:t>
            </w:r>
            <w:r w:rsidR="00466A29" w:rsidRPr="000408EC">
              <w:rPr>
                <w:rFonts w:ascii="Times New Roman" w:hAnsi="Times New Roman"/>
                <w:bCs/>
                <w:sz w:val="24"/>
                <w:szCs w:val="24"/>
              </w:rPr>
              <w:t xml:space="preserve">a </w:t>
            </w:r>
            <w:r w:rsidR="00FE0A13" w:rsidRPr="000408EC">
              <w:rPr>
                <w:rFonts w:ascii="Times New Roman" w:hAnsi="Times New Roman"/>
                <w:bCs/>
                <w:sz w:val="24"/>
                <w:szCs w:val="24"/>
              </w:rPr>
              <w:t>targeted approach to</w:t>
            </w:r>
            <w:r w:rsidR="00E5018C" w:rsidRPr="000408EC">
              <w:rPr>
                <w:rFonts w:ascii="Times New Roman" w:hAnsi="Times New Roman"/>
                <w:bCs/>
                <w:sz w:val="24"/>
                <w:szCs w:val="24"/>
              </w:rPr>
              <w:t xml:space="preserve"> social media can have an important role in this</w:t>
            </w:r>
            <w:r w:rsidRPr="000408EC">
              <w:rPr>
                <w:rFonts w:ascii="Times New Roman" w:hAnsi="Times New Roman"/>
                <w:bCs/>
                <w:sz w:val="24"/>
                <w:szCs w:val="24"/>
              </w:rPr>
              <w:t>.</w:t>
            </w:r>
          </w:p>
        </w:tc>
      </w:tr>
    </w:tbl>
    <w:p w14:paraId="6AF07B14" w14:textId="26AEAB66" w:rsidR="004F6117" w:rsidRPr="003B0FA5" w:rsidRDefault="004F6117" w:rsidP="00751910">
      <w:pPr>
        <w:rPr>
          <w:rFonts w:ascii="Times New Roman" w:hAnsi="Times New Roman"/>
          <w:b/>
          <w:strike/>
          <w:sz w:val="2"/>
          <w:szCs w:val="2"/>
          <w:u w:val="single"/>
        </w:rPr>
      </w:pPr>
    </w:p>
    <w:sectPr w:rsidR="004F6117" w:rsidRPr="003B0F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93F7" w14:textId="77777777" w:rsidR="000E21A7" w:rsidRDefault="000E21A7" w:rsidP="00FF63EA">
      <w:pPr>
        <w:spacing w:after="0" w:line="240" w:lineRule="auto"/>
      </w:pPr>
      <w:r>
        <w:separator/>
      </w:r>
    </w:p>
  </w:endnote>
  <w:endnote w:type="continuationSeparator" w:id="0">
    <w:p w14:paraId="0D3113C9" w14:textId="77777777" w:rsidR="000E21A7" w:rsidRDefault="000E21A7"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05E9" w14:textId="77777777" w:rsidR="000E21A7" w:rsidRDefault="000E21A7" w:rsidP="00FF63EA">
      <w:pPr>
        <w:spacing w:after="0" w:line="240" w:lineRule="auto"/>
      </w:pPr>
      <w:r>
        <w:separator/>
      </w:r>
    </w:p>
  </w:footnote>
  <w:footnote w:type="continuationSeparator" w:id="0">
    <w:p w14:paraId="014453E1" w14:textId="77777777" w:rsidR="000E21A7" w:rsidRDefault="000E21A7" w:rsidP="00FF63EA">
      <w:pPr>
        <w:spacing w:after="0" w:line="240" w:lineRule="auto"/>
      </w:pPr>
      <w:r>
        <w:continuationSeparator/>
      </w:r>
    </w:p>
  </w:footnote>
  <w:footnote w:id="1">
    <w:p w14:paraId="44F06A95" w14:textId="038AAF84" w:rsidR="00337A5E" w:rsidRPr="000408EC" w:rsidRDefault="00337A5E" w:rsidP="003B0FA5">
      <w:pPr>
        <w:pStyle w:val="FootnoteText"/>
        <w:widowControl w:val="0"/>
        <w:spacing w:after="0" w:line="240" w:lineRule="auto"/>
        <w:ind w:left="142" w:right="-142" w:hanging="284"/>
        <w:jc w:val="both"/>
        <w:rPr>
          <w:rFonts w:ascii="Times New Roman" w:hAnsi="Times New Roman"/>
          <w:lang w:val="pt-PT"/>
        </w:rPr>
      </w:pPr>
      <w:r w:rsidRPr="000408EC">
        <w:rPr>
          <w:rStyle w:val="FootnoteReference"/>
          <w:rFonts w:ascii="Times New Roman" w:hAnsi="Times New Roman"/>
        </w:rPr>
        <w:footnoteRef/>
      </w:r>
      <w:r w:rsidRPr="000408EC">
        <w:rPr>
          <w:rFonts w:ascii="Times New Roman" w:hAnsi="Times New Roman"/>
          <w:lang w:val="pt-PT"/>
        </w:rPr>
        <w:t xml:space="preserve"> </w:t>
      </w:r>
      <w:r w:rsidRPr="000408EC">
        <w:rPr>
          <w:rFonts w:ascii="Times New Roman" w:hAnsi="Times New Roman"/>
          <w:lang w:val="pt-PT"/>
        </w:rPr>
        <w:tab/>
      </w:r>
      <w:proofErr w:type="gramStart"/>
      <w:r w:rsidRPr="000408EC">
        <w:rPr>
          <w:rFonts w:ascii="Times New Roman" w:hAnsi="Times New Roman"/>
          <w:lang w:val="pt-PT"/>
        </w:rPr>
        <w:t>COM(</w:t>
      </w:r>
      <w:proofErr w:type="gramEnd"/>
      <w:r w:rsidRPr="000408EC">
        <w:rPr>
          <w:rFonts w:ascii="Times New Roman" w:hAnsi="Times New Roman"/>
          <w:lang w:val="pt-PT"/>
        </w:rPr>
        <w:t>2025) 558 final (</w:t>
      </w:r>
      <w:hyperlink r:id="rId1" w:history="1">
        <w:r w:rsidRPr="000408EC">
          <w:rPr>
            <w:rStyle w:val="Hyperlink"/>
            <w:rFonts w:ascii="Times New Roman" w:hAnsi="Times New Roman"/>
            <w:lang w:val="pt-PT"/>
          </w:rPr>
          <w:t>EUR-</w:t>
        </w:r>
        <w:proofErr w:type="spellStart"/>
        <w:r w:rsidRPr="000408EC">
          <w:rPr>
            <w:rStyle w:val="Hyperlink"/>
            <w:rFonts w:ascii="Times New Roman" w:hAnsi="Times New Roman"/>
            <w:lang w:val="pt-PT"/>
          </w:rPr>
          <w:t>Lex</w:t>
        </w:r>
        <w:proofErr w:type="spellEnd"/>
        <w:r w:rsidRPr="000408EC">
          <w:rPr>
            <w:rStyle w:val="Hyperlink"/>
            <w:rFonts w:ascii="Times New Roman" w:hAnsi="Times New Roman"/>
            <w:lang w:val="pt-PT"/>
          </w:rPr>
          <w:t xml:space="preserve"> - 52025PC0558 - EN - EUR-</w:t>
        </w:r>
        <w:proofErr w:type="spellStart"/>
        <w:r w:rsidRPr="000408EC">
          <w:rPr>
            <w:rStyle w:val="Hyperlink"/>
            <w:rFonts w:ascii="Times New Roman" w:hAnsi="Times New Roman"/>
            <w:lang w:val="pt-PT"/>
          </w:rPr>
          <w:t>Lex</w:t>
        </w:r>
        <w:proofErr w:type="spellEnd"/>
      </w:hyperlink>
      <w:r w:rsidRPr="000408EC">
        <w:rPr>
          <w:rFonts w:ascii="Times New Roman" w:hAnsi="Times New Roman"/>
          <w:lang w:val="pt-PT"/>
        </w:rPr>
        <w:t>).</w:t>
      </w:r>
    </w:p>
  </w:footnote>
  <w:footnote w:id="2">
    <w:p w14:paraId="74122AD7" w14:textId="49FC0E43" w:rsidR="003B0FA5" w:rsidRPr="000408EC" w:rsidRDefault="003B0FA5" w:rsidP="000408EC">
      <w:pPr>
        <w:pStyle w:val="FootnoteText"/>
        <w:widowControl w:val="0"/>
        <w:spacing w:after="0" w:line="240" w:lineRule="auto"/>
        <w:jc w:val="both"/>
        <w:rPr>
          <w:rFonts w:ascii="Times New Roman" w:hAnsi="Times New Roman"/>
          <w:lang w:val="pt-PT"/>
        </w:rPr>
      </w:pPr>
      <w:r w:rsidRPr="000408EC">
        <w:rPr>
          <w:rStyle w:val="FootnoteReference"/>
          <w:rFonts w:ascii="Times New Roman" w:hAnsi="Times New Roman"/>
        </w:rPr>
        <w:footnoteRef/>
      </w:r>
      <w:r w:rsidRPr="000408EC">
        <w:rPr>
          <w:rFonts w:ascii="Times New Roman" w:hAnsi="Times New Roman"/>
          <w:lang w:val="pt-PT"/>
        </w:rPr>
        <w:t xml:space="preserve"> </w:t>
      </w:r>
      <w:proofErr w:type="gramStart"/>
      <w:r w:rsidRPr="000408EC">
        <w:rPr>
          <w:rFonts w:ascii="Times New Roman" w:hAnsi="Times New Roman"/>
          <w:lang w:val="pt-PT"/>
        </w:rPr>
        <w:t>COM(</w:t>
      </w:r>
      <w:proofErr w:type="gramEnd"/>
      <w:r w:rsidRPr="000408EC">
        <w:rPr>
          <w:rFonts w:ascii="Times New Roman" w:hAnsi="Times New Roman"/>
          <w:lang w:val="pt-PT"/>
        </w:rPr>
        <w:t>2025) 89 (</w:t>
      </w:r>
      <w:hyperlink r:id="rId2" w:history="1">
        <w:r w:rsidRPr="000408EC">
          <w:rPr>
            <w:rStyle w:val="Hyperlink"/>
            <w:rFonts w:ascii="Times New Roman" w:hAnsi="Times New Roman"/>
            <w:lang w:val="pt-PT"/>
          </w:rPr>
          <w:t>https://eur-lex.europa.eu/legal-content/EN/TXT/?uri=celex:52025DC0089</w:t>
        </w:r>
      </w:hyperlink>
      <w:r w:rsidRPr="000408EC">
        <w:rPr>
          <w:rFonts w:ascii="Times New Roman" w:hAnsi="Times New Roman"/>
          <w:lang w:val="pt-PT"/>
        </w:rPr>
        <w:t>)</w:t>
      </w:r>
      <w:r w:rsidR="000D674E" w:rsidRPr="000408EC">
        <w:rPr>
          <w:rFonts w:ascii="Times New Roman" w:hAnsi="Times New Roman"/>
          <w:lang w:val="pt-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289AF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7472025D"/>
    <w:multiLevelType w:val="hybridMultilevel"/>
    <w:tmpl w:val="EC66BEC6"/>
    <w:lvl w:ilvl="0" w:tplc="DD1AB9AE">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7888">
    <w:abstractNumId w:val="0"/>
  </w:num>
  <w:num w:numId="2" w16cid:durableId="31380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08EC"/>
    <w:rsid w:val="00044A5F"/>
    <w:rsid w:val="00046B15"/>
    <w:rsid w:val="00050DC7"/>
    <w:rsid w:val="00072B12"/>
    <w:rsid w:val="00076109"/>
    <w:rsid w:val="00077C4F"/>
    <w:rsid w:val="00080C81"/>
    <w:rsid w:val="000D674E"/>
    <w:rsid w:val="000E21A7"/>
    <w:rsid w:val="000E41E0"/>
    <w:rsid w:val="000F0A33"/>
    <w:rsid w:val="000F5FD8"/>
    <w:rsid w:val="001167C0"/>
    <w:rsid w:val="00131E43"/>
    <w:rsid w:val="00135C2A"/>
    <w:rsid w:val="001A0E73"/>
    <w:rsid w:val="001B0E0B"/>
    <w:rsid w:val="001C29DC"/>
    <w:rsid w:val="001C2D0A"/>
    <w:rsid w:val="001F2EC6"/>
    <w:rsid w:val="001F65D0"/>
    <w:rsid w:val="00217E59"/>
    <w:rsid w:val="00220C10"/>
    <w:rsid w:val="00281746"/>
    <w:rsid w:val="0029477C"/>
    <w:rsid w:val="002A482A"/>
    <w:rsid w:val="002C46B5"/>
    <w:rsid w:val="002D5507"/>
    <w:rsid w:val="002D7B90"/>
    <w:rsid w:val="002F03FA"/>
    <w:rsid w:val="002F4139"/>
    <w:rsid w:val="002F7F04"/>
    <w:rsid w:val="003004D2"/>
    <w:rsid w:val="0032175D"/>
    <w:rsid w:val="00331BE1"/>
    <w:rsid w:val="003349A3"/>
    <w:rsid w:val="00337A5E"/>
    <w:rsid w:val="0034510E"/>
    <w:rsid w:val="00377967"/>
    <w:rsid w:val="00386143"/>
    <w:rsid w:val="003B0FA5"/>
    <w:rsid w:val="003B58DC"/>
    <w:rsid w:val="003C2DBE"/>
    <w:rsid w:val="003F686E"/>
    <w:rsid w:val="00410C0B"/>
    <w:rsid w:val="00423BA8"/>
    <w:rsid w:val="00442552"/>
    <w:rsid w:val="00455A1C"/>
    <w:rsid w:val="00466A29"/>
    <w:rsid w:val="004675B5"/>
    <w:rsid w:val="004770D6"/>
    <w:rsid w:val="0049246C"/>
    <w:rsid w:val="00494FCC"/>
    <w:rsid w:val="004A1C3B"/>
    <w:rsid w:val="004F6117"/>
    <w:rsid w:val="004F63F1"/>
    <w:rsid w:val="004F651E"/>
    <w:rsid w:val="0052596B"/>
    <w:rsid w:val="005540CE"/>
    <w:rsid w:val="00554D8D"/>
    <w:rsid w:val="00573835"/>
    <w:rsid w:val="00581306"/>
    <w:rsid w:val="005B6060"/>
    <w:rsid w:val="005C3105"/>
    <w:rsid w:val="0064115B"/>
    <w:rsid w:val="00641B8D"/>
    <w:rsid w:val="006621AA"/>
    <w:rsid w:val="00662B88"/>
    <w:rsid w:val="00692C2F"/>
    <w:rsid w:val="00695797"/>
    <w:rsid w:val="00696A5E"/>
    <w:rsid w:val="006B3B69"/>
    <w:rsid w:val="0070180B"/>
    <w:rsid w:val="00720880"/>
    <w:rsid w:val="00734613"/>
    <w:rsid w:val="00735F54"/>
    <w:rsid w:val="00751910"/>
    <w:rsid w:val="00751E60"/>
    <w:rsid w:val="007547B5"/>
    <w:rsid w:val="00764F07"/>
    <w:rsid w:val="00785836"/>
    <w:rsid w:val="00795A9E"/>
    <w:rsid w:val="007A606D"/>
    <w:rsid w:val="007C2214"/>
    <w:rsid w:val="007C43D1"/>
    <w:rsid w:val="00807B48"/>
    <w:rsid w:val="008135CA"/>
    <w:rsid w:val="0081584F"/>
    <w:rsid w:val="0082137D"/>
    <w:rsid w:val="0084485F"/>
    <w:rsid w:val="008703BF"/>
    <w:rsid w:val="008925CE"/>
    <w:rsid w:val="00896373"/>
    <w:rsid w:val="008C4D41"/>
    <w:rsid w:val="00901A67"/>
    <w:rsid w:val="0091286B"/>
    <w:rsid w:val="00916718"/>
    <w:rsid w:val="009745FB"/>
    <w:rsid w:val="00977977"/>
    <w:rsid w:val="00981F45"/>
    <w:rsid w:val="00994D12"/>
    <w:rsid w:val="009B128B"/>
    <w:rsid w:val="009F7A1D"/>
    <w:rsid w:val="00A16F07"/>
    <w:rsid w:val="00A52559"/>
    <w:rsid w:val="00A62C7B"/>
    <w:rsid w:val="00A7709A"/>
    <w:rsid w:val="00A77B28"/>
    <w:rsid w:val="00AA6399"/>
    <w:rsid w:val="00AE1842"/>
    <w:rsid w:val="00AE2D8C"/>
    <w:rsid w:val="00AE3C7C"/>
    <w:rsid w:val="00B31306"/>
    <w:rsid w:val="00B42814"/>
    <w:rsid w:val="00B451D1"/>
    <w:rsid w:val="00B61FE0"/>
    <w:rsid w:val="00B83936"/>
    <w:rsid w:val="00BD6EB7"/>
    <w:rsid w:val="00BF3056"/>
    <w:rsid w:val="00C12769"/>
    <w:rsid w:val="00C54D27"/>
    <w:rsid w:val="00C76EEB"/>
    <w:rsid w:val="00CA4634"/>
    <w:rsid w:val="00CB46EE"/>
    <w:rsid w:val="00CB4A84"/>
    <w:rsid w:val="00CC1707"/>
    <w:rsid w:val="00CF10E2"/>
    <w:rsid w:val="00D01F5A"/>
    <w:rsid w:val="00D063FD"/>
    <w:rsid w:val="00D1716E"/>
    <w:rsid w:val="00D207ED"/>
    <w:rsid w:val="00D64E05"/>
    <w:rsid w:val="00D92FD3"/>
    <w:rsid w:val="00D93E75"/>
    <w:rsid w:val="00DA3B6E"/>
    <w:rsid w:val="00DB34AF"/>
    <w:rsid w:val="00DB7581"/>
    <w:rsid w:val="00DC70C1"/>
    <w:rsid w:val="00DD5DFC"/>
    <w:rsid w:val="00DE796F"/>
    <w:rsid w:val="00DF2F14"/>
    <w:rsid w:val="00E15768"/>
    <w:rsid w:val="00E36BD1"/>
    <w:rsid w:val="00E5018C"/>
    <w:rsid w:val="00E83C12"/>
    <w:rsid w:val="00E904C8"/>
    <w:rsid w:val="00E91C19"/>
    <w:rsid w:val="00EA1BBF"/>
    <w:rsid w:val="00EB1483"/>
    <w:rsid w:val="00EB29A9"/>
    <w:rsid w:val="00EB77D2"/>
    <w:rsid w:val="00F316C8"/>
    <w:rsid w:val="00F61BDC"/>
    <w:rsid w:val="00F632DE"/>
    <w:rsid w:val="00F703EE"/>
    <w:rsid w:val="00F735E4"/>
    <w:rsid w:val="00F92A74"/>
    <w:rsid w:val="00FB7834"/>
    <w:rsid w:val="00FD4B6A"/>
    <w:rsid w:val="00FE0A13"/>
    <w:rsid w:val="00FE0BB3"/>
    <w:rsid w:val="00FE1493"/>
    <w:rsid w:val="00FF03A8"/>
    <w:rsid w:val="00FF63EA"/>
    <w:rsid w:val="08AF5C5E"/>
    <w:rsid w:val="0EE3AC8F"/>
    <w:rsid w:val="1039A371"/>
    <w:rsid w:val="13CA4B38"/>
    <w:rsid w:val="19AECA3C"/>
    <w:rsid w:val="1A2B7139"/>
    <w:rsid w:val="1B467B34"/>
    <w:rsid w:val="1DEBC70E"/>
    <w:rsid w:val="1F9BBD24"/>
    <w:rsid w:val="2024066C"/>
    <w:rsid w:val="219A58A4"/>
    <w:rsid w:val="22F35F0F"/>
    <w:rsid w:val="2615A396"/>
    <w:rsid w:val="318B134A"/>
    <w:rsid w:val="3413855D"/>
    <w:rsid w:val="359221E6"/>
    <w:rsid w:val="36CD8CA8"/>
    <w:rsid w:val="38DA3C93"/>
    <w:rsid w:val="39850160"/>
    <w:rsid w:val="4055F9D3"/>
    <w:rsid w:val="41599BEB"/>
    <w:rsid w:val="44BA56D2"/>
    <w:rsid w:val="4A3A3A18"/>
    <w:rsid w:val="5520910E"/>
    <w:rsid w:val="63258280"/>
    <w:rsid w:val="65D19D84"/>
    <w:rsid w:val="6E77EC03"/>
    <w:rsid w:val="7180ECE3"/>
    <w:rsid w:val="73A14B42"/>
    <w:rsid w:val="78868E9C"/>
    <w:rsid w:val="7B2F4D7F"/>
    <w:rsid w:val="7FA49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F92A74"/>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F92A74"/>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F92A74"/>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F92A74"/>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F92A74"/>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F92A74"/>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F92A74"/>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F92A74"/>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F92A74"/>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2A74"/>
    <w:rPr>
      <w:rFonts w:ascii="Times New Roman" w:eastAsia="Times New Roman" w:hAnsi="Times New Roman"/>
      <w:kern w:val="28"/>
      <w:sz w:val="22"/>
      <w:szCs w:val="22"/>
      <w:lang w:val="en-US" w:eastAsia="en-US"/>
    </w:rPr>
  </w:style>
  <w:style w:type="character" w:customStyle="1" w:styleId="Heading2Char">
    <w:name w:val="Heading 2 Char"/>
    <w:link w:val="Heading2"/>
    <w:rsid w:val="00F92A74"/>
    <w:rPr>
      <w:rFonts w:ascii="Times New Roman" w:eastAsia="Times New Roman" w:hAnsi="Times New Roman"/>
      <w:sz w:val="22"/>
      <w:szCs w:val="22"/>
      <w:lang w:val="en-US" w:eastAsia="en-US"/>
    </w:rPr>
  </w:style>
  <w:style w:type="character" w:customStyle="1" w:styleId="Heading3Char">
    <w:name w:val="Heading 3 Char"/>
    <w:link w:val="Heading3"/>
    <w:rsid w:val="00F92A74"/>
    <w:rPr>
      <w:rFonts w:ascii="Times New Roman" w:eastAsia="Times New Roman" w:hAnsi="Times New Roman"/>
      <w:sz w:val="22"/>
      <w:szCs w:val="22"/>
      <w:lang w:val="en-US" w:eastAsia="en-US"/>
    </w:rPr>
  </w:style>
  <w:style w:type="character" w:customStyle="1" w:styleId="Heading4Char">
    <w:name w:val="Heading 4 Char"/>
    <w:link w:val="Heading4"/>
    <w:rsid w:val="00F92A74"/>
    <w:rPr>
      <w:rFonts w:ascii="Times New Roman" w:eastAsia="Times New Roman" w:hAnsi="Times New Roman"/>
      <w:sz w:val="22"/>
      <w:szCs w:val="22"/>
      <w:lang w:val="en-US" w:eastAsia="en-US"/>
    </w:rPr>
  </w:style>
  <w:style w:type="character" w:customStyle="1" w:styleId="Heading5Char">
    <w:name w:val="Heading 5 Char"/>
    <w:link w:val="Heading5"/>
    <w:rsid w:val="00F92A74"/>
    <w:rPr>
      <w:rFonts w:ascii="Times New Roman" w:eastAsia="Times New Roman" w:hAnsi="Times New Roman"/>
      <w:sz w:val="22"/>
      <w:szCs w:val="22"/>
      <w:lang w:val="en-US" w:eastAsia="en-US"/>
    </w:rPr>
  </w:style>
  <w:style w:type="character" w:customStyle="1" w:styleId="Heading6Char">
    <w:name w:val="Heading 6 Char"/>
    <w:link w:val="Heading6"/>
    <w:rsid w:val="00F92A74"/>
    <w:rPr>
      <w:rFonts w:ascii="Times New Roman" w:eastAsia="Times New Roman" w:hAnsi="Times New Roman"/>
      <w:sz w:val="22"/>
      <w:szCs w:val="22"/>
      <w:lang w:val="en-US" w:eastAsia="en-US"/>
    </w:rPr>
  </w:style>
  <w:style w:type="character" w:customStyle="1" w:styleId="Heading7Char">
    <w:name w:val="Heading 7 Char"/>
    <w:link w:val="Heading7"/>
    <w:rsid w:val="00F92A74"/>
    <w:rPr>
      <w:rFonts w:ascii="Times New Roman" w:eastAsia="Times New Roman" w:hAnsi="Times New Roman"/>
      <w:sz w:val="22"/>
      <w:szCs w:val="22"/>
      <w:lang w:val="en-US" w:eastAsia="en-US"/>
    </w:rPr>
  </w:style>
  <w:style w:type="character" w:customStyle="1" w:styleId="Heading8Char">
    <w:name w:val="Heading 8 Char"/>
    <w:link w:val="Heading8"/>
    <w:rsid w:val="00F92A74"/>
    <w:rPr>
      <w:rFonts w:ascii="Times New Roman" w:eastAsia="Times New Roman" w:hAnsi="Times New Roman"/>
      <w:sz w:val="22"/>
      <w:szCs w:val="22"/>
      <w:lang w:val="en-US" w:eastAsia="en-US"/>
    </w:rPr>
  </w:style>
  <w:style w:type="character" w:customStyle="1" w:styleId="Heading9Char">
    <w:name w:val="Heading 9 Char"/>
    <w:link w:val="Heading9"/>
    <w:rsid w:val="00F92A74"/>
    <w:rPr>
      <w:rFonts w:ascii="Times New Roman" w:eastAsia="Times New Roman" w:hAnsi="Times New Roman"/>
      <w:sz w:val="22"/>
      <w:szCs w:val="22"/>
      <w:lang w:val="en-US" w:eastAsia="en-US"/>
    </w:rPr>
  </w:style>
  <w:style w:type="paragraph" w:styleId="Revision">
    <w:name w:val="Revision"/>
    <w:hidden/>
    <w:uiPriority w:val="99"/>
    <w:semiHidden/>
    <w:rsid w:val="00220C10"/>
    <w:rPr>
      <w:sz w:val="22"/>
      <w:szCs w:val="22"/>
      <w:lang w:val="en-GB" w:eastAsia="en-US"/>
    </w:rPr>
  </w:style>
  <w:style w:type="character" w:styleId="Hyperlink">
    <w:name w:val="Hyperlink"/>
    <w:uiPriority w:val="99"/>
    <w:unhideWhenUsed/>
    <w:rsid w:val="2024066C"/>
    <w:rPr>
      <w:color w:val="0563C1"/>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FootnoteText">
    <w:name w:val="footnote text"/>
    <w:basedOn w:val="Normal"/>
    <w:link w:val="FootnoteTextChar"/>
    <w:uiPriority w:val="99"/>
    <w:semiHidden/>
    <w:unhideWhenUsed/>
    <w:rsid w:val="00735F54"/>
    <w:rPr>
      <w:sz w:val="20"/>
      <w:szCs w:val="20"/>
    </w:rPr>
  </w:style>
  <w:style w:type="character" w:customStyle="1" w:styleId="FootnoteTextChar">
    <w:name w:val="Footnote Text Char"/>
    <w:link w:val="FootnoteText"/>
    <w:uiPriority w:val="99"/>
    <w:semiHidden/>
    <w:rsid w:val="00735F54"/>
    <w:rPr>
      <w:lang w:val="en-GB" w:eastAsia="en-US"/>
    </w:rPr>
  </w:style>
  <w:style w:type="character" w:styleId="FootnoteReference">
    <w:name w:val="footnote reference"/>
    <w:uiPriority w:val="99"/>
    <w:semiHidden/>
    <w:unhideWhenUsed/>
    <w:rsid w:val="00735F54"/>
    <w:rPr>
      <w:vertAlign w:val="superscript"/>
    </w:rPr>
  </w:style>
  <w:style w:type="paragraph" w:styleId="CommentSubject">
    <w:name w:val="annotation subject"/>
    <w:basedOn w:val="CommentText"/>
    <w:next w:val="CommentText"/>
    <w:link w:val="CommentSubjectChar"/>
    <w:uiPriority w:val="99"/>
    <w:semiHidden/>
    <w:unhideWhenUsed/>
    <w:rsid w:val="00CF10E2"/>
    <w:rPr>
      <w:b/>
      <w:bCs/>
    </w:rPr>
  </w:style>
  <w:style w:type="character" w:customStyle="1" w:styleId="CommentSubjectChar">
    <w:name w:val="Comment Subject Char"/>
    <w:link w:val="CommentSubject"/>
    <w:uiPriority w:val="99"/>
    <w:semiHidden/>
    <w:rsid w:val="00CF10E2"/>
    <w:rPr>
      <w:b/>
      <w:bCs/>
      <w:lang w:val="en-GB" w:eastAsia="en-US"/>
    </w:rPr>
  </w:style>
  <w:style w:type="character" w:styleId="UnresolvedMention">
    <w:name w:val="Unresolved Mention"/>
    <w:uiPriority w:val="99"/>
    <w:semiHidden/>
    <w:unhideWhenUsed/>
    <w:rsid w:val="0033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5DC0089" TargetMode="External"/><Relationship Id="rId1" Type="http://schemas.openxmlformats.org/officeDocument/2006/relationships/hyperlink" Target="https://eur-lex.europa.eu/legal-content/EN/TXT/?uri=celex:52025PC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e22d93-b4db-40b3-b539-9cd128ca414e">
      <Terms xmlns="http://schemas.microsoft.com/office/infopath/2007/PartnerControls"/>
    </lcf76f155ced4ddcb4097134ff3c332f>
    <TaxCatchAll xmlns="d682ccd9-731a-4685-8a70-5bf593b8e5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31DAD5A7FDD944875FA0996A4AEE24" ma:contentTypeVersion="18" ma:contentTypeDescription="Create a new document." ma:contentTypeScope="" ma:versionID="5086951a56bd403f54613d2b21ac8ac3">
  <xsd:schema xmlns:xsd="http://www.w3.org/2001/XMLSchema" xmlns:xs="http://www.w3.org/2001/XMLSchema" xmlns:p="http://schemas.microsoft.com/office/2006/metadata/properties" xmlns:ns2="1de22d93-b4db-40b3-b539-9cd128ca414e" xmlns:ns3="d682ccd9-731a-4685-8a70-5bf593b8e58c" targetNamespace="http://schemas.microsoft.com/office/2006/metadata/properties" ma:root="true" ma:fieldsID="2031cc4aed659dca6508a3538ba824d3" ns2:_="" ns3:_="">
    <xsd:import namespace="1de22d93-b4db-40b3-b539-9cd128ca414e"/>
    <xsd:import namespace="d682ccd9-731a-4685-8a70-5bf593b8e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22d93-b4db-40b3-b539-9cd128ca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2ccd9-731a-4685-8a70-5bf593b8e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e782df-4ea0-432a-87aa-cead7bb37b3d}" ma:internalName="TaxCatchAll" ma:showField="CatchAllData" ma:web="d682ccd9-731a-4685-8a70-5bf593b8e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9ADA9-A193-4EEC-9040-614BE2B31BFF}">
  <ds:schemaRefs>
    <ds:schemaRef ds:uri="http://schemas.microsoft.com/office/2006/metadata/properties"/>
    <ds:schemaRef ds:uri="http://schemas.microsoft.com/office/infopath/2007/PartnerControls"/>
    <ds:schemaRef ds:uri="1de22d93-b4db-40b3-b539-9cd128ca414e"/>
    <ds:schemaRef ds:uri="d682ccd9-731a-4685-8a70-5bf593b8e58c"/>
  </ds:schemaRefs>
</ds:datastoreItem>
</file>

<file path=customXml/itemProps2.xml><?xml version="1.0" encoding="utf-8"?>
<ds:datastoreItem xmlns:ds="http://schemas.openxmlformats.org/officeDocument/2006/customXml" ds:itemID="{9F215880-30C7-4187-8165-CAD2CDD93FA8}">
  <ds:schemaRefs>
    <ds:schemaRef ds:uri="http://schemas.openxmlformats.org/officeDocument/2006/bibliography"/>
  </ds:schemaRefs>
</ds:datastoreItem>
</file>

<file path=customXml/itemProps3.xml><?xml version="1.0" encoding="utf-8"?>
<ds:datastoreItem xmlns:ds="http://schemas.openxmlformats.org/officeDocument/2006/customXml" ds:itemID="{7ED8BAF6-42C8-4C64-81B0-E02AADE0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22d93-b4db-40b3-b539-9cd128ca414e"/>
    <ds:schemaRef ds:uri="d682ccd9-731a-4685-8a70-5bf593b8e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B53FD-D5AC-46F3-B364-DA1BD1294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803</Words>
  <Characters>4449</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2013-02-27T18:02:00Z</cp:lastPrinted>
  <dcterms:created xsi:type="dcterms:W3CDTF">2026-03-27T08:07:00Z</dcterms:created>
  <dcterms:modified xsi:type="dcterms:W3CDTF">2026-03-27T08:20:00Z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0x0101004D31DAD5A7FDD944875FA0996A4AEE24</vt:lpwstr>
  </property>
  <property fmtid="{D5CDD505-2E9C-101B-9397-08002B2CF9AE}" pid="10" name="MediaServiceImageTags">
    <vt:lpwstr/>
  </property>
</Properties>
</file>