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43"/>
      </w:tblGrid>
      <w:tr w:rsidR="001C4138" w:rsidRPr="00855786" w14:paraId="7E6372DC" w14:textId="77777777" w:rsidTr="00F33F9F">
        <w:trPr>
          <w:jc w:val="center"/>
        </w:trPr>
        <w:tc>
          <w:tcPr>
            <w:tcW w:w="10343" w:type="dxa"/>
          </w:tcPr>
          <w:p w14:paraId="3A4EDC3A" w14:textId="2B9D621E" w:rsidR="001C4138" w:rsidRPr="00855786" w:rsidRDefault="00056AAC" w:rsidP="008B3B91">
            <w:pPr>
              <w:spacing w:before="120" w:after="120"/>
              <w:rPr>
                <w:rFonts w:ascii="Times New Roman" w:hAnsi="Times New Roman"/>
                <w:b/>
                <w:sz w:val="24"/>
                <w:szCs w:val="24"/>
              </w:rPr>
            </w:pPr>
            <w:bookmarkStart w:id="0" w:name="_Hlk210745206"/>
            <w:r w:rsidRPr="00855786">
              <w:rPr>
                <w:rFonts w:ascii="Times New Roman" w:hAnsi="Times New Roman"/>
                <w:b/>
                <w:sz w:val="24"/>
                <w:szCs w:val="24"/>
              </w:rPr>
              <w:t>Opinion on the Guidelines for the employment policies of the Member States</w:t>
            </w:r>
            <w:r w:rsidRPr="00855786">
              <w:rPr>
                <w:rFonts w:ascii="Times New Roman" w:hAnsi="Times New Roman"/>
                <w:b/>
                <w:sz w:val="24"/>
                <w:szCs w:val="24"/>
              </w:rPr>
              <w:br/>
            </w:r>
            <w:proofErr w:type="gramStart"/>
            <w:r w:rsidRPr="00855786">
              <w:rPr>
                <w:rFonts w:ascii="Times New Roman" w:hAnsi="Times New Roman"/>
                <w:b/>
                <w:sz w:val="24"/>
                <w:szCs w:val="24"/>
              </w:rPr>
              <w:t>COM(</w:t>
            </w:r>
            <w:proofErr w:type="gramEnd"/>
            <w:r w:rsidRPr="00855786">
              <w:rPr>
                <w:rFonts w:ascii="Times New Roman" w:hAnsi="Times New Roman"/>
                <w:b/>
                <w:sz w:val="24"/>
                <w:szCs w:val="24"/>
              </w:rPr>
              <w:t>2025) 230 final</w:t>
            </w:r>
            <w:r w:rsidRPr="00855786">
              <w:rPr>
                <w:rFonts w:ascii="Times New Roman" w:hAnsi="Times New Roman"/>
                <w:b/>
                <w:sz w:val="24"/>
                <w:szCs w:val="24"/>
                <w:lang w:val="en-IE"/>
              </w:rPr>
              <w:br/>
              <w:t xml:space="preserve">EESC-2025-02264 </w:t>
            </w:r>
            <w:r w:rsidRPr="00855786">
              <w:rPr>
                <w:rFonts w:ascii="Times New Roman" w:hAnsi="Times New Roman"/>
                <w:b/>
                <w:sz w:val="24"/>
                <w:szCs w:val="24"/>
              </w:rPr>
              <w:t>‒ SOC/841</w:t>
            </w:r>
            <w:r w:rsidRPr="00855786">
              <w:rPr>
                <w:rFonts w:ascii="Times New Roman" w:hAnsi="Times New Roman"/>
                <w:b/>
                <w:sz w:val="24"/>
                <w:szCs w:val="24"/>
              </w:rPr>
              <w:br/>
              <w:t>599</w:t>
            </w:r>
            <w:r w:rsidRPr="00402932">
              <w:rPr>
                <w:rFonts w:ascii="Times New Roman" w:hAnsi="Times New Roman"/>
                <w:b/>
                <w:sz w:val="24"/>
                <w:szCs w:val="24"/>
                <w:vertAlign w:val="superscript"/>
              </w:rPr>
              <w:t>th</w:t>
            </w:r>
            <w:r w:rsidRPr="00855786">
              <w:rPr>
                <w:b/>
                <w:sz w:val="24"/>
                <w:szCs w:val="24"/>
                <w:lang w:val="en-IE"/>
              </w:rPr>
              <w:t xml:space="preserve"> </w:t>
            </w:r>
            <w:r w:rsidRPr="00855786">
              <w:rPr>
                <w:rFonts w:ascii="Times New Roman" w:hAnsi="Times New Roman"/>
                <w:b/>
                <w:sz w:val="24"/>
                <w:szCs w:val="24"/>
              </w:rPr>
              <w:t>Plenary Session – September 2025</w:t>
            </w:r>
            <w:r w:rsidRPr="00855786">
              <w:rPr>
                <w:rFonts w:ascii="Times New Roman" w:hAnsi="Times New Roman"/>
                <w:b/>
                <w:sz w:val="24"/>
                <w:szCs w:val="24"/>
              </w:rPr>
              <w:br/>
              <w:t xml:space="preserve">Rapporteur: </w:t>
            </w:r>
            <w:r w:rsidRPr="00855786">
              <w:rPr>
                <w:rFonts w:ascii="Times New Roman" w:hAnsi="Times New Roman"/>
                <w:b/>
                <w:bCs/>
                <w:sz w:val="24"/>
                <w:szCs w:val="24"/>
              </w:rPr>
              <w:t>Mariya MINCHEVA</w:t>
            </w:r>
            <w:r w:rsidRPr="00855786">
              <w:rPr>
                <w:rFonts w:ascii="Times New Roman" w:hAnsi="Times New Roman"/>
                <w:b/>
                <w:sz w:val="24"/>
                <w:szCs w:val="24"/>
              </w:rPr>
              <w:t xml:space="preserve"> (BG-I)</w:t>
            </w:r>
            <w:r w:rsidRPr="00855786">
              <w:rPr>
                <w:rFonts w:ascii="Times New Roman" w:hAnsi="Times New Roman"/>
                <w:b/>
                <w:sz w:val="24"/>
                <w:szCs w:val="24"/>
              </w:rPr>
              <w:br/>
              <w:t xml:space="preserve">DG EMPL – </w:t>
            </w:r>
            <w:r w:rsidR="00402932">
              <w:rPr>
                <w:rFonts w:ascii="Times New Roman" w:hAnsi="Times New Roman"/>
                <w:b/>
                <w:sz w:val="24"/>
                <w:szCs w:val="24"/>
              </w:rPr>
              <w:t>Executive Vice-President</w:t>
            </w:r>
            <w:r w:rsidR="00402932" w:rsidRPr="00855786">
              <w:rPr>
                <w:rFonts w:ascii="Times New Roman" w:hAnsi="Times New Roman"/>
                <w:b/>
                <w:sz w:val="24"/>
                <w:szCs w:val="24"/>
              </w:rPr>
              <w:t xml:space="preserve"> </w:t>
            </w:r>
            <w:r w:rsidR="00F33F9F" w:rsidRPr="00402932">
              <w:rPr>
                <w:rFonts w:ascii="Times New Roman" w:hAnsi="Times New Roman"/>
                <w:b/>
                <w:bCs/>
                <w:sz w:val="24"/>
                <w:szCs w:val="24"/>
                <w:lang w:val="en-IE"/>
              </w:rPr>
              <w:t>MÎNZATU</w:t>
            </w:r>
          </w:p>
        </w:tc>
      </w:tr>
      <w:tr w:rsidR="00734613" w:rsidRPr="00855786" w14:paraId="1937071F" w14:textId="77777777" w:rsidTr="00F33F9F">
        <w:trPr>
          <w:jc w:val="center"/>
        </w:trPr>
        <w:tc>
          <w:tcPr>
            <w:tcW w:w="10343" w:type="dxa"/>
          </w:tcPr>
          <w:p w14:paraId="1E50B4DB" w14:textId="5DE727CF" w:rsidR="00734613" w:rsidRPr="00855786" w:rsidRDefault="004F6117" w:rsidP="008B3B91">
            <w:pPr>
              <w:spacing w:before="120" w:after="120"/>
              <w:jc w:val="center"/>
              <w:rPr>
                <w:rFonts w:ascii="Times New Roman" w:hAnsi="Times New Roman"/>
                <w:b/>
                <w:sz w:val="24"/>
                <w:szCs w:val="24"/>
              </w:rPr>
            </w:pPr>
            <w:r w:rsidRPr="00855786">
              <w:rPr>
                <w:rFonts w:ascii="Times New Roman" w:hAnsi="Times New Roman"/>
                <w:b/>
                <w:sz w:val="24"/>
                <w:szCs w:val="24"/>
              </w:rPr>
              <w:t>European Commission position on points</w:t>
            </w:r>
            <w:r w:rsidRPr="00855786">
              <w:rPr>
                <w:rFonts w:ascii="Times New Roman" w:hAnsi="Times New Roman"/>
                <w:b/>
                <w:sz w:val="24"/>
                <w:szCs w:val="24"/>
              </w:rPr>
              <w:br/>
              <w:t xml:space="preserve">of the European Economic and Social Committee </w:t>
            </w:r>
            <w:r w:rsidR="00F33F9F">
              <w:rPr>
                <w:rFonts w:ascii="Times New Roman" w:hAnsi="Times New Roman"/>
                <w:b/>
                <w:sz w:val="24"/>
                <w:szCs w:val="24"/>
              </w:rPr>
              <w:t xml:space="preserve">(EESC) </w:t>
            </w:r>
            <w:r w:rsidRPr="00855786">
              <w:rPr>
                <w:rFonts w:ascii="Times New Roman" w:hAnsi="Times New Roman"/>
                <w:b/>
                <w:sz w:val="24"/>
                <w:szCs w:val="24"/>
              </w:rPr>
              <w:t>opinion</w:t>
            </w:r>
            <w:r w:rsidR="00E83C12" w:rsidRPr="00855786">
              <w:rPr>
                <w:rFonts w:ascii="Times New Roman" w:hAnsi="Times New Roman"/>
                <w:b/>
                <w:sz w:val="24"/>
                <w:szCs w:val="24"/>
              </w:rPr>
              <w:t xml:space="preserve"> considered as essential</w:t>
            </w:r>
          </w:p>
        </w:tc>
      </w:tr>
      <w:tr w:rsidR="00306360" w:rsidRPr="004F6117" w14:paraId="06694224" w14:textId="77777777" w:rsidTr="00F33F9F">
        <w:trPr>
          <w:trHeight w:val="755"/>
          <w:jc w:val="center"/>
        </w:trPr>
        <w:tc>
          <w:tcPr>
            <w:tcW w:w="10343" w:type="dxa"/>
          </w:tcPr>
          <w:p w14:paraId="245AD408" w14:textId="17746A24" w:rsidR="00306360" w:rsidRPr="00855786" w:rsidRDefault="00306360" w:rsidP="00F33F9F">
            <w:pPr>
              <w:widowControl w:val="0"/>
              <w:spacing w:before="120" w:after="120"/>
              <w:jc w:val="both"/>
              <w:rPr>
                <w:rFonts w:ascii="Times New Roman" w:hAnsi="Times New Roman"/>
                <w:sz w:val="24"/>
                <w:szCs w:val="24"/>
              </w:rPr>
            </w:pPr>
            <w:r w:rsidRPr="00855786">
              <w:rPr>
                <w:rFonts w:ascii="Times New Roman" w:hAnsi="Times New Roman"/>
                <w:sz w:val="24"/>
                <w:szCs w:val="24"/>
                <w:u w:val="single"/>
              </w:rPr>
              <w:t>On point 1.6</w:t>
            </w:r>
            <w:r w:rsidRPr="00855786">
              <w:rPr>
                <w:rFonts w:ascii="Times New Roman" w:hAnsi="Times New Roman"/>
                <w:sz w:val="24"/>
                <w:szCs w:val="24"/>
              </w:rPr>
              <w:t>: Adult learning participation has increased only marginally in recent years, leaving substantial efforts needed to meet the EU target by 2030. Accelerated progress is crucial to equip the workforce for evolving skills needs, mitigate labour and skills shortages and preserve competitiveness and inclusiveness. In September 2024, the Indicators Group of the Employment Committee reached a</w:t>
            </w:r>
            <w:r w:rsidR="00F33F9F">
              <w:rPr>
                <w:rFonts w:ascii="Times New Roman" w:hAnsi="Times New Roman"/>
                <w:sz w:val="24"/>
                <w:szCs w:val="24"/>
              </w:rPr>
              <w:t> </w:t>
            </w:r>
            <w:r w:rsidRPr="00855786">
              <w:rPr>
                <w:rFonts w:ascii="Times New Roman" w:hAnsi="Times New Roman"/>
                <w:sz w:val="24"/>
                <w:szCs w:val="24"/>
              </w:rPr>
              <w:t>provisional agreement on the monitoring framework for the adult learning target. The Indicators Group will review the agreement and the planned transition from the Adult Education Survey</w:t>
            </w:r>
            <w:r w:rsidR="00640384">
              <w:rPr>
                <w:rFonts w:ascii="Times New Roman" w:hAnsi="Times New Roman"/>
                <w:sz w:val="24"/>
                <w:szCs w:val="24"/>
              </w:rPr>
              <w:t> </w:t>
            </w:r>
            <w:r w:rsidRPr="00855786">
              <w:rPr>
                <w:rFonts w:ascii="Times New Roman" w:hAnsi="Times New Roman"/>
                <w:sz w:val="24"/>
                <w:szCs w:val="24"/>
              </w:rPr>
              <w:t>(AES) to the Labour For</w:t>
            </w:r>
            <w:r w:rsidR="00967C7A">
              <w:rPr>
                <w:rFonts w:ascii="Times New Roman" w:hAnsi="Times New Roman"/>
                <w:sz w:val="24"/>
                <w:szCs w:val="24"/>
              </w:rPr>
              <w:t>c</w:t>
            </w:r>
            <w:r w:rsidRPr="00855786">
              <w:rPr>
                <w:rFonts w:ascii="Times New Roman" w:hAnsi="Times New Roman"/>
                <w:sz w:val="24"/>
                <w:szCs w:val="24"/>
              </w:rPr>
              <w:t>e Survey</w:t>
            </w:r>
            <w:r w:rsidR="00640384">
              <w:rPr>
                <w:rFonts w:ascii="Times New Roman" w:hAnsi="Times New Roman"/>
                <w:sz w:val="24"/>
                <w:szCs w:val="24"/>
              </w:rPr>
              <w:t> </w:t>
            </w:r>
            <w:r w:rsidRPr="00855786">
              <w:rPr>
                <w:rFonts w:ascii="Times New Roman" w:hAnsi="Times New Roman"/>
                <w:sz w:val="24"/>
                <w:szCs w:val="24"/>
              </w:rPr>
              <w:t xml:space="preserve">(EU-LFS) </w:t>
            </w:r>
            <w:r w:rsidRPr="00855786">
              <w:rPr>
                <w:rFonts w:ascii="Times New Roman" w:hAnsi="Times New Roman"/>
                <w:bCs/>
                <w:sz w:val="24"/>
                <w:szCs w:val="24"/>
              </w:rPr>
              <w:t>following further analysis of the differences between the two surveys.</w:t>
            </w:r>
          </w:p>
          <w:p w14:paraId="1FC93639" w14:textId="6818B1A1" w:rsidR="00306360" w:rsidRPr="00855786" w:rsidRDefault="00306360" w:rsidP="00F33F9F">
            <w:pPr>
              <w:widowControl w:val="0"/>
              <w:spacing w:before="120" w:after="120"/>
              <w:jc w:val="both"/>
              <w:rPr>
                <w:rFonts w:ascii="Times New Roman" w:hAnsi="Times New Roman"/>
                <w:sz w:val="24"/>
                <w:szCs w:val="24"/>
              </w:rPr>
            </w:pPr>
            <w:r w:rsidRPr="00855786">
              <w:rPr>
                <w:rFonts w:ascii="Times New Roman" w:hAnsi="Times New Roman"/>
                <w:sz w:val="24"/>
                <w:szCs w:val="24"/>
                <w:u w:val="single"/>
              </w:rPr>
              <w:t>On points 1.7, 3.1.4, 3.2.3 and 3.2.5</w:t>
            </w:r>
            <w:r w:rsidRPr="00855786">
              <w:rPr>
                <w:rFonts w:ascii="Times New Roman" w:hAnsi="Times New Roman"/>
                <w:sz w:val="24"/>
                <w:szCs w:val="24"/>
              </w:rPr>
              <w:t xml:space="preserve">: To make </w:t>
            </w:r>
            <w:r w:rsidR="00284422" w:rsidRPr="00855786">
              <w:rPr>
                <w:rFonts w:ascii="Times New Roman" w:hAnsi="Times New Roman"/>
                <w:sz w:val="24"/>
                <w:szCs w:val="24"/>
              </w:rPr>
              <w:t>vocational education and training</w:t>
            </w:r>
            <w:r w:rsidR="00347B43">
              <w:rPr>
                <w:rFonts w:ascii="Times New Roman" w:hAnsi="Times New Roman"/>
                <w:sz w:val="24"/>
                <w:szCs w:val="24"/>
              </w:rPr>
              <w:t> </w:t>
            </w:r>
            <w:r w:rsidR="00284422" w:rsidRPr="00855786">
              <w:rPr>
                <w:rFonts w:ascii="Times New Roman" w:hAnsi="Times New Roman"/>
                <w:sz w:val="24"/>
                <w:szCs w:val="24"/>
              </w:rPr>
              <w:t>(</w:t>
            </w:r>
            <w:r w:rsidRPr="00855786">
              <w:rPr>
                <w:rFonts w:ascii="Times New Roman" w:hAnsi="Times New Roman"/>
                <w:sz w:val="24"/>
                <w:szCs w:val="24"/>
              </w:rPr>
              <w:t>VET</w:t>
            </w:r>
            <w:r w:rsidR="00284422" w:rsidRPr="00855786">
              <w:rPr>
                <w:rFonts w:ascii="Times New Roman" w:hAnsi="Times New Roman"/>
                <w:sz w:val="24"/>
                <w:szCs w:val="24"/>
              </w:rPr>
              <w:t>)</w:t>
            </w:r>
            <w:r w:rsidRPr="00855786">
              <w:rPr>
                <w:rFonts w:ascii="Times New Roman" w:hAnsi="Times New Roman"/>
                <w:sz w:val="24"/>
                <w:szCs w:val="24"/>
              </w:rPr>
              <w:t xml:space="preserve"> more attractive, inclusive and innovative, the Commission will adopt a European VET Strategy. In line with the Union of Skills</w:t>
            </w:r>
            <w:r w:rsidR="000709E6" w:rsidRPr="00855786">
              <w:rPr>
                <w:rStyle w:val="FootnoteReference"/>
                <w:rFonts w:ascii="Times New Roman" w:hAnsi="Times New Roman"/>
                <w:sz w:val="24"/>
                <w:szCs w:val="24"/>
              </w:rPr>
              <w:footnoteReference w:id="2"/>
            </w:r>
            <w:r w:rsidRPr="00855786">
              <w:rPr>
                <w:rFonts w:ascii="Times New Roman" w:hAnsi="Times New Roman"/>
                <w:sz w:val="24"/>
                <w:szCs w:val="24"/>
              </w:rPr>
              <w:t>, the Strategy will focus on the role of VET in supporting EU competitiveness and innovation, economic, territorial and social cohesion as well as generational renewal by addressing skills shortages and mismatches, enhancing the attractiveness, quality and labour market relevance of VET and supporting mobility and internationalisation. The Strategy will also address gender and other stereotypes in making study choices and build on benefits and labour market outcomes of VET so that VET becomes an equally valued learning pathway as higher education, including for women.</w:t>
            </w:r>
          </w:p>
          <w:p w14:paraId="7E5AA672" w14:textId="785881F3" w:rsidR="008A6E2B" w:rsidRPr="00855786" w:rsidRDefault="008A6E2B" w:rsidP="00F33F9F">
            <w:pPr>
              <w:widowControl w:val="0"/>
              <w:spacing w:before="120" w:after="120"/>
              <w:jc w:val="both"/>
              <w:rPr>
                <w:rFonts w:ascii="Times New Roman" w:hAnsi="Times New Roman"/>
                <w:sz w:val="24"/>
                <w:szCs w:val="24"/>
              </w:rPr>
            </w:pPr>
            <w:r w:rsidRPr="00855786">
              <w:rPr>
                <w:rFonts w:ascii="Times New Roman" w:hAnsi="Times New Roman"/>
                <w:sz w:val="24"/>
                <w:szCs w:val="24"/>
              </w:rPr>
              <w:t>In its Action Plan on Basic Skills</w:t>
            </w:r>
            <w:r w:rsidRPr="00855786">
              <w:rPr>
                <w:rStyle w:val="FootnoteReference"/>
                <w:rFonts w:ascii="Times New Roman" w:hAnsi="Times New Roman"/>
                <w:sz w:val="24"/>
                <w:szCs w:val="24"/>
              </w:rPr>
              <w:footnoteReference w:id="3"/>
            </w:r>
            <w:r w:rsidRPr="00855786">
              <w:rPr>
                <w:rFonts w:ascii="Times New Roman" w:hAnsi="Times New Roman"/>
                <w:sz w:val="24"/>
                <w:szCs w:val="24"/>
              </w:rPr>
              <w:t>, the Commission outlined a set of actions to improve levels of basic skills for all Europeans as cornerstones of EU competitiveness and resilience. These actions focus on the development of literacy, mathematics</w:t>
            </w:r>
            <w:r w:rsidR="00940425">
              <w:rPr>
                <w:rFonts w:ascii="Times New Roman" w:hAnsi="Times New Roman"/>
                <w:sz w:val="24"/>
                <w:szCs w:val="24"/>
              </w:rPr>
              <w:t xml:space="preserve">, </w:t>
            </w:r>
            <w:r w:rsidRPr="00855786">
              <w:rPr>
                <w:rFonts w:ascii="Times New Roman" w:hAnsi="Times New Roman"/>
                <w:sz w:val="24"/>
                <w:szCs w:val="24"/>
              </w:rPr>
              <w:t>science</w:t>
            </w:r>
            <w:r w:rsidR="00940425">
              <w:rPr>
                <w:rFonts w:ascii="Times New Roman" w:hAnsi="Times New Roman"/>
                <w:sz w:val="24"/>
                <w:szCs w:val="24"/>
              </w:rPr>
              <w:t xml:space="preserve">, </w:t>
            </w:r>
            <w:r w:rsidRPr="00855786">
              <w:rPr>
                <w:rFonts w:ascii="Times New Roman" w:hAnsi="Times New Roman"/>
                <w:sz w:val="24"/>
                <w:szCs w:val="24"/>
              </w:rPr>
              <w:t xml:space="preserve">digital and citizenship skills for all Europeans. The Commission will </w:t>
            </w:r>
            <w:r w:rsidR="00FB75F7">
              <w:rPr>
                <w:rFonts w:ascii="Times New Roman" w:hAnsi="Times New Roman"/>
                <w:sz w:val="24"/>
                <w:szCs w:val="24"/>
              </w:rPr>
              <w:t>launch</w:t>
            </w:r>
            <w:r w:rsidR="00FB75F7" w:rsidRPr="00855786">
              <w:rPr>
                <w:rFonts w:ascii="Times New Roman" w:hAnsi="Times New Roman"/>
                <w:sz w:val="24"/>
                <w:szCs w:val="24"/>
              </w:rPr>
              <w:t xml:space="preserve"> </w:t>
            </w:r>
            <w:r w:rsidRPr="00855786">
              <w:rPr>
                <w:rFonts w:ascii="Times New Roman" w:hAnsi="Times New Roman"/>
                <w:sz w:val="24"/>
                <w:szCs w:val="24"/>
              </w:rPr>
              <w:t xml:space="preserve">a Basic Skills Support Scheme to </w:t>
            </w:r>
            <w:r w:rsidR="007E6B21" w:rsidRPr="007E6B21">
              <w:rPr>
                <w:rFonts w:ascii="Times New Roman" w:hAnsi="Times New Roman"/>
                <w:sz w:val="24"/>
                <w:szCs w:val="24"/>
              </w:rPr>
              <w:t xml:space="preserve">financial support those schools that commit to boost basic skills levels </w:t>
            </w:r>
            <w:r w:rsidR="007E6B21">
              <w:rPr>
                <w:rFonts w:ascii="Times New Roman" w:hAnsi="Times New Roman"/>
                <w:sz w:val="24"/>
                <w:szCs w:val="24"/>
              </w:rPr>
              <w:t xml:space="preserve">and </w:t>
            </w:r>
            <w:r w:rsidRPr="00855786">
              <w:rPr>
                <w:rFonts w:ascii="Times New Roman" w:hAnsi="Times New Roman"/>
                <w:sz w:val="24"/>
                <w:szCs w:val="24"/>
              </w:rPr>
              <w:t>help struggling children and young people to achieve an adequate level of basic skills. Other actions aim to boost basic skills teaching and learning</w:t>
            </w:r>
            <w:r w:rsidR="007E6B21">
              <w:rPr>
                <w:rFonts w:ascii="Times New Roman" w:hAnsi="Times New Roman"/>
                <w:sz w:val="24"/>
                <w:szCs w:val="24"/>
              </w:rPr>
              <w:t xml:space="preserve"> by </w:t>
            </w:r>
            <w:r w:rsidRPr="00855786">
              <w:rPr>
                <w:rFonts w:ascii="Times New Roman" w:hAnsi="Times New Roman"/>
                <w:sz w:val="24"/>
                <w:szCs w:val="24"/>
              </w:rPr>
              <w:t>support</w:t>
            </w:r>
            <w:r w:rsidR="007E6B21">
              <w:rPr>
                <w:rFonts w:ascii="Times New Roman" w:hAnsi="Times New Roman"/>
                <w:sz w:val="24"/>
                <w:szCs w:val="24"/>
              </w:rPr>
              <w:t>ing</w:t>
            </w:r>
            <w:r w:rsidRPr="00855786">
              <w:rPr>
                <w:rFonts w:ascii="Times New Roman" w:hAnsi="Times New Roman"/>
                <w:sz w:val="24"/>
                <w:szCs w:val="24"/>
              </w:rPr>
              <w:t xml:space="preserve"> educators in this task and enable supporting environments for basic skills development. This </w:t>
            </w:r>
            <w:r w:rsidR="0031419B">
              <w:rPr>
                <w:rFonts w:ascii="Times New Roman" w:hAnsi="Times New Roman"/>
                <w:sz w:val="24"/>
                <w:szCs w:val="24"/>
              </w:rPr>
              <w:t>will be addressed under</w:t>
            </w:r>
            <w:r w:rsidR="0031419B" w:rsidRPr="00855786">
              <w:rPr>
                <w:rFonts w:ascii="Times New Roman" w:hAnsi="Times New Roman"/>
                <w:sz w:val="24"/>
                <w:szCs w:val="24"/>
              </w:rPr>
              <w:t xml:space="preserve"> </w:t>
            </w:r>
            <w:r w:rsidRPr="00855786">
              <w:rPr>
                <w:rFonts w:ascii="Times New Roman" w:hAnsi="Times New Roman"/>
                <w:sz w:val="24"/>
                <w:szCs w:val="24"/>
              </w:rPr>
              <w:t>an EU Teachers and Trainers Agenda</w:t>
            </w:r>
            <w:r w:rsidR="00855786" w:rsidRPr="00855786">
              <w:rPr>
                <w:rFonts w:ascii="Times New Roman" w:hAnsi="Times New Roman"/>
                <w:sz w:val="24"/>
                <w:szCs w:val="24"/>
              </w:rPr>
              <w:t>.</w:t>
            </w:r>
          </w:p>
          <w:p w14:paraId="1B9116E5" w14:textId="06651FF6" w:rsidR="00284422" w:rsidRPr="00855786" w:rsidRDefault="00284422" w:rsidP="00F33F9F">
            <w:pPr>
              <w:widowControl w:val="0"/>
              <w:spacing w:before="120" w:after="120"/>
              <w:jc w:val="both"/>
              <w:rPr>
                <w:rFonts w:ascii="Times New Roman" w:hAnsi="Times New Roman"/>
                <w:sz w:val="24"/>
                <w:szCs w:val="24"/>
              </w:rPr>
            </w:pPr>
            <w:r w:rsidRPr="00855786">
              <w:rPr>
                <w:rFonts w:ascii="Times New Roman" w:hAnsi="Times New Roman"/>
                <w:sz w:val="24"/>
                <w:szCs w:val="24"/>
              </w:rPr>
              <w:t>Under the European Education Area</w:t>
            </w:r>
            <w:r w:rsidRPr="00855786">
              <w:rPr>
                <w:rStyle w:val="FootnoteReference"/>
                <w:rFonts w:ascii="Times New Roman" w:hAnsi="Times New Roman"/>
                <w:sz w:val="24"/>
                <w:szCs w:val="24"/>
              </w:rPr>
              <w:footnoteReference w:id="4"/>
            </w:r>
            <w:r w:rsidRPr="00855786">
              <w:rPr>
                <w:rFonts w:ascii="Times New Roman" w:hAnsi="Times New Roman"/>
                <w:sz w:val="24"/>
                <w:szCs w:val="24"/>
              </w:rPr>
              <w:t xml:space="preserve">, digital skills are defined as a basic skill, with a 2030 target of not more than 15% of </w:t>
            </w:r>
            <w:proofErr w:type="gramStart"/>
            <w:r w:rsidRPr="00855786">
              <w:rPr>
                <w:rFonts w:ascii="Times New Roman" w:hAnsi="Times New Roman"/>
                <w:sz w:val="24"/>
                <w:szCs w:val="24"/>
              </w:rPr>
              <w:t>eight</w:t>
            </w:r>
            <w:r w:rsidR="00967C7A">
              <w:rPr>
                <w:rFonts w:ascii="Times New Roman" w:hAnsi="Times New Roman"/>
                <w:sz w:val="24"/>
                <w:szCs w:val="24"/>
              </w:rPr>
              <w:t>h-</w:t>
            </w:r>
            <w:r w:rsidRPr="00855786">
              <w:rPr>
                <w:rFonts w:ascii="Times New Roman" w:hAnsi="Times New Roman"/>
                <w:sz w:val="24"/>
                <w:szCs w:val="24"/>
              </w:rPr>
              <w:t>graders</w:t>
            </w:r>
            <w:proofErr w:type="gramEnd"/>
            <w:r w:rsidRPr="00855786">
              <w:rPr>
                <w:rFonts w:ascii="Times New Roman" w:hAnsi="Times New Roman"/>
                <w:sz w:val="24"/>
                <w:szCs w:val="24"/>
              </w:rPr>
              <w:t xml:space="preserve"> underperforming in basic digital skills. In 2023, this was 43% in the EU on average, as measured by the International Computer and Information Literacy Study</w:t>
            </w:r>
            <w:r w:rsidR="00640384">
              <w:rPr>
                <w:rFonts w:ascii="Times New Roman" w:hAnsi="Times New Roman"/>
                <w:sz w:val="24"/>
                <w:szCs w:val="24"/>
              </w:rPr>
              <w:t> </w:t>
            </w:r>
            <w:r w:rsidRPr="00855786">
              <w:rPr>
                <w:rFonts w:ascii="Times New Roman" w:hAnsi="Times New Roman"/>
                <w:sz w:val="24"/>
                <w:szCs w:val="24"/>
              </w:rPr>
              <w:t>(ICILS)</w:t>
            </w:r>
            <w:r w:rsidRPr="00855786">
              <w:rPr>
                <w:rStyle w:val="FootnoteReference"/>
                <w:rFonts w:ascii="Times New Roman" w:hAnsi="Times New Roman"/>
                <w:sz w:val="24"/>
                <w:szCs w:val="24"/>
              </w:rPr>
              <w:footnoteReference w:id="5"/>
            </w:r>
            <w:r w:rsidRPr="00855786">
              <w:rPr>
                <w:rFonts w:ascii="Times New Roman" w:hAnsi="Times New Roman"/>
                <w:sz w:val="24"/>
                <w:szCs w:val="24"/>
              </w:rPr>
              <w:t xml:space="preserve">, showing the need to step up efforts for greater digital literacy. The ICILS study assesses students’ </w:t>
            </w:r>
            <w:r w:rsidRPr="00855786">
              <w:rPr>
                <w:rFonts w:ascii="Times New Roman" w:hAnsi="Times New Roman"/>
                <w:sz w:val="24"/>
                <w:szCs w:val="24"/>
              </w:rPr>
              <w:lastRenderedPageBreak/>
              <w:t>computer and information literacy as well as computational thinking which are</w:t>
            </w:r>
            <w:r w:rsidR="00967C7A">
              <w:rPr>
                <w:rFonts w:ascii="Times New Roman" w:hAnsi="Times New Roman"/>
                <w:sz w:val="24"/>
                <w:szCs w:val="24"/>
              </w:rPr>
              <w:t xml:space="preserve"> both</w:t>
            </w:r>
            <w:r w:rsidRPr="00855786">
              <w:rPr>
                <w:rFonts w:ascii="Times New Roman" w:hAnsi="Times New Roman"/>
                <w:sz w:val="24"/>
                <w:szCs w:val="24"/>
              </w:rPr>
              <w:t xml:space="preserve"> crucial for </w:t>
            </w:r>
            <w:r w:rsidR="00CD53EE">
              <w:rPr>
                <w:rFonts w:ascii="Times New Roman" w:hAnsi="Times New Roman"/>
                <w:sz w:val="24"/>
                <w:szCs w:val="24"/>
              </w:rPr>
              <w:t>artificial intelligence (</w:t>
            </w:r>
            <w:r w:rsidRPr="00855786">
              <w:rPr>
                <w:rFonts w:ascii="Times New Roman" w:hAnsi="Times New Roman"/>
                <w:sz w:val="24"/>
                <w:szCs w:val="24"/>
              </w:rPr>
              <w:t>AI</w:t>
            </w:r>
            <w:r w:rsidR="00CD53EE">
              <w:rPr>
                <w:rFonts w:ascii="Times New Roman" w:hAnsi="Times New Roman"/>
                <w:sz w:val="24"/>
                <w:szCs w:val="24"/>
              </w:rPr>
              <w:t>)</w:t>
            </w:r>
            <w:r w:rsidRPr="00855786">
              <w:rPr>
                <w:rFonts w:ascii="Times New Roman" w:hAnsi="Times New Roman"/>
                <w:sz w:val="24"/>
                <w:szCs w:val="24"/>
              </w:rPr>
              <w:t xml:space="preserve"> literacy.</w:t>
            </w:r>
          </w:p>
          <w:p w14:paraId="6896EE62" w14:textId="0C1F5B01" w:rsidR="008A6E2B" w:rsidRPr="00855786" w:rsidRDefault="008A6E2B" w:rsidP="00F33F9F">
            <w:pPr>
              <w:widowControl w:val="0"/>
              <w:spacing w:before="120" w:after="120"/>
              <w:jc w:val="both"/>
              <w:rPr>
                <w:rFonts w:ascii="Times New Roman" w:hAnsi="Times New Roman"/>
                <w:sz w:val="24"/>
                <w:szCs w:val="24"/>
              </w:rPr>
            </w:pPr>
            <w:r w:rsidRPr="00855786">
              <w:rPr>
                <w:rFonts w:ascii="Times New Roman" w:hAnsi="Times New Roman"/>
                <w:sz w:val="24"/>
                <w:szCs w:val="24"/>
              </w:rPr>
              <w:t>The Commission takes note of the EESC’s suggestion to recognise AI literacy as a key competence. It supports advancing AI literacy in education and training through the Digital Education Action Plan</w:t>
            </w:r>
            <w:r w:rsidR="00352693">
              <w:rPr>
                <w:rFonts w:ascii="Times New Roman" w:hAnsi="Times New Roman"/>
                <w:sz w:val="24"/>
                <w:szCs w:val="24"/>
              </w:rPr>
              <w:t> </w:t>
            </w:r>
            <w:r w:rsidRPr="00855786">
              <w:rPr>
                <w:rFonts w:ascii="Times New Roman" w:hAnsi="Times New Roman"/>
                <w:sz w:val="24"/>
                <w:szCs w:val="24"/>
              </w:rPr>
              <w:t>(2021–2027)</w:t>
            </w:r>
            <w:r w:rsidRPr="00855786">
              <w:rPr>
                <w:rStyle w:val="FootnoteReference"/>
                <w:rFonts w:ascii="Times New Roman" w:hAnsi="Times New Roman"/>
                <w:sz w:val="24"/>
                <w:szCs w:val="24"/>
              </w:rPr>
              <w:footnoteReference w:id="6"/>
            </w:r>
            <w:r w:rsidRPr="00855786">
              <w:rPr>
                <w:rFonts w:ascii="Times New Roman" w:hAnsi="Times New Roman"/>
                <w:sz w:val="24"/>
                <w:szCs w:val="24"/>
              </w:rPr>
              <w:t>, fostering inclusiveness and attracting underrepresented groups, in particular women, into digital and AI fields. To strengthen young people’s digital skills, including AI literacy, the Commission published in 2022 the Ethical Guidelines on the Use of AI and Data in Teaching and Learning for Educators</w:t>
            </w:r>
            <w:r w:rsidR="005F4954" w:rsidRPr="00855786">
              <w:rPr>
                <w:rStyle w:val="FootnoteReference"/>
                <w:rFonts w:ascii="Times New Roman" w:hAnsi="Times New Roman"/>
                <w:sz w:val="24"/>
                <w:szCs w:val="24"/>
              </w:rPr>
              <w:footnoteReference w:id="7"/>
            </w:r>
            <w:r w:rsidRPr="00855786">
              <w:rPr>
                <w:rFonts w:ascii="Times New Roman" w:hAnsi="Times New Roman"/>
                <w:sz w:val="24"/>
                <w:szCs w:val="24"/>
              </w:rPr>
              <w:t>. A revised version will be issued later this year. In 2022, the Commission also updated the Digital Competence Framework for Citizens (</w:t>
            </w:r>
            <w:proofErr w:type="spellStart"/>
            <w:r w:rsidRPr="00855786">
              <w:rPr>
                <w:rFonts w:ascii="Times New Roman" w:hAnsi="Times New Roman"/>
                <w:sz w:val="24"/>
                <w:szCs w:val="24"/>
              </w:rPr>
              <w:t>DigComp</w:t>
            </w:r>
            <w:proofErr w:type="spellEnd"/>
            <w:r w:rsidRPr="00855786">
              <w:rPr>
                <w:rFonts w:ascii="Times New Roman" w:hAnsi="Times New Roman"/>
                <w:sz w:val="24"/>
                <w:szCs w:val="24"/>
              </w:rPr>
              <w:t>)</w:t>
            </w:r>
            <w:r w:rsidR="005F4954" w:rsidRPr="00855786">
              <w:rPr>
                <w:rStyle w:val="FootnoteReference"/>
                <w:rFonts w:ascii="Times New Roman" w:hAnsi="Times New Roman"/>
                <w:sz w:val="24"/>
                <w:szCs w:val="24"/>
              </w:rPr>
              <w:footnoteReference w:id="8"/>
            </w:r>
            <w:r w:rsidRPr="00855786">
              <w:rPr>
                <w:rFonts w:ascii="Times New Roman" w:hAnsi="Times New Roman"/>
                <w:sz w:val="24"/>
                <w:szCs w:val="24"/>
              </w:rPr>
              <w:t xml:space="preserve"> to reflect the growing presence of AI in everyday life. In partnership with the </w:t>
            </w:r>
            <w:r w:rsidR="00286858" w:rsidRPr="00286858">
              <w:rPr>
                <w:rFonts w:ascii="Times New Roman" w:hAnsi="Times New Roman"/>
                <w:sz w:val="24"/>
                <w:szCs w:val="24"/>
              </w:rPr>
              <w:t>Organisation for Economic Co-operation and Development</w:t>
            </w:r>
            <w:r w:rsidR="00286858">
              <w:rPr>
                <w:rFonts w:ascii="Times New Roman" w:hAnsi="Times New Roman"/>
                <w:sz w:val="24"/>
                <w:szCs w:val="24"/>
              </w:rPr>
              <w:t> (</w:t>
            </w:r>
            <w:r w:rsidRPr="00855786">
              <w:rPr>
                <w:rFonts w:ascii="Times New Roman" w:hAnsi="Times New Roman"/>
                <w:sz w:val="24"/>
                <w:szCs w:val="24"/>
              </w:rPr>
              <w:t>OECD</w:t>
            </w:r>
            <w:r w:rsidR="00286858">
              <w:rPr>
                <w:rFonts w:ascii="Times New Roman" w:hAnsi="Times New Roman"/>
                <w:sz w:val="24"/>
                <w:szCs w:val="24"/>
              </w:rPr>
              <w:t>)</w:t>
            </w:r>
            <w:r w:rsidRPr="00855786">
              <w:rPr>
                <w:rFonts w:ascii="Times New Roman" w:hAnsi="Times New Roman"/>
                <w:sz w:val="24"/>
                <w:szCs w:val="24"/>
              </w:rPr>
              <w:t>, it is also developing an AI Literacy Framework for schools, to be finalised in 2026 and feeding into the innovative assessment component of</w:t>
            </w:r>
            <w:r w:rsidR="006C4138">
              <w:rPr>
                <w:rFonts w:ascii="Times New Roman" w:hAnsi="Times New Roman"/>
                <w:sz w:val="24"/>
                <w:szCs w:val="24"/>
              </w:rPr>
              <w:t xml:space="preserve"> the</w:t>
            </w:r>
            <w:r w:rsidRPr="00855786">
              <w:rPr>
                <w:rFonts w:ascii="Times New Roman" w:hAnsi="Times New Roman"/>
                <w:sz w:val="24"/>
                <w:szCs w:val="24"/>
              </w:rPr>
              <w:t xml:space="preserve"> </w:t>
            </w:r>
            <w:r w:rsidR="00286858" w:rsidRPr="00286858">
              <w:rPr>
                <w:rFonts w:ascii="Times New Roman" w:hAnsi="Times New Roman"/>
                <w:sz w:val="24"/>
                <w:szCs w:val="24"/>
              </w:rPr>
              <w:t>Programme for International Student Assessment</w:t>
            </w:r>
            <w:r w:rsidR="00286858">
              <w:rPr>
                <w:rFonts w:ascii="Times New Roman" w:hAnsi="Times New Roman"/>
                <w:sz w:val="24"/>
                <w:szCs w:val="24"/>
              </w:rPr>
              <w:t> (</w:t>
            </w:r>
            <w:r w:rsidRPr="00855786">
              <w:rPr>
                <w:rFonts w:ascii="Times New Roman" w:hAnsi="Times New Roman"/>
                <w:sz w:val="24"/>
                <w:szCs w:val="24"/>
              </w:rPr>
              <w:t>PISA</w:t>
            </w:r>
            <w:r w:rsidR="00286858">
              <w:rPr>
                <w:rFonts w:ascii="Times New Roman" w:hAnsi="Times New Roman"/>
                <w:sz w:val="24"/>
                <w:szCs w:val="24"/>
              </w:rPr>
              <w:t>)</w:t>
            </w:r>
            <w:r w:rsidRPr="00855786">
              <w:rPr>
                <w:rFonts w:ascii="Times New Roman" w:hAnsi="Times New Roman"/>
                <w:sz w:val="24"/>
                <w:szCs w:val="24"/>
              </w:rPr>
              <w:t xml:space="preserve"> 2029.</w:t>
            </w:r>
          </w:p>
          <w:p w14:paraId="01441B51" w14:textId="6FCC1D6D" w:rsidR="008A6E2B" w:rsidRPr="00855786" w:rsidRDefault="008A6E2B" w:rsidP="00F33F9F">
            <w:pPr>
              <w:widowControl w:val="0"/>
              <w:spacing w:before="120" w:after="120"/>
              <w:jc w:val="both"/>
              <w:rPr>
                <w:rFonts w:ascii="Times New Roman" w:hAnsi="Times New Roman"/>
                <w:sz w:val="24"/>
                <w:szCs w:val="24"/>
              </w:rPr>
            </w:pPr>
            <w:r w:rsidRPr="00855786">
              <w:rPr>
                <w:rFonts w:ascii="Times New Roman" w:hAnsi="Times New Roman"/>
                <w:sz w:val="24"/>
                <w:szCs w:val="24"/>
              </w:rPr>
              <w:t>The Erasmus+ programme</w:t>
            </w:r>
            <w:r w:rsidR="005F4954" w:rsidRPr="00855786">
              <w:rPr>
                <w:rStyle w:val="FootnoteReference"/>
                <w:rFonts w:ascii="Times New Roman" w:hAnsi="Times New Roman"/>
                <w:sz w:val="24"/>
                <w:szCs w:val="24"/>
              </w:rPr>
              <w:footnoteReference w:id="9"/>
            </w:r>
            <w:r w:rsidRPr="00855786">
              <w:rPr>
                <w:rFonts w:ascii="Times New Roman" w:hAnsi="Times New Roman"/>
                <w:sz w:val="24"/>
                <w:szCs w:val="24"/>
              </w:rPr>
              <w:t xml:space="preserve"> has been mobilised to support innovative pedagogical practices and skills development in the AI age, including through a dedicated call on the ethical and effective use of generative AI systems in education and training. The Commission is currently preparing the Action Plan’s successor, the 2030 Roadmap on the future of digital education and skills which will place a</w:t>
            </w:r>
            <w:r w:rsidR="00286858">
              <w:rPr>
                <w:rFonts w:ascii="Times New Roman" w:hAnsi="Times New Roman"/>
                <w:sz w:val="24"/>
                <w:szCs w:val="24"/>
              </w:rPr>
              <w:t> </w:t>
            </w:r>
            <w:r w:rsidRPr="00855786">
              <w:rPr>
                <w:rFonts w:ascii="Times New Roman" w:hAnsi="Times New Roman"/>
                <w:sz w:val="24"/>
                <w:szCs w:val="24"/>
              </w:rPr>
              <w:t>greater emphasis on AI in education.</w:t>
            </w:r>
          </w:p>
          <w:p w14:paraId="1D1917BD" w14:textId="37A93C7B" w:rsidR="008A6E2B" w:rsidRPr="00855786" w:rsidRDefault="008A6E2B" w:rsidP="00F33F9F">
            <w:pPr>
              <w:widowControl w:val="0"/>
              <w:spacing w:before="120" w:after="120"/>
              <w:jc w:val="both"/>
              <w:rPr>
                <w:rFonts w:ascii="Times New Roman" w:hAnsi="Times New Roman"/>
                <w:sz w:val="24"/>
                <w:szCs w:val="24"/>
              </w:rPr>
            </w:pPr>
            <w:r w:rsidRPr="00855786">
              <w:rPr>
                <w:rFonts w:ascii="Times New Roman" w:hAnsi="Times New Roman"/>
                <w:sz w:val="24"/>
                <w:szCs w:val="24"/>
              </w:rPr>
              <w:t>The AI Continent Action Plan</w:t>
            </w:r>
            <w:r w:rsidR="00DF3EDE" w:rsidRPr="00855786">
              <w:rPr>
                <w:rStyle w:val="FootnoteReference"/>
                <w:rFonts w:ascii="Times New Roman" w:hAnsi="Times New Roman"/>
                <w:sz w:val="24"/>
                <w:szCs w:val="24"/>
              </w:rPr>
              <w:footnoteReference w:id="10"/>
            </w:r>
            <w:r w:rsidRPr="00855786">
              <w:rPr>
                <w:rFonts w:ascii="Times New Roman" w:hAnsi="Times New Roman"/>
                <w:sz w:val="24"/>
                <w:szCs w:val="24"/>
              </w:rPr>
              <w:t xml:space="preserve"> underlines the importance of raising awareness on AI literacy and fostering dialogue on AI for all. In this spirit and to support the implementation of </w:t>
            </w:r>
            <w:r w:rsidR="00286858">
              <w:rPr>
                <w:rFonts w:ascii="Times New Roman" w:hAnsi="Times New Roman"/>
                <w:sz w:val="24"/>
                <w:szCs w:val="24"/>
              </w:rPr>
              <w:t>A</w:t>
            </w:r>
            <w:r w:rsidRPr="00855786">
              <w:rPr>
                <w:rFonts w:ascii="Times New Roman" w:hAnsi="Times New Roman"/>
                <w:sz w:val="24"/>
                <w:szCs w:val="24"/>
              </w:rPr>
              <w:t>rticle</w:t>
            </w:r>
            <w:r w:rsidR="00286858">
              <w:rPr>
                <w:rFonts w:ascii="Times New Roman" w:hAnsi="Times New Roman"/>
                <w:sz w:val="24"/>
                <w:szCs w:val="24"/>
              </w:rPr>
              <w:t> </w:t>
            </w:r>
            <w:r w:rsidRPr="00855786">
              <w:rPr>
                <w:rFonts w:ascii="Times New Roman" w:hAnsi="Times New Roman"/>
                <w:sz w:val="24"/>
                <w:szCs w:val="24"/>
              </w:rPr>
              <w:t>4 of the AI Act</w:t>
            </w:r>
            <w:r w:rsidR="00284422" w:rsidRPr="00855786">
              <w:rPr>
                <w:rStyle w:val="FootnoteReference"/>
                <w:rFonts w:ascii="Times New Roman" w:hAnsi="Times New Roman"/>
                <w:sz w:val="24"/>
                <w:szCs w:val="24"/>
              </w:rPr>
              <w:footnoteReference w:id="11"/>
            </w:r>
            <w:r w:rsidRPr="00855786">
              <w:rPr>
                <w:rFonts w:ascii="Times New Roman" w:hAnsi="Times New Roman"/>
                <w:sz w:val="24"/>
                <w:szCs w:val="24"/>
              </w:rPr>
              <w:t>, the Commission has launched a living repository of AI literacy practices. The repository gathers examples of initiatives (e.g. trainings, events, guidance, peer-learning) from more than 20 private and public organisations. The repository is currently being revamped to be more interactive and showcasing new practices also from Member State’s public administrations. To further support upskilling and reskilling of workers, the Commission also include</w:t>
            </w:r>
            <w:r w:rsidR="00402932">
              <w:rPr>
                <w:rFonts w:ascii="Times New Roman" w:hAnsi="Times New Roman"/>
                <w:sz w:val="24"/>
                <w:szCs w:val="24"/>
              </w:rPr>
              <w:t>d</w:t>
            </w:r>
            <w:r w:rsidRPr="00855786">
              <w:rPr>
                <w:rFonts w:ascii="Times New Roman" w:hAnsi="Times New Roman"/>
                <w:sz w:val="24"/>
                <w:szCs w:val="24"/>
              </w:rPr>
              <w:t xml:space="preserve"> actions on AI literacy and skills in the Apply AI Strategy</w:t>
            </w:r>
            <w:r w:rsidR="00402932">
              <w:rPr>
                <w:rStyle w:val="FootnoteReference"/>
                <w:rFonts w:ascii="Times New Roman" w:hAnsi="Times New Roman"/>
                <w:sz w:val="24"/>
                <w:szCs w:val="24"/>
              </w:rPr>
              <w:footnoteReference w:id="12"/>
            </w:r>
            <w:r w:rsidRPr="00855786">
              <w:rPr>
                <w:rFonts w:ascii="Times New Roman" w:hAnsi="Times New Roman"/>
                <w:sz w:val="24"/>
                <w:szCs w:val="24"/>
              </w:rPr>
              <w:t xml:space="preserve"> (published in October 2025).</w:t>
            </w:r>
          </w:p>
          <w:p w14:paraId="61211AD3" w14:textId="399DD03E" w:rsidR="008A6E2B" w:rsidRPr="00855786" w:rsidRDefault="008A6E2B" w:rsidP="00F33F9F">
            <w:pPr>
              <w:widowControl w:val="0"/>
              <w:spacing w:before="120" w:after="120"/>
              <w:jc w:val="both"/>
              <w:rPr>
                <w:rFonts w:ascii="Times New Roman" w:hAnsi="Times New Roman"/>
                <w:sz w:val="24"/>
                <w:szCs w:val="24"/>
              </w:rPr>
            </w:pPr>
            <w:r w:rsidRPr="00855786">
              <w:rPr>
                <w:rFonts w:ascii="Times New Roman" w:hAnsi="Times New Roman"/>
                <w:sz w:val="24"/>
                <w:szCs w:val="24"/>
              </w:rPr>
              <w:t>The Commission shares the EESC’s position that the EU must develop and attract STEM and AI talent. The Commission has adopted a STEM education strategic plan</w:t>
            </w:r>
            <w:r w:rsidR="001D097A" w:rsidRPr="00855786">
              <w:rPr>
                <w:rStyle w:val="FootnoteReference"/>
                <w:rFonts w:ascii="Times New Roman" w:hAnsi="Times New Roman"/>
                <w:sz w:val="24"/>
                <w:szCs w:val="24"/>
              </w:rPr>
              <w:footnoteReference w:id="13"/>
            </w:r>
            <w:r w:rsidRPr="00855786">
              <w:rPr>
                <w:rFonts w:ascii="Times New Roman" w:hAnsi="Times New Roman"/>
                <w:sz w:val="24"/>
                <w:szCs w:val="24"/>
              </w:rPr>
              <w:t xml:space="preserve"> as part of the Union of Skills. In fast-growing fields like AI, the demand for STEM skills will continue to rise, as highlighted by the STEM education strategic plan. The plan has three aims: (i)</w:t>
            </w:r>
            <w:r w:rsidR="00286858">
              <w:rPr>
                <w:rFonts w:ascii="Times New Roman" w:hAnsi="Times New Roman"/>
                <w:sz w:val="24"/>
                <w:szCs w:val="24"/>
              </w:rPr>
              <w:t> </w:t>
            </w:r>
            <w:r w:rsidRPr="00855786">
              <w:rPr>
                <w:rFonts w:ascii="Times New Roman" w:hAnsi="Times New Roman"/>
                <w:sz w:val="24"/>
                <w:szCs w:val="24"/>
              </w:rPr>
              <w:t>anchoring STEM as a strategic pillar in the EU’s education and skills policy, (ii)</w:t>
            </w:r>
            <w:r w:rsidR="00286858">
              <w:rPr>
                <w:rFonts w:ascii="Times New Roman" w:hAnsi="Times New Roman"/>
                <w:sz w:val="24"/>
                <w:szCs w:val="24"/>
              </w:rPr>
              <w:t> </w:t>
            </w:r>
            <w:r w:rsidRPr="00855786">
              <w:rPr>
                <w:rFonts w:ascii="Times New Roman" w:hAnsi="Times New Roman"/>
                <w:sz w:val="24"/>
                <w:szCs w:val="24"/>
              </w:rPr>
              <w:t xml:space="preserve">building a stronger and more inclusive EU STEM talent pipeline and </w:t>
            </w:r>
            <w:r w:rsidRPr="00855786">
              <w:rPr>
                <w:rFonts w:ascii="Times New Roman" w:hAnsi="Times New Roman"/>
                <w:sz w:val="24"/>
                <w:szCs w:val="24"/>
              </w:rPr>
              <w:lastRenderedPageBreak/>
              <w:t>(iii)</w:t>
            </w:r>
            <w:r w:rsidR="00286858">
              <w:rPr>
                <w:rFonts w:ascii="Times New Roman" w:hAnsi="Times New Roman"/>
                <w:sz w:val="24"/>
                <w:szCs w:val="24"/>
              </w:rPr>
              <w:t> </w:t>
            </w:r>
            <w:r w:rsidRPr="00855786">
              <w:rPr>
                <w:rFonts w:ascii="Times New Roman" w:hAnsi="Times New Roman"/>
                <w:sz w:val="24"/>
                <w:szCs w:val="24"/>
              </w:rPr>
              <w:t xml:space="preserve">advancing women in STEM and inspiring future innovators. The 2025 edition of the Education </w:t>
            </w:r>
            <w:r w:rsidR="00352693">
              <w:rPr>
                <w:rFonts w:ascii="Times New Roman" w:hAnsi="Times New Roman"/>
                <w:sz w:val="24"/>
                <w:szCs w:val="24"/>
              </w:rPr>
              <w:t>and</w:t>
            </w:r>
            <w:r w:rsidRPr="00855786">
              <w:rPr>
                <w:rFonts w:ascii="Times New Roman" w:hAnsi="Times New Roman"/>
                <w:sz w:val="24"/>
                <w:szCs w:val="24"/>
              </w:rPr>
              <w:t xml:space="preserve"> Training Monitor will include an analysis of STEM education in all Member States. In addition, </w:t>
            </w:r>
            <w:proofErr w:type="gramStart"/>
            <w:r w:rsidRPr="00855786">
              <w:rPr>
                <w:rFonts w:ascii="Times New Roman" w:hAnsi="Times New Roman"/>
                <w:sz w:val="24"/>
                <w:szCs w:val="24"/>
              </w:rPr>
              <w:t>as a</w:t>
            </w:r>
            <w:r w:rsidR="00411126">
              <w:rPr>
                <w:rFonts w:ascii="Times New Roman" w:hAnsi="Times New Roman"/>
                <w:sz w:val="24"/>
                <w:szCs w:val="24"/>
              </w:rPr>
              <w:t> </w:t>
            </w:r>
            <w:r w:rsidRPr="00855786">
              <w:rPr>
                <w:rFonts w:ascii="Times New Roman" w:hAnsi="Times New Roman"/>
                <w:sz w:val="24"/>
                <w:szCs w:val="24"/>
              </w:rPr>
              <w:t>result of</w:t>
            </w:r>
            <w:proofErr w:type="gramEnd"/>
            <w:r w:rsidRPr="00855786">
              <w:rPr>
                <w:rFonts w:ascii="Times New Roman" w:hAnsi="Times New Roman"/>
                <w:sz w:val="24"/>
                <w:szCs w:val="24"/>
              </w:rPr>
              <w:t xml:space="preserve"> the 2025 European Semester, the Council of the EU has made country-specific recommendations to 10 Member States on strengthening participation in STEM fields.</w:t>
            </w:r>
          </w:p>
          <w:p w14:paraId="3B9BAEE9" w14:textId="0F5F0A62" w:rsidR="00306360" w:rsidRPr="00855786" w:rsidRDefault="00306360" w:rsidP="00F33F9F">
            <w:pPr>
              <w:widowControl w:val="0"/>
              <w:spacing w:before="120" w:after="120"/>
              <w:jc w:val="both"/>
              <w:rPr>
                <w:rFonts w:ascii="Times New Roman" w:hAnsi="Times New Roman"/>
                <w:sz w:val="24"/>
                <w:szCs w:val="24"/>
              </w:rPr>
            </w:pPr>
            <w:r w:rsidRPr="00855786">
              <w:rPr>
                <w:rFonts w:ascii="Times New Roman" w:hAnsi="Times New Roman"/>
                <w:sz w:val="24"/>
                <w:szCs w:val="24"/>
                <w:u w:val="single"/>
              </w:rPr>
              <w:t>On points 1.8 and 3.2.2</w:t>
            </w:r>
            <w:r w:rsidRPr="00855786">
              <w:rPr>
                <w:rFonts w:ascii="Times New Roman" w:hAnsi="Times New Roman"/>
                <w:sz w:val="24"/>
                <w:szCs w:val="24"/>
              </w:rPr>
              <w:t>: The Union of Skills and the Basic Skills Action Plan recognise the need to place a specific focus on the low-skilled and other vulnerable groups. Low-skilled adults, who need training the most, participate much less. Persons with disabilities or with a migrant background often encounter additional obstacles in developing their skills, resulting in untapped potential in the EU labour force. An action on innovative community learning spaces, which is part of the Union of Skills and the Basic Skills Action Plan, aims to engage and motivate adults with low basic skills to upskill by operating in environments where they feel more comfortable. It will furthermore encourage Member States to work with public employment services and social services to support adults in improving their basic skills and activate them as relevant.</w:t>
            </w:r>
          </w:p>
          <w:p w14:paraId="3704BB29" w14:textId="4CB3B2A5" w:rsidR="00306360" w:rsidRPr="00855786" w:rsidRDefault="00306360" w:rsidP="00F33F9F">
            <w:pPr>
              <w:widowControl w:val="0"/>
              <w:spacing w:before="120" w:after="120"/>
              <w:jc w:val="both"/>
              <w:rPr>
                <w:rFonts w:ascii="Times New Roman" w:hAnsi="Times New Roman"/>
                <w:sz w:val="24"/>
                <w:szCs w:val="24"/>
              </w:rPr>
            </w:pPr>
            <w:r w:rsidRPr="00855786">
              <w:rPr>
                <w:rFonts w:ascii="Times New Roman" w:hAnsi="Times New Roman"/>
                <w:sz w:val="24"/>
                <w:szCs w:val="24"/>
                <w:u w:val="single"/>
              </w:rPr>
              <w:t>On points 1.10 and 3.4.3</w:t>
            </w:r>
            <w:r w:rsidRPr="00855786">
              <w:rPr>
                <w:rFonts w:ascii="Times New Roman" w:hAnsi="Times New Roman"/>
                <w:sz w:val="24"/>
                <w:szCs w:val="24"/>
              </w:rPr>
              <w:t>: The first-ever EU Anti-Poverty Strategy will contribute to reach the 2030 EU headline poverty reduction target. As underlined in the Political Guidelines</w:t>
            </w:r>
            <w:r w:rsidR="00284422" w:rsidRPr="00855786">
              <w:rPr>
                <w:rFonts w:ascii="Times New Roman" w:hAnsi="Times New Roman"/>
                <w:sz w:val="24"/>
                <w:szCs w:val="24"/>
              </w:rPr>
              <w:t xml:space="preserve"> 2024-2029</w:t>
            </w:r>
            <w:r w:rsidR="00284422" w:rsidRPr="00855786">
              <w:rPr>
                <w:rStyle w:val="FootnoteReference"/>
                <w:rFonts w:ascii="Times New Roman" w:hAnsi="Times New Roman"/>
                <w:sz w:val="24"/>
                <w:szCs w:val="24"/>
              </w:rPr>
              <w:footnoteReference w:id="14"/>
            </w:r>
            <w:r w:rsidRPr="00855786">
              <w:rPr>
                <w:rFonts w:ascii="Times New Roman" w:hAnsi="Times New Roman"/>
                <w:sz w:val="24"/>
                <w:szCs w:val="24"/>
              </w:rPr>
              <w:t xml:space="preserve">, it will aim at helping people to </w:t>
            </w:r>
            <w:proofErr w:type="spellStart"/>
            <w:r w:rsidR="00411126">
              <w:rPr>
                <w:rFonts w:ascii="Times New Roman" w:hAnsi="Times New Roman"/>
                <w:sz w:val="24"/>
                <w:szCs w:val="24"/>
              </w:rPr>
              <w:t>ʻ</w:t>
            </w:r>
            <w:r w:rsidRPr="00855786">
              <w:rPr>
                <w:rFonts w:ascii="Times New Roman" w:hAnsi="Times New Roman"/>
                <w:sz w:val="24"/>
                <w:szCs w:val="24"/>
              </w:rPr>
              <w:t>get</w:t>
            </w:r>
            <w:proofErr w:type="spellEnd"/>
            <w:r w:rsidRPr="00855786">
              <w:rPr>
                <w:rFonts w:ascii="Times New Roman" w:hAnsi="Times New Roman"/>
                <w:sz w:val="24"/>
                <w:szCs w:val="24"/>
              </w:rPr>
              <w:t xml:space="preserve"> access to the essential protections and services they need, along with addressing the root causes of poverty.</w:t>
            </w:r>
            <w:r w:rsidR="00411126">
              <w:rPr>
                <w:rFonts w:ascii="Times New Roman" w:hAnsi="Times New Roman"/>
                <w:sz w:val="24"/>
                <w:szCs w:val="24"/>
              </w:rPr>
              <w:t>’</w:t>
            </w:r>
            <w:r w:rsidRPr="00855786">
              <w:rPr>
                <w:rFonts w:ascii="Times New Roman" w:hAnsi="Times New Roman"/>
                <w:sz w:val="24"/>
                <w:szCs w:val="24"/>
              </w:rPr>
              <w:t xml:space="preserve"> With the initiative, the Commission aims to address the multidimensional phenomenon of poverty. Key features of the Anti-Poverty Strategy are putting the individual at the centre and focus on situations when people are at higher risk of falling into poverty, with concrete solutions that can help them, depending on their specific situation. The strategy is planned to be adopted </w:t>
            </w:r>
            <w:r w:rsidR="00F52245">
              <w:rPr>
                <w:rFonts w:ascii="Times New Roman" w:hAnsi="Times New Roman"/>
                <w:sz w:val="24"/>
                <w:szCs w:val="24"/>
              </w:rPr>
              <w:t xml:space="preserve">in </w:t>
            </w:r>
            <w:r w:rsidRPr="00855786">
              <w:rPr>
                <w:rFonts w:ascii="Times New Roman" w:hAnsi="Times New Roman"/>
                <w:sz w:val="24"/>
                <w:szCs w:val="24"/>
              </w:rPr>
              <w:t>2026.</w:t>
            </w:r>
          </w:p>
          <w:p w14:paraId="6528EA7D" w14:textId="4211EFF6" w:rsidR="00306360" w:rsidRPr="00855786" w:rsidRDefault="00306360" w:rsidP="00F33F9F">
            <w:pPr>
              <w:widowControl w:val="0"/>
              <w:spacing w:before="120" w:after="120"/>
              <w:jc w:val="both"/>
              <w:rPr>
                <w:rFonts w:ascii="Times New Roman" w:hAnsi="Times New Roman"/>
                <w:sz w:val="24"/>
                <w:szCs w:val="24"/>
              </w:rPr>
            </w:pPr>
            <w:r w:rsidRPr="00855786">
              <w:rPr>
                <w:rFonts w:ascii="Times New Roman" w:hAnsi="Times New Roman"/>
                <w:sz w:val="24"/>
                <w:szCs w:val="24"/>
                <w:u w:val="single"/>
              </w:rPr>
              <w:t>On points 1.11 and 2.4</w:t>
            </w:r>
            <w:r w:rsidRPr="00855786">
              <w:rPr>
                <w:rFonts w:ascii="Times New Roman" w:hAnsi="Times New Roman"/>
                <w:sz w:val="24"/>
                <w:szCs w:val="24"/>
              </w:rPr>
              <w:t>: On 16 July 2025, the Commission presented its proposal for an ambitious and dynamic Multiannual Financial Framework (</w:t>
            </w:r>
            <w:proofErr w:type="spellStart"/>
            <w:r w:rsidR="00411126">
              <w:rPr>
                <w:rFonts w:ascii="Times New Roman" w:hAnsi="Times New Roman"/>
                <w:sz w:val="24"/>
                <w:szCs w:val="24"/>
              </w:rPr>
              <w:t>ʻ</w:t>
            </w:r>
            <w:r w:rsidRPr="00855786">
              <w:rPr>
                <w:rFonts w:ascii="Times New Roman" w:hAnsi="Times New Roman"/>
                <w:sz w:val="24"/>
                <w:szCs w:val="24"/>
              </w:rPr>
              <w:t>MFF</w:t>
            </w:r>
            <w:proofErr w:type="spellEnd"/>
            <w:r w:rsidR="00411126">
              <w:rPr>
                <w:rFonts w:ascii="Times New Roman" w:hAnsi="Times New Roman"/>
                <w:sz w:val="24"/>
                <w:szCs w:val="24"/>
              </w:rPr>
              <w:t>’</w:t>
            </w:r>
            <w:r w:rsidRPr="00855786">
              <w:rPr>
                <w:rFonts w:ascii="Times New Roman" w:hAnsi="Times New Roman"/>
                <w:sz w:val="24"/>
                <w:szCs w:val="24"/>
              </w:rPr>
              <w:t>)</w:t>
            </w:r>
            <w:r w:rsidR="006B0A3E" w:rsidRPr="00855786">
              <w:rPr>
                <w:rStyle w:val="FootnoteReference"/>
                <w:rFonts w:ascii="Times New Roman" w:hAnsi="Times New Roman"/>
                <w:sz w:val="24"/>
                <w:szCs w:val="24"/>
              </w:rPr>
              <w:footnoteReference w:id="15"/>
            </w:r>
            <w:r w:rsidRPr="00855786">
              <w:rPr>
                <w:rFonts w:ascii="Times New Roman" w:hAnsi="Times New Roman"/>
                <w:sz w:val="24"/>
                <w:szCs w:val="24"/>
              </w:rPr>
              <w:t xml:space="preserve"> amounting to almost EUR</w:t>
            </w:r>
            <w:r w:rsidR="00411126">
              <w:rPr>
                <w:rFonts w:ascii="Times New Roman" w:hAnsi="Times New Roman"/>
                <w:sz w:val="24"/>
                <w:szCs w:val="24"/>
              </w:rPr>
              <w:t> </w:t>
            </w:r>
            <w:r w:rsidRPr="00855786">
              <w:rPr>
                <w:rFonts w:ascii="Times New Roman" w:hAnsi="Times New Roman"/>
                <w:sz w:val="24"/>
                <w:szCs w:val="24"/>
              </w:rPr>
              <w:t>2</w:t>
            </w:r>
            <w:r w:rsidR="00411126">
              <w:rPr>
                <w:rFonts w:ascii="Times New Roman" w:hAnsi="Times New Roman"/>
                <w:sz w:val="24"/>
                <w:szCs w:val="24"/>
              </w:rPr>
              <w:t> </w:t>
            </w:r>
            <w:r w:rsidRPr="00855786">
              <w:rPr>
                <w:rFonts w:ascii="Times New Roman" w:hAnsi="Times New Roman"/>
                <w:sz w:val="24"/>
                <w:szCs w:val="24"/>
              </w:rPr>
              <w:t xml:space="preserve">trillion (or 1.26% of the EU’s gross national income on average between 2028 and 2034). The new long-term budget will bring together EU funds implemented by Member States and </w:t>
            </w:r>
            <w:r w:rsidR="00284422" w:rsidRPr="00855786">
              <w:rPr>
                <w:rFonts w:ascii="Times New Roman" w:hAnsi="Times New Roman"/>
                <w:sz w:val="24"/>
                <w:szCs w:val="24"/>
              </w:rPr>
              <w:t>r</w:t>
            </w:r>
            <w:r w:rsidRPr="00855786">
              <w:rPr>
                <w:rFonts w:ascii="Times New Roman" w:hAnsi="Times New Roman"/>
                <w:sz w:val="24"/>
                <w:szCs w:val="24"/>
              </w:rPr>
              <w:t>egions under one coherent strategy, with cohesion and agricultural policy at its core. This strategy will be implemented through National and Regional Partnership Plans. The Plans will be designed and implemented in close partnership between the Commission, the Member States, Regions, local communities and all other relevant stakeholders. The Plans will foster convergence and reduce regional disparities.</w:t>
            </w:r>
          </w:p>
          <w:p w14:paraId="6417E826" w14:textId="452F7CCB" w:rsidR="00306360" w:rsidRPr="00855786" w:rsidRDefault="00306360" w:rsidP="00F33F9F">
            <w:pPr>
              <w:widowControl w:val="0"/>
              <w:spacing w:before="120" w:after="120"/>
              <w:jc w:val="both"/>
              <w:rPr>
                <w:rFonts w:ascii="Times New Roman" w:hAnsi="Times New Roman"/>
                <w:sz w:val="24"/>
                <w:szCs w:val="24"/>
              </w:rPr>
            </w:pPr>
            <w:r w:rsidRPr="00855786">
              <w:rPr>
                <w:rFonts w:ascii="Times New Roman" w:hAnsi="Times New Roman"/>
                <w:sz w:val="24"/>
                <w:szCs w:val="24"/>
                <w:u w:val="single"/>
              </w:rPr>
              <w:t>On point 2.5</w:t>
            </w:r>
            <w:r w:rsidRPr="00855786">
              <w:rPr>
                <w:rFonts w:ascii="Times New Roman" w:hAnsi="Times New Roman"/>
                <w:sz w:val="24"/>
                <w:szCs w:val="24"/>
              </w:rPr>
              <w:t>: The Commission’s proposal for the Employment Guidelines</w:t>
            </w:r>
            <w:r w:rsidR="00482C87" w:rsidRPr="00855786">
              <w:rPr>
                <w:rStyle w:val="FootnoteReference"/>
                <w:rFonts w:ascii="Times New Roman" w:hAnsi="Times New Roman"/>
                <w:sz w:val="24"/>
                <w:szCs w:val="24"/>
              </w:rPr>
              <w:footnoteReference w:id="16"/>
            </w:r>
            <w:r w:rsidRPr="00855786">
              <w:rPr>
                <w:rFonts w:ascii="Times New Roman" w:hAnsi="Times New Roman"/>
                <w:sz w:val="24"/>
                <w:szCs w:val="24"/>
              </w:rPr>
              <w:t xml:space="preserve"> (as amended in the </w:t>
            </w:r>
            <w:r w:rsidR="00284422" w:rsidRPr="00855786">
              <w:rPr>
                <w:rFonts w:ascii="Times New Roman" w:hAnsi="Times New Roman"/>
                <w:sz w:val="24"/>
                <w:szCs w:val="24"/>
              </w:rPr>
              <w:t>Social Questions Working Party Council meeting</w:t>
            </w:r>
            <w:r w:rsidRPr="00855786">
              <w:rPr>
                <w:rFonts w:ascii="Times New Roman" w:hAnsi="Times New Roman"/>
                <w:sz w:val="24"/>
                <w:szCs w:val="24"/>
              </w:rPr>
              <w:t xml:space="preserve"> of 23</w:t>
            </w:r>
            <w:r w:rsidR="00411126">
              <w:rPr>
                <w:rFonts w:ascii="Times New Roman" w:hAnsi="Times New Roman"/>
                <w:sz w:val="24"/>
                <w:szCs w:val="24"/>
              </w:rPr>
              <w:t> </w:t>
            </w:r>
            <w:r w:rsidRPr="00855786">
              <w:rPr>
                <w:rFonts w:ascii="Times New Roman" w:hAnsi="Times New Roman"/>
                <w:sz w:val="24"/>
                <w:szCs w:val="24"/>
              </w:rPr>
              <w:t>September</w:t>
            </w:r>
            <w:r w:rsidR="00411126">
              <w:rPr>
                <w:rFonts w:ascii="Times New Roman" w:hAnsi="Times New Roman"/>
                <w:sz w:val="24"/>
                <w:szCs w:val="24"/>
              </w:rPr>
              <w:t xml:space="preserve"> 2025</w:t>
            </w:r>
            <w:r w:rsidRPr="00855786">
              <w:rPr>
                <w:rFonts w:ascii="Times New Roman" w:hAnsi="Times New Roman"/>
                <w:sz w:val="24"/>
                <w:szCs w:val="24"/>
              </w:rPr>
              <w:t>) recognises the</w:t>
            </w:r>
            <w:r w:rsidR="00F52245">
              <w:rPr>
                <w:rFonts w:ascii="Times New Roman" w:hAnsi="Times New Roman"/>
                <w:sz w:val="24"/>
                <w:szCs w:val="24"/>
              </w:rPr>
              <w:t xml:space="preserve"> European</w:t>
            </w:r>
            <w:r w:rsidRPr="00855786">
              <w:rPr>
                <w:rFonts w:ascii="Times New Roman" w:hAnsi="Times New Roman"/>
                <w:sz w:val="24"/>
                <w:szCs w:val="24"/>
              </w:rPr>
              <w:t xml:space="preserve"> Semester as a key tool for delivering on the priorities defined in the Competitiveness Compass</w:t>
            </w:r>
            <w:r w:rsidR="00411126">
              <w:rPr>
                <w:rStyle w:val="FootnoteReference"/>
                <w:rFonts w:ascii="Times New Roman" w:hAnsi="Times New Roman"/>
                <w:sz w:val="24"/>
                <w:szCs w:val="24"/>
              </w:rPr>
              <w:footnoteReference w:id="17"/>
            </w:r>
            <w:r w:rsidRPr="00855786">
              <w:rPr>
                <w:rFonts w:ascii="Times New Roman" w:hAnsi="Times New Roman"/>
                <w:sz w:val="24"/>
                <w:szCs w:val="24"/>
              </w:rPr>
              <w:t>, in line with the Commission Communication on the 2025 European Semester Spring package</w:t>
            </w:r>
            <w:r w:rsidR="00720729">
              <w:rPr>
                <w:rStyle w:val="FootnoteReference"/>
                <w:rFonts w:ascii="Times New Roman" w:hAnsi="Times New Roman"/>
                <w:sz w:val="24"/>
                <w:szCs w:val="24"/>
              </w:rPr>
              <w:footnoteReference w:id="18"/>
            </w:r>
            <w:r w:rsidRPr="00855786">
              <w:rPr>
                <w:rFonts w:ascii="Times New Roman" w:hAnsi="Times New Roman"/>
                <w:sz w:val="24"/>
                <w:szCs w:val="24"/>
              </w:rPr>
              <w:t>.</w:t>
            </w:r>
          </w:p>
          <w:p w14:paraId="0431EC26" w14:textId="641FA570" w:rsidR="00306360" w:rsidRPr="00855786" w:rsidRDefault="00306360" w:rsidP="00F33F9F">
            <w:pPr>
              <w:widowControl w:val="0"/>
              <w:spacing w:before="120" w:after="120"/>
              <w:jc w:val="both"/>
              <w:rPr>
                <w:rFonts w:ascii="Times New Roman" w:hAnsi="Times New Roman"/>
                <w:sz w:val="24"/>
                <w:szCs w:val="24"/>
              </w:rPr>
            </w:pPr>
            <w:r w:rsidRPr="00855786">
              <w:rPr>
                <w:rFonts w:ascii="Times New Roman" w:hAnsi="Times New Roman"/>
                <w:sz w:val="24"/>
                <w:szCs w:val="24"/>
                <w:u w:val="single"/>
              </w:rPr>
              <w:lastRenderedPageBreak/>
              <w:t>On point 3.2.6</w:t>
            </w:r>
            <w:r w:rsidRPr="00855786">
              <w:rPr>
                <w:rFonts w:ascii="Times New Roman" w:hAnsi="Times New Roman"/>
                <w:sz w:val="24"/>
                <w:szCs w:val="24"/>
              </w:rPr>
              <w:t>: As announced in the Communications on the Union of Skills and on Skills and Talent Mobility</w:t>
            </w:r>
            <w:r w:rsidR="00DA4809" w:rsidRPr="00855786">
              <w:rPr>
                <w:rStyle w:val="FootnoteReference"/>
                <w:rFonts w:ascii="Times New Roman" w:hAnsi="Times New Roman"/>
                <w:sz w:val="24"/>
                <w:szCs w:val="24"/>
              </w:rPr>
              <w:footnoteReference w:id="19"/>
            </w:r>
            <w:r w:rsidRPr="00855786">
              <w:rPr>
                <w:rFonts w:ascii="Times New Roman" w:hAnsi="Times New Roman"/>
                <w:sz w:val="24"/>
                <w:szCs w:val="24"/>
              </w:rPr>
              <w:t xml:space="preserve">, the Commission is currently exploring whether to propose common rules for simpler procedures for handling the recognition and validation of qualifications and skills of third country nationals. The Commission plans to come forward with a concrete policy action by </w:t>
            </w:r>
            <w:r w:rsidR="00284422" w:rsidRPr="00855786">
              <w:rPr>
                <w:rFonts w:ascii="Times New Roman" w:hAnsi="Times New Roman"/>
                <w:sz w:val="24"/>
                <w:szCs w:val="24"/>
              </w:rPr>
              <w:t>the last quarter of</w:t>
            </w:r>
            <w:r w:rsidRPr="00855786">
              <w:rPr>
                <w:rFonts w:ascii="Times New Roman" w:hAnsi="Times New Roman"/>
                <w:sz w:val="24"/>
                <w:szCs w:val="24"/>
              </w:rPr>
              <w:t xml:space="preserve"> 2026 in the context of the adoption of the Skills Portability Initiative.</w:t>
            </w:r>
          </w:p>
          <w:p w14:paraId="0A3D2854" w14:textId="26064198" w:rsidR="00306360" w:rsidRPr="00855786" w:rsidRDefault="00306360" w:rsidP="00F33F9F">
            <w:pPr>
              <w:widowControl w:val="0"/>
              <w:spacing w:before="120" w:after="120"/>
              <w:jc w:val="both"/>
              <w:rPr>
                <w:rFonts w:ascii="Times New Roman" w:hAnsi="Times New Roman"/>
                <w:sz w:val="24"/>
                <w:szCs w:val="24"/>
              </w:rPr>
            </w:pPr>
            <w:r w:rsidRPr="00855786">
              <w:rPr>
                <w:rFonts w:ascii="Times New Roman" w:hAnsi="Times New Roman"/>
                <w:sz w:val="24"/>
                <w:szCs w:val="24"/>
              </w:rPr>
              <w:t>Regarding brain drain, the Commission is determined to respond to third countries’ legitimate concerns. For example, the Blue Card Directive</w:t>
            </w:r>
            <w:r w:rsidR="00AA7F3B" w:rsidRPr="00855786">
              <w:rPr>
                <w:rStyle w:val="FootnoteReference"/>
                <w:rFonts w:ascii="Times New Roman" w:hAnsi="Times New Roman"/>
                <w:sz w:val="24"/>
                <w:szCs w:val="24"/>
              </w:rPr>
              <w:footnoteReference w:id="20"/>
            </w:r>
            <w:r w:rsidRPr="00855786">
              <w:rPr>
                <w:rFonts w:ascii="Times New Roman" w:hAnsi="Times New Roman"/>
                <w:sz w:val="24"/>
                <w:szCs w:val="24"/>
              </w:rPr>
              <w:t xml:space="preserve"> contains reporting obligations to monitor its impact on brain drain and encourages support for circular migration of highly skilled third country nationals. In addition, the Commission regularly discusses brain drain with partner countries in bilateral dialogues on migration and mobility, and in the Talent Partnerships launched with selected countries (e.g. Egypt and Pakistan).</w:t>
            </w:r>
          </w:p>
          <w:p w14:paraId="47E13A94" w14:textId="4C80270F" w:rsidR="00306360" w:rsidRPr="00855786" w:rsidRDefault="00306360" w:rsidP="00F33F9F">
            <w:pPr>
              <w:widowControl w:val="0"/>
              <w:spacing w:before="120" w:after="120"/>
              <w:jc w:val="both"/>
              <w:rPr>
                <w:rFonts w:ascii="Times New Roman" w:hAnsi="Times New Roman"/>
                <w:sz w:val="24"/>
                <w:szCs w:val="24"/>
              </w:rPr>
            </w:pPr>
            <w:r w:rsidRPr="00855786">
              <w:rPr>
                <w:rFonts w:ascii="Times New Roman" w:hAnsi="Times New Roman"/>
                <w:sz w:val="24"/>
                <w:szCs w:val="24"/>
                <w:u w:val="single"/>
              </w:rPr>
              <w:t>On point 3.3.3</w:t>
            </w:r>
            <w:r w:rsidRPr="00855786">
              <w:rPr>
                <w:rFonts w:ascii="Times New Roman" w:hAnsi="Times New Roman"/>
                <w:sz w:val="24"/>
                <w:szCs w:val="24"/>
              </w:rPr>
              <w:t>: The Commission agrees that a full implementation of the Youth Guarantee</w:t>
            </w:r>
            <w:r w:rsidR="006A40CD" w:rsidRPr="00855786">
              <w:rPr>
                <w:rStyle w:val="FootnoteReference"/>
                <w:rFonts w:ascii="Times New Roman" w:hAnsi="Times New Roman"/>
                <w:sz w:val="24"/>
                <w:szCs w:val="24"/>
              </w:rPr>
              <w:footnoteReference w:id="21"/>
            </w:r>
            <w:r w:rsidRPr="00855786">
              <w:rPr>
                <w:rFonts w:ascii="Times New Roman" w:hAnsi="Times New Roman"/>
                <w:sz w:val="24"/>
                <w:szCs w:val="24"/>
              </w:rPr>
              <w:t xml:space="preserve"> is important and that school-to-work transitions are one of the major challenges. Today, the group of </w:t>
            </w:r>
            <w:r w:rsidR="00284422" w:rsidRPr="00855786">
              <w:rPr>
                <w:rFonts w:ascii="Times New Roman" w:hAnsi="Times New Roman"/>
                <w:sz w:val="24"/>
                <w:szCs w:val="24"/>
              </w:rPr>
              <w:t>people not in education or training (</w:t>
            </w:r>
            <w:r w:rsidRPr="00855786">
              <w:rPr>
                <w:rFonts w:ascii="Times New Roman" w:hAnsi="Times New Roman"/>
                <w:sz w:val="24"/>
                <w:szCs w:val="24"/>
              </w:rPr>
              <w:t>NEETs</w:t>
            </w:r>
            <w:r w:rsidR="00284422" w:rsidRPr="00855786">
              <w:rPr>
                <w:rFonts w:ascii="Times New Roman" w:hAnsi="Times New Roman"/>
                <w:sz w:val="24"/>
                <w:szCs w:val="24"/>
              </w:rPr>
              <w:t>)</w:t>
            </w:r>
            <w:r w:rsidRPr="00855786">
              <w:rPr>
                <w:rFonts w:ascii="Times New Roman" w:hAnsi="Times New Roman"/>
                <w:sz w:val="24"/>
                <w:szCs w:val="24"/>
              </w:rPr>
              <w:t xml:space="preserve"> covers almost 8</w:t>
            </w:r>
            <w:r w:rsidR="00720729">
              <w:rPr>
                <w:rFonts w:ascii="Times New Roman" w:hAnsi="Times New Roman"/>
                <w:sz w:val="24"/>
                <w:szCs w:val="24"/>
              </w:rPr>
              <w:t> </w:t>
            </w:r>
            <w:r w:rsidRPr="00855786">
              <w:rPr>
                <w:rFonts w:ascii="Times New Roman" w:hAnsi="Times New Roman"/>
                <w:sz w:val="24"/>
                <w:szCs w:val="24"/>
              </w:rPr>
              <w:t>million young people aged 15-29 in Europe and thus represents a significant labour force potential. About half of them are non-registered and not actively looking for a job, thereby hindering activation efforts. The twin transition, and its potential to offer jobs of the future, represents an opportunity to increase the employability of young people, including NEETs, and their integration into the labour market. Moreover, young people will be in a crucial position to drive these transitions, which makes investing in them even more pressing.</w:t>
            </w:r>
          </w:p>
          <w:p w14:paraId="41EB996A" w14:textId="13883EC3" w:rsidR="00306360" w:rsidRDefault="00306360" w:rsidP="00F33F9F">
            <w:pPr>
              <w:widowControl w:val="0"/>
              <w:spacing w:before="120" w:after="120"/>
              <w:jc w:val="both"/>
              <w:rPr>
                <w:rFonts w:ascii="Times New Roman" w:hAnsi="Times New Roman"/>
                <w:sz w:val="24"/>
                <w:szCs w:val="24"/>
              </w:rPr>
            </w:pPr>
            <w:r w:rsidRPr="00855786">
              <w:rPr>
                <w:rFonts w:ascii="Times New Roman" w:hAnsi="Times New Roman"/>
                <w:sz w:val="24"/>
                <w:szCs w:val="24"/>
              </w:rPr>
              <w:t>The activation of other underrepresented groups in the labour market is equally important in the current context of supporting the twin transition and addressing the needs of the labour market. The long-term unemployed represent another key group of untapped labour force potential in this context with about one in three unemployed being long-term unemployed. The multiple challenges often facing long-term unemployed calls for reinforced activation measures, strengthened social services and access to adequate upskilling and reskilling, in line with the implementation of the Council Recommendation on integrating long-term unemployed in the labour market.</w:t>
            </w:r>
            <w:r w:rsidR="001145C8" w:rsidRPr="00855786">
              <w:rPr>
                <w:rStyle w:val="FootnoteReference"/>
                <w:rFonts w:ascii="Times New Roman" w:hAnsi="Times New Roman"/>
                <w:sz w:val="24"/>
                <w:szCs w:val="24"/>
              </w:rPr>
              <w:footnoteReference w:id="22"/>
            </w:r>
          </w:p>
        </w:tc>
      </w:tr>
      <w:bookmarkEnd w:id="0"/>
    </w:tbl>
    <w:p w14:paraId="4B31F071" w14:textId="77777777" w:rsidR="00077C4F" w:rsidRPr="00F33F9F" w:rsidRDefault="00077C4F" w:rsidP="00F33F9F">
      <w:pPr>
        <w:widowControl w:val="0"/>
        <w:spacing w:after="0" w:line="240" w:lineRule="auto"/>
        <w:ind w:left="-709"/>
        <w:jc w:val="both"/>
        <w:rPr>
          <w:rFonts w:ascii="Times New Roman" w:hAnsi="Times New Roman"/>
          <w:sz w:val="16"/>
          <w:szCs w:val="16"/>
        </w:rPr>
      </w:pPr>
    </w:p>
    <w:sectPr w:rsidR="00077C4F" w:rsidRPr="00F33F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144F" w14:textId="77777777" w:rsidR="00D35AFE" w:rsidRDefault="00D35AFE" w:rsidP="00FF63EA">
      <w:pPr>
        <w:spacing w:after="0" w:line="240" w:lineRule="auto"/>
      </w:pPr>
      <w:r>
        <w:separator/>
      </w:r>
    </w:p>
  </w:endnote>
  <w:endnote w:type="continuationSeparator" w:id="0">
    <w:p w14:paraId="5B7AB7F0" w14:textId="77777777" w:rsidR="00D35AFE" w:rsidRDefault="00D35AFE" w:rsidP="00FF63EA">
      <w:pPr>
        <w:spacing w:after="0" w:line="240" w:lineRule="auto"/>
      </w:pPr>
      <w:r>
        <w:continuationSeparator/>
      </w:r>
    </w:p>
  </w:endnote>
  <w:endnote w:type="continuationNotice" w:id="1">
    <w:p w14:paraId="3097D677" w14:textId="77777777" w:rsidR="00D35AFE" w:rsidRDefault="00D35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628E" w14:textId="77777777" w:rsidR="008908C5" w:rsidRDefault="00890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B4D9" w14:textId="77777777" w:rsidR="008908C5" w:rsidRDefault="00890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64E3" w14:textId="77777777" w:rsidR="008908C5" w:rsidRDefault="00890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2892" w14:textId="77777777" w:rsidR="00D35AFE" w:rsidRDefault="00D35AFE" w:rsidP="00FF63EA">
      <w:pPr>
        <w:spacing w:after="0" w:line="240" w:lineRule="auto"/>
      </w:pPr>
      <w:r>
        <w:separator/>
      </w:r>
    </w:p>
  </w:footnote>
  <w:footnote w:type="continuationSeparator" w:id="0">
    <w:p w14:paraId="4439709E" w14:textId="77777777" w:rsidR="00D35AFE" w:rsidRDefault="00D35AFE" w:rsidP="00FF63EA">
      <w:pPr>
        <w:spacing w:after="0" w:line="240" w:lineRule="auto"/>
      </w:pPr>
      <w:r>
        <w:continuationSeparator/>
      </w:r>
    </w:p>
  </w:footnote>
  <w:footnote w:type="continuationNotice" w:id="1">
    <w:p w14:paraId="6CDD48F1" w14:textId="77777777" w:rsidR="00D35AFE" w:rsidRDefault="00D35AFE">
      <w:pPr>
        <w:spacing w:after="0" w:line="240" w:lineRule="auto"/>
      </w:pPr>
    </w:p>
  </w:footnote>
  <w:footnote w:id="2">
    <w:p w14:paraId="46DC94A0" w14:textId="6B674256" w:rsidR="001D097A" w:rsidRPr="00CD53EE" w:rsidRDefault="001D097A" w:rsidP="00BC41A6">
      <w:pPr>
        <w:pStyle w:val="FootnoteText"/>
        <w:widowControl w:val="0"/>
        <w:spacing w:after="0" w:line="240" w:lineRule="auto"/>
        <w:ind w:left="-141" w:hanging="284"/>
        <w:jc w:val="both"/>
        <w:rPr>
          <w:rFonts w:ascii="Times New Roman" w:hAnsi="Times New Roman"/>
          <w:lang w:val="pt-PT"/>
        </w:rPr>
      </w:pPr>
      <w:r w:rsidRPr="00CD53EE">
        <w:rPr>
          <w:rStyle w:val="FootnoteReference"/>
          <w:rFonts w:ascii="Times New Roman" w:hAnsi="Times New Roman"/>
        </w:rPr>
        <w:footnoteRef/>
      </w:r>
      <w:r w:rsidRPr="00CD53EE">
        <w:rPr>
          <w:rFonts w:ascii="Times New Roman" w:hAnsi="Times New Roman"/>
          <w:lang w:val="pt-PT"/>
        </w:rPr>
        <w:t xml:space="preserve"> </w:t>
      </w:r>
      <w:r w:rsidR="00F33F9F" w:rsidRPr="00CD53EE">
        <w:rPr>
          <w:rFonts w:ascii="Times New Roman" w:hAnsi="Times New Roman"/>
          <w:lang w:val="pt-PT"/>
        </w:rPr>
        <w:tab/>
      </w:r>
      <w:proofErr w:type="gramStart"/>
      <w:r w:rsidRPr="00CD53EE">
        <w:rPr>
          <w:rFonts w:ascii="Times New Roman" w:hAnsi="Times New Roman"/>
          <w:lang w:val="pt-PT"/>
        </w:rPr>
        <w:t>COM(</w:t>
      </w:r>
      <w:proofErr w:type="gramEnd"/>
      <w:r w:rsidRPr="00CD53EE">
        <w:rPr>
          <w:rFonts w:ascii="Times New Roman" w:hAnsi="Times New Roman"/>
          <w:lang w:val="pt-PT"/>
        </w:rPr>
        <w:t>2025) 89 final (</w:t>
      </w:r>
      <w:hyperlink r:id="rId1" w:history="1">
        <w:r w:rsidR="00640384" w:rsidRPr="00CD53EE">
          <w:rPr>
            <w:rStyle w:val="Hyperlink"/>
            <w:rFonts w:ascii="Times New Roman" w:hAnsi="Times New Roman"/>
            <w:lang w:val="pt-PT"/>
          </w:rPr>
          <w:t>https://eur-lex.europa.eu/legal-content/EN/TXT/?uri=celex:52025DC0089</w:t>
        </w:r>
      </w:hyperlink>
      <w:r w:rsidRPr="00CD53EE">
        <w:rPr>
          <w:rFonts w:ascii="Times New Roman" w:hAnsi="Times New Roman"/>
          <w:lang w:val="pt-PT"/>
        </w:rPr>
        <w:t>)</w:t>
      </w:r>
      <w:r w:rsidR="00640384" w:rsidRPr="00CD53EE">
        <w:rPr>
          <w:rFonts w:ascii="Times New Roman" w:hAnsi="Times New Roman"/>
          <w:lang w:val="pt-PT"/>
        </w:rPr>
        <w:t>.</w:t>
      </w:r>
    </w:p>
  </w:footnote>
  <w:footnote w:id="3">
    <w:p w14:paraId="55DBE2C8" w14:textId="7368DFEA" w:rsidR="008A6E2B" w:rsidRPr="00CD53EE" w:rsidRDefault="008A6E2B" w:rsidP="00BC41A6">
      <w:pPr>
        <w:pStyle w:val="FootnoteText"/>
        <w:widowControl w:val="0"/>
        <w:spacing w:after="0" w:line="240" w:lineRule="auto"/>
        <w:ind w:left="-141" w:right="-567" w:hanging="284"/>
        <w:jc w:val="both"/>
        <w:rPr>
          <w:rFonts w:ascii="Times New Roman" w:hAnsi="Times New Roman"/>
          <w:lang w:val="pt-PT"/>
        </w:rPr>
      </w:pPr>
      <w:r w:rsidRPr="00CD53EE">
        <w:rPr>
          <w:rStyle w:val="FootnoteReference"/>
          <w:rFonts w:ascii="Times New Roman" w:hAnsi="Times New Roman"/>
        </w:rPr>
        <w:footnoteRef/>
      </w:r>
      <w:r w:rsidRPr="00CD53EE">
        <w:rPr>
          <w:rFonts w:ascii="Times New Roman" w:hAnsi="Times New Roman"/>
          <w:lang w:val="pt-PT"/>
        </w:rPr>
        <w:t xml:space="preserve"> </w:t>
      </w:r>
      <w:r w:rsidR="00F33F9F" w:rsidRPr="00CD53EE">
        <w:rPr>
          <w:rFonts w:ascii="Times New Roman" w:hAnsi="Times New Roman"/>
          <w:lang w:val="pt-PT"/>
        </w:rPr>
        <w:tab/>
      </w:r>
      <w:proofErr w:type="gramStart"/>
      <w:r w:rsidRPr="00CD53EE">
        <w:rPr>
          <w:rFonts w:ascii="Times New Roman" w:hAnsi="Times New Roman"/>
          <w:lang w:val="pt-PT"/>
        </w:rPr>
        <w:t>COM(</w:t>
      </w:r>
      <w:proofErr w:type="gramEnd"/>
      <w:r w:rsidRPr="00CD53EE">
        <w:rPr>
          <w:rFonts w:ascii="Times New Roman" w:hAnsi="Times New Roman"/>
          <w:lang w:val="pt-PT"/>
        </w:rPr>
        <w:t>2025) 88 final (</w:t>
      </w:r>
      <w:r w:rsidR="00F33F9F">
        <w:fldChar w:fldCharType="begin"/>
      </w:r>
      <w:r w:rsidR="00F33F9F" w:rsidRPr="00CE11E7">
        <w:rPr>
          <w:lang w:val="pt-PT"/>
        </w:rPr>
        <w:instrText>HYPERLINK "https://eur-lex.europa.eu/legal-content/EN/TXT/?uri=celex:52025DC0088"</w:instrText>
      </w:r>
      <w:r w:rsidR="00F33F9F">
        <w:fldChar w:fldCharType="separate"/>
      </w:r>
      <w:r w:rsidR="00F33F9F" w:rsidRPr="00CD53EE">
        <w:rPr>
          <w:rStyle w:val="Hyperlink"/>
          <w:rFonts w:ascii="Times New Roman" w:hAnsi="Times New Roman"/>
          <w:lang w:val="pt-PT"/>
        </w:rPr>
        <w:t>https://eur-lex.europa.eu/legal-content/EN/TXT/?uri=celex:52025DC0088</w:t>
      </w:r>
      <w:r w:rsidR="00F33F9F">
        <w:fldChar w:fldCharType="end"/>
      </w:r>
      <w:r w:rsidRPr="00CD53EE">
        <w:rPr>
          <w:rFonts w:ascii="Times New Roman" w:hAnsi="Times New Roman"/>
          <w:lang w:val="pt-PT"/>
        </w:rPr>
        <w:t>)</w:t>
      </w:r>
      <w:r w:rsidR="00640384" w:rsidRPr="00CD53EE">
        <w:rPr>
          <w:rFonts w:ascii="Times New Roman" w:hAnsi="Times New Roman"/>
          <w:lang w:val="pt-PT"/>
        </w:rPr>
        <w:t>.</w:t>
      </w:r>
    </w:p>
  </w:footnote>
  <w:footnote w:id="4">
    <w:p w14:paraId="28280C69" w14:textId="19630BD2" w:rsidR="00284422" w:rsidRPr="00CD53EE" w:rsidRDefault="00284422" w:rsidP="00BC41A6">
      <w:pPr>
        <w:pStyle w:val="FootnoteText"/>
        <w:widowControl w:val="0"/>
        <w:spacing w:after="0" w:line="240" w:lineRule="auto"/>
        <w:ind w:left="-141" w:right="-567" w:hanging="284"/>
        <w:jc w:val="both"/>
        <w:rPr>
          <w:rFonts w:ascii="Times New Roman" w:hAnsi="Times New Roman"/>
          <w:lang w:val="pt-PT"/>
        </w:rPr>
      </w:pPr>
      <w:r w:rsidRPr="00CD53EE">
        <w:rPr>
          <w:rStyle w:val="FootnoteReference"/>
          <w:rFonts w:ascii="Times New Roman" w:hAnsi="Times New Roman"/>
        </w:rPr>
        <w:footnoteRef/>
      </w:r>
      <w:r w:rsidRPr="00CD53EE">
        <w:rPr>
          <w:rFonts w:ascii="Times New Roman" w:hAnsi="Times New Roman"/>
          <w:lang w:val="pt-PT"/>
        </w:rPr>
        <w:t xml:space="preserve"> </w:t>
      </w:r>
      <w:r w:rsidR="00F33F9F" w:rsidRPr="00CD53EE">
        <w:rPr>
          <w:rFonts w:ascii="Times New Roman" w:hAnsi="Times New Roman"/>
          <w:lang w:val="pt-PT"/>
        </w:rPr>
        <w:tab/>
      </w:r>
      <w:r w:rsidR="00F33F9F">
        <w:fldChar w:fldCharType="begin"/>
      </w:r>
      <w:r w:rsidR="00F33F9F" w:rsidRPr="00CE11E7">
        <w:rPr>
          <w:lang w:val="pt-PT"/>
        </w:rPr>
        <w:instrText>HYPERLINK "https://education.ec.europa.eu/"</w:instrText>
      </w:r>
      <w:r w:rsidR="00F33F9F">
        <w:fldChar w:fldCharType="separate"/>
      </w:r>
      <w:r w:rsidR="00F33F9F" w:rsidRPr="00CD53EE">
        <w:rPr>
          <w:rStyle w:val="Hyperlink"/>
          <w:rFonts w:ascii="Times New Roman" w:hAnsi="Times New Roman"/>
          <w:lang w:val="pt-PT"/>
        </w:rPr>
        <w:t>https://education.ec.europa.eu/</w:t>
      </w:r>
      <w:r w:rsidR="00F33F9F">
        <w:fldChar w:fldCharType="end"/>
      </w:r>
      <w:r w:rsidR="00640384" w:rsidRPr="00CD53EE">
        <w:rPr>
          <w:rFonts w:ascii="Times New Roman" w:hAnsi="Times New Roman"/>
          <w:lang w:val="pt-PT"/>
        </w:rPr>
        <w:t>.</w:t>
      </w:r>
    </w:p>
  </w:footnote>
  <w:footnote w:id="5">
    <w:p w14:paraId="00E96F85" w14:textId="07C93BDA" w:rsidR="00284422" w:rsidRPr="00CE11E7" w:rsidRDefault="00284422" w:rsidP="00BC41A6">
      <w:pPr>
        <w:pStyle w:val="FootnoteText"/>
        <w:widowControl w:val="0"/>
        <w:spacing w:after="0" w:line="240" w:lineRule="auto"/>
        <w:ind w:left="-141" w:right="-567" w:hanging="284"/>
        <w:jc w:val="both"/>
        <w:rPr>
          <w:rFonts w:ascii="Times New Roman" w:hAnsi="Times New Roman"/>
          <w:lang w:val="en-IE"/>
        </w:rPr>
      </w:pPr>
      <w:r w:rsidRPr="00CD53EE">
        <w:rPr>
          <w:rStyle w:val="FootnoteReference"/>
          <w:rFonts w:ascii="Times New Roman" w:hAnsi="Times New Roman"/>
        </w:rPr>
        <w:footnoteRef/>
      </w:r>
      <w:r w:rsidRPr="00CE11E7">
        <w:rPr>
          <w:rFonts w:ascii="Times New Roman" w:hAnsi="Times New Roman"/>
          <w:lang w:val="en-IE"/>
        </w:rPr>
        <w:t xml:space="preserve"> </w:t>
      </w:r>
      <w:r w:rsidR="00F33F9F" w:rsidRPr="00CE11E7">
        <w:rPr>
          <w:rFonts w:ascii="Times New Roman" w:hAnsi="Times New Roman"/>
          <w:lang w:val="en-IE"/>
        </w:rPr>
        <w:tab/>
      </w:r>
      <w:r w:rsidR="00640384" w:rsidRPr="00CE11E7">
        <w:rPr>
          <w:rFonts w:ascii="Times New Roman" w:hAnsi="Times New Roman"/>
          <w:lang w:val="en-IE"/>
        </w:rPr>
        <w:t>International Computer and Information Literacy Study (ICILS) in Europe, 2023 (</w:t>
      </w:r>
      <w:r w:rsidR="00F33F9F">
        <w:fldChar w:fldCharType="begin"/>
      </w:r>
      <w:r w:rsidR="00F33F9F">
        <w:instrText>HYPERLINK "https://op.europa.eu/en/publication-detail/-/publication/59721dc6-a0aa-11ef-85f0-01aa75ed71a1"</w:instrText>
      </w:r>
      <w:r w:rsidR="00F33F9F">
        <w:fldChar w:fldCharType="separate"/>
      </w:r>
      <w:r w:rsidR="00F33F9F" w:rsidRPr="00CE11E7">
        <w:rPr>
          <w:rStyle w:val="Hyperlink"/>
          <w:rFonts w:ascii="Times New Roman" w:hAnsi="Times New Roman"/>
          <w:lang w:val="en-IE"/>
        </w:rPr>
        <w:t>https://op.europa.eu/en/publication-detail/-/publication/59721dc6-a0aa-11ef-85f0-01aa75ed71a1</w:t>
      </w:r>
      <w:r w:rsidR="00F33F9F">
        <w:fldChar w:fldCharType="end"/>
      </w:r>
      <w:r w:rsidR="00640384" w:rsidRPr="00CE11E7">
        <w:rPr>
          <w:rFonts w:ascii="Times New Roman" w:hAnsi="Times New Roman"/>
          <w:lang w:val="en-IE"/>
        </w:rPr>
        <w:t>).</w:t>
      </w:r>
    </w:p>
  </w:footnote>
  <w:footnote w:id="6">
    <w:p w14:paraId="3FE791E8" w14:textId="4E09D563" w:rsidR="008A6E2B" w:rsidRPr="00CD53EE" w:rsidRDefault="001D097A" w:rsidP="00BC41A6">
      <w:pPr>
        <w:pStyle w:val="FootnoteText"/>
        <w:widowControl w:val="0"/>
        <w:spacing w:after="0" w:line="240" w:lineRule="auto"/>
        <w:ind w:left="-141" w:right="-567" w:hanging="284"/>
        <w:jc w:val="both"/>
        <w:rPr>
          <w:rFonts w:ascii="Times New Roman" w:hAnsi="Times New Roman"/>
          <w:lang w:val="pt-PT"/>
        </w:rPr>
      </w:pPr>
      <w:r w:rsidRPr="00CD53EE">
        <w:rPr>
          <w:rStyle w:val="FootnoteReference"/>
          <w:rFonts w:ascii="Times New Roman" w:hAnsi="Times New Roman"/>
        </w:rPr>
        <w:footnoteRef/>
      </w:r>
      <w:r w:rsidRPr="00CD53EE">
        <w:rPr>
          <w:rFonts w:ascii="Times New Roman" w:hAnsi="Times New Roman"/>
          <w:lang w:val="pt-PT"/>
        </w:rPr>
        <w:t xml:space="preserve"> </w:t>
      </w:r>
      <w:r w:rsidR="00F33F9F" w:rsidRPr="00CD53EE">
        <w:rPr>
          <w:rFonts w:ascii="Times New Roman" w:hAnsi="Times New Roman"/>
          <w:lang w:val="pt-PT"/>
        </w:rPr>
        <w:tab/>
      </w:r>
      <w:proofErr w:type="gramStart"/>
      <w:r w:rsidRPr="00CD53EE">
        <w:rPr>
          <w:rFonts w:ascii="Times New Roman" w:hAnsi="Times New Roman"/>
          <w:lang w:val="pt-PT"/>
        </w:rPr>
        <w:t>COM(</w:t>
      </w:r>
      <w:proofErr w:type="gramEnd"/>
      <w:r w:rsidRPr="00CD53EE">
        <w:rPr>
          <w:rFonts w:ascii="Times New Roman" w:hAnsi="Times New Roman"/>
          <w:lang w:val="pt-PT"/>
        </w:rPr>
        <w:t>2025) 89 final (</w:t>
      </w:r>
      <w:hyperlink r:id="rId2" w:history="1">
        <w:r w:rsidR="00F33F9F" w:rsidRPr="00CD53EE">
          <w:rPr>
            <w:rStyle w:val="Hyperlink"/>
            <w:rFonts w:ascii="Times New Roman" w:hAnsi="Times New Roman"/>
            <w:lang w:val="pt-PT"/>
          </w:rPr>
          <w:t>https://eur-lex.europa.eu/legal-content/EN/TXT/?uri=celex:52025DC0089</w:t>
        </w:r>
      </w:hyperlink>
      <w:r w:rsidRPr="00CD53EE">
        <w:rPr>
          <w:rFonts w:ascii="Times New Roman" w:hAnsi="Times New Roman"/>
          <w:lang w:val="pt-PT"/>
        </w:rPr>
        <w:t>)</w:t>
      </w:r>
      <w:r w:rsidR="00E95E33" w:rsidRPr="00CD53EE">
        <w:rPr>
          <w:rFonts w:ascii="Times New Roman" w:hAnsi="Times New Roman"/>
          <w:lang w:val="pt-PT"/>
        </w:rPr>
        <w:t>.</w:t>
      </w:r>
    </w:p>
  </w:footnote>
  <w:footnote w:id="7">
    <w:p w14:paraId="02014C8D" w14:textId="6A4C23D5" w:rsidR="005F4954" w:rsidRPr="00CD53EE" w:rsidRDefault="005F4954" w:rsidP="00BC41A6">
      <w:pPr>
        <w:pStyle w:val="FootnoteText"/>
        <w:widowControl w:val="0"/>
        <w:spacing w:after="0" w:line="240" w:lineRule="auto"/>
        <w:ind w:left="-141" w:right="-567" w:hanging="284"/>
        <w:jc w:val="both"/>
        <w:rPr>
          <w:rFonts w:ascii="Times New Roman" w:hAnsi="Times New Roman"/>
          <w:lang w:val="en-IE"/>
        </w:rPr>
      </w:pPr>
      <w:r w:rsidRPr="00CD53EE">
        <w:rPr>
          <w:rStyle w:val="FootnoteReference"/>
          <w:rFonts w:ascii="Times New Roman" w:hAnsi="Times New Roman"/>
        </w:rPr>
        <w:footnoteRef/>
      </w:r>
      <w:r w:rsidRPr="00CD53EE">
        <w:rPr>
          <w:rFonts w:ascii="Times New Roman" w:hAnsi="Times New Roman"/>
          <w:lang w:val="en-IE"/>
        </w:rPr>
        <w:t xml:space="preserve"> </w:t>
      </w:r>
      <w:r w:rsidR="00F33F9F" w:rsidRPr="00CD53EE">
        <w:rPr>
          <w:rFonts w:ascii="Times New Roman" w:hAnsi="Times New Roman"/>
          <w:lang w:val="en-IE"/>
        </w:rPr>
        <w:tab/>
      </w:r>
      <w:r w:rsidR="00286858" w:rsidRPr="00CD53EE">
        <w:rPr>
          <w:rFonts w:ascii="Times New Roman" w:hAnsi="Times New Roman"/>
          <w:lang w:val="en-IE"/>
        </w:rPr>
        <w:t>Ethical guidelines on the use of artificial intelligence (AI) and data in teaching and learning for educators (</w:t>
      </w:r>
      <w:hyperlink r:id="rId3" w:history="1">
        <w:r w:rsidR="00286858" w:rsidRPr="00CD53EE">
          <w:rPr>
            <w:rStyle w:val="Hyperlink"/>
            <w:rFonts w:ascii="Times New Roman" w:hAnsi="Times New Roman"/>
            <w:lang w:val="en-IE"/>
          </w:rPr>
          <w:t>https://op.europa.eu/en/publication-detail/-/publication/d81a0d54-5348-11ed-92ed-01aa75ed71a1/language-en</w:t>
        </w:r>
      </w:hyperlink>
      <w:r w:rsidR="00286858" w:rsidRPr="00CD53EE">
        <w:rPr>
          <w:rFonts w:ascii="Times New Roman" w:hAnsi="Times New Roman"/>
          <w:lang w:val="en-IE"/>
        </w:rPr>
        <w:t>)</w:t>
      </w:r>
      <w:r w:rsidR="00E95E33" w:rsidRPr="00CD53EE">
        <w:rPr>
          <w:rFonts w:ascii="Times New Roman" w:hAnsi="Times New Roman"/>
          <w:lang w:val="en-IE"/>
        </w:rPr>
        <w:t>.</w:t>
      </w:r>
    </w:p>
  </w:footnote>
  <w:footnote w:id="8">
    <w:p w14:paraId="53E0A8AF" w14:textId="06079FAA" w:rsidR="005F4954" w:rsidRPr="00CD53EE" w:rsidRDefault="005F4954" w:rsidP="00BC41A6">
      <w:pPr>
        <w:pStyle w:val="FootnoteText"/>
        <w:widowControl w:val="0"/>
        <w:spacing w:after="0" w:line="240" w:lineRule="auto"/>
        <w:ind w:left="-141" w:right="-567" w:hanging="284"/>
        <w:jc w:val="both"/>
        <w:rPr>
          <w:rFonts w:ascii="Times New Roman" w:hAnsi="Times New Roman"/>
          <w:lang w:val="en-IE"/>
        </w:rPr>
      </w:pPr>
      <w:r w:rsidRPr="00CD53EE">
        <w:rPr>
          <w:rStyle w:val="FootnoteReference"/>
          <w:rFonts w:ascii="Times New Roman" w:hAnsi="Times New Roman"/>
        </w:rPr>
        <w:footnoteRef/>
      </w:r>
      <w:r w:rsidRPr="00CD53EE">
        <w:rPr>
          <w:rFonts w:ascii="Times New Roman" w:hAnsi="Times New Roman"/>
          <w:lang w:val="en-IE"/>
        </w:rPr>
        <w:t xml:space="preserve"> </w:t>
      </w:r>
      <w:r w:rsidR="00F33F9F" w:rsidRPr="00CD53EE">
        <w:rPr>
          <w:rFonts w:ascii="Times New Roman" w:hAnsi="Times New Roman"/>
          <w:lang w:val="en-IE"/>
        </w:rPr>
        <w:tab/>
      </w:r>
      <w:hyperlink r:id="rId4" w:history="1">
        <w:r w:rsidR="00F33F9F" w:rsidRPr="00CD53EE">
          <w:rPr>
            <w:rStyle w:val="Hyperlink"/>
            <w:rFonts w:ascii="Times New Roman" w:hAnsi="Times New Roman"/>
            <w:lang w:val="en-IE"/>
          </w:rPr>
          <w:t>https://joint-research-centre.ec.europa.eu/projects-and-activities/education-and-training/digital-transformation-education/digital-competence-framework-citizens-digcomp_en</w:t>
        </w:r>
      </w:hyperlink>
      <w:r w:rsidR="00E95E33" w:rsidRPr="00CD53EE">
        <w:rPr>
          <w:rFonts w:ascii="Times New Roman" w:hAnsi="Times New Roman"/>
          <w:lang w:val="en-IE"/>
        </w:rPr>
        <w:t>.</w:t>
      </w:r>
    </w:p>
  </w:footnote>
  <w:footnote w:id="9">
    <w:p w14:paraId="2DB8ADD1" w14:textId="6D84E4D8" w:rsidR="005F4954" w:rsidRPr="00CD53EE" w:rsidRDefault="005F4954" w:rsidP="00BC41A6">
      <w:pPr>
        <w:pStyle w:val="FootnoteText"/>
        <w:widowControl w:val="0"/>
        <w:spacing w:after="0" w:line="240" w:lineRule="auto"/>
        <w:ind w:left="-141" w:right="-567" w:hanging="284"/>
        <w:jc w:val="both"/>
        <w:rPr>
          <w:rFonts w:ascii="Times New Roman" w:hAnsi="Times New Roman"/>
          <w:lang w:val="en-IE"/>
        </w:rPr>
      </w:pPr>
      <w:r w:rsidRPr="00CD53EE">
        <w:rPr>
          <w:rStyle w:val="FootnoteReference"/>
          <w:rFonts w:ascii="Times New Roman" w:hAnsi="Times New Roman"/>
        </w:rPr>
        <w:footnoteRef/>
      </w:r>
      <w:r w:rsidRPr="00CD53EE">
        <w:rPr>
          <w:rFonts w:ascii="Times New Roman" w:hAnsi="Times New Roman"/>
          <w:lang w:val="en-IE"/>
        </w:rPr>
        <w:t xml:space="preserve"> </w:t>
      </w:r>
      <w:r w:rsidR="00F33F9F" w:rsidRPr="00CD53EE">
        <w:rPr>
          <w:rFonts w:ascii="Times New Roman" w:hAnsi="Times New Roman"/>
          <w:lang w:val="en-IE"/>
        </w:rPr>
        <w:tab/>
      </w:r>
      <w:hyperlink r:id="rId5" w:history="1">
        <w:r w:rsidR="00F33F9F" w:rsidRPr="00CD53EE">
          <w:rPr>
            <w:rStyle w:val="Hyperlink"/>
            <w:rFonts w:ascii="Times New Roman" w:hAnsi="Times New Roman"/>
            <w:lang w:val="en-IE"/>
          </w:rPr>
          <w:t>https://erasmus-plus.ec.europa.eu/</w:t>
        </w:r>
      </w:hyperlink>
      <w:r w:rsidR="00E95E33" w:rsidRPr="00CD53EE">
        <w:rPr>
          <w:rFonts w:ascii="Times New Roman" w:hAnsi="Times New Roman"/>
          <w:lang w:val="en-IE"/>
        </w:rPr>
        <w:t>.</w:t>
      </w:r>
    </w:p>
  </w:footnote>
  <w:footnote w:id="10">
    <w:p w14:paraId="4557C4F0" w14:textId="1E4C1321" w:rsidR="00DF3EDE" w:rsidRPr="00CD53EE" w:rsidRDefault="00DF3EDE" w:rsidP="00BC41A6">
      <w:pPr>
        <w:pStyle w:val="FootnoteText"/>
        <w:widowControl w:val="0"/>
        <w:spacing w:after="0" w:line="240" w:lineRule="auto"/>
        <w:ind w:left="-141" w:right="-567" w:hanging="284"/>
        <w:jc w:val="both"/>
        <w:rPr>
          <w:rFonts w:ascii="Times New Roman" w:hAnsi="Times New Roman"/>
          <w:lang w:val="pt-PT"/>
        </w:rPr>
      </w:pPr>
      <w:r w:rsidRPr="00CD53EE">
        <w:rPr>
          <w:rStyle w:val="FootnoteReference"/>
          <w:rFonts w:ascii="Times New Roman" w:hAnsi="Times New Roman"/>
        </w:rPr>
        <w:footnoteRef/>
      </w:r>
      <w:r w:rsidRPr="00CD53EE">
        <w:rPr>
          <w:rFonts w:ascii="Times New Roman" w:hAnsi="Times New Roman"/>
          <w:lang w:val="pt-PT"/>
        </w:rPr>
        <w:t xml:space="preserve"> </w:t>
      </w:r>
      <w:r w:rsidR="00F33F9F" w:rsidRPr="00CD53EE">
        <w:rPr>
          <w:rFonts w:ascii="Times New Roman" w:hAnsi="Times New Roman"/>
          <w:lang w:val="pt-PT"/>
        </w:rPr>
        <w:tab/>
      </w:r>
      <w:proofErr w:type="gramStart"/>
      <w:r w:rsidRPr="00CD53EE">
        <w:rPr>
          <w:rFonts w:ascii="Times New Roman" w:hAnsi="Times New Roman"/>
          <w:lang w:val="pt-PT"/>
        </w:rPr>
        <w:t>COM(</w:t>
      </w:r>
      <w:proofErr w:type="gramEnd"/>
      <w:r w:rsidRPr="00CD53EE">
        <w:rPr>
          <w:rFonts w:ascii="Times New Roman" w:hAnsi="Times New Roman"/>
          <w:lang w:val="pt-PT"/>
        </w:rPr>
        <w:t>2025) 165 final (</w:t>
      </w:r>
      <w:r w:rsidR="00F33F9F">
        <w:fldChar w:fldCharType="begin"/>
      </w:r>
      <w:r w:rsidR="00F33F9F" w:rsidRPr="00CE11E7">
        <w:rPr>
          <w:lang w:val="pt-PT"/>
        </w:rPr>
        <w:instrText>HYPERLINK "https://eur-lex.europa.eu/legal-content/EN/TXT/?uri=CELEX:52025DC0165"</w:instrText>
      </w:r>
      <w:r w:rsidR="00F33F9F">
        <w:fldChar w:fldCharType="separate"/>
      </w:r>
      <w:r w:rsidR="00F33F9F" w:rsidRPr="00CD53EE">
        <w:rPr>
          <w:rStyle w:val="Hyperlink"/>
          <w:rFonts w:ascii="Times New Roman" w:hAnsi="Times New Roman"/>
          <w:lang w:val="pt-PT"/>
        </w:rPr>
        <w:t>https://eur-lex.europa.eu/legal-content/EN/TXT/?uri=CELEX:52025DC0165</w:t>
      </w:r>
      <w:r w:rsidR="00F33F9F">
        <w:fldChar w:fldCharType="end"/>
      </w:r>
      <w:r w:rsidRPr="00CD53EE">
        <w:rPr>
          <w:rFonts w:ascii="Times New Roman" w:hAnsi="Times New Roman"/>
          <w:lang w:val="pt-PT"/>
        </w:rPr>
        <w:t>)</w:t>
      </w:r>
      <w:r w:rsidR="00E95E33" w:rsidRPr="00CD53EE">
        <w:rPr>
          <w:rFonts w:ascii="Times New Roman" w:hAnsi="Times New Roman"/>
          <w:lang w:val="pt-PT"/>
        </w:rPr>
        <w:t>.</w:t>
      </w:r>
    </w:p>
  </w:footnote>
  <w:footnote w:id="11">
    <w:p w14:paraId="765B753E" w14:textId="61F5A9BB" w:rsidR="00284422" w:rsidRPr="00CD53EE" w:rsidRDefault="00284422" w:rsidP="00BC41A6">
      <w:pPr>
        <w:pStyle w:val="FootnoteText"/>
        <w:widowControl w:val="0"/>
        <w:spacing w:after="0" w:line="240" w:lineRule="auto"/>
        <w:ind w:left="-141" w:right="-567" w:hanging="284"/>
        <w:jc w:val="both"/>
        <w:rPr>
          <w:rFonts w:ascii="Times New Roman" w:hAnsi="Times New Roman"/>
          <w:lang w:val="en-IE"/>
        </w:rPr>
      </w:pPr>
      <w:r w:rsidRPr="00CD53EE">
        <w:rPr>
          <w:rStyle w:val="FootnoteReference"/>
          <w:rFonts w:ascii="Times New Roman" w:hAnsi="Times New Roman"/>
        </w:rPr>
        <w:footnoteRef/>
      </w:r>
      <w:r w:rsidRPr="00CD53EE">
        <w:rPr>
          <w:rFonts w:ascii="Times New Roman" w:hAnsi="Times New Roman"/>
          <w:lang w:val="en-IE"/>
        </w:rPr>
        <w:t xml:space="preserve"> </w:t>
      </w:r>
      <w:r w:rsidR="00F33F9F" w:rsidRPr="00CD53EE">
        <w:rPr>
          <w:rFonts w:ascii="Times New Roman" w:hAnsi="Times New Roman"/>
          <w:lang w:val="en-IE"/>
        </w:rPr>
        <w:tab/>
      </w:r>
      <w:r w:rsidR="00286858" w:rsidRPr="00CD53EE">
        <w:rPr>
          <w:rFonts w:ascii="Times New Roman" w:hAnsi="Times New Roman"/>
        </w:rPr>
        <w:t>Regulation (EU) 2024/1689 of the European Parliament and of the Council of 13 June 2024 laying down harmonised rules on artificial intelligence and amending Regulations (EC) No 300/2008, (EU) No 167/2013, (EU) No 168/2013, (EU) 2018/858, (EU) 2018/1139 and (EU) 2019/2144 and Directives 2014/90/EU, (EU) 2016/797 and (EU) 2020/1828 (Artificial Intelligence Act)</w:t>
      </w:r>
      <w:r w:rsidR="00286858" w:rsidRPr="00CD53EE">
        <w:rPr>
          <w:rFonts w:ascii="Times New Roman" w:hAnsi="Times New Roman"/>
          <w:lang w:val="en-IE"/>
        </w:rPr>
        <w:t xml:space="preserve"> </w:t>
      </w:r>
      <w:r w:rsidR="00E95E33" w:rsidRPr="00CD53EE">
        <w:rPr>
          <w:rFonts w:ascii="Times New Roman" w:hAnsi="Times New Roman"/>
          <w:lang w:val="en-IE"/>
        </w:rPr>
        <w:t>(</w:t>
      </w:r>
      <w:hyperlink r:id="rId6" w:history="1">
        <w:r w:rsidR="00E95E33" w:rsidRPr="00CD53EE">
          <w:rPr>
            <w:rStyle w:val="Hyperlink"/>
            <w:rFonts w:ascii="Times New Roman" w:hAnsi="Times New Roman"/>
            <w:lang w:val="en-IE"/>
          </w:rPr>
          <w:t>https://eur-lex.europa.eu/eli/reg/2024/1689/oj/eng</w:t>
        </w:r>
      </w:hyperlink>
      <w:r w:rsidR="00E95E33" w:rsidRPr="00CD53EE">
        <w:rPr>
          <w:rFonts w:ascii="Times New Roman" w:hAnsi="Times New Roman"/>
          <w:lang w:val="en-IE"/>
        </w:rPr>
        <w:t>).</w:t>
      </w:r>
    </w:p>
  </w:footnote>
  <w:footnote w:id="12">
    <w:p w14:paraId="66047B4C" w14:textId="60596863" w:rsidR="00402932" w:rsidRPr="00CD53EE" w:rsidRDefault="00402932" w:rsidP="00BC41A6">
      <w:pPr>
        <w:pStyle w:val="FootnoteText"/>
        <w:widowControl w:val="0"/>
        <w:spacing w:after="0" w:line="240" w:lineRule="auto"/>
        <w:ind w:left="-141" w:right="-567" w:hanging="284"/>
        <w:jc w:val="both"/>
        <w:rPr>
          <w:rFonts w:ascii="Times New Roman" w:hAnsi="Times New Roman"/>
          <w:lang w:val="pt-PT"/>
        </w:rPr>
      </w:pPr>
      <w:r w:rsidRPr="00CD53EE">
        <w:rPr>
          <w:rStyle w:val="FootnoteReference"/>
          <w:rFonts w:ascii="Times New Roman" w:hAnsi="Times New Roman"/>
        </w:rPr>
        <w:footnoteRef/>
      </w:r>
      <w:r w:rsidRPr="00BC41A6">
        <w:rPr>
          <w:rStyle w:val="FootnoteReference"/>
          <w:rFonts w:ascii="Times New Roman" w:hAnsi="Times New Roman"/>
          <w:lang w:val="pt-PT"/>
        </w:rPr>
        <w:t xml:space="preserve"> </w:t>
      </w:r>
      <w:r w:rsidRPr="00BC41A6">
        <w:rPr>
          <w:rFonts w:ascii="Times New Roman" w:hAnsi="Times New Roman"/>
          <w:lang w:val="pt-PT"/>
        </w:rPr>
        <w:t xml:space="preserve">  </w:t>
      </w:r>
      <w:proofErr w:type="gramStart"/>
      <w:r w:rsidRPr="00CD53EE">
        <w:rPr>
          <w:rStyle w:val="Hyperlink"/>
          <w:rFonts w:ascii="Times New Roman" w:hAnsi="Times New Roman"/>
          <w:color w:val="auto"/>
          <w:u w:val="none"/>
          <w:lang w:val="pt-PT"/>
        </w:rPr>
        <w:t>COM(</w:t>
      </w:r>
      <w:proofErr w:type="gramEnd"/>
      <w:r w:rsidRPr="00CD53EE">
        <w:rPr>
          <w:rStyle w:val="Hyperlink"/>
          <w:rFonts w:ascii="Times New Roman" w:hAnsi="Times New Roman"/>
          <w:color w:val="auto"/>
          <w:u w:val="none"/>
          <w:lang w:val="pt-PT"/>
        </w:rPr>
        <w:t>2025) 723 final (</w:t>
      </w:r>
      <w:r>
        <w:fldChar w:fldCharType="begin"/>
      </w:r>
      <w:r w:rsidRPr="00CE11E7">
        <w:rPr>
          <w:lang w:val="pt-PT"/>
        </w:rPr>
        <w:instrText>HYPERLINK "https://eur-lex.europa.eu/legal-content/EN/TXT/?uri=CELEX%3A52025DC0723"</w:instrText>
      </w:r>
      <w:r>
        <w:fldChar w:fldCharType="separate"/>
      </w:r>
      <w:r w:rsidRPr="00CD53EE">
        <w:rPr>
          <w:rStyle w:val="Hyperlink"/>
          <w:rFonts w:ascii="Times New Roman" w:hAnsi="Times New Roman"/>
          <w:lang w:val="pt-PT"/>
        </w:rPr>
        <w:t>https://eur-lex.europa.eu/legal-content/EN/TXT/?uri=CELEX%3A52025DC0723</w:t>
      </w:r>
      <w:r>
        <w:fldChar w:fldCharType="end"/>
      </w:r>
      <w:r w:rsidRPr="00CD53EE">
        <w:rPr>
          <w:rStyle w:val="Hyperlink"/>
          <w:rFonts w:ascii="Times New Roman" w:hAnsi="Times New Roman"/>
          <w:color w:val="auto"/>
          <w:u w:val="none"/>
          <w:lang w:val="pt-PT"/>
        </w:rPr>
        <w:t>).</w:t>
      </w:r>
    </w:p>
  </w:footnote>
  <w:footnote w:id="13">
    <w:p w14:paraId="5FDDDDD7" w14:textId="678698C0" w:rsidR="001D097A" w:rsidRPr="00CD53EE" w:rsidRDefault="001D097A" w:rsidP="00BC41A6">
      <w:pPr>
        <w:pStyle w:val="FootnoteText"/>
        <w:widowControl w:val="0"/>
        <w:spacing w:after="0" w:line="240" w:lineRule="auto"/>
        <w:ind w:left="-141" w:right="-567" w:hanging="284"/>
        <w:jc w:val="both"/>
        <w:rPr>
          <w:rFonts w:ascii="Times New Roman" w:hAnsi="Times New Roman"/>
          <w:lang w:val="pt-PT"/>
        </w:rPr>
      </w:pPr>
      <w:r w:rsidRPr="00CD53EE">
        <w:rPr>
          <w:rStyle w:val="FootnoteReference"/>
          <w:rFonts w:ascii="Times New Roman" w:hAnsi="Times New Roman"/>
        </w:rPr>
        <w:footnoteRef/>
      </w:r>
      <w:r w:rsidRPr="00CD53EE">
        <w:rPr>
          <w:rFonts w:ascii="Times New Roman" w:hAnsi="Times New Roman"/>
          <w:lang w:val="pt-PT"/>
        </w:rPr>
        <w:t xml:space="preserve"> </w:t>
      </w:r>
      <w:r w:rsidR="00F33F9F" w:rsidRPr="00CD53EE">
        <w:rPr>
          <w:rFonts w:ascii="Times New Roman" w:hAnsi="Times New Roman"/>
          <w:lang w:val="pt-PT"/>
        </w:rPr>
        <w:tab/>
      </w:r>
      <w:proofErr w:type="gramStart"/>
      <w:r w:rsidRPr="00CD53EE">
        <w:rPr>
          <w:rFonts w:ascii="Times New Roman" w:hAnsi="Times New Roman"/>
          <w:lang w:val="pt-PT"/>
        </w:rPr>
        <w:t>COM(</w:t>
      </w:r>
      <w:proofErr w:type="gramEnd"/>
      <w:r w:rsidRPr="00CD53EE">
        <w:rPr>
          <w:rFonts w:ascii="Times New Roman" w:hAnsi="Times New Roman"/>
          <w:lang w:val="pt-PT"/>
        </w:rPr>
        <w:t>2025) 89 final (</w:t>
      </w:r>
      <w:r w:rsidR="00E95E33">
        <w:fldChar w:fldCharType="begin"/>
      </w:r>
      <w:r w:rsidR="00E95E33" w:rsidRPr="00CE11E7">
        <w:rPr>
          <w:lang w:val="pt-PT"/>
        </w:rPr>
        <w:instrText>HYPERLINK "https://eur-lex.europa.eu/legal-content/EN/TXT/?uri=celex:52025DC008"</w:instrText>
      </w:r>
      <w:r w:rsidR="00E95E33">
        <w:fldChar w:fldCharType="separate"/>
      </w:r>
      <w:r w:rsidR="00E95E33" w:rsidRPr="00CD53EE">
        <w:rPr>
          <w:rStyle w:val="Hyperlink"/>
          <w:rFonts w:ascii="Times New Roman" w:hAnsi="Times New Roman"/>
          <w:lang w:val="pt-PT"/>
        </w:rPr>
        <w:t>https://eur-lex.europa.eu/legal-content/EN/TXT/?uri=celex:52025DC008</w:t>
      </w:r>
      <w:r w:rsidR="00E95E33">
        <w:fldChar w:fldCharType="end"/>
      </w:r>
      <w:r w:rsidRPr="00CD53EE">
        <w:rPr>
          <w:rFonts w:ascii="Times New Roman" w:hAnsi="Times New Roman"/>
          <w:lang w:val="pt-PT"/>
        </w:rPr>
        <w:t>)</w:t>
      </w:r>
      <w:r w:rsidR="00E95E33" w:rsidRPr="00CD53EE">
        <w:rPr>
          <w:rFonts w:ascii="Times New Roman" w:hAnsi="Times New Roman"/>
          <w:lang w:val="pt-PT"/>
        </w:rPr>
        <w:t>.</w:t>
      </w:r>
    </w:p>
  </w:footnote>
  <w:footnote w:id="14">
    <w:p w14:paraId="054DA826" w14:textId="47E8A871" w:rsidR="00284422" w:rsidRPr="00CD53EE" w:rsidRDefault="00284422" w:rsidP="00BC41A6">
      <w:pPr>
        <w:pStyle w:val="FootnoteText"/>
        <w:widowControl w:val="0"/>
        <w:spacing w:after="0" w:line="240" w:lineRule="auto"/>
        <w:ind w:left="-142" w:right="-567" w:hanging="284"/>
        <w:rPr>
          <w:rFonts w:ascii="Times New Roman" w:hAnsi="Times New Roman"/>
          <w:lang w:val="en-IE"/>
        </w:rPr>
      </w:pPr>
      <w:r w:rsidRPr="00CD53EE">
        <w:rPr>
          <w:rStyle w:val="FootnoteReference"/>
          <w:rFonts w:ascii="Times New Roman" w:hAnsi="Times New Roman"/>
        </w:rPr>
        <w:footnoteRef/>
      </w:r>
      <w:r w:rsidRPr="00CD53EE">
        <w:rPr>
          <w:rFonts w:ascii="Times New Roman" w:hAnsi="Times New Roman"/>
          <w:lang w:val="en-IE"/>
        </w:rPr>
        <w:t xml:space="preserve"> </w:t>
      </w:r>
      <w:r w:rsidR="00E95E33" w:rsidRPr="00CD53EE">
        <w:rPr>
          <w:rFonts w:ascii="Times New Roman" w:hAnsi="Times New Roman"/>
          <w:lang w:val="en-IE"/>
        </w:rPr>
        <w:tab/>
      </w:r>
      <w:r w:rsidR="00E95E33" w:rsidRPr="00CD53EE">
        <w:rPr>
          <w:rFonts w:ascii="Times New Roman" w:hAnsi="Times New Roman"/>
        </w:rPr>
        <w:t>The Political Guidelines 2024-2029 of the European Commission</w:t>
      </w:r>
      <w:r w:rsidR="00352693" w:rsidRPr="00CD53EE">
        <w:rPr>
          <w:rFonts w:ascii="Times New Roman" w:hAnsi="Times New Roman"/>
          <w:lang w:val="en-IE"/>
        </w:rPr>
        <w:t xml:space="preserve"> </w:t>
      </w:r>
      <w:r w:rsidR="00E95E33" w:rsidRPr="00CD53EE">
        <w:rPr>
          <w:rFonts w:ascii="Times New Roman" w:hAnsi="Times New Roman"/>
          <w:lang w:val="en-IE"/>
        </w:rPr>
        <w:t>(</w:t>
      </w:r>
      <w:hyperlink r:id="rId7" w:history="1">
        <w:r w:rsidR="00E95E33" w:rsidRPr="00CD53EE">
          <w:rPr>
            <w:rStyle w:val="Hyperlink"/>
            <w:rFonts w:ascii="Times New Roman" w:hAnsi="Times New Roman"/>
            <w:lang w:val="en-IE"/>
          </w:rPr>
          <w:t>https://commission.europa.eu/document/download/e6cd4328-673c-4e7a-8683-f63ffb2cf648_en?filename=Political%20Guidelines%202024-2029_EN.pdf</w:t>
        </w:r>
      </w:hyperlink>
      <w:r w:rsidR="00E95E33" w:rsidRPr="00CD53EE">
        <w:rPr>
          <w:rFonts w:ascii="Times New Roman" w:hAnsi="Times New Roman"/>
          <w:lang w:val="en-IE"/>
        </w:rPr>
        <w:t>).</w:t>
      </w:r>
    </w:p>
  </w:footnote>
  <w:footnote w:id="15">
    <w:p w14:paraId="5D3461D5" w14:textId="319EEDB2" w:rsidR="00482C87" w:rsidRPr="00CD53EE" w:rsidRDefault="006B0A3E" w:rsidP="00BC41A6">
      <w:pPr>
        <w:pStyle w:val="FootnoteText"/>
        <w:widowControl w:val="0"/>
        <w:spacing w:after="0" w:line="240" w:lineRule="auto"/>
        <w:ind w:left="-142" w:right="-567" w:hanging="284"/>
        <w:jc w:val="both"/>
        <w:rPr>
          <w:rFonts w:ascii="Times New Roman" w:hAnsi="Times New Roman"/>
          <w:lang w:val="pt-PT"/>
        </w:rPr>
      </w:pPr>
      <w:r w:rsidRPr="00CD53EE">
        <w:rPr>
          <w:rStyle w:val="FootnoteReference"/>
          <w:rFonts w:ascii="Times New Roman" w:hAnsi="Times New Roman"/>
        </w:rPr>
        <w:footnoteRef/>
      </w:r>
      <w:r w:rsidRPr="00CD53EE">
        <w:rPr>
          <w:rFonts w:ascii="Times New Roman" w:hAnsi="Times New Roman"/>
          <w:lang w:val="pt-PT"/>
        </w:rPr>
        <w:t xml:space="preserve"> </w:t>
      </w:r>
      <w:r w:rsidR="00E95E33" w:rsidRPr="00CD53EE">
        <w:rPr>
          <w:rFonts w:ascii="Times New Roman" w:hAnsi="Times New Roman"/>
          <w:lang w:val="pt-PT"/>
        </w:rPr>
        <w:tab/>
      </w:r>
      <w:proofErr w:type="gramStart"/>
      <w:r w:rsidRPr="00CD53EE">
        <w:rPr>
          <w:rFonts w:ascii="Times New Roman" w:hAnsi="Times New Roman"/>
          <w:lang w:val="pt-PT"/>
        </w:rPr>
        <w:t>COM(</w:t>
      </w:r>
      <w:proofErr w:type="gramEnd"/>
      <w:r w:rsidRPr="00CD53EE">
        <w:rPr>
          <w:rFonts w:ascii="Times New Roman" w:hAnsi="Times New Roman"/>
          <w:lang w:val="pt-PT"/>
        </w:rPr>
        <w:t>2025) 570 final (</w:t>
      </w:r>
      <w:r w:rsidR="00E95E33" w:rsidRPr="00BC41A6">
        <w:rPr>
          <w:rFonts w:ascii="Times New Roman" w:hAnsi="Times New Roman"/>
          <w:sz w:val="22"/>
          <w:szCs w:val="22"/>
          <w:lang w:val="pt-PT"/>
        </w:rPr>
        <w:t xml:space="preserve"> </w:t>
      </w:r>
      <w:r w:rsidR="00E95E33">
        <w:fldChar w:fldCharType="begin"/>
      </w:r>
      <w:r w:rsidR="00E95E33" w:rsidRPr="00CE11E7">
        <w:rPr>
          <w:lang w:val="pt-PT"/>
        </w:rPr>
        <w:instrText>HYPERLINK "https://eur-lex.europa.eu/legal-content/EN/TXT/PDF/?uri=CELEX:52025DC0570"</w:instrText>
      </w:r>
      <w:r w:rsidR="00E95E33">
        <w:fldChar w:fldCharType="separate"/>
      </w:r>
      <w:r w:rsidR="00E95E33" w:rsidRPr="00CD53EE">
        <w:rPr>
          <w:rStyle w:val="Hyperlink"/>
          <w:rFonts w:ascii="Times New Roman" w:hAnsi="Times New Roman"/>
          <w:lang w:val="pt-PT"/>
        </w:rPr>
        <w:t>eur-lex.europa.eu/legal-content/EN/TXT/PDF/?uri=CELEX:52025DC0570</w:t>
      </w:r>
      <w:r w:rsidR="00E95E33">
        <w:fldChar w:fldCharType="end"/>
      </w:r>
      <w:r w:rsidRPr="00CD53EE">
        <w:rPr>
          <w:rFonts w:ascii="Times New Roman" w:hAnsi="Times New Roman"/>
          <w:lang w:val="pt-PT"/>
        </w:rPr>
        <w:t>)</w:t>
      </w:r>
      <w:r w:rsidR="00352693" w:rsidRPr="00CD53EE">
        <w:rPr>
          <w:rFonts w:ascii="Times New Roman" w:hAnsi="Times New Roman"/>
          <w:lang w:val="pt-PT"/>
        </w:rPr>
        <w:t>.</w:t>
      </w:r>
    </w:p>
  </w:footnote>
  <w:footnote w:id="16">
    <w:p w14:paraId="54B1DB1D" w14:textId="54A9FE32" w:rsidR="00482C87" w:rsidRPr="00CD53EE" w:rsidRDefault="00482C87" w:rsidP="00BC41A6">
      <w:pPr>
        <w:pStyle w:val="FootnoteText"/>
        <w:widowControl w:val="0"/>
        <w:spacing w:after="0" w:line="240" w:lineRule="auto"/>
        <w:ind w:left="-142" w:right="-567" w:hanging="284"/>
        <w:jc w:val="both"/>
        <w:rPr>
          <w:rFonts w:ascii="Times New Roman" w:hAnsi="Times New Roman"/>
          <w:lang w:val="pt-PT"/>
        </w:rPr>
      </w:pPr>
      <w:r w:rsidRPr="00CD53EE">
        <w:rPr>
          <w:rStyle w:val="FootnoteReference"/>
          <w:rFonts w:ascii="Times New Roman" w:hAnsi="Times New Roman"/>
        </w:rPr>
        <w:footnoteRef/>
      </w:r>
      <w:r w:rsidRPr="00CD53EE">
        <w:rPr>
          <w:rFonts w:ascii="Times New Roman" w:hAnsi="Times New Roman"/>
          <w:lang w:val="pt-PT"/>
        </w:rPr>
        <w:t xml:space="preserve"> </w:t>
      </w:r>
      <w:r w:rsidR="00E95E33" w:rsidRPr="00CD53EE">
        <w:rPr>
          <w:rFonts w:ascii="Times New Roman" w:hAnsi="Times New Roman"/>
          <w:lang w:val="pt-PT"/>
        </w:rPr>
        <w:tab/>
      </w:r>
      <w:proofErr w:type="gramStart"/>
      <w:r w:rsidRPr="00CD53EE">
        <w:rPr>
          <w:rFonts w:ascii="Times New Roman" w:hAnsi="Times New Roman"/>
          <w:lang w:val="pt-PT"/>
        </w:rPr>
        <w:t>COM(</w:t>
      </w:r>
      <w:proofErr w:type="gramEnd"/>
      <w:r w:rsidRPr="00CD53EE">
        <w:rPr>
          <w:rFonts w:ascii="Times New Roman" w:hAnsi="Times New Roman"/>
          <w:lang w:val="pt-PT"/>
        </w:rPr>
        <w:t>2025) 230 final (</w:t>
      </w:r>
      <w:r w:rsidR="00E95E33">
        <w:fldChar w:fldCharType="begin"/>
      </w:r>
      <w:r w:rsidR="00E95E33" w:rsidRPr="00CE11E7">
        <w:rPr>
          <w:lang w:val="pt-PT"/>
        </w:rPr>
        <w:instrText>HYPERLINK "https://eur-lex.europa.eu/legal-content/EN/TXT/?uri=celex:52025PC0230"</w:instrText>
      </w:r>
      <w:r w:rsidR="00E95E33">
        <w:fldChar w:fldCharType="separate"/>
      </w:r>
      <w:r w:rsidR="00E95E33" w:rsidRPr="00CD53EE">
        <w:rPr>
          <w:rStyle w:val="Hyperlink"/>
          <w:rFonts w:ascii="Times New Roman" w:hAnsi="Times New Roman"/>
          <w:lang w:val="pt-PT"/>
        </w:rPr>
        <w:t>https://eur-lex.europa.eu/legal-content/EN/TXT/?uri=celex:52025PC0230</w:t>
      </w:r>
      <w:r w:rsidR="00E95E33">
        <w:fldChar w:fldCharType="end"/>
      </w:r>
      <w:r w:rsidR="00E95E33" w:rsidRPr="00CD53EE">
        <w:rPr>
          <w:rFonts w:ascii="Times New Roman" w:hAnsi="Times New Roman"/>
          <w:lang w:val="pt-PT"/>
        </w:rPr>
        <w:t xml:space="preserve"> </w:t>
      </w:r>
      <w:r w:rsidRPr="00CD53EE">
        <w:rPr>
          <w:rFonts w:ascii="Times New Roman" w:hAnsi="Times New Roman"/>
          <w:lang w:val="pt-PT"/>
        </w:rPr>
        <w:t>)</w:t>
      </w:r>
      <w:r w:rsidR="00E95E33" w:rsidRPr="00CD53EE">
        <w:rPr>
          <w:rFonts w:ascii="Times New Roman" w:hAnsi="Times New Roman"/>
          <w:lang w:val="pt-PT"/>
        </w:rPr>
        <w:t>.</w:t>
      </w:r>
    </w:p>
  </w:footnote>
  <w:footnote w:id="17">
    <w:p w14:paraId="43549DC9" w14:textId="28680B24" w:rsidR="00411126" w:rsidRPr="00CD53EE" w:rsidRDefault="00411126" w:rsidP="00BC41A6">
      <w:pPr>
        <w:pStyle w:val="FootnoteText"/>
        <w:widowControl w:val="0"/>
        <w:spacing w:after="0" w:line="240" w:lineRule="auto"/>
        <w:ind w:left="-141" w:hanging="284"/>
        <w:jc w:val="both"/>
        <w:rPr>
          <w:rFonts w:ascii="Times New Roman" w:hAnsi="Times New Roman"/>
          <w:lang w:val="fr-BE"/>
        </w:rPr>
      </w:pPr>
      <w:r w:rsidRPr="00CD53EE">
        <w:rPr>
          <w:rStyle w:val="FootnoteReference"/>
          <w:rFonts w:ascii="Times New Roman" w:hAnsi="Times New Roman"/>
        </w:rPr>
        <w:footnoteRef/>
      </w:r>
      <w:r w:rsidRPr="00CD53EE">
        <w:rPr>
          <w:rFonts w:ascii="Times New Roman" w:hAnsi="Times New Roman"/>
          <w:lang w:val="fr-BE"/>
        </w:rPr>
        <w:t xml:space="preserve"> </w:t>
      </w:r>
      <w:r w:rsidRPr="00CD53EE">
        <w:rPr>
          <w:rFonts w:ascii="Times New Roman" w:hAnsi="Times New Roman"/>
          <w:lang w:val="fr-BE"/>
        </w:rPr>
        <w:tab/>
        <w:t>COM/2025</w:t>
      </w:r>
      <w:r w:rsidR="00CD53EE" w:rsidRPr="00CD53EE">
        <w:rPr>
          <w:rFonts w:ascii="Times New Roman" w:hAnsi="Times New Roman"/>
          <w:lang w:val="fr-BE"/>
        </w:rPr>
        <w:t xml:space="preserve">) </w:t>
      </w:r>
      <w:r w:rsidRPr="00CD53EE">
        <w:rPr>
          <w:rFonts w:ascii="Times New Roman" w:hAnsi="Times New Roman"/>
          <w:lang w:val="fr-BE"/>
        </w:rPr>
        <w:t>30 final (</w:t>
      </w:r>
      <w:r w:rsidR="00720729">
        <w:fldChar w:fldCharType="begin"/>
      </w:r>
      <w:r w:rsidR="00720729" w:rsidRPr="00CE11E7">
        <w:rPr>
          <w:lang w:val="fr-BE"/>
        </w:rPr>
        <w:instrText>HYPERLINK "https://eur-lex.europa.eu/legal-content/EN/TXT/?uri=CELEX%3A52025DC0030"</w:instrText>
      </w:r>
      <w:r w:rsidR="00720729">
        <w:fldChar w:fldCharType="separate"/>
      </w:r>
      <w:r w:rsidR="00720729" w:rsidRPr="00CD53EE">
        <w:rPr>
          <w:rStyle w:val="Hyperlink"/>
          <w:rFonts w:ascii="Times New Roman" w:hAnsi="Times New Roman"/>
          <w:lang w:val="fr-BE"/>
        </w:rPr>
        <w:t>EUR-Lex - 52025DC0030 - EN - EUR-Lex</w:t>
      </w:r>
      <w:r w:rsidR="00720729">
        <w:fldChar w:fldCharType="end"/>
      </w:r>
      <w:r w:rsidR="00720729" w:rsidRPr="00CD53EE">
        <w:rPr>
          <w:rFonts w:ascii="Times New Roman" w:hAnsi="Times New Roman"/>
          <w:lang w:val="fr-BE"/>
        </w:rPr>
        <w:t>).</w:t>
      </w:r>
    </w:p>
  </w:footnote>
  <w:footnote w:id="18">
    <w:p w14:paraId="093438B3" w14:textId="7C76C71B" w:rsidR="00720729" w:rsidRPr="00CD53EE" w:rsidRDefault="00720729" w:rsidP="00BC41A6">
      <w:pPr>
        <w:pStyle w:val="FootnoteText"/>
        <w:widowControl w:val="0"/>
        <w:spacing w:after="0" w:line="240" w:lineRule="auto"/>
        <w:ind w:left="-141" w:right="-567" w:hanging="284"/>
        <w:jc w:val="both"/>
        <w:rPr>
          <w:rFonts w:ascii="Times New Roman" w:hAnsi="Times New Roman"/>
          <w:lang w:val="pt-PT"/>
        </w:rPr>
      </w:pPr>
      <w:r w:rsidRPr="00CD53EE">
        <w:rPr>
          <w:rStyle w:val="FootnoteReference"/>
          <w:rFonts w:ascii="Times New Roman" w:hAnsi="Times New Roman"/>
        </w:rPr>
        <w:footnoteRef/>
      </w:r>
      <w:r w:rsidRPr="00CD53EE">
        <w:rPr>
          <w:rFonts w:ascii="Times New Roman" w:hAnsi="Times New Roman"/>
          <w:lang w:val="pt-PT"/>
        </w:rPr>
        <w:t xml:space="preserve"> </w:t>
      </w:r>
      <w:r w:rsidRPr="00CD53EE">
        <w:rPr>
          <w:rFonts w:ascii="Times New Roman" w:hAnsi="Times New Roman"/>
          <w:lang w:val="pt-PT"/>
        </w:rPr>
        <w:tab/>
        <w:t>COM(2025) 200 final (</w:t>
      </w:r>
      <w:r>
        <w:fldChar w:fldCharType="begin"/>
      </w:r>
      <w:r w:rsidRPr="00CE11E7">
        <w:rPr>
          <w:lang w:val="pt-PT"/>
        </w:rPr>
        <w:instrText>HYPERLINK "https://commission.europa.eu/document/download/5e1e7cfe-a9e0-47ad-aac9-e850e5739589_en?filename=COM_2025_200_1_EN_ACT_part1_v3.pdf"</w:instrText>
      </w:r>
      <w:r>
        <w:fldChar w:fldCharType="separate"/>
      </w:r>
      <w:r w:rsidRPr="00CD53EE">
        <w:rPr>
          <w:rStyle w:val="Hyperlink"/>
          <w:rFonts w:ascii="Times New Roman" w:hAnsi="Times New Roman"/>
          <w:lang w:val="pt-PT"/>
        </w:rPr>
        <w:t>5e1e7cfe-a9e0-47ad-aac9-e850e5739589_en</w:t>
      </w:r>
      <w:r>
        <w:fldChar w:fldCharType="end"/>
      </w:r>
      <w:r w:rsidRPr="00CD53EE">
        <w:rPr>
          <w:rFonts w:ascii="Times New Roman" w:hAnsi="Times New Roman"/>
          <w:lang w:val="pt-PT"/>
        </w:rPr>
        <w:t>).</w:t>
      </w:r>
    </w:p>
  </w:footnote>
  <w:footnote w:id="19">
    <w:p w14:paraId="2B817525" w14:textId="066C6E29" w:rsidR="00DA4809" w:rsidRPr="00F154E7" w:rsidRDefault="00DA4809" w:rsidP="00402932">
      <w:pPr>
        <w:pStyle w:val="FootnoteText"/>
        <w:spacing w:after="0" w:line="240" w:lineRule="auto"/>
        <w:ind w:left="-142" w:right="-567" w:hanging="284"/>
        <w:jc w:val="both"/>
        <w:rPr>
          <w:rFonts w:ascii="Times New Roman" w:hAnsi="Times New Roman"/>
          <w:lang w:val="pt-PT"/>
        </w:rPr>
      </w:pPr>
      <w:r w:rsidRPr="006E15A3">
        <w:rPr>
          <w:rStyle w:val="FootnoteReference"/>
          <w:rFonts w:ascii="Times New Roman" w:hAnsi="Times New Roman"/>
        </w:rPr>
        <w:footnoteRef/>
      </w:r>
      <w:r w:rsidRPr="00F154E7">
        <w:rPr>
          <w:rFonts w:ascii="Times New Roman" w:hAnsi="Times New Roman"/>
          <w:lang w:val="pt-PT"/>
        </w:rPr>
        <w:t xml:space="preserve"> </w:t>
      </w:r>
      <w:r w:rsidR="00E95E33">
        <w:rPr>
          <w:rFonts w:ascii="Times New Roman" w:hAnsi="Times New Roman"/>
          <w:lang w:val="pt-PT"/>
        </w:rPr>
        <w:tab/>
      </w:r>
      <w:proofErr w:type="gramStart"/>
      <w:r w:rsidRPr="00F154E7">
        <w:rPr>
          <w:rFonts w:ascii="Times New Roman" w:hAnsi="Times New Roman"/>
          <w:lang w:val="pt-PT"/>
        </w:rPr>
        <w:t>COM(</w:t>
      </w:r>
      <w:proofErr w:type="gramEnd"/>
      <w:r w:rsidRPr="00F154E7">
        <w:rPr>
          <w:rFonts w:ascii="Times New Roman" w:hAnsi="Times New Roman"/>
          <w:lang w:val="pt-PT"/>
        </w:rPr>
        <w:t>2023) 715 final (</w:t>
      </w:r>
      <w:r w:rsidR="00E95E33">
        <w:fldChar w:fldCharType="begin"/>
      </w:r>
      <w:r w:rsidR="00E95E33" w:rsidRPr="00CE11E7">
        <w:rPr>
          <w:lang w:val="pt-PT"/>
        </w:rPr>
        <w:instrText>HYPERLINK "https://eur-lex.europa.eu/legal-content/EN/TXT/?uri=CELEX:52023DC0715"</w:instrText>
      </w:r>
      <w:r w:rsidR="00E95E33">
        <w:fldChar w:fldCharType="separate"/>
      </w:r>
      <w:r w:rsidR="00E95E33" w:rsidRPr="00947FC8">
        <w:rPr>
          <w:rStyle w:val="Hyperlink"/>
          <w:rFonts w:ascii="Times New Roman" w:hAnsi="Times New Roman"/>
          <w:lang w:val="pt-PT"/>
        </w:rPr>
        <w:t>https://eur-lex.europa.eu/legal-content/EN/TXT/?uri=CELEX:52023DC0715</w:t>
      </w:r>
      <w:r w:rsidR="00E95E33">
        <w:fldChar w:fldCharType="end"/>
      </w:r>
      <w:r w:rsidRPr="00F154E7">
        <w:rPr>
          <w:rFonts w:ascii="Times New Roman" w:hAnsi="Times New Roman"/>
          <w:lang w:val="pt-PT"/>
        </w:rPr>
        <w:t>)</w:t>
      </w:r>
      <w:r w:rsidR="00E95E33">
        <w:rPr>
          <w:rFonts w:ascii="Times New Roman" w:hAnsi="Times New Roman"/>
          <w:lang w:val="pt-PT"/>
        </w:rPr>
        <w:t>.</w:t>
      </w:r>
    </w:p>
  </w:footnote>
  <w:footnote w:id="20">
    <w:p w14:paraId="590F228F" w14:textId="7083532D" w:rsidR="00AA7F3B" w:rsidRPr="00BD5960" w:rsidRDefault="00AA7F3B" w:rsidP="00402932">
      <w:pPr>
        <w:pStyle w:val="FootnoteText"/>
        <w:spacing w:after="0" w:line="240" w:lineRule="auto"/>
        <w:ind w:left="-142" w:right="-567" w:hanging="284"/>
        <w:jc w:val="both"/>
        <w:rPr>
          <w:rFonts w:ascii="Times New Roman" w:hAnsi="Times New Roman"/>
          <w:lang w:val="en-IE"/>
        </w:rPr>
      </w:pPr>
      <w:r w:rsidRPr="006E15A3">
        <w:rPr>
          <w:rStyle w:val="FootnoteReference"/>
          <w:rFonts w:ascii="Times New Roman" w:hAnsi="Times New Roman"/>
        </w:rPr>
        <w:footnoteRef/>
      </w:r>
      <w:r w:rsidRPr="00BD5960">
        <w:rPr>
          <w:rFonts w:ascii="Times New Roman" w:hAnsi="Times New Roman"/>
          <w:lang w:val="en-IE"/>
        </w:rPr>
        <w:t xml:space="preserve"> </w:t>
      </w:r>
      <w:r w:rsidR="00E95E33" w:rsidRPr="00BD5960">
        <w:rPr>
          <w:rFonts w:ascii="Times New Roman" w:hAnsi="Times New Roman"/>
          <w:lang w:val="en-IE"/>
        </w:rPr>
        <w:tab/>
      </w:r>
      <w:r w:rsidR="00720729" w:rsidRPr="00402932">
        <w:rPr>
          <w:rFonts w:ascii="Times New Roman" w:hAnsi="Times New Roman"/>
        </w:rPr>
        <w:t>Council Directive 2009/50/EC of 25 May 2009 on the conditions of entry and residence of third-country nationals for the purposes of highly qualified employment</w:t>
      </w:r>
      <w:r w:rsidRPr="00BD5960">
        <w:rPr>
          <w:rFonts w:ascii="Times New Roman" w:hAnsi="Times New Roman"/>
          <w:lang w:val="en-IE"/>
        </w:rPr>
        <w:t xml:space="preserve"> (</w:t>
      </w:r>
      <w:hyperlink r:id="rId8" w:history="1">
        <w:r w:rsidR="00E95E33" w:rsidRPr="00BD5960">
          <w:rPr>
            <w:rStyle w:val="Hyperlink"/>
            <w:rFonts w:ascii="Times New Roman" w:hAnsi="Times New Roman"/>
            <w:lang w:val="en-IE"/>
          </w:rPr>
          <w:t>https://eur-lex.europa.eu/eli/dir/2009/50/oj/eng</w:t>
        </w:r>
      </w:hyperlink>
      <w:r w:rsidRPr="00BD5960">
        <w:rPr>
          <w:rFonts w:ascii="Times New Roman" w:hAnsi="Times New Roman"/>
          <w:lang w:val="en-IE"/>
        </w:rPr>
        <w:t>)</w:t>
      </w:r>
      <w:r w:rsidR="00E95E33" w:rsidRPr="00BD5960">
        <w:rPr>
          <w:rFonts w:ascii="Times New Roman" w:hAnsi="Times New Roman"/>
          <w:lang w:val="en-IE"/>
        </w:rPr>
        <w:t>.</w:t>
      </w:r>
    </w:p>
  </w:footnote>
  <w:footnote w:id="21">
    <w:p w14:paraId="763D7654" w14:textId="15783FE8" w:rsidR="006A40CD" w:rsidRPr="00BD5960" w:rsidRDefault="006A40CD" w:rsidP="00402932">
      <w:pPr>
        <w:pStyle w:val="FootnoteText"/>
        <w:spacing w:after="0" w:line="240" w:lineRule="auto"/>
        <w:ind w:left="-142" w:right="-567" w:hanging="284"/>
        <w:jc w:val="both"/>
        <w:rPr>
          <w:rFonts w:ascii="Times New Roman" w:hAnsi="Times New Roman"/>
          <w:lang w:val="en-IE"/>
        </w:rPr>
      </w:pPr>
      <w:r w:rsidRPr="006E15A3">
        <w:rPr>
          <w:rStyle w:val="FootnoteReference"/>
          <w:rFonts w:ascii="Times New Roman" w:hAnsi="Times New Roman"/>
        </w:rPr>
        <w:footnoteRef/>
      </w:r>
      <w:r w:rsidR="00E95E33" w:rsidRPr="00BD5960">
        <w:rPr>
          <w:rFonts w:ascii="Times New Roman" w:hAnsi="Times New Roman"/>
          <w:lang w:val="en-IE"/>
        </w:rPr>
        <w:t xml:space="preserve"> </w:t>
      </w:r>
      <w:r w:rsidR="00E95E33" w:rsidRPr="00BD5960">
        <w:rPr>
          <w:rFonts w:ascii="Times New Roman" w:hAnsi="Times New Roman"/>
          <w:lang w:val="en-IE"/>
        </w:rPr>
        <w:tab/>
      </w:r>
      <w:r w:rsidR="00720729" w:rsidRPr="00402932">
        <w:rPr>
          <w:rFonts w:ascii="Times New Roman" w:hAnsi="Times New Roman"/>
        </w:rPr>
        <w:t>Council Recommendation of 22 April 2013 on establishing a Youth Guarantee</w:t>
      </w:r>
      <w:r w:rsidRPr="00BD5960">
        <w:rPr>
          <w:rFonts w:ascii="Times New Roman" w:hAnsi="Times New Roman"/>
          <w:lang w:val="en-IE"/>
        </w:rPr>
        <w:t xml:space="preserve"> (</w:t>
      </w:r>
      <w:hyperlink r:id="rId9" w:history="1">
        <w:r w:rsidR="00E95E33" w:rsidRPr="00BD5960">
          <w:rPr>
            <w:rStyle w:val="Hyperlink"/>
            <w:rFonts w:ascii="Times New Roman" w:hAnsi="Times New Roman"/>
            <w:lang w:val="en-IE"/>
          </w:rPr>
          <w:t>https://eur-lex.europa.eu/legal-content/EN/TXT/?uri=celex%3A32013H0426%2801%29</w:t>
        </w:r>
      </w:hyperlink>
      <w:r w:rsidRPr="00BD5960">
        <w:rPr>
          <w:rFonts w:ascii="Times New Roman" w:hAnsi="Times New Roman"/>
          <w:lang w:val="en-IE"/>
        </w:rPr>
        <w:t>)</w:t>
      </w:r>
      <w:r w:rsidR="00E95E33" w:rsidRPr="00BD5960">
        <w:rPr>
          <w:rFonts w:ascii="Times New Roman" w:hAnsi="Times New Roman"/>
          <w:lang w:val="en-IE"/>
        </w:rPr>
        <w:t>.</w:t>
      </w:r>
    </w:p>
  </w:footnote>
  <w:footnote w:id="22">
    <w:p w14:paraId="62108C88" w14:textId="2C267D52" w:rsidR="001145C8" w:rsidRPr="00BD5960" w:rsidRDefault="001145C8" w:rsidP="00402932">
      <w:pPr>
        <w:pStyle w:val="FootnoteText"/>
        <w:spacing w:after="0" w:line="240" w:lineRule="auto"/>
        <w:ind w:left="-142" w:right="-567" w:hanging="284"/>
        <w:jc w:val="both"/>
        <w:rPr>
          <w:rFonts w:ascii="Times New Roman" w:hAnsi="Times New Roman"/>
          <w:lang w:val="en-IE"/>
        </w:rPr>
      </w:pPr>
      <w:r w:rsidRPr="006E15A3">
        <w:rPr>
          <w:rStyle w:val="FootnoteReference"/>
          <w:rFonts w:ascii="Times New Roman" w:hAnsi="Times New Roman"/>
        </w:rPr>
        <w:footnoteRef/>
      </w:r>
      <w:r w:rsidRPr="00BD5960">
        <w:rPr>
          <w:rFonts w:ascii="Times New Roman" w:hAnsi="Times New Roman"/>
          <w:lang w:val="en-IE"/>
        </w:rPr>
        <w:t xml:space="preserve"> </w:t>
      </w:r>
      <w:r w:rsidR="00E95E33" w:rsidRPr="00BD5960">
        <w:rPr>
          <w:rFonts w:ascii="Times New Roman" w:hAnsi="Times New Roman"/>
          <w:lang w:val="en-IE"/>
        </w:rPr>
        <w:tab/>
      </w:r>
      <w:r w:rsidR="00720729" w:rsidRPr="00402932">
        <w:rPr>
          <w:rFonts w:ascii="Times New Roman" w:hAnsi="Times New Roman"/>
        </w:rPr>
        <w:t>Council recommendation of 15 February 2016 on the integration of the long-term unemployed into the labour market</w:t>
      </w:r>
      <w:r w:rsidRPr="00BD5960">
        <w:rPr>
          <w:rFonts w:ascii="Times New Roman" w:hAnsi="Times New Roman"/>
          <w:lang w:val="en-IE"/>
        </w:rPr>
        <w:t xml:space="preserve"> (</w:t>
      </w:r>
      <w:hyperlink r:id="rId10" w:history="1">
        <w:r w:rsidR="00E95E33" w:rsidRPr="00BD5960">
          <w:rPr>
            <w:rStyle w:val="Hyperlink"/>
            <w:rFonts w:ascii="Times New Roman" w:hAnsi="Times New Roman"/>
            <w:lang w:val="en-IE"/>
          </w:rPr>
          <w:t>https://eur-lex.europa.eu/legal-content/EN/TXT/?uri=oj:JOC_2016_067_R_0001</w:t>
        </w:r>
      </w:hyperlink>
      <w:r w:rsidRPr="00BD5960">
        <w:rPr>
          <w:rFonts w:ascii="Times New Roman" w:hAnsi="Times New Roman"/>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ED7E" w14:textId="77777777" w:rsidR="008908C5" w:rsidRDefault="00890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3352" w14:textId="77777777" w:rsidR="008908C5" w:rsidRDefault="00890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7EF6" w14:textId="77777777" w:rsidR="008908C5" w:rsidRDefault="00890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CC33BE9"/>
    <w:multiLevelType w:val="multilevel"/>
    <w:tmpl w:val="3CBC4946"/>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2437441">
    <w:abstractNumId w:val="0"/>
  </w:num>
  <w:num w:numId="2" w16cid:durableId="125621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0064A"/>
    <w:rsid w:val="00001BF8"/>
    <w:rsid w:val="0000204A"/>
    <w:rsid w:val="00002B5C"/>
    <w:rsid w:val="00002D87"/>
    <w:rsid w:val="00002DF5"/>
    <w:rsid w:val="00004121"/>
    <w:rsid w:val="00004175"/>
    <w:rsid w:val="00004192"/>
    <w:rsid w:val="000046A4"/>
    <w:rsid w:val="00004E7E"/>
    <w:rsid w:val="00005F20"/>
    <w:rsid w:val="000076DB"/>
    <w:rsid w:val="00007D6C"/>
    <w:rsid w:val="000102A1"/>
    <w:rsid w:val="00010630"/>
    <w:rsid w:val="0001157A"/>
    <w:rsid w:val="00011E0D"/>
    <w:rsid w:val="0001266E"/>
    <w:rsid w:val="00012A37"/>
    <w:rsid w:val="0001380C"/>
    <w:rsid w:val="000158AB"/>
    <w:rsid w:val="00016A35"/>
    <w:rsid w:val="00017447"/>
    <w:rsid w:val="00021BDC"/>
    <w:rsid w:val="00022F1C"/>
    <w:rsid w:val="000258F0"/>
    <w:rsid w:val="00026219"/>
    <w:rsid w:val="00026424"/>
    <w:rsid w:val="0002680E"/>
    <w:rsid w:val="00027C6D"/>
    <w:rsid w:val="0003316C"/>
    <w:rsid w:val="00033775"/>
    <w:rsid w:val="00036DBF"/>
    <w:rsid w:val="00042CC3"/>
    <w:rsid w:val="00042E22"/>
    <w:rsid w:val="00042FE9"/>
    <w:rsid w:val="00043049"/>
    <w:rsid w:val="00044FC6"/>
    <w:rsid w:val="00046B15"/>
    <w:rsid w:val="0004734A"/>
    <w:rsid w:val="0004774A"/>
    <w:rsid w:val="000501EF"/>
    <w:rsid w:val="00050DC7"/>
    <w:rsid w:val="00052A0B"/>
    <w:rsid w:val="00052A42"/>
    <w:rsid w:val="00054141"/>
    <w:rsid w:val="00054346"/>
    <w:rsid w:val="0005447C"/>
    <w:rsid w:val="00055222"/>
    <w:rsid w:val="00056993"/>
    <w:rsid w:val="00056AAC"/>
    <w:rsid w:val="00057137"/>
    <w:rsid w:val="0005723D"/>
    <w:rsid w:val="00057540"/>
    <w:rsid w:val="0006137E"/>
    <w:rsid w:val="000626D9"/>
    <w:rsid w:val="000642AA"/>
    <w:rsid w:val="00064447"/>
    <w:rsid w:val="00064738"/>
    <w:rsid w:val="00064B4B"/>
    <w:rsid w:val="00066D95"/>
    <w:rsid w:val="00067FAD"/>
    <w:rsid w:val="00070672"/>
    <w:rsid w:val="000709E6"/>
    <w:rsid w:val="000750C0"/>
    <w:rsid w:val="00076109"/>
    <w:rsid w:val="00076FCE"/>
    <w:rsid w:val="00077C4F"/>
    <w:rsid w:val="00077C89"/>
    <w:rsid w:val="000809D7"/>
    <w:rsid w:val="000813F5"/>
    <w:rsid w:val="00083408"/>
    <w:rsid w:val="00083BCA"/>
    <w:rsid w:val="00083DB9"/>
    <w:rsid w:val="00084058"/>
    <w:rsid w:val="00085C75"/>
    <w:rsid w:val="00086131"/>
    <w:rsid w:val="00090A50"/>
    <w:rsid w:val="0009223C"/>
    <w:rsid w:val="00092366"/>
    <w:rsid w:val="000924D6"/>
    <w:rsid w:val="000934EC"/>
    <w:rsid w:val="0009422C"/>
    <w:rsid w:val="000947D5"/>
    <w:rsid w:val="00095E18"/>
    <w:rsid w:val="000967D7"/>
    <w:rsid w:val="00097BD5"/>
    <w:rsid w:val="000A16EF"/>
    <w:rsid w:val="000A26CF"/>
    <w:rsid w:val="000A2DFC"/>
    <w:rsid w:val="000A3860"/>
    <w:rsid w:val="000A6401"/>
    <w:rsid w:val="000B0A11"/>
    <w:rsid w:val="000B14BA"/>
    <w:rsid w:val="000B1AFB"/>
    <w:rsid w:val="000B1B75"/>
    <w:rsid w:val="000B25B8"/>
    <w:rsid w:val="000B403F"/>
    <w:rsid w:val="000B585C"/>
    <w:rsid w:val="000B60E2"/>
    <w:rsid w:val="000C1A35"/>
    <w:rsid w:val="000C36ED"/>
    <w:rsid w:val="000C6822"/>
    <w:rsid w:val="000C78A3"/>
    <w:rsid w:val="000D4455"/>
    <w:rsid w:val="000D4F03"/>
    <w:rsid w:val="000D59A9"/>
    <w:rsid w:val="000D72A8"/>
    <w:rsid w:val="000D784B"/>
    <w:rsid w:val="000E0E1A"/>
    <w:rsid w:val="000E1855"/>
    <w:rsid w:val="000E2AC0"/>
    <w:rsid w:val="000E42C9"/>
    <w:rsid w:val="000E4B2B"/>
    <w:rsid w:val="000E5032"/>
    <w:rsid w:val="000E5E5A"/>
    <w:rsid w:val="000E60BD"/>
    <w:rsid w:val="000E6403"/>
    <w:rsid w:val="000E66B7"/>
    <w:rsid w:val="000F2451"/>
    <w:rsid w:val="000F2491"/>
    <w:rsid w:val="000F2842"/>
    <w:rsid w:val="000F3116"/>
    <w:rsid w:val="000F35D2"/>
    <w:rsid w:val="000F4ED8"/>
    <w:rsid w:val="000F5FD8"/>
    <w:rsid w:val="000F6545"/>
    <w:rsid w:val="000F67F2"/>
    <w:rsid w:val="000F6CD9"/>
    <w:rsid w:val="000F6E82"/>
    <w:rsid w:val="000F70C4"/>
    <w:rsid w:val="000F71BD"/>
    <w:rsid w:val="000F784A"/>
    <w:rsid w:val="00101704"/>
    <w:rsid w:val="0010180B"/>
    <w:rsid w:val="001023AD"/>
    <w:rsid w:val="00102907"/>
    <w:rsid w:val="00102D0E"/>
    <w:rsid w:val="00104303"/>
    <w:rsid w:val="00105087"/>
    <w:rsid w:val="00105F4D"/>
    <w:rsid w:val="001061AA"/>
    <w:rsid w:val="001062E7"/>
    <w:rsid w:val="00107F26"/>
    <w:rsid w:val="00110D28"/>
    <w:rsid w:val="001110FB"/>
    <w:rsid w:val="00111AAB"/>
    <w:rsid w:val="00112CE9"/>
    <w:rsid w:val="00112FC0"/>
    <w:rsid w:val="001135AE"/>
    <w:rsid w:val="001145C8"/>
    <w:rsid w:val="00114B0E"/>
    <w:rsid w:val="0011529D"/>
    <w:rsid w:val="001167C0"/>
    <w:rsid w:val="00117113"/>
    <w:rsid w:val="0012009A"/>
    <w:rsid w:val="001210D6"/>
    <w:rsid w:val="00121727"/>
    <w:rsid w:val="00121B0F"/>
    <w:rsid w:val="00121DBA"/>
    <w:rsid w:val="0012288C"/>
    <w:rsid w:val="0012670B"/>
    <w:rsid w:val="00127BC6"/>
    <w:rsid w:val="00131279"/>
    <w:rsid w:val="00131ED6"/>
    <w:rsid w:val="00133617"/>
    <w:rsid w:val="00134816"/>
    <w:rsid w:val="00135B56"/>
    <w:rsid w:val="00135C2A"/>
    <w:rsid w:val="00136C4F"/>
    <w:rsid w:val="00140B8A"/>
    <w:rsid w:val="001411D3"/>
    <w:rsid w:val="00141AB4"/>
    <w:rsid w:val="00144012"/>
    <w:rsid w:val="00147223"/>
    <w:rsid w:val="00150FED"/>
    <w:rsid w:val="0015159D"/>
    <w:rsid w:val="00152547"/>
    <w:rsid w:val="001540A8"/>
    <w:rsid w:val="001545BD"/>
    <w:rsid w:val="00154949"/>
    <w:rsid w:val="00154D4D"/>
    <w:rsid w:val="0015694E"/>
    <w:rsid w:val="001572BE"/>
    <w:rsid w:val="001615E7"/>
    <w:rsid w:val="001618DB"/>
    <w:rsid w:val="00166F0B"/>
    <w:rsid w:val="00171ED5"/>
    <w:rsid w:val="00175243"/>
    <w:rsid w:val="00175B41"/>
    <w:rsid w:val="00175DAA"/>
    <w:rsid w:val="0017702B"/>
    <w:rsid w:val="001814BE"/>
    <w:rsid w:val="00181C1E"/>
    <w:rsid w:val="001833D3"/>
    <w:rsid w:val="001838D1"/>
    <w:rsid w:val="00190342"/>
    <w:rsid w:val="001904C1"/>
    <w:rsid w:val="00191699"/>
    <w:rsid w:val="00191BFD"/>
    <w:rsid w:val="0019334E"/>
    <w:rsid w:val="00193E5E"/>
    <w:rsid w:val="00194D0E"/>
    <w:rsid w:val="001950FA"/>
    <w:rsid w:val="001966CA"/>
    <w:rsid w:val="00197194"/>
    <w:rsid w:val="001A2246"/>
    <w:rsid w:val="001A39A8"/>
    <w:rsid w:val="001A3B3D"/>
    <w:rsid w:val="001A3FDA"/>
    <w:rsid w:val="001A51A9"/>
    <w:rsid w:val="001A6E8C"/>
    <w:rsid w:val="001A708B"/>
    <w:rsid w:val="001A7F03"/>
    <w:rsid w:val="001A7F25"/>
    <w:rsid w:val="001B0129"/>
    <w:rsid w:val="001B03E1"/>
    <w:rsid w:val="001B0E0B"/>
    <w:rsid w:val="001B462B"/>
    <w:rsid w:val="001B65C5"/>
    <w:rsid w:val="001B7C4C"/>
    <w:rsid w:val="001C0587"/>
    <w:rsid w:val="001C1D5B"/>
    <w:rsid w:val="001C242C"/>
    <w:rsid w:val="001C3520"/>
    <w:rsid w:val="001C373D"/>
    <w:rsid w:val="001C3C46"/>
    <w:rsid w:val="001C4138"/>
    <w:rsid w:val="001C4A33"/>
    <w:rsid w:val="001C5DE3"/>
    <w:rsid w:val="001C7823"/>
    <w:rsid w:val="001D097A"/>
    <w:rsid w:val="001D1FC9"/>
    <w:rsid w:val="001D251E"/>
    <w:rsid w:val="001D268F"/>
    <w:rsid w:val="001D2B4C"/>
    <w:rsid w:val="001D32EE"/>
    <w:rsid w:val="001D7FED"/>
    <w:rsid w:val="001E0270"/>
    <w:rsid w:val="001E099B"/>
    <w:rsid w:val="001E110B"/>
    <w:rsid w:val="001E143A"/>
    <w:rsid w:val="001E2708"/>
    <w:rsid w:val="001E2BAC"/>
    <w:rsid w:val="001E31C2"/>
    <w:rsid w:val="001E43F4"/>
    <w:rsid w:val="001E671E"/>
    <w:rsid w:val="001E7274"/>
    <w:rsid w:val="001E74C7"/>
    <w:rsid w:val="001E78B3"/>
    <w:rsid w:val="001F02B2"/>
    <w:rsid w:val="001F2EC6"/>
    <w:rsid w:val="001F30CF"/>
    <w:rsid w:val="001F37CC"/>
    <w:rsid w:val="001F4E3B"/>
    <w:rsid w:val="001F65D0"/>
    <w:rsid w:val="00201369"/>
    <w:rsid w:val="00201AA1"/>
    <w:rsid w:val="00202C64"/>
    <w:rsid w:val="0020481E"/>
    <w:rsid w:val="0020585C"/>
    <w:rsid w:val="00205D1A"/>
    <w:rsid w:val="00207140"/>
    <w:rsid w:val="00210945"/>
    <w:rsid w:val="00212780"/>
    <w:rsid w:val="00215035"/>
    <w:rsid w:val="002155A0"/>
    <w:rsid w:val="0021589B"/>
    <w:rsid w:val="00217E59"/>
    <w:rsid w:val="00221525"/>
    <w:rsid w:val="00221D18"/>
    <w:rsid w:val="00222953"/>
    <w:rsid w:val="00223252"/>
    <w:rsid w:val="002239AF"/>
    <w:rsid w:val="00223ACD"/>
    <w:rsid w:val="00223E0C"/>
    <w:rsid w:val="002241DB"/>
    <w:rsid w:val="002244C9"/>
    <w:rsid w:val="00226B6F"/>
    <w:rsid w:val="002308CB"/>
    <w:rsid w:val="002310E8"/>
    <w:rsid w:val="00233125"/>
    <w:rsid w:val="00242253"/>
    <w:rsid w:val="00242926"/>
    <w:rsid w:val="00242C45"/>
    <w:rsid w:val="0024393F"/>
    <w:rsid w:val="00243C6F"/>
    <w:rsid w:val="00243D7E"/>
    <w:rsid w:val="002447CE"/>
    <w:rsid w:val="00245658"/>
    <w:rsid w:val="00246639"/>
    <w:rsid w:val="00247D56"/>
    <w:rsid w:val="002511A2"/>
    <w:rsid w:val="00252608"/>
    <w:rsid w:val="00253A4B"/>
    <w:rsid w:val="0025698E"/>
    <w:rsid w:val="00256D20"/>
    <w:rsid w:val="0025759B"/>
    <w:rsid w:val="00257CDE"/>
    <w:rsid w:val="00257FB8"/>
    <w:rsid w:val="0026083E"/>
    <w:rsid w:val="002651FF"/>
    <w:rsid w:val="00265A50"/>
    <w:rsid w:val="00265E2C"/>
    <w:rsid w:val="002663FC"/>
    <w:rsid w:val="00266A0E"/>
    <w:rsid w:val="00267D9D"/>
    <w:rsid w:val="00271490"/>
    <w:rsid w:val="002716C2"/>
    <w:rsid w:val="00271BFA"/>
    <w:rsid w:val="00274726"/>
    <w:rsid w:val="00274F9D"/>
    <w:rsid w:val="00276899"/>
    <w:rsid w:val="00276A48"/>
    <w:rsid w:val="002772A1"/>
    <w:rsid w:val="00282263"/>
    <w:rsid w:val="0028262C"/>
    <w:rsid w:val="00284422"/>
    <w:rsid w:val="00284A29"/>
    <w:rsid w:val="00286858"/>
    <w:rsid w:val="002878C9"/>
    <w:rsid w:val="00287D78"/>
    <w:rsid w:val="002918B6"/>
    <w:rsid w:val="00291C40"/>
    <w:rsid w:val="00291C88"/>
    <w:rsid w:val="00293208"/>
    <w:rsid w:val="00293B10"/>
    <w:rsid w:val="00293C71"/>
    <w:rsid w:val="00295667"/>
    <w:rsid w:val="00296391"/>
    <w:rsid w:val="002964FE"/>
    <w:rsid w:val="00296912"/>
    <w:rsid w:val="0029698E"/>
    <w:rsid w:val="002A08C4"/>
    <w:rsid w:val="002A113E"/>
    <w:rsid w:val="002A1897"/>
    <w:rsid w:val="002A1FB7"/>
    <w:rsid w:val="002A3483"/>
    <w:rsid w:val="002A3CBA"/>
    <w:rsid w:val="002A4483"/>
    <w:rsid w:val="002A4BFA"/>
    <w:rsid w:val="002A6FAE"/>
    <w:rsid w:val="002A7CA8"/>
    <w:rsid w:val="002B00FC"/>
    <w:rsid w:val="002B0BEE"/>
    <w:rsid w:val="002B129A"/>
    <w:rsid w:val="002B189C"/>
    <w:rsid w:val="002B2E3A"/>
    <w:rsid w:val="002C018B"/>
    <w:rsid w:val="002C0978"/>
    <w:rsid w:val="002C0BF9"/>
    <w:rsid w:val="002C1605"/>
    <w:rsid w:val="002C1C8C"/>
    <w:rsid w:val="002C2B9A"/>
    <w:rsid w:val="002C2DA2"/>
    <w:rsid w:val="002C3D7E"/>
    <w:rsid w:val="002C5EE6"/>
    <w:rsid w:val="002C690A"/>
    <w:rsid w:val="002C6DA2"/>
    <w:rsid w:val="002C7794"/>
    <w:rsid w:val="002C78ED"/>
    <w:rsid w:val="002D1503"/>
    <w:rsid w:val="002D1C1C"/>
    <w:rsid w:val="002D20A2"/>
    <w:rsid w:val="002D4722"/>
    <w:rsid w:val="002D4C28"/>
    <w:rsid w:val="002D5FCC"/>
    <w:rsid w:val="002E0CB6"/>
    <w:rsid w:val="002E0CC6"/>
    <w:rsid w:val="002E2876"/>
    <w:rsid w:val="002E5477"/>
    <w:rsid w:val="002F0189"/>
    <w:rsid w:val="002F03FA"/>
    <w:rsid w:val="002F0E2F"/>
    <w:rsid w:val="002F16E4"/>
    <w:rsid w:val="002F2B2C"/>
    <w:rsid w:val="002F486D"/>
    <w:rsid w:val="002F49F8"/>
    <w:rsid w:val="002F5EEF"/>
    <w:rsid w:val="002F6DE9"/>
    <w:rsid w:val="002F705F"/>
    <w:rsid w:val="002F754D"/>
    <w:rsid w:val="002F7D48"/>
    <w:rsid w:val="003004D2"/>
    <w:rsid w:val="00300F6E"/>
    <w:rsid w:val="0030113A"/>
    <w:rsid w:val="0030317A"/>
    <w:rsid w:val="003037BF"/>
    <w:rsid w:val="003037C6"/>
    <w:rsid w:val="00306360"/>
    <w:rsid w:val="0030734F"/>
    <w:rsid w:val="00310A41"/>
    <w:rsid w:val="00311015"/>
    <w:rsid w:val="003131B9"/>
    <w:rsid w:val="00313EA0"/>
    <w:rsid w:val="0031419B"/>
    <w:rsid w:val="00315ED6"/>
    <w:rsid w:val="0031728F"/>
    <w:rsid w:val="00317DD2"/>
    <w:rsid w:val="00322E39"/>
    <w:rsid w:val="0032353B"/>
    <w:rsid w:val="003273F2"/>
    <w:rsid w:val="0033028E"/>
    <w:rsid w:val="0033111C"/>
    <w:rsid w:val="00333AB5"/>
    <w:rsid w:val="0033488C"/>
    <w:rsid w:val="003349A3"/>
    <w:rsid w:val="00334EF6"/>
    <w:rsid w:val="00337CD3"/>
    <w:rsid w:val="00337F06"/>
    <w:rsid w:val="00340030"/>
    <w:rsid w:val="0034051B"/>
    <w:rsid w:val="003415A6"/>
    <w:rsid w:val="003446B1"/>
    <w:rsid w:val="00346AC8"/>
    <w:rsid w:val="0034783C"/>
    <w:rsid w:val="00347B43"/>
    <w:rsid w:val="00347EDB"/>
    <w:rsid w:val="00350187"/>
    <w:rsid w:val="00350660"/>
    <w:rsid w:val="00351C20"/>
    <w:rsid w:val="00352011"/>
    <w:rsid w:val="00352693"/>
    <w:rsid w:val="00354303"/>
    <w:rsid w:val="00354637"/>
    <w:rsid w:val="00354A43"/>
    <w:rsid w:val="00355A26"/>
    <w:rsid w:val="00356063"/>
    <w:rsid w:val="00356797"/>
    <w:rsid w:val="00360757"/>
    <w:rsid w:val="00361148"/>
    <w:rsid w:val="003629ED"/>
    <w:rsid w:val="00362FF4"/>
    <w:rsid w:val="00364D9C"/>
    <w:rsid w:val="0036671D"/>
    <w:rsid w:val="003728B2"/>
    <w:rsid w:val="00372C2C"/>
    <w:rsid w:val="00374A38"/>
    <w:rsid w:val="00374C5F"/>
    <w:rsid w:val="00376789"/>
    <w:rsid w:val="00376BF8"/>
    <w:rsid w:val="00377967"/>
    <w:rsid w:val="0038128D"/>
    <w:rsid w:val="00381E7E"/>
    <w:rsid w:val="00384C6D"/>
    <w:rsid w:val="00386143"/>
    <w:rsid w:val="00386B25"/>
    <w:rsid w:val="00390EF8"/>
    <w:rsid w:val="003910F8"/>
    <w:rsid w:val="00391CF2"/>
    <w:rsid w:val="00392603"/>
    <w:rsid w:val="003931F3"/>
    <w:rsid w:val="0039354E"/>
    <w:rsid w:val="00393CF8"/>
    <w:rsid w:val="00393E19"/>
    <w:rsid w:val="003943B5"/>
    <w:rsid w:val="00394480"/>
    <w:rsid w:val="00395B9E"/>
    <w:rsid w:val="00395D35"/>
    <w:rsid w:val="0039730E"/>
    <w:rsid w:val="003977B7"/>
    <w:rsid w:val="00397833"/>
    <w:rsid w:val="00397E94"/>
    <w:rsid w:val="003A0284"/>
    <w:rsid w:val="003A084C"/>
    <w:rsid w:val="003A0F95"/>
    <w:rsid w:val="003A236D"/>
    <w:rsid w:val="003A3F8E"/>
    <w:rsid w:val="003A4022"/>
    <w:rsid w:val="003A55E7"/>
    <w:rsid w:val="003A63C5"/>
    <w:rsid w:val="003B3DC6"/>
    <w:rsid w:val="003B4D18"/>
    <w:rsid w:val="003B5449"/>
    <w:rsid w:val="003B5726"/>
    <w:rsid w:val="003B58DC"/>
    <w:rsid w:val="003C076D"/>
    <w:rsid w:val="003C1887"/>
    <w:rsid w:val="003C24FF"/>
    <w:rsid w:val="003C5062"/>
    <w:rsid w:val="003C5172"/>
    <w:rsid w:val="003C5F26"/>
    <w:rsid w:val="003C5F79"/>
    <w:rsid w:val="003D3CAE"/>
    <w:rsid w:val="003D4170"/>
    <w:rsid w:val="003D57CF"/>
    <w:rsid w:val="003D6FCE"/>
    <w:rsid w:val="003E1028"/>
    <w:rsid w:val="003E1EC2"/>
    <w:rsid w:val="003E26B4"/>
    <w:rsid w:val="003E2AB4"/>
    <w:rsid w:val="003E3281"/>
    <w:rsid w:val="003E5192"/>
    <w:rsid w:val="003E5633"/>
    <w:rsid w:val="003E5FAF"/>
    <w:rsid w:val="003E6F78"/>
    <w:rsid w:val="003F00F3"/>
    <w:rsid w:val="003F0BD6"/>
    <w:rsid w:val="003F0E15"/>
    <w:rsid w:val="003F1580"/>
    <w:rsid w:val="003F295D"/>
    <w:rsid w:val="003F3818"/>
    <w:rsid w:val="003F58A0"/>
    <w:rsid w:val="003F6582"/>
    <w:rsid w:val="003F686E"/>
    <w:rsid w:val="00402932"/>
    <w:rsid w:val="00403986"/>
    <w:rsid w:val="00404A31"/>
    <w:rsid w:val="004067EA"/>
    <w:rsid w:val="00406DC3"/>
    <w:rsid w:val="004077E4"/>
    <w:rsid w:val="00411126"/>
    <w:rsid w:val="00411C33"/>
    <w:rsid w:val="00412FE8"/>
    <w:rsid w:val="00413224"/>
    <w:rsid w:val="00413B61"/>
    <w:rsid w:val="004142D3"/>
    <w:rsid w:val="004145FF"/>
    <w:rsid w:val="00414DC9"/>
    <w:rsid w:val="00415679"/>
    <w:rsid w:val="0041567F"/>
    <w:rsid w:val="00415A5D"/>
    <w:rsid w:val="00415B1B"/>
    <w:rsid w:val="00416C02"/>
    <w:rsid w:val="00416C9C"/>
    <w:rsid w:val="00417D42"/>
    <w:rsid w:val="0042333B"/>
    <w:rsid w:val="0042388D"/>
    <w:rsid w:val="00423BE6"/>
    <w:rsid w:val="00424085"/>
    <w:rsid w:val="0042497E"/>
    <w:rsid w:val="004303E3"/>
    <w:rsid w:val="0043383D"/>
    <w:rsid w:val="00433C96"/>
    <w:rsid w:val="00434A44"/>
    <w:rsid w:val="0043781E"/>
    <w:rsid w:val="00440F59"/>
    <w:rsid w:val="00441AD8"/>
    <w:rsid w:val="00441D93"/>
    <w:rsid w:val="00442552"/>
    <w:rsid w:val="00442722"/>
    <w:rsid w:val="00444C22"/>
    <w:rsid w:val="00445156"/>
    <w:rsid w:val="00447023"/>
    <w:rsid w:val="004472DB"/>
    <w:rsid w:val="00447609"/>
    <w:rsid w:val="00447C5F"/>
    <w:rsid w:val="00451B15"/>
    <w:rsid w:val="00452467"/>
    <w:rsid w:val="00452B33"/>
    <w:rsid w:val="00453F9F"/>
    <w:rsid w:val="00454391"/>
    <w:rsid w:val="004545EA"/>
    <w:rsid w:val="00455A1C"/>
    <w:rsid w:val="004578F5"/>
    <w:rsid w:val="004605A6"/>
    <w:rsid w:val="00461155"/>
    <w:rsid w:val="0046399B"/>
    <w:rsid w:val="00464C9A"/>
    <w:rsid w:val="004660A6"/>
    <w:rsid w:val="0046619D"/>
    <w:rsid w:val="004670F7"/>
    <w:rsid w:val="004675B5"/>
    <w:rsid w:val="004676FA"/>
    <w:rsid w:val="004702F2"/>
    <w:rsid w:val="004709C9"/>
    <w:rsid w:val="00470BFD"/>
    <w:rsid w:val="0047213F"/>
    <w:rsid w:val="00472BC7"/>
    <w:rsid w:val="004739A4"/>
    <w:rsid w:val="00473A79"/>
    <w:rsid w:val="00473B14"/>
    <w:rsid w:val="00473D32"/>
    <w:rsid w:val="00473F6B"/>
    <w:rsid w:val="00475541"/>
    <w:rsid w:val="00475FB1"/>
    <w:rsid w:val="004763D3"/>
    <w:rsid w:val="004770D6"/>
    <w:rsid w:val="004777D0"/>
    <w:rsid w:val="00477A24"/>
    <w:rsid w:val="00477E54"/>
    <w:rsid w:val="00480028"/>
    <w:rsid w:val="00480051"/>
    <w:rsid w:val="00480265"/>
    <w:rsid w:val="0048126C"/>
    <w:rsid w:val="0048168E"/>
    <w:rsid w:val="00481E71"/>
    <w:rsid w:val="004825BD"/>
    <w:rsid w:val="00482C87"/>
    <w:rsid w:val="00484591"/>
    <w:rsid w:val="00484ECF"/>
    <w:rsid w:val="00485005"/>
    <w:rsid w:val="004859D0"/>
    <w:rsid w:val="004867D0"/>
    <w:rsid w:val="00487C60"/>
    <w:rsid w:val="00487DD8"/>
    <w:rsid w:val="0049151D"/>
    <w:rsid w:val="004916B3"/>
    <w:rsid w:val="004917BA"/>
    <w:rsid w:val="0049246C"/>
    <w:rsid w:val="00492C50"/>
    <w:rsid w:val="00493223"/>
    <w:rsid w:val="004943D6"/>
    <w:rsid w:val="0049589D"/>
    <w:rsid w:val="00496254"/>
    <w:rsid w:val="00496679"/>
    <w:rsid w:val="00496855"/>
    <w:rsid w:val="004A00E8"/>
    <w:rsid w:val="004A0790"/>
    <w:rsid w:val="004A28AF"/>
    <w:rsid w:val="004A39E6"/>
    <w:rsid w:val="004A3AF0"/>
    <w:rsid w:val="004A59F8"/>
    <w:rsid w:val="004A6B68"/>
    <w:rsid w:val="004A7576"/>
    <w:rsid w:val="004B0454"/>
    <w:rsid w:val="004B0B88"/>
    <w:rsid w:val="004B124B"/>
    <w:rsid w:val="004B36E2"/>
    <w:rsid w:val="004B470F"/>
    <w:rsid w:val="004B667C"/>
    <w:rsid w:val="004B76DC"/>
    <w:rsid w:val="004B7D85"/>
    <w:rsid w:val="004C0C2A"/>
    <w:rsid w:val="004C29FF"/>
    <w:rsid w:val="004C4247"/>
    <w:rsid w:val="004C50CA"/>
    <w:rsid w:val="004C52B6"/>
    <w:rsid w:val="004C586E"/>
    <w:rsid w:val="004D1BAE"/>
    <w:rsid w:val="004D2E3A"/>
    <w:rsid w:val="004D45A6"/>
    <w:rsid w:val="004D5738"/>
    <w:rsid w:val="004D5F4B"/>
    <w:rsid w:val="004D673A"/>
    <w:rsid w:val="004E01F6"/>
    <w:rsid w:val="004E0924"/>
    <w:rsid w:val="004E11D7"/>
    <w:rsid w:val="004E1722"/>
    <w:rsid w:val="004E223A"/>
    <w:rsid w:val="004E2B64"/>
    <w:rsid w:val="004E36F3"/>
    <w:rsid w:val="004E5106"/>
    <w:rsid w:val="004E51FD"/>
    <w:rsid w:val="004E52F8"/>
    <w:rsid w:val="004E5442"/>
    <w:rsid w:val="004E790C"/>
    <w:rsid w:val="004F0295"/>
    <w:rsid w:val="004F17E1"/>
    <w:rsid w:val="004F2C31"/>
    <w:rsid w:val="004F4584"/>
    <w:rsid w:val="004F4827"/>
    <w:rsid w:val="004F4A7C"/>
    <w:rsid w:val="004F5635"/>
    <w:rsid w:val="004F5F2A"/>
    <w:rsid w:val="004F6117"/>
    <w:rsid w:val="004F63F1"/>
    <w:rsid w:val="004F651E"/>
    <w:rsid w:val="004F72C6"/>
    <w:rsid w:val="004F72D5"/>
    <w:rsid w:val="005015EE"/>
    <w:rsid w:val="00502353"/>
    <w:rsid w:val="00504C03"/>
    <w:rsid w:val="00505108"/>
    <w:rsid w:val="0050545B"/>
    <w:rsid w:val="00505D34"/>
    <w:rsid w:val="00506860"/>
    <w:rsid w:val="00506BC1"/>
    <w:rsid w:val="00506E9C"/>
    <w:rsid w:val="0050749F"/>
    <w:rsid w:val="00507A17"/>
    <w:rsid w:val="00507CDD"/>
    <w:rsid w:val="0051050A"/>
    <w:rsid w:val="005112E3"/>
    <w:rsid w:val="00511AF4"/>
    <w:rsid w:val="005134E9"/>
    <w:rsid w:val="00514108"/>
    <w:rsid w:val="00514BEE"/>
    <w:rsid w:val="005159D8"/>
    <w:rsid w:val="00516A37"/>
    <w:rsid w:val="00516D9C"/>
    <w:rsid w:val="0051797C"/>
    <w:rsid w:val="00521F81"/>
    <w:rsid w:val="00523AFF"/>
    <w:rsid w:val="0052596B"/>
    <w:rsid w:val="0052679F"/>
    <w:rsid w:val="0052735A"/>
    <w:rsid w:val="00530309"/>
    <w:rsid w:val="005303DD"/>
    <w:rsid w:val="00531658"/>
    <w:rsid w:val="0053265D"/>
    <w:rsid w:val="00532E09"/>
    <w:rsid w:val="00535C54"/>
    <w:rsid w:val="00536B02"/>
    <w:rsid w:val="00540A65"/>
    <w:rsid w:val="0054135E"/>
    <w:rsid w:val="00542056"/>
    <w:rsid w:val="00545F82"/>
    <w:rsid w:val="0054691F"/>
    <w:rsid w:val="00546DBE"/>
    <w:rsid w:val="00550A4F"/>
    <w:rsid w:val="00550DCD"/>
    <w:rsid w:val="005511A1"/>
    <w:rsid w:val="005518FB"/>
    <w:rsid w:val="00551E25"/>
    <w:rsid w:val="00552941"/>
    <w:rsid w:val="00553543"/>
    <w:rsid w:val="00553AFB"/>
    <w:rsid w:val="00554638"/>
    <w:rsid w:val="00554D8D"/>
    <w:rsid w:val="005553D0"/>
    <w:rsid w:val="00555C48"/>
    <w:rsid w:val="005571EB"/>
    <w:rsid w:val="00557DFC"/>
    <w:rsid w:val="005605AD"/>
    <w:rsid w:val="0056138C"/>
    <w:rsid w:val="00562742"/>
    <w:rsid w:val="005634AC"/>
    <w:rsid w:val="00564227"/>
    <w:rsid w:val="00564AE5"/>
    <w:rsid w:val="00566944"/>
    <w:rsid w:val="0056712A"/>
    <w:rsid w:val="00570716"/>
    <w:rsid w:val="00571ECF"/>
    <w:rsid w:val="00572817"/>
    <w:rsid w:val="00573100"/>
    <w:rsid w:val="00573835"/>
    <w:rsid w:val="00574951"/>
    <w:rsid w:val="00574F2A"/>
    <w:rsid w:val="00575ABD"/>
    <w:rsid w:val="00576F18"/>
    <w:rsid w:val="005770A8"/>
    <w:rsid w:val="005774A4"/>
    <w:rsid w:val="0058078A"/>
    <w:rsid w:val="00581306"/>
    <w:rsid w:val="00581EDB"/>
    <w:rsid w:val="005822D2"/>
    <w:rsid w:val="00582C83"/>
    <w:rsid w:val="00583F4D"/>
    <w:rsid w:val="005840D1"/>
    <w:rsid w:val="0058428F"/>
    <w:rsid w:val="00585B04"/>
    <w:rsid w:val="0058609C"/>
    <w:rsid w:val="005861A5"/>
    <w:rsid w:val="0058693D"/>
    <w:rsid w:val="00587142"/>
    <w:rsid w:val="00587EFD"/>
    <w:rsid w:val="00590BAF"/>
    <w:rsid w:val="00590C8F"/>
    <w:rsid w:val="00591185"/>
    <w:rsid w:val="005911C1"/>
    <w:rsid w:val="00593760"/>
    <w:rsid w:val="00593E86"/>
    <w:rsid w:val="00593F50"/>
    <w:rsid w:val="00594D78"/>
    <w:rsid w:val="00595219"/>
    <w:rsid w:val="00595773"/>
    <w:rsid w:val="0059596A"/>
    <w:rsid w:val="005965D7"/>
    <w:rsid w:val="00597A03"/>
    <w:rsid w:val="005A086B"/>
    <w:rsid w:val="005A1B85"/>
    <w:rsid w:val="005A23C6"/>
    <w:rsid w:val="005A4B2E"/>
    <w:rsid w:val="005A5C9F"/>
    <w:rsid w:val="005A635A"/>
    <w:rsid w:val="005A679C"/>
    <w:rsid w:val="005B0550"/>
    <w:rsid w:val="005B0C5D"/>
    <w:rsid w:val="005B24F4"/>
    <w:rsid w:val="005B37F7"/>
    <w:rsid w:val="005B439A"/>
    <w:rsid w:val="005B50FE"/>
    <w:rsid w:val="005B513C"/>
    <w:rsid w:val="005B551A"/>
    <w:rsid w:val="005B5E7E"/>
    <w:rsid w:val="005B63FA"/>
    <w:rsid w:val="005C021B"/>
    <w:rsid w:val="005C1777"/>
    <w:rsid w:val="005C1F2D"/>
    <w:rsid w:val="005C3105"/>
    <w:rsid w:val="005C4B04"/>
    <w:rsid w:val="005C5428"/>
    <w:rsid w:val="005C5BA5"/>
    <w:rsid w:val="005C6349"/>
    <w:rsid w:val="005C7204"/>
    <w:rsid w:val="005D00CE"/>
    <w:rsid w:val="005D0A64"/>
    <w:rsid w:val="005D140E"/>
    <w:rsid w:val="005D19E9"/>
    <w:rsid w:val="005D1F5D"/>
    <w:rsid w:val="005D2C00"/>
    <w:rsid w:val="005D50EE"/>
    <w:rsid w:val="005D54E6"/>
    <w:rsid w:val="005D56E7"/>
    <w:rsid w:val="005D5750"/>
    <w:rsid w:val="005D6007"/>
    <w:rsid w:val="005D6162"/>
    <w:rsid w:val="005E034C"/>
    <w:rsid w:val="005E0411"/>
    <w:rsid w:val="005E0A6F"/>
    <w:rsid w:val="005E0D4B"/>
    <w:rsid w:val="005E4AD7"/>
    <w:rsid w:val="005E6D94"/>
    <w:rsid w:val="005E6E18"/>
    <w:rsid w:val="005E74BA"/>
    <w:rsid w:val="005E7EB0"/>
    <w:rsid w:val="005F0D40"/>
    <w:rsid w:val="005F22A7"/>
    <w:rsid w:val="005F23CE"/>
    <w:rsid w:val="005F2E0B"/>
    <w:rsid w:val="005F2E74"/>
    <w:rsid w:val="005F4954"/>
    <w:rsid w:val="005F694C"/>
    <w:rsid w:val="005F6D56"/>
    <w:rsid w:val="005F6F62"/>
    <w:rsid w:val="005F7712"/>
    <w:rsid w:val="00601CCB"/>
    <w:rsid w:val="00604800"/>
    <w:rsid w:val="00605703"/>
    <w:rsid w:val="00606677"/>
    <w:rsid w:val="00606B69"/>
    <w:rsid w:val="006070FA"/>
    <w:rsid w:val="00610103"/>
    <w:rsid w:val="00610610"/>
    <w:rsid w:val="006110CD"/>
    <w:rsid w:val="00611A41"/>
    <w:rsid w:val="0061287F"/>
    <w:rsid w:val="00613EAB"/>
    <w:rsid w:val="006144DD"/>
    <w:rsid w:val="0061584F"/>
    <w:rsid w:val="0061667F"/>
    <w:rsid w:val="00616F69"/>
    <w:rsid w:val="006210AB"/>
    <w:rsid w:val="00623515"/>
    <w:rsid w:val="00623BAC"/>
    <w:rsid w:val="00625BEA"/>
    <w:rsid w:val="00626DAB"/>
    <w:rsid w:val="00630060"/>
    <w:rsid w:val="006316DC"/>
    <w:rsid w:val="00631AA3"/>
    <w:rsid w:val="0064022C"/>
    <w:rsid w:val="00640384"/>
    <w:rsid w:val="006428AC"/>
    <w:rsid w:val="00645D0C"/>
    <w:rsid w:val="00645EFB"/>
    <w:rsid w:val="006463B9"/>
    <w:rsid w:val="006502D3"/>
    <w:rsid w:val="0065080E"/>
    <w:rsid w:val="00651130"/>
    <w:rsid w:val="006512D5"/>
    <w:rsid w:val="00651664"/>
    <w:rsid w:val="00651FE2"/>
    <w:rsid w:val="00653FFB"/>
    <w:rsid w:val="0065470E"/>
    <w:rsid w:val="00654C3F"/>
    <w:rsid w:val="00655971"/>
    <w:rsid w:val="00660462"/>
    <w:rsid w:val="00662817"/>
    <w:rsid w:val="0066365D"/>
    <w:rsid w:val="006637B0"/>
    <w:rsid w:val="00663E2A"/>
    <w:rsid w:val="00665C81"/>
    <w:rsid w:val="006667B4"/>
    <w:rsid w:val="00667896"/>
    <w:rsid w:val="00671638"/>
    <w:rsid w:val="00671971"/>
    <w:rsid w:val="006723F6"/>
    <w:rsid w:val="006730EC"/>
    <w:rsid w:val="00673194"/>
    <w:rsid w:val="00673DA7"/>
    <w:rsid w:val="00674B58"/>
    <w:rsid w:val="00674B8F"/>
    <w:rsid w:val="0068055D"/>
    <w:rsid w:val="006807BE"/>
    <w:rsid w:val="006809ED"/>
    <w:rsid w:val="006819C0"/>
    <w:rsid w:val="00682F17"/>
    <w:rsid w:val="006832FF"/>
    <w:rsid w:val="0068335A"/>
    <w:rsid w:val="0068492E"/>
    <w:rsid w:val="00684BB3"/>
    <w:rsid w:val="00684D62"/>
    <w:rsid w:val="006851A0"/>
    <w:rsid w:val="006855F4"/>
    <w:rsid w:val="0068589B"/>
    <w:rsid w:val="00686060"/>
    <w:rsid w:val="00690A63"/>
    <w:rsid w:val="00692C2F"/>
    <w:rsid w:val="00693A43"/>
    <w:rsid w:val="00694B46"/>
    <w:rsid w:val="00694DE8"/>
    <w:rsid w:val="00695492"/>
    <w:rsid w:val="00695797"/>
    <w:rsid w:val="00696242"/>
    <w:rsid w:val="00696A5E"/>
    <w:rsid w:val="006A02DA"/>
    <w:rsid w:val="006A0F34"/>
    <w:rsid w:val="006A27A1"/>
    <w:rsid w:val="006A28FE"/>
    <w:rsid w:val="006A2D90"/>
    <w:rsid w:val="006A3129"/>
    <w:rsid w:val="006A3E53"/>
    <w:rsid w:val="006A4072"/>
    <w:rsid w:val="006A40CD"/>
    <w:rsid w:val="006A5230"/>
    <w:rsid w:val="006A5BC0"/>
    <w:rsid w:val="006A5FDC"/>
    <w:rsid w:val="006A663B"/>
    <w:rsid w:val="006A7992"/>
    <w:rsid w:val="006B0410"/>
    <w:rsid w:val="006B0A3E"/>
    <w:rsid w:val="006B176A"/>
    <w:rsid w:val="006B1947"/>
    <w:rsid w:val="006B3319"/>
    <w:rsid w:val="006B3B69"/>
    <w:rsid w:val="006B6907"/>
    <w:rsid w:val="006B71F6"/>
    <w:rsid w:val="006C05D7"/>
    <w:rsid w:val="006C2FC6"/>
    <w:rsid w:val="006C3152"/>
    <w:rsid w:val="006C350A"/>
    <w:rsid w:val="006C3FD3"/>
    <w:rsid w:val="006C4138"/>
    <w:rsid w:val="006C45EB"/>
    <w:rsid w:val="006C5174"/>
    <w:rsid w:val="006C5EF7"/>
    <w:rsid w:val="006D13DE"/>
    <w:rsid w:val="006D16F4"/>
    <w:rsid w:val="006D1965"/>
    <w:rsid w:val="006D2AA0"/>
    <w:rsid w:val="006D325D"/>
    <w:rsid w:val="006D333A"/>
    <w:rsid w:val="006D39CA"/>
    <w:rsid w:val="006D3A26"/>
    <w:rsid w:val="006D7784"/>
    <w:rsid w:val="006E15A3"/>
    <w:rsid w:val="006E28A8"/>
    <w:rsid w:val="006E7483"/>
    <w:rsid w:val="006E7DD2"/>
    <w:rsid w:val="006F030B"/>
    <w:rsid w:val="006F0E4D"/>
    <w:rsid w:val="006F3696"/>
    <w:rsid w:val="006F36CD"/>
    <w:rsid w:val="006F5665"/>
    <w:rsid w:val="006F6835"/>
    <w:rsid w:val="006F7821"/>
    <w:rsid w:val="00701B7B"/>
    <w:rsid w:val="00702838"/>
    <w:rsid w:val="0070361F"/>
    <w:rsid w:val="00704C66"/>
    <w:rsid w:val="00710590"/>
    <w:rsid w:val="00713EEA"/>
    <w:rsid w:val="007149A0"/>
    <w:rsid w:val="00716DFA"/>
    <w:rsid w:val="00716E7D"/>
    <w:rsid w:val="0072039F"/>
    <w:rsid w:val="00720729"/>
    <w:rsid w:val="00723520"/>
    <w:rsid w:val="0072783C"/>
    <w:rsid w:val="007306AC"/>
    <w:rsid w:val="00730EEC"/>
    <w:rsid w:val="0073119A"/>
    <w:rsid w:val="00732B5D"/>
    <w:rsid w:val="00734613"/>
    <w:rsid w:val="00735032"/>
    <w:rsid w:val="0073533B"/>
    <w:rsid w:val="00737653"/>
    <w:rsid w:val="00742486"/>
    <w:rsid w:val="0074340E"/>
    <w:rsid w:val="00743477"/>
    <w:rsid w:val="00745B2C"/>
    <w:rsid w:val="007466AA"/>
    <w:rsid w:val="00746729"/>
    <w:rsid w:val="00746A01"/>
    <w:rsid w:val="00750C93"/>
    <w:rsid w:val="00751910"/>
    <w:rsid w:val="00751E60"/>
    <w:rsid w:val="007538CE"/>
    <w:rsid w:val="00753CDE"/>
    <w:rsid w:val="0075476C"/>
    <w:rsid w:val="007547B5"/>
    <w:rsid w:val="007555C6"/>
    <w:rsid w:val="00756DF7"/>
    <w:rsid w:val="0075718A"/>
    <w:rsid w:val="007578C7"/>
    <w:rsid w:val="0075795C"/>
    <w:rsid w:val="0076057C"/>
    <w:rsid w:val="007633F5"/>
    <w:rsid w:val="007643EB"/>
    <w:rsid w:val="007655ED"/>
    <w:rsid w:val="00765809"/>
    <w:rsid w:val="0076648C"/>
    <w:rsid w:val="0076736F"/>
    <w:rsid w:val="007676D9"/>
    <w:rsid w:val="00767F4F"/>
    <w:rsid w:val="00773B1E"/>
    <w:rsid w:val="007772BF"/>
    <w:rsid w:val="007778E1"/>
    <w:rsid w:val="00781230"/>
    <w:rsid w:val="00782A55"/>
    <w:rsid w:val="007836FC"/>
    <w:rsid w:val="00783BC6"/>
    <w:rsid w:val="00784A68"/>
    <w:rsid w:val="00785477"/>
    <w:rsid w:val="00785BAE"/>
    <w:rsid w:val="00786C96"/>
    <w:rsid w:val="007906B5"/>
    <w:rsid w:val="0079112C"/>
    <w:rsid w:val="00791CDD"/>
    <w:rsid w:val="00792B95"/>
    <w:rsid w:val="00793E90"/>
    <w:rsid w:val="00794029"/>
    <w:rsid w:val="00794C81"/>
    <w:rsid w:val="00795A9E"/>
    <w:rsid w:val="00795FB9"/>
    <w:rsid w:val="00796856"/>
    <w:rsid w:val="007971C4"/>
    <w:rsid w:val="007A0D46"/>
    <w:rsid w:val="007A11E0"/>
    <w:rsid w:val="007A1C76"/>
    <w:rsid w:val="007A2970"/>
    <w:rsid w:val="007A3EEC"/>
    <w:rsid w:val="007A5640"/>
    <w:rsid w:val="007A606D"/>
    <w:rsid w:val="007B15AA"/>
    <w:rsid w:val="007B36F7"/>
    <w:rsid w:val="007B3C87"/>
    <w:rsid w:val="007B3FC6"/>
    <w:rsid w:val="007B491D"/>
    <w:rsid w:val="007B57A7"/>
    <w:rsid w:val="007B5F47"/>
    <w:rsid w:val="007B7AB9"/>
    <w:rsid w:val="007C13AF"/>
    <w:rsid w:val="007C2214"/>
    <w:rsid w:val="007C2A44"/>
    <w:rsid w:val="007C2AC1"/>
    <w:rsid w:val="007C6DA2"/>
    <w:rsid w:val="007D06B3"/>
    <w:rsid w:val="007D29C1"/>
    <w:rsid w:val="007D358F"/>
    <w:rsid w:val="007D5E76"/>
    <w:rsid w:val="007D648D"/>
    <w:rsid w:val="007E130C"/>
    <w:rsid w:val="007E2E3A"/>
    <w:rsid w:val="007E4676"/>
    <w:rsid w:val="007E6B21"/>
    <w:rsid w:val="007E77AC"/>
    <w:rsid w:val="007F036D"/>
    <w:rsid w:val="007F04BA"/>
    <w:rsid w:val="007F0A9D"/>
    <w:rsid w:val="007F0B04"/>
    <w:rsid w:val="007F1E99"/>
    <w:rsid w:val="007F2667"/>
    <w:rsid w:val="007F341B"/>
    <w:rsid w:val="007F6A57"/>
    <w:rsid w:val="00800C75"/>
    <w:rsid w:val="00801115"/>
    <w:rsid w:val="00801CCF"/>
    <w:rsid w:val="00804CC9"/>
    <w:rsid w:val="00804CF8"/>
    <w:rsid w:val="00805803"/>
    <w:rsid w:val="00807B48"/>
    <w:rsid w:val="00807BAE"/>
    <w:rsid w:val="00811661"/>
    <w:rsid w:val="00811FA9"/>
    <w:rsid w:val="00812538"/>
    <w:rsid w:val="008135CA"/>
    <w:rsid w:val="0081584F"/>
    <w:rsid w:val="00816589"/>
    <w:rsid w:val="0081676D"/>
    <w:rsid w:val="0081757E"/>
    <w:rsid w:val="00821EE2"/>
    <w:rsid w:val="008224C7"/>
    <w:rsid w:val="00824249"/>
    <w:rsid w:val="00825793"/>
    <w:rsid w:val="00826AF7"/>
    <w:rsid w:val="008306CB"/>
    <w:rsid w:val="00830852"/>
    <w:rsid w:val="00831A16"/>
    <w:rsid w:val="00833DDC"/>
    <w:rsid w:val="00837978"/>
    <w:rsid w:val="00837D09"/>
    <w:rsid w:val="00840D88"/>
    <w:rsid w:val="008427BA"/>
    <w:rsid w:val="00842D0B"/>
    <w:rsid w:val="00844E96"/>
    <w:rsid w:val="00844F94"/>
    <w:rsid w:val="008457EA"/>
    <w:rsid w:val="00845B58"/>
    <w:rsid w:val="00845D94"/>
    <w:rsid w:val="0084616F"/>
    <w:rsid w:val="00846E8D"/>
    <w:rsid w:val="0084700E"/>
    <w:rsid w:val="00847736"/>
    <w:rsid w:val="008501AF"/>
    <w:rsid w:val="00850A85"/>
    <w:rsid w:val="00850C9C"/>
    <w:rsid w:val="00852A68"/>
    <w:rsid w:val="00855786"/>
    <w:rsid w:val="00856994"/>
    <w:rsid w:val="00857F76"/>
    <w:rsid w:val="008604DF"/>
    <w:rsid w:val="00861EFF"/>
    <w:rsid w:val="00863449"/>
    <w:rsid w:val="008703BF"/>
    <w:rsid w:val="00871D96"/>
    <w:rsid w:val="008743C5"/>
    <w:rsid w:val="008746E0"/>
    <w:rsid w:val="008751FB"/>
    <w:rsid w:val="0087672F"/>
    <w:rsid w:val="0087698F"/>
    <w:rsid w:val="00880FDF"/>
    <w:rsid w:val="0088188E"/>
    <w:rsid w:val="008830BB"/>
    <w:rsid w:val="00883CA5"/>
    <w:rsid w:val="00884547"/>
    <w:rsid w:val="008855EA"/>
    <w:rsid w:val="00885BBC"/>
    <w:rsid w:val="00885C9F"/>
    <w:rsid w:val="00887AF0"/>
    <w:rsid w:val="008901A8"/>
    <w:rsid w:val="0089054F"/>
    <w:rsid w:val="008908C5"/>
    <w:rsid w:val="00891598"/>
    <w:rsid w:val="008925CE"/>
    <w:rsid w:val="00893BFE"/>
    <w:rsid w:val="008941A5"/>
    <w:rsid w:val="00894207"/>
    <w:rsid w:val="008942CB"/>
    <w:rsid w:val="00894FB8"/>
    <w:rsid w:val="008958FF"/>
    <w:rsid w:val="00897B07"/>
    <w:rsid w:val="00897D0A"/>
    <w:rsid w:val="008A15CE"/>
    <w:rsid w:val="008A25A6"/>
    <w:rsid w:val="008A31A7"/>
    <w:rsid w:val="008A38F4"/>
    <w:rsid w:val="008A5B62"/>
    <w:rsid w:val="008A6E2B"/>
    <w:rsid w:val="008B233C"/>
    <w:rsid w:val="008B3B91"/>
    <w:rsid w:val="008B44AD"/>
    <w:rsid w:val="008B4EFF"/>
    <w:rsid w:val="008C1C26"/>
    <w:rsid w:val="008C36E3"/>
    <w:rsid w:val="008C4D41"/>
    <w:rsid w:val="008C5697"/>
    <w:rsid w:val="008C602C"/>
    <w:rsid w:val="008C706E"/>
    <w:rsid w:val="008D0A79"/>
    <w:rsid w:val="008D13EA"/>
    <w:rsid w:val="008D1574"/>
    <w:rsid w:val="008D1788"/>
    <w:rsid w:val="008D1D3D"/>
    <w:rsid w:val="008D3551"/>
    <w:rsid w:val="008D5D47"/>
    <w:rsid w:val="008D626A"/>
    <w:rsid w:val="008D6DF9"/>
    <w:rsid w:val="008E01D0"/>
    <w:rsid w:val="008E05EA"/>
    <w:rsid w:val="008E126A"/>
    <w:rsid w:val="008E1393"/>
    <w:rsid w:val="008E3298"/>
    <w:rsid w:val="008E36CF"/>
    <w:rsid w:val="008E426D"/>
    <w:rsid w:val="008E54D5"/>
    <w:rsid w:val="008E564F"/>
    <w:rsid w:val="008E5AA6"/>
    <w:rsid w:val="008E5DAC"/>
    <w:rsid w:val="008E71ED"/>
    <w:rsid w:val="008E749C"/>
    <w:rsid w:val="008F11CB"/>
    <w:rsid w:val="008F197A"/>
    <w:rsid w:val="008F290F"/>
    <w:rsid w:val="008F339C"/>
    <w:rsid w:val="008F404F"/>
    <w:rsid w:val="008F54DC"/>
    <w:rsid w:val="008F5657"/>
    <w:rsid w:val="008F5793"/>
    <w:rsid w:val="00900455"/>
    <w:rsid w:val="009006D5"/>
    <w:rsid w:val="00903CCC"/>
    <w:rsid w:val="00903FE2"/>
    <w:rsid w:val="00904653"/>
    <w:rsid w:val="009128EA"/>
    <w:rsid w:val="00915015"/>
    <w:rsid w:val="00915937"/>
    <w:rsid w:val="00916BEB"/>
    <w:rsid w:val="00917E89"/>
    <w:rsid w:val="00920680"/>
    <w:rsid w:val="009208F6"/>
    <w:rsid w:val="00923923"/>
    <w:rsid w:val="00924A17"/>
    <w:rsid w:val="00924CCD"/>
    <w:rsid w:val="00925F1A"/>
    <w:rsid w:val="009266F1"/>
    <w:rsid w:val="009268CD"/>
    <w:rsid w:val="00927C34"/>
    <w:rsid w:val="00932A2D"/>
    <w:rsid w:val="00933A4F"/>
    <w:rsid w:val="00934803"/>
    <w:rsid w:val="00934949"/>
    <w:rsid w:val="0093518F"/>
    <w:rsid w:val="0093622E"/>
    <w:rsid w:val="009367A6"/>
    <w:rsid w:val="009370DD"/>
    <w:rsid w:val="00940425"/>
    <w:rsid w:val="00940FA9"/>
    <w:rsid w:val="009411D2"/>
    <w:rsid w:val="0094412B"/>
    <w:rsid w:val="00944D53"/>
    <w:rsid w:val="009460A4"/>
    <w:rsid w:val="00947E5C"/>
    <w:rsid w:val="009506EB"/>
    <w:rsid w:val="00951161"/>
    <w:rsid w:val="009522B2"/>
    <w:rsid w:val="00953A98"/>
    <w:rsid w:val="00953F33"/>
    <w:rsid w:val="009560AC"/>
    <w:rsid w:val="00956F38"/>
    <w:rsid w:val="00957212"/>
    <w:rsid w:val="009602A5"/>
    <w:rsid w:val="00962015"/>
    <w:rsid w:val="00962016"/>
    <w:rsid w:val="009632C2"/>
    <w:rsid w:val="00963FA6"/>
    <w:rsid w:val="009641FE"/>
    <w:rsid w:val="00965268"/>
    <w:rsid w:val="00965BCE"/>
    <w:rsid w:val="00967C7A"/>
    <w:rsid w:val="009706E4"/>
    <w:rsid w:val="00970AB4"/>
    <w:rsid w:val="00971819"/>
    <w:rsid w:val="00971E9E"/>
    <w:rsid w:val="00972FBF"/>
    <w:rsid w:val="009743A4"/>
    <w:rsid w:val="00974B7F"/>
    <w:rsid w:val="0097542E"/>
    <w:rsid w:val="00976512"/>
    <w:rsid w:val="00980580"/>
    <w:rsid w:val="00980B50"/>
    <w:rsid w:val="00980F12"/>
    <w:rsid w:val="00980F20"/>
    <w:rsid w:val="00981397"/>
    <w:rsid w:val="009817F9"/>
    <w:rsid w:val="00981F45"/>
    <w:rsid w:val="00986480"/>
    <w:rsid w:val="0098767C"/>
    <w:rsid w:val="00990DA1"/>
    <w:rsid w:val="00990DA6"/>
    <w:rsid w:val="00991098"/>
    <w:rsid w:val="00991E5E"/>
    <w:rsid w:val="00991F46"/>
    <w:rsid w:val="00992F17"/>
    <w:rsid w:val="00993AB6"/>
    <w:rsid w:val="0099452B"/>
    <w:rsid w:val="009949E2"/>
    <w:rsid w:val="00994AE6"/>
    <w:rsid w:val="00994D12"/>
    <w:rsid w:val="009959C0"/>
    <w:rsid w:val="00996042"/>
    <w:rsid w:val="00996AEF"/>
    <w:rsid w:val="009979D8"/>
    <w:rsid w:val="009A3321"/>
    <w:rsid w:val="009A34C4"/>
    <w:rsid w:val="009A3606"/>
    <w:rsid w:val="009A3BE0"/>
    <w:rsid w:val="009A5787"/>
    <w:rsid w:val="009A65F7"/>
    <w:rsid w:val="009A6BC1"/>
    <w:rsid w:val="009A6C63"/>
    <w:rsid w:val="009A7623"/>
    <w:rsid w:val="009A7A16"/>
    <w:rsid w:val="009B128B"/>
    <w:rsid w:val="009B15B0"/>
    <w:rsid w:val="009B1600"/>
    <w:rsid w:val="009B24ED"/>
    <w:rsid w:val="009B2B49"/>
    <w:rsid w:val="009B333E"/>
    <w:rsid w:val="009B3B94"/>
    <w:rsid w:val="009B48CB"/>
    <w:rsid w:val="009B5480"/>
    <w:rsid w:val="009B5974"/>
    <w:rsid w:val="009B7178"/>
    <w:rsid w:val="009B72E1"/>
    <w:rsid w:val="009B7AF6"/>
    <w:rsid w:val="009C00A3"/>
    <w:rsid w:val="009C0637"/>
    <w:rsid w:val="009C0B20"/>
    <w:rsid w:val="009C0CE4"/>
    <w:rsid w:val="009C0D3C"/>
    <w:rsid w:val="009C1930"/>
    <w:rsid w:val="009C2FA9"/>
    <w:rsid w:val="009C42C3"/>
    <w:rsid w:val="009C4CB8"/>
    <w:rsid w:val="009C7614"/>
    <w:rsid w:val="009D09E5"/>
    <w:rsid w:val="009D1C44"/>
    <w:rsid w:val="009D1CC1"/>
    <w:rsid w:val="009D231A"/>
    <w:rsid w:val="009D23B1"/>
    <w:rsid w:val="009D4A48"/>
    <w:rsid w:val="009E1731"/>
    <w:rsid w:val="009E1926"/>
    <w:rsid w:val="009E26EB"/>
    <w:rsid w:val="009E601E"/>
    <w:rsid w:val="009F0073"/>
    <w:rsid w:val="009F1EC7"/>
    <w:rsid w:val="009F38A6"/>
    <w:rsid w:val="009F53A5"/>
    <w:rsid w:val="009F6A70"/>
    <w:rsid w:val="009F7263"/>
    <w:rsid w:val="009F7500"/>
    <w:rsid w:val="00A021A1"/>
    <w:rsid w:val="00A02603"/>
    <w:rsid w:val="00A026D1"/>
    <w:rsid w:val="00A0304A"/>
    <w:rsid w:val="00A03BDF"/>
    <w:rsid w:val="00A053BA"/>
    <w:rsid w:val="00A07D06"/>
    <w:rsid w:val="00A14B9A"/>
    <w:rsid w:val="00A158A2"/>
    <w:rsid w:val="00A15DA7"/>
    <w:rsid w:val="00A16F07"/>
    <w:rsid w:val="00A20897"/>
    <w:rsid w:val="00A21F36"/>
    <w:rsid w:val="00A221F6"/>
    <w:rsid w:val="00A22D67"/>
    <w:rsid w:val="00A230DC"/>
    <w:rsid w:val="00A23D1E"/>
    <w:rsid w:val="00A2615E"/>
    <w:rsid w:val="00A312B8"/>
    <w:rsid w:val="00A31D97"/>
    <w:rsid w:val="00A321C6"/>
    <w:rsid w:val="00A324C3"/>
    <w:rsid w:val="00A3260A"/>
    <w:rsid w:val="00A3651D"/>
    <w:rsid w:val="00A36E56"/>
    <w:rsid w:val="00A36FB0"/>
    <w:rsid w:val="00A370DF"/>
    <w:rsid w:val="00A37BD7"/>
    <w:rsid w:val="00A404AA"/>
    <w:rsid w:val="00A424BE"/>
    <w:rsid w:val="00A5023D"/>
    <w:rsid w:val="00A5035F"/>
    <w:rsid w:val="00A50B16"/>
    <w:rsid w:val="00A5130F"/>
    <w:rsid w:val="00A52539"/>
    <w:rsid w:val="00A5253E"/>
    <w:rsid w:val="00A54579"/>
    <w:rsid w:val="00A568DA"/>
    <w:rsid w:val="00A60617"/>
    <w:rsid w:val="00A61D8F"/>
    <w:rsid w:val="00A62C7B"/>
    <w:rsid w:val="00A635C9"/>
    <w:rsid w:val="00A63BC1"/>
    <w:rsid w:val="00A6457B"/>
    <w:rsid w:val="00A705A1"/>
    <w:rsid w:val="00A710EE"/>
    <w:rsid w:val="00A712D9"/>
    <w:rsid w:val="00A71BCF"/>
    <w:rsid w:val="00A71F39"/>
    <w:rsid w:val="00A7301F"/>
    <w:rsid w:val="00A767E9"/>
    <w:rsid w:val="00A7709A"/>
    <w:rsid w:val="00A81082"/>
    <w:rsid w:val="00A81531"/>
    <w:rsid w:val="00A828D9"/>
    <w:rsid w:val="00A83900"/>
    <w:rsid w:val="00A83B45"/>
    <w:rsid w:val="00A840B8"/>
    <w:rsid w:val="00A842B1"/>
    <w:rsid w:val="00A844CF"/>
    <w:rsid w:val="00A85EB6"/>
    <w:rsid w:val="00A8644C"/>
    <w:rsid w:val="00A86DAE"/>
    <w:rsid w:val="00A87913"/>
    <w:rsid w:val="00A91FE1"/>
    <w:rsid w:val="00A92226"/>
    <w:rsid w:val="00A92F7E"/>
    <w:rsid w:val="00A9300C"/>
    <w:rsid w:val="00A94047"/>
    <w:rsid w:val="00A960CA"/>
    <w:rsid w:val="00A97E14"/>
    <w:rsid w:val="00AA193C"/>
    <w:rsid w:val="00AA22D5"/>
    <w:rsid w:val="00AA2B6A"/>
    <w:rsid w:val="00AA2CF0"/>
    <w:rsid w:val="00AA50DB"/>
    <w:rsid w:val="00AA59AB"/>
    <w:rsid w:val="00AA7F3B"/>
    <w:rsid w:val="00AB07FC"/>
    <w:rsid w:val="00AB129D"/>
    <w:rsid w:val="00AB1551"/>
    <w:rsid w:val="00AB3633"/>
    <w:rsid w:val="00AB4F82"/>
    <w:rsid w:val="00AC1D20"/>
    <w:rsid w:val="00AD3417"/>
    <w:rsid w:val="00AD4D61"/>
    <w:rsid w:val="00AD4DBB"/>
    <w:rsid w:val="00AD5B92"/>
    <w:rsid w:val="00AD7367"/>
    <w:rsid w:val="00AE0D62"/>
    <w:rsid w:val="00AE103C"/>
    <w:rsid w:val="00AE1842"/>
    <w:rsid w:val="00AE2AF5"/>
    <w:rsid w:val="00AE2F5B"/>
    <w:rsid w:val="00AE3C7C"/>
    <w:rsid w:val="00AE4C60"/>
    <w:rsid w:val="00AE537C"/>
    <w:rsid w:val="00AE5A11"/>
    <w:rsid w:val="00AE5CAA"/>
    <w:rsid w:val="00AE62A4"/>
    <w:rsid w:val="00AE69DF"/>
    <w:rsid w:val="00AE6A1C"/>
    <w:rsid w:val="00AE7122"/>
    <w:rsid w:val="00AF2674"/>
    <w:rsid w:val="00AF7033"/>
    <w:rsid w:val="00B0000B"/>
    <w:rsid w:val="00B004BC"/>
    <w:rsid w:val="00B008FF"/>
    <w:rsid w:val="00B0127C"/>
    <w:rsid w:val="00B0154C"/>
    <w:rsid w:val="00B01F38"/>
    <w:rsid w:val="00B0251E"/>
    <w:rsid w:val="00B02AED"/>
    <w:rsid w:val="00B03D83"/>
    <w:rsid w:val="00B043EE"/>
    <w:rsid w:val="00B04C03"/>
    <w:rsid w:val="00B06024"/>
    <w:rsid w:val="00B06FC2"/>
    <w:rsid w:val="00B1010E"/>
    <w:rsid w:val="00B10D6D"/>
    <w:rsid w:val="00B11464"/>
    <w:rsid w:val="00B124C1"/>
    <w:rsid w:val="00B12ABC"/>
    <w:rsid w:val="00B12B7B"/>
    <w:rsid w:val="00B144EE"/>
    <w:rsid w:val="00B151F8"/>
    <w:rsid w:val="00B15CB5"/>
    <w:rsid w:val="00B15ECC"/>
    <w:rsid w:val="00B163FA"/>
    <w:rsid w:val="00B170B9"/>
    <w:rsid w:val="00B205DF"/>
    <w:rsid w:val="00B214B0"/>
    <w:rsid w:val="00B214D9"/>
    <w:rsid w:val="00B21632"/>
    <w:rsid w:val="00B21F17"/>
    <w:rsid w:val="00B21F30"/>
    <w:rsid w:val="00B22A82"/>
    <w:rsid w:val="00B22EE3"/>
    <w:rsid w:val="00B246DA"/>
    <w:rsid w:val="00B2537D"/>
    <w:rsid w:val="00B25CBC"/>
    <w:rsid w:val="00B25F9F"/>
    <w:rsid w:val="00B26E0A"/>
    <w:rsid w:val="00B27BE1"/>
    <w:rsid w:val="00B27D32"/>
    <w:rsid w:val="00B27DD7"/>
    <w:rsid w:val="00B306B1"/>
    <w:rsid w:val="00B30DE2"/>
    <w:rsid w:val="00B31306"/>
    <w:rsid w:val="00B317EE"/>
    <w:rsid w:val="00B32EAE"/>
    <w:rsid w:val="00B33C20"/>
    <w:rsid w:val="00B349C0"/>
    <w:rsid w:val="00B35684"/>
    <w:rsid w:val="00B3712B"/>
    <w:rsid w:val="00B40A96"/>
    <w:rsid w:val="00B42814"/>
    <w:rsid w:val="00B43CFD"/>
    <w:rsid w:val="00B4523E"/>
    <w:rsid w:val="00B4773D"/>
    <w:rsid w:val="00B47BCF"/>
    <w:rsid w:val="00B501B6"/>
    <w:rsid w:val="00B50368"/>
    <w:rsid w:val="00B50ADD"/>
    <w:rsid w:val="00B51EEB"/>
    <w:rsid w:val="00B51FB8"/>
    <w:rsid w:val="00B52980"/>
    <w:rsid w:val="00B53CBD"/>
    <w:rsid w:val="00B55E9E"/>
    <w:rsid w:val="00B57E1A"/>
    <w:rsid w:val="00B622DB"/>
    <w:rsid w:val="00B62698"/>
    <w:rsid w:val="00B629DE"/>
    <w:rsid w:val="00B62BAE"/>
    <w:rsid w:val="00B63300"/>
    <w:rsid w:val="00B655BE"/>
    <w:rsid w:val="00B67135"/>
    <w:rsid w:val="00B677B7"/>
    <w:rsid w:val="00B67868"/>
    <w:rsid w:val="00B706BF"/>
    <w:rsid w:val="00B70CA2"/>
    <w:rsid w:val="00B73900"/>
    <w:rsid w:val="00B74377"/>
    <w:rsid w:val="00B7498E"/>
    <w:rsid w:val="00B74CE4"/>
    <w:rsid w:val="00B76477"/>
    <w:rsid w:val="00B769AF"/>
    <w:rsid w:val="00B7701F"/>
    <w:rsid w:val="00B7718F"/>
    <w:rsid w:val="00B8027F"/>
    <w:rsid w:val="00B816EF"/>
    <w:rsid w:val="00B82756"/>
    <w:rsid w:val="00B8378D"/>
    <w:rsid w:val="00B83883"/>
    <w:rsid w:val="00B83936"/>
    <w:rsid w:val="00B85434"/>
    <w:rsid w:val="00B86588"/>
    <w:rsid w:val="00B86BB2"/>
    <w:rsid w:val="00B86BD6"/>
    <w:rsid w:val="00B8770C"/>
    <w:rsid w:val="00B927A8"/>
    <w:rsid w:val="00B929B5"/>
    <w:rsid w:val="00B94469"/>
    <w:rsid w:val="00B951B8"/>
    <w:rsid w:val="00B962A9"/>
    <w:rsid w:val="00BA126F"/>
    <w:rsid w:val="00BA295E"/>
    <w:rsid w:val="00BA2B94"/>
    <w:rsid w:val="00BA3B78"/>
    <w:rsid w:val="00BA4A27"/>
    <w:rsid w:val="00BA54F0"/>
    <w:rsid w:val="00BA5864"/>
    <w:rsid w:val="00BA68C1"/>
    <w:rsid w:val="00BA6BAD"/>
    <w:rsid w:val="00BB0062"/>
    <w:rsid w:val="00BB018F"/>
    <w:rsid w:val="00BB120F"/>
    <w:rsid w:val="00BB253F"/>
    <w:rsid w:val="00BB2613"/>
    <w:rsid w:val="00BB3831"/>
    <w:rsid w:val="00BB3B03"/>
    <w:rsid w:val="00BB3D11"/>
    <w:rsid w:val="00BB5A56"/>
    <w:rsid w:val="00BB6EDA"/>
    <w:rsid w:val="00BB756B"/>
    <w:rsid w:val="00BB7D9D"/>
    <w:rsid w:val="00BC11B6"/>
    <w:rsid w:val="00BC1C0E"/>
    <w:rsid w:val="00BC30DF"/>
    <w:rsid w:val="00BC3288"/>
    <w:rsid w:val="00BC41A6"/>
    <w:rsid w:val="00BC422D"/>
    <w:rsid w:val="00BC48C9"/>
    <w:rsid w:val="00BC63EB"/>
    <w:rsid w:val="00BC6E65"/>
    <w:rsid w:val="00BD0ED2"/>
    <w:rsid w:val="00BD2009"/>
    <w:rsid w:val="00BD3705"/>
    <w:rsid w:val="00BD4024"/>
    <w:rsid w:val="00BD5272"/>
    <w:rsid w:val="00BD5960"/>
    <w:rsid w:val="00BD6739"/>
    <w:rsid w:val="00BD6B54"/>
    <w:rsid w:val="00BD6BF7"/>
    <w:rsid w:val="00BD6D27"/>
    <w:rsid w:val="00BD6EB7"/>
    <w:rsid w:val="00BD74C7"/>
    <w:rsid w:val="00BE06DF"/>
    <w:rsid w:val="00BE0C00"/>
    <w:rsid w:val="00BE2645"/>
    <w:rsid w:val="00BE3292"/>
    <w:rsid w:val="00BE3718"/>
    <w:rsid w:val="00BE4267"/>
    <w:rsid w:val="00BE59BC"/>
    <w:rsid w:val="00BE6081"/>
    <w:rsid w:val="00BF2170"/>
    <w:rsid w:val="00BF336B"/>
    <w:rsid w:val="00BF42D0"/>
    <w:rsid w:val="00BF69E7"/>
    <w:rsid w:val="00BF71C2"/>
    <w:rsid w:val="00BF7B58"/>
    <w:rsid w:val="00C0158B"/>
    <w:rsid w:val="00C026F5"/>
    <w:rsid w:val="00C02A2B"/>
    <w:rsid w:val="00C02B38"/>
    <w:rsid w:val="00C02FC6"/>
    <w:rsid w:val="00C034F8"/>
    <w:rsid w:val="00C0526A"/>
    <w:rsid w:val="00C0569B"/>
    <w:rsid w:val="00C11F97"/>
    <w:rsid w:val="00C13C5A"/>
    <w:rsid w:val="00C154E7"/>
    <w:rsid w:val="00C15BFE"/>
    <w:rsid w:val="00C222DF"/>
    <w:rsid w:val="00C22316"/>
    <w:rsid w:val="00C22C58"/>
    <w:rsid w:val="00C230D1"/>
    <w:rsid w:val="00C235F0"/>
    <w:rsid w:val="00C23701"/>
    <w:rsid w:val="00C238A9"/>
    <w:rsid w:val="00C24D34"/>
    <w:rsid w:val="00C2666D"/>
    <w:rsid w:val="00C26BF1"/>
    <w:rsid w:val="00C31095"/>
    <w:rsid w:val="00C32138"/>
    <w:rsid w:val="00C326F8"/>
    <w:rsid w:val="00C32D86"/>
    <w:rsid w:val="00C34AD7"/>
    <w:rsid w:val="00C363BC"/>
    <w:rsid w:val="00C369D9"/>
    <w:rsid w:val="00C36ECD"/>
    <w:rsid w:val="00C401B7"/>
    <w:rsid w:val="00C42BC7"/>
    <w:rsid w:val="00C43247"/>
    <w:rsid w:val="00C4488F"/>
    <w:rsid w:val="00C44A49"/>
    <w:rsid w:val="00C45F5E"/>
    <w:rsid w:val="00C4632A"/>
    <w:rsid w:val="00C50E4C"/>
    <w:rsid w:val="00C51CF6"/>
    <w:rsid w:val="00C52B28"/>
    <w:rsid w:val="00C5420F"/>
    <w:rsid w:val="00C546AF"/>
    <w:rsid w:val="00C54BD3"/>
    <w:rsid w:val="00C54D27"/>
    <w:rsid w:val="00C54D51"/>
    <w:rsid w:val="00C56475"/>
    <w:rsid w:val="00C57944"/>
    <w:rsid w:val="00C6043A"/>
    <w:rsid w:val="00C61915"/>
    <w:rsid w:val="00C619EF"/>
    <w:rsid w:val="00C61C1B"/>
    <w:rsid w:val="00C63842"/>
    <w:rsid w:val="00C64212"/>
    <w:rsid w:val="00C67115"/>
    <w:rsid w:val="00C6721E"/>
    <w:rsid w:val="00C6729E"/>
    <w:rsid w:val="00C7127E"/>
    <w:rsid w:val="00C719C7"/>
    <w:rsid w:val="00C71A69"/>
    <w:rsid w:val="00C71B9B"/>
    <w:rsid w:val="00C74554"/>
    <w:rsid w:val="00C750CF"/>
    <w:rsid w:val="00C7514E"/>
    <w:rsid w:val="00C75982"/>
    <w:rsid w:val="00C75B59"/>
    <w:rsid w:val="00C76EEB"/>
    <w:rsid w:val="00C828A2"/>
    <w:rsid w:val="00C860D6"/>
    <w:rsid w:val="00C8691F"/>
    <w:rsid w:val="00C937FE"/>
    <w:rsid w:val="00C93960"/>
    <w:rsid w:val="00C93B3A"/>
    <w:rsid w:val="00C94051"/>
    <w:rsid w:val="00C94689"/>
    <w:rsid w:val="00C946A2"/>
    <w:rsid w:val="00C951D8"/>
    <w:rsid w:val="00C971E4"/>
    <w:rsid w:val="00CA0F48"/>
    <w:rsid w:val="00CA271B"/>
    <w:rsid w:val="00CA36D2"/>
    <w:rsid w:val="00CA4A05"/>
    <w:rsid w:val="00CA60E5"/>
    <w:rsid w:val="00CA67A5"/>
    <w:rsid w:val="00CA73FC"/>
    <w:rsid w:val="00CA7CF5"/>
    <w:rsid w:val="00CB049C"/>
    <w:rsid w:val="00CB0D20"/>
    <w:rsid w:val="00CB2059"/>
    <w:rsid w:val="00CB3DB4"/>
    <w:rsid w:val="00CB3F0B"/>
    <w:rsid w:val="00CB3FAB"/>
    <w:rsid w:val="00CB4DAE"/>
    <w:rsid w:val="00CB5778"/>
    <w:rsid w:val="00CB5B82"/>
    <w:rsid w:val="00CB7650"/>
    <w:rsid w:val="00CB7B8A"/>
    <w:rsid w:val="00CC0E8D"/>
    <w:rsid w:val="00CC12D7"/>
    <w:rsid w:val="00CC1435"/>
    <w:rsid w:val="00CC2C3B"/>
    <w:rsid w:val="00CC539B"/>
    <w:rsid w:val="00CC6BB1"/>
    <w:rsid w:val="00CC6C34"/>
    <w:rsid w:val="00CC7321"/>
    <w:rsid w:val="00CD04F0"/>
    <w:rsid w:val="00CD0FC2"/>
    <w:rsid w:val="00CD1C84"/>
    <w:rsid w:val="00CD273B"/>
    <w:rsid w:val="00CD2E4C"/>
    <w:rsid w:val="00CD53EE"/>
    <w:rsid w:val="00CD5D1E"/>
    <w:rsid w:val="00CD695A"/>
    <w:rsid w:val="00CD6BAF"/>
    <w:rsid w:val="00CD6CDC"/>
    <w:rsid w:val="00CD739F"/>
    <w:rsid w:val="00CD7417"/>
    <w:rsid w:val="00CE0C0D"/>
    <w:rsid w:val="00CE0F21"/>
    <w:rsid w:val="00CE0F37"/>
    <w:rsid w:val="00CE10A2"/>
    <w:rsid w:val="00CE11E7"/>
    <w:rsid w:val="00CE13A5"/>
    <w:rsid w:val="00CE21CA"/>
    <w:rsid w:val="00CE2532"/>
    <w:rsid w:val="00CE39BF"/>
    <w:rsid w:val="00CE3DA6"/>
    <w:rsid w:val="00CE7B61"/>
    <w:rsid w:val="00CF0872"/>
    <w:rsid w:val="00CF3A70"/>
    <w:rsid w:val="00CF45E1"/>
    <w:rsid w:val="00CF50CB"/>
    <w:rsid w:val="00CF6C90"/>
    <w:rsid w:val="00CF70B4"/>
    <w:rsid w:val="00CF720A"/>
    <w:rsid w:val="00CF722F"/>
    <w:rsid w:val="00CF7694"/>
    <w:rsid w:val="00D01015"/>
    <w:rsid w:val="00D0180F"/>
    <w:rsid w:val="00D01C67"/>
    <w:rsid w:val="00D01F5A"/>
    <w:rsid w:val="00D020B4"/>
    <w:rsid w:val="00D02D6F"/>
    <w:rsid w:val="00D04C96"/>
    <w:rsid w:val="00D07FB2"/>
    <w:rsid w:val="00D14CB1"/>
    <w:rsid w:val="00D15111"/>
    <w:rsid w:val="00D153C7"/>
    <w:rsid w:val="00D1716E"/>
    <w:rsid w:val="00D178DD"/>
    <w:rsid w:val="00D17EE8"/>
    <w:rsid w:val="00D2150F"/>
    <w:rsid w:val="00D21865"/>
    <w:rsid w:val="00D21F76"/>
    <w:rsid w:val="00D220A4"/>
    <w:rsid w:val="00D243D6"/>
    <w:rsid w:val="00D2514B"/>
    <w:rsid w:val="00D2536E"/>
    <w:rsid w:val="00D2607F"/>
    <w:rsid w:val="00D27CF1"/>
    <w:rsid w:val="00D309EC"/>
    <w:rsid w:val="00D343C7"/>
    <w:rsid w:val="00D34434"/>
    <w:rsid w:val="00D34B77"/>
    <w:rsid w:val="00D35AFE"/>
    <w:rsid w:val="00D35D43"/>
    <w:rsid w:val="00D37414"/>
    <w:rsid w:val="00D37891"/>
    <w:rsid w:val="00D40683"/>
    <w:rsid w:val="00D417CA"/>
    <w:rsid w:val="00D43649"/>
    <w:rsid w:val="00D43739"/>
    <w:rsid w:val="00D43A0F"/>
    <w:rsid w:val="00D43BA4"/>
    <w:rsid w:val="00D442F7"/>
    <w:rsid w:val="00D44390"/>
    <w:rsid w:val="00D44A1B"/>
    <w:rsid w:val="00D4557D"/>
    <w:rsid w:val="00D461CE"/>
    <w:rsid w:val="00D47237"/>
    <w:rsid w:val="00D50179"/>
    <w:rsid w:val="00D510C1"/>
    <w:rsid w:val="00D5375B"/>
    <w:rsid w:val="00D54A6C"/>
    <w:rsid w:val="00D57793"/>
    <w:rsid w:val="00D60296"/>
    <w:rsid w:val="00D62C9B"/>
    <w:rsid w:val="00D62D2A"/>
    <w:rsid w:val="00D63064"/>
    <w:rsid w:val="00D64E05"/>
    <w:rsid w:val="00D6642D"/>
    <w:rsid w:val="00D6646A"/>
    <w:rsid w:val="00D6670F"/>
    <w:rsid w:val="00D66EFE"/>
    <w:rsid w:val="00D7323E"/>
    <w:rsid w:val="00D73E31"/>
    <w:rsid w:val="00D74B00"/>
    <w:rsid w:val="00D755CD"/>
    <w:rsid w:val="00D76233"/>
    <w:rsid w:val="00D76730"/>
    <w:rsid w:val="00D77041"/>
    <w:rsid w:val="00D77A75"/>
    <w:rsid w:val="00D77AE7"/>
    <w:rsid w:val="00D77C93"/>
    <w:rsid w:val="00D82C81"/>
    <w:rsid w:val="00D843E2"/>
    <w:rsid w:val="00D84AFA"/>
    <w:rsid w:val="00D854DD"/>
    <w:rsid w:val="00D901C6"/>
    <w:rsid w:val="00D905B6"/>
    <w:rsid w:val="00D90A00"/>
    <w:rsid w:val="00D91A0A"/>
    <w:rsid w:val="00D928C0"/>
    <w:rsid w:val="00D92BFF"/>
    <w:rsid w:val="00D92FD3"/>
    <w:rsid w:val="00D9433F"/>
    <w:rsid w:val="00D94773"/>
    <w:rsid w:val="00D9510C"/>
    <w:rsid w:val="00D96741"/>
    <w:rsid w:val="00D96B4C"/>
    <w:rsid w:val="00D97418"/>
    <w:rsid w:val="00D978EC"/>
    <w:rsid w:val="00D97981"/>
    <w:rsid w:val="00D97988"/>
    <w:rsid w:val="00D97D48"/>
    <w:rsid w:val="00D97ED7"/>
    <w:rsid w:val="00DA24DE"/>
    <w:rsid w:val="00DA3869"/>
    <w:rsid w:val="00DA3876"/>
    <w:rsid w:val="00DA3B6E"/>
    <w:rsid w:val="00DA4809"/>
    <w:rsid w:val="00DA51C2"/>
    <w:rsid w:val="00DA6100"/>
    <w:rsid w:val="00DA7188"/>
    <w:rsid w:val="00DB20E1"/>
    <w:rsid w:val="00DB268B"/>
    <w:rsid w:val="00DB2FC7"/>
    <w:rsid w:val="00DB3022"/>
    <w:rsid w:val="00DB3499"/>
    <w:rsid w:val="00DB413A"/>
    <w:rsid w:val="00DB507F"/>
    <w:rsid w:val="00DB5B7E"/>
    <w:rsid w:val="00DB654C"/>
    <w:rsid w:val="00DB6B07"/>
    <w:rsid w:val="00DB7581"/>
    <w:rsid w:val="00DB75A6"/>
    <w:rsid w:val="00DB7B3F"/>
    <w:rsid w:val="00DB7EEB"/>
    <w:rsid w:val="00DC0C14"/>
    <w:rsid w:val="00DC1DEF"/>
    <w:rsid w:val="00DC2FB3"/>
    <w:rsid w:val="00DC30FB"/>
    <w:rsid w:val="00DC38BA"/>
    <w:rsid w:val="00DC4A31"/>
    <w:rsid w:val="00DC5397"/>
    <w:rsid w:val="00DC6B79"/>
    <w:rsid w:val="00DC70C1"/>
    <w:rsid w:val="00DC793C"/>
    <w:rsid w:val="00DC7963"/>
    <w:rsid w:val="00DD0EDB"/>
    <w:rsid w:val="00DD466F"/>
    <w:rsid w:val="00DD50DC"/>
    <w:rsid w:val="00DD6C19"/>
    <w:rsid w:val="00DE06FE"/>
    <w:rsid w:val="00DE0836"/>
    <w:rsid w:val="00DE08DA"/>
    <w:rsid w:val="00DE0CD2"/>
    <w:rsid w:val="00DE0F3D"/>
    <w:rsid w:val="00DE1655"/>
    <w:rsid w:val="00DE16A4"/>
    <w:rsid w:val="00DE16E7"/>
    <w:rsid w:val="00DE21A4"/>
    <w:rsid w:val="00DE3888"/>
    <w:rsid w:val="00DE402A"/>
    <w:rsid w:val="00DF087F"/>
    <w:rsid w:val="00DF0E2B"/>
    <w:rsid w:val="00DF1A59"/>
    <w:rsid w:val="00DF377C"/>
    <w:rsid w:val="00DF3EDE"/>
    <w:rsid w:val="00DF44C0"/>
    <w:rsid w:val="00DF47FA"/>
    <w:rsid w:val="00DF58B0"/>
    <w:rsid w:val="00DF5B73"/>
    <w:rsid w:val="00DF6B68"/>
    <w:rsid w:val="00DF7A82"/>
    <w:rsid w:val="00DF7F9E"/>
    <w:rsid w:val="00DF7FFA"/>
    <w:rsid w:val="00E03578"/>
    <w:rsid w:val="00E04BBA"/>
    <w:rsid w:val="00E05406"/>
    <w:rsid w:val="00E1056B"/>
    <w:rsid w:val="00E10699"/>
    <w:rsid w:val="00E10A6A"/>
    <w:rsid w:val="00E10B21"/>
    <w:rsid w:val="00E110B0"/>
    <w:rsid w:val="00E12FF3"/>
    <w:rsid w:val="00E1397E"/>
    <w:rsid w:val="00E16963"/>
    <w:rsid w:val="00E17747"/>
    <w:rsid w:val="00E17B2D"/>
    <w:rsid w:val="00E17EF0"/>
    <w:rsid w:val="00E22004"/>
    <w:rsid w:val="00E246E6"/>
    <w:rsid w:val="00E24D80"/>
    <w:rsid w:val="00E2590C"/>
    <w:rsid w:val="00E25A54"/>
    <w:rsid w:val="00E25CAF"/>
    <w:rsid w:val="00E25E68"/>
    <w:rsid w:val="00E263D1"/>
    <w:rsid w:val="00E26A30"/>
    <w:rsid w:val="00E305E1"/>
    <w:rsid w:val="00E318DA"/>
    <w:rsid w:val="00E31B35"/>
    <w:rsid w:val="00E31F7E"/>
    <w:rsid w:val="00E32BA1"/>
    <w:rsid w:val="00E34FD0"/>
    <w:rsid w:val="00E3653B"/>
    <w:rsid w:val="00E36FC7"/>
    <w:rsid w:val="00E40568"/>
    <w:rsid w:val="00E41552"/>
    <w:rsid w:val="00E41839"/>
    <w:rsid w:val="00E42CF6"/>
    <w:rsid w:val="00E42F76"/>
    <w:rsid w:val="00E42FB5"/>
    <w:rsid w:val="00E432BC"/>
    <w:rsid w:val="00E45F7A"/>
    <w:rsid w:val="00E47235"/>
    <w:rsid w:val="00E50BC9"/>
    <w:rsid w:val="00E536C2"/>
    <w:rsid w:val="00E54ABB"/>
    <w:rsid w:val="00E5660E"/>
    <w:rsid w:val="00E57557"/>
    <w:rsid w:val="00E579A0"/>
    <w:rsid w:val="00E60D72"/>
    <w:rsid w:val="00E62749"/>
    <w:rsid w:val="00E647F4"/>
    <w:rsid w:val="00E6750F"/>
    <w:rsid w:val="00E706DF"/>
    <w:rsid w:val="00E72728"/>
    <w:rsid w:val="00E72951"/>
    <w:rsid w:val="00E736F3"/>
    <w:rsid w:val="00E7671D"/>
    <w:rsid w:val="00E76BF9"/>
    <w:rsid w:val="00E8009C"/>
    <w:rsid w:val="00E81059"/>
    <w:rsid w:val="00E83C12"/>
    <w:rsid w:val="00E83C8C"/>
    <w:rsid w:val="00E866C6"/>
    <w:rsid w:val="00E904C8"/>
    <w:rsid w:val="00E914D2"/>
    <w:rsid w:val="00E91BA9"/>
    <w:rsid w:val="00E92221"/>
    <w:rsid w:val="00E92E29"/>
    <w:rsid w:val="00E94C23"/>
    <w:rsid w:val="00E9580B"/>
    <w:rsid w:val="00E95E33"/>
    <w:rsid w:val="00E95E44"/>
    <w:rsid w:val="00E97011"/>
    <w:rsid w:val="00E973AE"/>
    <w:rsid w:val="00E97473"/>
    <w:rsid w:val="00EA1099"/>
    <w:rsid w:val="00EA1BBF"/>
    <w:rsid w:val="00EA2B42"/>
    <w:rsid w:val="00EA46D5"/>
    <w:rsid w:val="00EA4E30"/>
    <w:rsid w:val="00EA6788"/>
    <w:rsid w:val="00EA6FC4"/>
    <w:rsid w:val="00EA6FF9"/>
    <w:rsid w:val="00EA739A"/>
    <w:rsid w:val="00EB18A1"/>
    <w:rsid w:val="00EB1AA6"/>
    <w:rsid w:val="00EB29A9"/>
    <w:rsid w:val="00EB317B"/>
    <w:rsid w:val="00EB3413"/>
    <w:rsid w:val="00EB415A"/>
    <w:rsid w:val="00EB588B"/>
    <w:rsid w:val="00EB6024"/>
    <w:rsid w:val="00EB615A"/>
    <w:rsid w:val="00EB6371"/>
    <w:rsid w:val="00EB77D2"/>
    <w:rsid w:val="00EC12AC"/>
    <w:rsid w:val="00EC12E5"/>
    <w:rsid w:val="00EC1AD2"/>
    <w:rsid w:val="00EC43A1"/>
    <w:rsid w:val="00EC6328"/>
    <w:rsid w:val="00EC6F47"/>
    <w:rsid w:val="00EC73BA"/>
    <w:rsid w:val="00ED08EF"/>
    <w:rsid w:val="00ED0D7A"/>
    <w:rsid w:val="00ED1380"/>
    <w:rsid w:val="00ED26BF"/>
    <w:rsid w:val="00ED603E"/>
    <w:rsid w:val="00ED60C2"/>
    <w:rsid w:val="00ED671A"/>
    <w:rsid w:val="00ED6ADC"/>
    <w:rsid w:val="00ED6D88"/>
    <w:rsid w:val="00EE05B2"/>
    <w:rsid w:val="00EE4E7F"/>
    <w:rsid w:val="00EE75E6"/>
    <w:rsid w:val="00EE7A63"/>
    <w:rsid w:val="00EF0C98"/>
    <w:rsid w:val="00EF33D3"/>
    <w:rsid w:val="00EF3770"/>
    <w:rsid w:val="00F0084F"/>
    <w:rsid w:val="00F039A1"/>
    <w:rsid w:val="00F03E6C"/>
    <w:rsid w:val="00F10D40"/>
    <w:rsid w:val="00F1124E"/>
    <w:rsid w:val="00F1376C"/>
    <w:rsid w:val="00F1400E"/>
    <w:rsid w:val="00F146FE"/>
    <w:rsid w:val="00F14EDD"/>
    <w:rsid w:val="00F154E7"/>
    <w:rsid w:val="00F159CA"/>
    <w:rsid w:val="00F15CFE"/>
    <w:rsid w:val="00F1639B"/>
    <w:rsid w:val="00F176EC"/>
    <w:rsid w:val="00F17E93"/>
    <w:rsid w:val="00F21806"/>
    <w:rsid w:val="00F2457C"/>
    <w:rsid w:val="00F249F3"/>
    <w:rsid w:val="00F24E50"/>
    <w:rsid w:val="00F24EBA"/>
    <w:rsid w:val="00F31210"/>
    <w:rsid w:val="00F31383"/>
    <w:rsid w:val="00F314AF"/>
    <w:rsid w:val="00F316C8"/>
    <w:rsid w:val="00F32A0E"/>
    <w:rsid w:val="00F32D4C"/>
    <w:rsid w:val="00F33F9F"/>
    <w:rsid w:val="00F34226"/>
    <w:rsid w:val="00F35EB8"/>
    <w:rsid w:val="00F37E58"/>
    <w:rsid w:val="00F415BD"/>
    <w:rsid w:val="00F41CAF"/>
    <w:rsid w:val="00F4289B"/>
    <w:rsid w:val="00F43D40"/>
    <w:rsid w:val="00F43D78"/>
    <w:rsid w:val="00F44434"/>
    <w:rsid w:val="00F4618F"/>
    <w:rsid w:val="00F47953"/>
    <w:rsid w:val="00F52245"/>
    <w:rsid w:val="00F53412"/>
    <w:rsid w:val="00F535EF"/>
    <w:rsid w:val="00F536CC"/>
    <w:rsid w:val="00F55308"/>
    <w:rsid w:val="00F56565"/>
    <w:rsid w:val="00F56CB0"/>
    <w:rsid w:val="00F5773A"/>
    <w:rsid w:val="00F60434"/>
    <w:rsid w:val="00F6098B"/>
    <w:rsid w:val="00F60ACB"/>
    <w:rsid w:val="00F62019"/>
    <w:rsid w:val="00F624FB"/>
    <w:rsid w:val="00F6263A"/>
    <w:rsid w:val="00F632DE"/>
    <w:rsid w:val="00F65310"/>
    <w:rsid w:val="00F6696C"/>
    <w:rsid w:val="00F7026A"/>
    <w:rsid w:val="00F70BBA"/>
    <w:rsid w:val="00F734FC"/>
    <w:rsid w:val="00F735E4"/>
    <w:rsid w:val="00F749D7"/>
    <w:rsid w:val="00F74F64"/>
    <w:rsid w:val="00F751D6"/>
    <w:rsid w:val="00F760F7"/>
    <w:rsid w:val="00F76E65"/>
    <w:rsid w:val="00F7755A"/>
    <w:rsid w:val="00F80294"/>
    <w:rsid w:val="00F80F3A"/>
    <w:rsid w:val="00F81DB4"/>
    <w:rsid w:val="00F822F2"/>
    <w:rsid w:val="00F83095"/>
    <w:rsid w:val="00F84713"/>
    <w:rsid w:val="00F856A5"/>
    <w:rsid w:val="00F86D2D"/>
    <w:rsid w:val="00F91981"/>
    <w:rsid w:val="00F927EE"/>
    <w:rsid w:val="00F92F3F"/>
    <w:rsid w:val="00F93299"/>
    <w:rsid w:val="00F95DB9"/>
    <w:rsid w:val="00F96936"/>
    <w:rsid w:val="00F977F5"/>
    <w:rsid w:val="00FA0564"/>
    <w:rsid w:val="00FA1046"/>
    <w:rsid w:val="00FA2569"/>
    <w:rsid w:val="00FA3986"/>
    <w:rsid w:val="00FA4595"/>
    <w:rsid w:val="00FA4DB0"/>
    <w:rsid w:val="00FA5145"/>
    <w:rsid w:val="00FA6259"/>
    <w:rsid w:val="00FA6E72"/>
    <w:rsid w:val="00FB0D4A"/>
    <w:rsid w:val="00FB4810"/>
    <w:rsid w:val="00FB4FB6"/>
    <w:rsid w:val="00FB538F"/>
    <w:rsid w:val="00FB5A6B"/>
    <w:rsid w:val="00FB69C7"/>
    <w:rsid w:val="00FB75F7"/>
    <w:rsid w:val="00FB7834"/>
    <w:rsid w:val="00FC2AF3"/>
    <w:rsid w:val="00FC30DB"/>
    <w:rsid w:val="00FC41CC"/>
    <w:rsid w:val="00FC584D"/>
    <w:rsid w:val="00FC5A3B"/>
    <w:rsid w:val="00FC69F3"/>
    <w:rsid w:val="00FC73EF"/>
    <w:rsid w:val="00FD023C"/>
    <w:rsid w:val="00FD0AEB"/>
    <w:rsid w:val="00FD1019"/>
    <w:rsid w:val="00FD2567"/>
    <w:rsid w:val="00FD4B6A"/>
    <w:rsid w:val="00FD5857"/>
    <w:rsid w:val="00FD7326"/>
    <w:rsid w:val="00FD7A09"/>
    <w:rsid w:val="00FE0962"/>
    <w:rsid w:val="00FE22AC"/>
    <w:rsid w:val="00FE2C37"/>
    <w:rsid w:val="00FE3CB2"/>
    <w:rsid w:val="00FE47FB"/>
    <w:rsid w:val="00FE5245"/>
    <w:rsid w:val="00FE629F"/>
    <w:rsid w:val="00FE6456"/>
    <w:rsid w:val="00FE6AB8"/>
    <w:rsid w:val="00FE6CBA"/>
    <w:rsid w:val="00FF03A8"/>
    <w:rsid w:val="00FF0DB2"/>
    <w:rsid w:val="00FF1128"/>
    <w:rsid w:val="00FF1BC2"/>
    <w:rsid w:val="00FF1FAF"/>
    <w:rsid w:val="00FF2B47"/>
    <w:rsid w:val="00FF41EA"/>
    <w:rsid w:val="00FF489D"/>
    <w:rsid w:val="00FF5361"/>
    <w:rsid w:val="00FF60D1"/>
    <w:rsid w:val="00FF63EA"/>
    <w:rsid w:val="00FF6572"/>
    <w:rsid w:val="00FF7705"/>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BBD89AF8-C9A5-4A8E-820C-9B93D5A7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47213F"/>
    <w:pPr>
      <w:numPr>
        <w:numId w:val="1"/>
      </w:numPr>
      <w:spacing w:after="0" w:line="288" w:lineRule="auto"/>
      <w:ind w:left="567" w:hanging="567"/>
      <w:jc w:val="both"/>
      <w:outlineLvl w:val="0"/>
    </w:pPr>
    <w:rPr>
      <w:rFonts w:ascii="Times New Roman" w:eastAsia="Times New Roman" w:hAnsi="Times New Roman"/>
      <w:kern w:val="28"/>
      <w:lang w:val="en-US"/>
    </w:rPr>
  </w:style>
  <w:style w:type="paragraph" w:styleId="Heading2">
    <w:name w:val="heading 2"/>
    <w:basedOn w:val="Normal"/>
    <w:next w:val="Normal"/>
    <w:link w:val="Heading2Char"/>
    <w:qFormat/>
    <w:rsid w:val="0047213F"/>
    <w:pPr>
      <w:numPr>
        <w:ilvl w:val="1"/>
        <w:numId w:val="1"/>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47213F"/>
    <w:pPr>
      <w:numPr>
        <w:ilvl w:val="2"/>
        <w:numId w:val="1"/>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47213F"/>
    <w:pPr>
      <w:numPr>
        <w:ilvl w:val="3"/>
        <w:numId w:val="1"/>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47213F"/>
    <w:pPr>
      <w:numPr>
        <w:ilvl w:val="4"/>
        <w:numId w:val="1"/>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47213F"/>
    <w:pPr>
      <w:numPr>
        <w:ilvl w:val="5"/>
        <w:numId w:val="1"/>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47213F"/>
    <w:pPr>
      <w:numPr>
        <w:ilvl w:val="6"/>
        <w:numId w:val="1"/>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47213F"/>
    <w:pPr>
      <w:numPr>
        <w:ilvl w:val="7"/>
        <w:numId w:val="1"/>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47213F"/>
    <w:pPr>
      <w:numPr>
        <w:ilvl w:val="8"/>
        <w:numId w:val="1"/>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16F"/>
    <w:pPr>
      <w:tabs>
        <w:tab w:val="center" w:pos="4513"/>
        <w:tab w:val="right" w:pos="9026"/>
      </w:tabs>
    </w:pPr>
  </w:style>
  <w:style w:type="character" w:customStyle="1" w:styleId="HeaderChar">
    <w:name w:val="Header Char"/>
    <w:link w:val="Header"/>
    <w:uiPriority w:val="99"/>
    <w:rsid w:val="0084616F"/>
    <w:rPr>
      <w:sz w:val="22"/>
      <w:szCs w:val="22"/>
      <w:lang w:eastAsia="en-US"/>
    </w:rPr>
  </w:style>
  <w:style w:type="paragraph" w:styleId="Footer">
    <w:name w:val="footer"/>
    <w:basedOn w:val="Normal"/>
    <w:link w:val="FooterChar"/>
    <w:uiPriority w:val="99"/>
    <w:unhideWhenUsed/>
    <w:rsid w:val="0084616F"/>
    <w:pPr>
      <w:tabs>
        <w:tab w:val="center" w:pos="4513"/>
        <w:tab w:val="right" w:pos="9026"/>
      </w:tabs>
    </w:pPr>
  </w:style>
  <w:style w:type="character" w:customStyle="1" w:styleId="FooterChar">
    <w:name w:val="Footer Char"/>
    <w:link w:val="Footer"/>
    <w:uiPriority w:val="99"/>
    <w:rsid w:val="0084616F"/>
    <w:rPr>
      <w:sz w:val="22"/>
      <w:szCs w:val="22"/>
      <w:lang w:eastAsia="en-US"/>
    </w:rPr>
  </w:style>
  <w:style w:type="character" w:customStyle="1" w:styleId="Heading1Char">
    <w:name w:val="Heading 1 Char"/>
    <w:link w:val="Heading1"/>
    <w:rsid w:val="0047213F"/>
    <w:rPr>
      <w:rFonts w:ascii="Times New Roman" w:eastAsia="Times New Roman" w:hAnsi="Times New Roman"/>
      <w:kern w:val="28"/>
      <w:sz w:val="22"/>
      <w:szCs w:val="22"/>
      <w:lang w:val="en-US" w:eastAsia="en-US"/>
    </w:rPr>
  </w:style>
  <w:style w:type="character" w:customStyle="1" w:styleId="Heading2Char">
    <w:name w:val="Heading 2 Char"/>
    <w:link w:val="Heading2"/>
    <w:rsid w:val="0047213F"/>
    <w:rPr>
      <w:rFonts w:ascii="Times New Roman" w:eastAsia="Times New Roman" w:hAnsi="Times New Roman"/>
      <w:sz w:val="22"/>
      <w:szCs w:val="22"/>
      <w:lang w:val="en-US" w:eastAsia="en-US"/>
    </w:rPr>
  </w:style>
  <w:style w:type="character" w:customStyle="1" w:styleId="Heading3Char">
    <w:name w:val="Heading 3 Char"/>
    <w:link w:val="Heading3"/>
    <w:rsid w:val="0047213F"/>
    <w:rPr>
      <w:rFonts w:ascii="Times New Roman" w:eastAsia="Times New Roman" w:hAnsi="Times New Roman"/>
      <w:sz w:val="22"/>
      <w:szCs w:val="22"/>
      <w:lang w:val="en-US" w:eastAsia="en-US"/>
    </w:rPr>
  </w:style>
  <w:style w:type="character" w:customStyle="1" w:styleId="Heading4Char">
    <w:name w:val="Heading 4 Char"/>
    <w:link w:val="Heading4"/>
    <w:rsid w:val="0047213F"/>
    <w:rPr>
      <w:rFonts w:ascii="Times New Roman" w:eastAsia="Times New Roman" w:hAnsi="Times New Roman"/>
      <w:sz w:val="22"/>
      <w:szCs w:val="22"/>
      <w:lang w:val="en-US" w:eastAsia="en-US"/>
    </w:rPr>
  </w:style>
  <w:style w:type="character" w:customStyle="1" w:styleId="Heading5Char">
    <w:name w:val="Heading 5 Char"/>
    <w:link w:val="Heading5"/>
    <w:rsid w:val="0047213F"/>
    <w:rPr>
      <w:rFonts w:ascii="Times New Roman" w:eastAsia="Times New Roman" w:hAnsi="Times New Roman"/>
      <w:sz w:val="22"/>
      <w:szCs w:val="22"/>
      <w:lang w:val="en-US" w:eastAsia="en-US"/>
    </w:rPr>
  </w:style>
  <w:style w:type="character" w:customStyle="1" w:styleId="Heading6Char">
    <w:name w:val="Heading 6 Char"/>
    <w:link w:val="Heading6"/>
    <w:rsid w:val="0047213F"/>
    <w:rPr>
      <w:rFonts w:ascii="Times New Roman" w:eastAsia="Times New Roman" w:hAnsi="Times New Roman"/>
      <w:sz w:val="22"/>
      <w:szCs w:val="22"/>
      <w:lang w:val="en-US" w:eastAsia="en-US"/>
    </w:rPr>
  </w:style>
  <w:style w:type="character" w:customStyle="1" w:styleId="Heading7Char">
    <w:name w:val="Heading 7 Char"/>
    <w:link w:val="Heading7"/>
    <w:rsid w:val="0047213F"/>
    <w:rPr>
      <w:rFonts w:ascii="Times New Roman" w:eastAsia="Times New Roman" w:hAnsi="Times New Roman"/>
      <w:sz w:val="22"/>
      <w:szCs w:val="22"/>
      <w:lang w:val="en-US" w:eastAsia="en-US"/>
    </w:rPr>
  </w:style>
  <w:style w:type="character" w:customStyle="1" w:styleId="Heading8Char">
    <w:name w:val="Heading 8 Char"/>
    <w:link w:val="Heading8"/>
    <w:rsid w:val="0047213F"/>
    <w:rPr>
      <w:rFonts w:ascii="Times New Roman" w:eastAsia="Times New Roman" w:hAnsi="Times New Roman"/>
      <w:sz w:val="22"/>
      <w:szCs w:val="22"/>
      <w:lang w:val="en-US" w:eastAsia="en-US"/>
    </w:rPr>
  </w:style>
  <w:style w:type="character" w:customStyle="1" w:styleId="Heading9Char">
    <w:name w:val="Heading 9 Char"/>
    <w:link w:val="Heading9"/>
    <w:rsid w:val="0047213F"/>
    <w:rPr>
      <w:rFonts w:ascii="Times New Roman" w:eastAsia="Times New Roman" w:hAnsi="Times New Roman"/>
      <w:sz w:val="22"/>
      <w:szCs w:val="22"/>
      <w:lang w:val="en-US" w:eastAsia="en-US"/>
    </w:rPr>
  </w:style>
  <w:style w:type="paragraph" w:styleId="Revision">
    <w:name w:val="Revision"/>
    <w:hidden/>
    <w:uiPriority w:val="99"/>
    <w:semiHidden/>
    <w:rsid w:val="006D16F4"/>
    <w:rPr>
      <w:sz w:val="22"/>
      <w:szCs w:val="22"/>
      <w:lang w:val="en-GB" w:eastAsia="en-US"/>
    </w:rPr>
  </w:style>
  <w:style w:type="paragraph" w:styleId="FootnoteText">
    <w:name w:val="footnote text"/>
    <w:basedOn w:val="Normal"/>
    <w:link w:val="FootnoteTextChar"/>
    <w:uiPriority w:val="99"/>
    <w:semiHidden/>
    <w:unhideWhenUsed/>
    <w:rsid w:val="008A6E2B"/>
    <w:rPr>
      <w:sz w:val="20"/>
      <w:szCs w:val="20"/>
    </w:rPr>
  </w:style>
  <w:style w:type="character" w:customStyle="1" w:styleId="FootnoteTextChar">
    <w:name w:val="Footnote Text Char"/>
    <w:link w:val="FootnoteText"/>
    <w:uiPriority w:val="99"/>
    <w:semiHidden/>
    <w:rsid w:val="008A6E2B"/>
    <w:rPr>
      <w:lang w:val="en-GB" w:eastAsia="en-US"/>
    </w:rPr>
  </w:style>
  <w:style w:type="character" w:styleId="FootnoteReference">
    <w:name w:val="footnote reference"/>
    <w:uiPriority w:val="99"/>
    <w:semiHidden/>
    <w:unhideWhenUsed/>
    <w:rsid w:val="008A6E2B"/>
    <w:rPr>
      <w:vertAlign w:val="superscript"/>
    </w:rPr>
  </w:style>
  <w:style w:type="character" w:styleId="Hyperlink">
    <w:name w:val="Hyperlink"/>
    <w:uiPriority w:val="99"/>
    <w:unhideWhenUsed/>
    <w:rsid w:val="006B0A3E"/>
    <w:rPr>
      <w:color w:val="0563C1"/>
      <w:u w:val="single"/>
    </w:rPr>
  </w:style>
  <w:style w:type="character" w:styleId="UnresolvedMention">
    <w:name w:val="Unresolved Mention"/>
    <w:uiPriority w:val="99"/>
    <w:semiHidden/>
    <w:unhideWhenUsed/>
    <w:rsid w:val="006B0A3E"/>
    <w:rPr>
      <w:color w:val="605E5C"/>
      <w:shd w:val="clear" w:color="auto" w:fill="E1DFDD"/>
    </w:rPr>
  </w:style>
  <w:style w:type="character" w:styleId="FollowedHyperlink">
    <w:name w:val="FollowedHyperlink"/>
    <w:uiPriority w:val="99"/>
    <w:semiHidden/>
    <w:unhideWhenUsed/>
    <w:rsid w:val="00E95E33"/>
    <w:rPr>
      <w:color w:val="954F72"/>
      <w:u w:val="single"/>
    </w:rPr>
  </w:style>
  <w:style w:type="character" w:styleId="CommentReference">
    <w:name w:val="annotation reference"/>
    <w:uiPriority w:val="99"/>
    <w:semiHidden/>
    <w:unhideWhenUsed/>
    <w:rsid w:val="00F760F7"/>
    <w:rPr>
      <w:sz w:val="16"/>
      <w:szCs w:val="16"/>
    </w:rPr>
  </w:style>
  <w:style w:type="paragraph" w:styleId="CommentText">
    <w:name w:val="annotation text"/>
    <w:basedOn w:val="Normal"/>
    <w:link w:val="CommentTextChar"/>
    <w:uiPriority w:val="99"/>
    <w:unhideWhenUsed/>
    <w:rsid w:val="00F760F7"/>
    <w:rPr>
      <w:sz w:val="20"/>
      <w:szCs w:val="20"/>
    </w:rPr>
  </w:style>
  <w:style w:type="character" w:customStyle="1" w:styleId="CommentTextChar">
    <w:name w:val="Comment Text Char"/>
    <w:link w:val="CommentText"/>
    <w:uiPriority w:val="99"/>
    <w:rsid w:val="00F760F7"/>
    <w:rPr>
      <w:lang w:val="en-GB" w:eastAsia="en-US"/>
    </w:rPr>
  </w:style>
  <w:style w:type="paragraph" w:styleId="CommentSubject">
    <w:name w:val="annotation subject"/>
    <w:basedOn w:val="CommentText"/>
    <w:next w:val="CommentText"/>
    <w:link w:val="CommentSubjectChar"/>
    <w:uiPriority w:val="99"/>
    <w:semiHidden/>
    <w:unhideWhenUsed/>
    <w:rsid w:val="00F760F7"/>
    <w:rPr>
      <w:b/>
      <w:bCs/>
    </w:rPr>
  </w:style>
  <w:style w:type="character" w:customStyle="1" w:styleId="CommentSubjectChar">
    <w:name w:val="Comment Subject Char"/>
    <w:link w:val="CommentSubject"/>
    <w:uiPriority w:val="99"/>
    <w:semiHidden/>
    <w:rsid w:val="00F760F7"/>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21">
      <w:bodyDiv w:val="1"/>
      <w:marLeft w:val="0"/>
      <w:marRight w:val="0"/>
      <w:marTop w:val="0"/>
      <w:marBottom w:val="0"/>
      <w:divBdr>
        <w:top w:val="none" w:sz="0" w:space="0" w:color="auto"/>
        <w:left w:val="none" w:sz="0" w:space="0" w:color="auto"/>
        <w:bottom w:val="none" w:sz="0" w:space="0" w:color="auto"/>
        <w:right w:val="none" w:sz="0" w:space="0" w:color="auto"/>
      </w:divBdr>
    </w:div>
    <w:div w:id="133958044">
      <w:bodyDiv w:val="1"/>
      <w:marLeft w:val="0"/>
      <w:marRight w:val="0"/>
      <w:marTop w:val="0"/>
      <w:marBottom w:val="0"/>
      <w:divBdr>
        <w:top w:val="none" w:sz="0" w:space="0" w:color="auto"/>
        <w:left w:val="none" w:sz="0" w:space="0" w:color="auto"/>
        <w:bottom w:val="none" w:sz="0" w:space="0" w:color="auto"/>
        <w:right w:val="none" w:sz="0" w:space="0" w:color="auto"/>
      </w:divBdr>
    </w:div>
    <w:div w:id="1106197913">
      <w:bodyDiv w:val="1"/>
      <w:marLeft w:val="0"/>
      <w:marRight w:val="0"/>
      <w:marTop w:val="0"/>
      <w:marBottom w:val="0"/>
      <w:divBdr>
        <w:top w:val="none" w:sz="0" w:space="0" w:color="auto"/>
        <w:left w:val="none" w:sz="0" w:space="0" w:color="auto"/>
        <w:bottom w:val="none" w:sz="0" w:space="0" w:color="auto"/>
        <w:right w:val="none" w:sz="0" w:space="0" w:color="auto"/>
      </w:divBdr>
    </w:div>
    <w:div w:id="1430194266">
      <w:bodyDiv w:val="1"/>
      <w:marLeft w:val="0"/>
      <w:marRight w:val="0"/>
      <w:marTop w:val="0"/>
      <w:marBottom w:val="0"/>
      <w:divBdr>
        <w:top w:val="none" w:sz="0" w:space="0" w:color="auto"/>
        <w:left w:val="none" w:sz="0" w:space="0" w:color="auto"/>
        <w:bottom w:val="none" w:sz="0" w:space="0" w:color="auto"/>
        <w:right w:val="none" w:sz="0" w:space="0" w:color="auto"/>
      </w:divBdr>
    </w:div>
    <w:div w:id="1502501049">
      <w:bodyDiv w:val="1"/>
      <w:marLeft w:val="0"/>
      <w:marRight w:val="0"/>
      <w:marTop w:val="0"/>
      <w:marBottom w:val="0"/>
      <w:divBdr>
        <w:top w:val="none" w:sz="0" w:space="0" w:color="auto"/>
        <w:left w:val="none" w:sz="0" w:space="0" w:color="auto"/>
        <w:bottom w:val="none" w:sz="0" w:space="0" w:color="auto"/>
        <w:right w:val="none" w:sz="0" w:space="0" w:color="auto"/>
      </w:divBdr>
    </w:div>
    <w:div w:id="193470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dir/2009/50/oj/eng" TargetMode="External"/><Relationship Id="rId3" Type="http://schemas.openxmlformats.org/officeDocument/2006/relationships/hyperlink" Target="https://op.europa.eu/en/publication-detail/-/publication/d81a0d54-5348-11ed-92ed-01aa75ed71a1/language-en" TargetMode="External"/><Relationship Id="rId7" Type="http://schemas.openxmlformats.org/officeDocument/2006/relationships/hyperlink" Target="https://commission.europa.eu/document/download/e6cd4328-673c-4e7a-8683-f63ffb2cf648_en?filename=Political%20Guidelines%202024-2029_EN.pdf" TargetMode="External"/><Relationship Id="rId2" Type="http://schemas.openxmlformats.org/officeDocument/2006/relationships/hyperlink" Target="https://eur-lex.europa.eu/legal-content/EN/TXT/?uri=celex:52025DC0089" TargetMode="External"/><Relationship Id="rId1" Type="http://schemas.openxmlformats.org/officeDocument/2006/relationships/hyperlink" Target="https://eur-lex.europa.eu/legal-content/EN/TXT/?uri=celex:52025DC0089" TargetMode="External"/><Relationship Id="rId6" Type="http://schemas.openxmlformats.org/officeDocument/2006/relationships/hyperlink" Target="https://eur-lex.europa.eu/eli/reg/2024/1689/oj/eng" TargetMode="External"/><Relationship Id="rId5" Type="http://schemas.openxmlformats.org/officeDocument/2006/relationships/hyperlink" Target="https://erasmus-plus.ec.europa.eu/" TargetMode="External"/><Relationship Id="rId10" Type="http://schemas.openxmlformats.org/officeDocument/2006/relationships/hyperlink" Target="https://eur-lex.europa.eu/legal-content/EN/TXT/?uri=oj:JOC_2016_067_R_0001" TargetMode="External"/><Relationship Id="rId4" Type="http://schemas.openxmlformats.org/officeDocument/2006/relationships/hyperlink" Target="https://joint-research-centre.ec.europa.eu/projects-and-activities/education-and-training/digital-transformation-education/digital-competence-framework-citizens-digcomp_en" TargetMode="External"/><Relationship Id="rId9" Type="http://schemas.openxmlformats.org/officeDocument/2006/relationships/hyperlink" Target="https://eur-lex.europa.eu/legal-content/EN/TXT/?uri=celex%3A32013H0426%28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41165-3F20-4E43-980E-CED70601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1738</Words>
  <Characters>9650</Characters>
  <Application>Microsoft Office Word</Application>
  <DocSecurity>0</DocSecurity>
  <Lines>125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VERBOEKET Robert (SG)</dc:creator>
  <cp:lastModifiedBy>ROSSI Simona (SG-EXT)</cp:lastModifiedBy>
  <cp:revision>2</cp:revision>
  <dcterms:created xsi:type="dcterms:W3CDTF">2026-03-18T13:27:00Z</dcterms:created>
  <dcterms:modified xsi:type="dcterms:W3CDTF">2026-03-18T13:27:00Z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2026-03-11T13:48:09Z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13844adc-4cd9-4e29-aa51-b684588ac3d1</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