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144447" w:rsidRDefault="00077C4F" w:rsidP="00554137">
      <w:pPr>
        <w:spacing w:after="0" w:line="240" w:lineRule="auto"/>
        <w:ind w:left="-709"/>
        <w:rPr>
          <w:rFonts w:ascii="Times New Roman" w:hAnsi="Times New Roman"/>
          <w:bCs/>
          <w:sz w:val="4"/>
          <w:szCs w:val="4"/>
        </w:rPr>
      </w:pPr>
    </w:p>
    <w:tbl>
      <w:tblPr>
        <w:tblW w:w="1024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43"/>
      </w:tblGrid>
      <w:tr w:rsidR="001C4138" w:rsidRPr="00144447" w14:paraId="7E6372DC" w14:textId="77777777" w:rsidTr="7647D990">
        <w:trPr>
          <w:jc w:val="center"/>
        </w:trPr>
        <w:tc>
          <w:tcPr>
            <w:tcW w:w="10243" w:type="dxa"/>
          </w:tcPr>
          <w:p w14:paraId="3A4EDC3A" w14:textId="53C7F8FF" w:rsidR="001C4138" w:rsidRPr="00ED0093" w:rsidRDefault="002F2F5E" w:rsidP="00ED0093">
            <w:pPr>
              <w:pStyle w:val="ListHeader"/>
              <w:spacing w:before="120" w:after="120" w:line="276" w:lineRule="auto"/>
              <w:rPr>
                <w:rFonts w:ascii="Times New Roman" w:hAnsi="Times New Roman"/>
                <w:b w:val="0"/>
                <w:sz w:val="24"/>
                <w:szCs w:val="24"/>
                <w:lang w:val="en-IE"/>
              </w:rPr>
            </w:pPr>
            <w:r w:rsidRPr="00ED0093">
              <w:rPr>
                <w:rFonts w:ascii="Times New Roman" w:hAnsi="Times New Roman" w:cs="Times New Roman"/>
                <w:sz w:val="24"/>
                <w:szCs w:val="24"/>
                <w:lang w:val="en-IE"/>
              </w:rPr>
              <w:t>Labor rights for journalists</w:t>
            </w:r>
            <w:r w:rsidR="004434B4" w:rsidRPr="00ED0093">
              <w:rPr>
                <w:rFonts w:ascii="Times New Roman" w:hAnsi="Times New Roman" w:cs="Times New Roman"/>
                <w:b w:val="0"/>
                <w:sz w:val="24"/>
                <w:szCs w:val="24"/>
                <w:lang w:val="en-IE"/>
              </w:rPr>
              <w:t xml:space="preserve"> </w:t>
            </w:r>
            <w:r w:rsidR="004434B4" w:rsidRPr="00ED0093">
              <w:rPr>
                <w:rFonts w:ascii="Times New Roman" w:hAnsi="Times New Roman" w:cs="Times New Roman"/>
                <w:color w:val="auto"/>
                <w:sz w:val="24"/>
                <w:szCs w:val="24"/>
                <w:lang w:val="en-GB"/>
              </w:rPr>
              <w:t>and media professionals as a safeguard for independence and truthful information</w:t>
            </w:r>
            <w:r w:rsidR="004434B4" w:rsidRPr="00ED0093">
              <w:rPr>
                <w:rFonts w:ascii="Times New Roman" w:hAnsi="Times New Roman" w:cs="Times New Roman"/>
                <w:color w:val="auto"/>
                <w:sz w:val="24"/>
                <w:szCs w:val="24"/>
                <w:lang w:val="en-GB"/>
              </w:rPr>
              <w:br/>
            </w:r>
            <w:r w:rsidR="00554137" w:rsidRPr="00ED0093">
              <w:rPr>
                <w:rFonts w:ascii="Times New Roman" w:hAnsi="Times New Roman" w:cs="Times New Roman"/>
                <w:sz w:val="24"/>
                <w:szCs w:val="24"/>
                <w:lang w:val="en-IE"/>
              </w:rPr>
              <w:t xml:space="preserve">(own </w:t>
            </w:r>
            <w:r w:rsidR="00D51282">
              <w:rPr>
                <w:rFonts w:ascii="Times New Roman" w:hAnsi="Times New Roman" w:cs="Times New Roman"/>
                <w:sz w:val="24"/>
                <w:szCs w:val="24"/>
                <w:lang w:val="en-IE"/>
              </w:rPr>
              <w:t xml:space="preserve">- </w:t>
            </w:r>
            <w:r w:rsidR="00554137" w:rsidRPr="00ED0093">
              <w:rPr>
                <w:rFonts w:ascii="Times New Roman" w:hAnsi="Times New Roman" w:cs="Times New Roman"/>
                <w:sz w:val="24"/>
                <w:szCs w:val="24"/>
                <w:lang w:val="en-IE"/>
              </w:rPr>
              <w:t>initiative opinion)</w:t>
            </w:r>
            <w:r w:rsidR="00C37BDD" w:rsidRPr="00ED0093">
              <w:rPr>
                <w:rFonts w:ascii="Times New Roman" w:hAnsi="Times New Roman" w:cs="Times New Roman"/>
                <w:sz w:val="24"/>
                <w:szCs w:val="24"/>
                <w:lang w:val="en-IE"/>
              </w:rPr>
              <w:t xml:space="preserve"> </w:t>
            </w:r>
            <w:r w:rsidR="001C4138" w:rsidRPr="00ED0093">
              <w:rPr>
                <w:rFonts w:ascii="Times New Roman" w:hAnsi="Times New Roman" w:cs="Times New Roman"/>
                <w:sz w:val="24"/>
                <w:szCs w:val="24"/>
                <w:lang w:val="en-IE"/>
              </w:rPr>
              <w:br/>
              <w:t>EESC-202</w:t>
            </w:r>
            <w:r w:rsidR="00554137" w:rsidRPr="00ED0093">
              <w:rPr>
                <w:rFonts w:ascii="Times New Roman" w:hAnsi="Times New Roman" w:cs="Times New Roman"/>
                <w:sz w:val="24"/>
                <w:szCs w:val="24"/>
                <w:lang w:val="en-IE"/>
              </w:rPr>
              <w:t>5</w:t>
            </w:r>
            <w:r w:rsidR="001C4138" w:rsidRPr="00ED0093">
              <w:rPr>
                <w:rFonts w:ascii="Times New Roman" w:hAnsi="Times New Roman" w:cs="Times New Roman"/>
                <w:sz w:val="24"/>
                <w:szCs w:val="24"/>
                <w:lang w:val="en-IE"/>
              </w:rPr>
              <w:t>-</w:t>
            </w:r>
            <w:r w:rsidRPr="00ED0093">
              <w:rPr>
                <w:rFonts w:ascii="Times New Roman" w:hAnsi="Times New Roman" w:cs="Times New Roman"/>
                <w:sz w:val="24"/>
                <w:szCs w:val="24"/>
                <w:lang w:val="en-IE"/>
              </w:rPr>
              <w:t>01400</w:t>
            </w:r>
            <w:r w:rsidR="001C4138" w:rsidRPr="00ED0093">
              <w:rPr>
                <w:rFonts w:ascii="Times New Roman" w:hAnsi="Times New Roman" w:cs="Times New Roman"/>
                <w:sz w:val="24"/>
                <w:szCs w:val="24"/>
                <w:lang w:val="en-IE"/>
              </w:rPr>
              <w:t xml:space="preserve"> ‒ </w:t>
            </w:r>
            <w:r w:rsidRPr="00ED0093">
              <w:rPr>
                <w:rFonts w:ascii="Times New Roman" w:hAnsi="Times New Roman" w:cs="Times New Roman"/>
                <w:sz w:val="24"/>
                <w:szCs w:val="24"/>
                <w:lang w:val="en-IE"/>
              </w:rPr>
              <w:t>SOC/828</w:t>
            </w:r>
            <w:r w:rsidR="001C4138" w:rsidRPr="00ED0093">
              <w:rPr>
                <w:rFonts w:ascii="Times New Roman" w:hAnsi="Times New Roman" w:cs="Times New Roman"/>
                <w:sz w:val="24"/>
                <w:szCs w:val="24"/>
                <w:lang w:val="en-IE"/>
              </w:rPr>
              <w:br/>
            </w:r>
            <w:r w:rsidRPr="00ED0093">
              <w:rPr>
                <w:rFonts w:ascii="Times New Roman" w:hAnsi="Times New Roman" w:cs="Times New Roman"/>
                <w:sz w:val="24"/>
                <w:szCs w:val="24"/>
                <w:lang w:val="en-IE"/>
              </w:rPr>
              <w:t>601</w:t>
            </w:r>
            <w:r w:rsidR="001C4138" w:rsidRPr="00ED0093">
              <w:rPr>
                <w:rFonts w:ascii="Times New Roman" w:hAnsi="Times New Roman" w:cs="Times New Roman"/>
                <w:sz w:val="24"/>
                <w:szCs w:val="24"/>
                <w:vertAlign w:val="superscript"/>
                <w:lang w:val="en-IE"/>
              </w:rPr>
              <w:t>st</w:t>
            </w:r>
            <w:r w:rsidR="001C4138" w:rsidRPr="00ED0093">
              <w:rPr>
                <w:rFonts w:ascii="Times New Roman" w:hAnsi="Times New Roman" w:cs="Times New Roman"/>
                <w:sz w:val="24"/>
                <w:szCs w:val="24"/>
                <w:lang w:val="en-IE"/>
              </w:rPr>
              <w:t xml:space="preserve"> Plenary Session –</w:t>
            </w:r>
            <w:r w:rsidRPr="00ED0093">
              <w:rPr>
                <w:rFonts w:ascii="Times New Roman" w:hAnsi="Times New Roman" w:cs="Times New Roman"/>
                <w:sz w:val="24"/>
                <w:szCs w:val="24"/>
                <w:lang w:val="en-IE"/>
              </w:rPr>
              <w:t xml:space="preserve"> December 2025</w:t>
            </w:r>
            <w:r w:rsidR="001C4138" w:rsidRPr="00ED0093">
              <w:rPr>
                <w:rFonts w:ascii="Times New Roman" w:hAnsi="Times New Roman" w:cs="Times New Roman"/>
                <w:sz w:val="24"/>
                <w:szCs w:val="24"/>
                <w:lang w:val="en-IE"/>
              </w:rPr>
              <w:br/>
              <w:t>Rapporteur:</w:t>
            </w:r>
            <w:r w:rsidRPr="00ED0093">
              <w:rPr>
                <w:rFonts w:ascii="Times New Roman" w:hAnsi="Times New Roman" w:cs="Times New Roman"/>
                <w:sz w:val="24"/>
                <w:szCs w:val="24"/>
                <w:lang w:val="en-IE"/>
              </w:rPr>
              <w:t xml:space="preserve"> José Antonio MORENO DÍAZ</w:t>
            </w:r>
            <w:r w:rsidR="001C4138" w:rsidRPr="00ED0093">
              <w:rPr>
                <w:rFonts w:ascii="Times New Roman" w:hAnsi="Times New Roman" w:cs="Times New Roman"/>
                <w:sz w:val="24"/>
                <w:szCs w:val="24"/>
                <w:lang w:val="en-IE"/>
              </w:rPr>
              <w:t xml:space="preserve"> </w:t>
            </w:r>
            <w:r w:rsidRPr="00ED0093">
              <w:rPr>
                <w:rFonts w:ascii="Times New Roman" w:hAnsi="Times New Roman" w:cs="Times New Roman"/>
                <w:sz w:val="24"/>
                <w:szCs w:val="24"/>
                <w:lang w:val="en-IE"/>
              </w:rPr>
              <w:t>(ES-II)</w:t>
            </w:r>
            <w:r w:rsidR="001C4138" w:rsidRPr="00ED0093">
              <w:rPr>
                <w:rFonts w:ascii="Times New Roman" w:hAnsi="Times New Roman" w:cs="Times New Roman"/>
                <w:sz w:val="24"/>
                <w:szCs w:val="24"/>
                <w:lang w:val="en-IE"/>
              </w:rPr>
              <w:br/>
              <w:t>DG</w:t>
            </w:r>
            <w:r w:rsidRPr="00ED0093">
              <w:rPr>
                <w:rFonts w:ascii="Times New Roman" w:hAnsi="Times New Roman" w:cs="Times New Roman"/>
                <w:sz w:val="24"/>
                <w:szCs w:val="24"/>
                <w:lang w:val="en-IE"/>
              </w:rPr>
              <w:t xml:space="preserve"> EMPL</w:t>
            </w:r>
            <w:r w:rsidR="001C4138" w:rsidRPr="00ED0093">
              <w:rPr>
                <w:rFonts w:ascii="Times New Roman" w:hAnsi="Times New Roman" w:cs="Times New Roman"/>
                <w:sz w:val="24"/>
                <w:szCs w:val="24"/>
                <w:lang w:val="en-IE"/>
              </w:rPr>
              <w:t xml:space="preserve"> –</w:t>
            </w:r>
            <w:r w:rsidR="00504EAA" w:rsidRPr="00ED0093">
              <w:rPr>
                <w:rFonts w:ascii="Times New Roman" w:hAnsi="Times New Roman" w:cs="Times New Roman"/>
                <w:sz w:val="24"/>
                <w:szCs w:val="24"/>
                <w:lang w:val="en-IE"/>
              </w:rPr>
              <w:t xml:space="preserve"> </w:t>
            </w:r>
            <w:r w:rsidR="004A7932" w:rsidRPr="00ED0093">
              <w:rPr>
                <w:rFonts w:ascii="Times New Roman" w:hAnsi="Times New Roman" w:cs="Times New Roman"/>
                <w:kern w:val="28"/>
                <w:sz w:val="24"/>
                <w:szCs w:val="24"/>
                <w:lang w:val="en-IE"/>
              </w:rPr>
              <w:t>Executive Vice-President</w:t>
            </w:r>
            <w:r w:rsidRPr="00ED0093">
              <w:rPr>
                <w:rFonts w:ascii="Times New Roman" w:hAnsi="Times New Roman" w:cs="Times New Roman"/>
                <w:kern w:val="28"/>
                <w:sz w:val="24"/>
                <w:szCs w:val="24"/>
                <w:lang w:val="en-IE"/>
              </w:rPr>
              <w:t xml:space="preserve"> MÎNZATU</w:t>
            </w:r>
          </w:p>
        </w:tc>
      </w:tr>
      <w:tr w:rsidR="00734613" w:rsidRPr="00144447" w14:paraId="1937071F" w14:textId="77777777" w:rsidTr="7647D990">
        <w:trPr>
          <w:jc w:val="center"/>
        </w:trPr>
        <w:tc>
          <w:tcPr>
            <w:tcW w:w="10243" w:type="dxa"/>
          </w:tcPr>
          <w:p w14:paraId="1E50B4DB" w14:textId="6210B328" w:rsidR="00734613" w:rsidRPr="00144447" w:rsidRDefault="004F6117" w:rsidP="004F6117">
            <w:pPr>
              <w:spacing w:before="120" w:after="120"/>
              <w:jc w:val="center"/>
              <w:rPr>
                <w:rFonts w:ascii="Times New Roman" w:hAnsi="Times New Roman"/>
                <w:b/>
                <w:sz w:val="24"/>
                <w:szCs w:val="24"/>
              </w:rPr>
            </w:pPr>
            <w:r w:rsidRPr="00144447">
              <w:rPr>
                <w:rFonts w:ascii="Times New Roman" w:hAnsi="Times New Roman"/>
                <w:b/>
                <w:sz w:val="24"/>
                <w:szCs w:val="24"/>
              </w:rPr>
              <w:t xml:space="preserve">European Commission position on points </w:t>
            </w:r>
            <w:r w:rsidRPr="00144447">
              <w:rPr>
                <w:rFonts w:ascii="Times New Roman" w:hAnsi="Times New Roman"/>
                <w:b/>
                <w:sz w:val="24"/>
                <w:szCs w:val="24"/>
              </w:rPr>
              <w:br/>
              <w:t xml:space="preserve">of the European Economic and Social Committee </w:t>
            </w:r>
            <w:r w:rsidR="00554137" w:rsidRPr="00144447">
              <w:rPr>
                <w:rFonts w:ascii="Times New Roman" w:hAnsi="Times New Roman"/>
                <w:b/>
                <w:sz w:val="24"/>
                <w:szCs w:val="24"/>
              </w:rPr>
              <w:t xml:space="preserve">(EESC) </w:t>
            </w:r>
            <w:r w:rsidRPr="00144447">
              <w:rPr>
                <w:rFonts w:ascii="Times New Roman" w:hAnsi="Times New Roman"/>
                <w:b/>
                <w:sz w:val="24"/>
                <w:szCs w:val="24"/>
              </w:rPr>
              <w:t>opinion</w:t>
            </w:r>
            <w:r w:rsidR="00E83C12" w:rsidRPr="00144447">
              <w:rPr>
                <w:rFonts w:ascii="Times New Roman" w:hAnsi="Times New Roman"/>
                <w:b/>
                <w:sz w:val="24"/>
                <w:szCs w:val="24"/>
              </w:rPr>
              <w:t xml:space="preserve"> considered as essential</w:t>
            </w:r>
          </w:p>
        </w:tc>
      </w:tr>
      <w:tr w:rsidR="00734613" w:rsidRPr="00144447" w14:paraId="673DDC1B" w14:textId="77777777" w:rsidTr="7647D990">
        <w:trPr>
          <w:jc w:val="center"/>
        </w:trPr>
        <w:tc>
          <w:tcPr>
            <w:tcW w:w="10243" w:type="dxa"/>
          </w:tcPr>
          <w:p w14:paraId="24E99A4D" w14:textId="78372266" w:rsidR="00734613" w:rsidRPr="00777EA7" w:rsidRDefault="00053695" w:rsidP="00ED0093">
            <w:pPr>
              <w:widowControl w:val="0"/>
              <w:spacing w:before="120" w:after="120"/>
              <w:jc w:val="both"/>
              <w:rPr>
                <w:rFonts w:ascii="Times New Roman" w:hAnsi="Times New Roman"/>
                <w:sz w:val="24"/>
                <w:szCs w:val="24"/>
              </w:rPr>
            </w:pPr>
            <w:r w:rsidRPr="00777EA7">
              <w:rPr>
                <w:rFonts w:ascii="Times New Roman" w:hAnsi="Times New Roman"/>
                <w:b/>
                <w:bCs/>
                <w:sz w:val="24"/>
                <w:szCs w:val="24"/>
              </w:rPr>
              <w:t xml:space="preserve">European Media Freedom Act </w:t>
            </w:r>
            <w:r w:rsidRPr="00777EA7">
              <w:rPr>
                <w:rFonts w:ascii="Times New Roman" w:hAnsi="Times New Roman"/>
                <w:sz w:val="24"/>
                <w:szCs w:val="24"/>
              </w:rPr>
              <w:t>(</w:t>
            </w:r>
            <w:r w:rsidRPr="00777EA7">
              <w:rPr>
                <w:rFonts w:ascii="Times New Roman" w:hAnsi="Times New Roman"/>
                <w:sz w:val="24"/>
                <w:szCs w:val="24"/>
                <w:u w:val="single"/>
              </w:rPr>
              <w:t xml:space="preserve">paragraphs </w:t>
            </w:r>
            <w:r w:rsidR="008339D8" w:rsidRPr="00777EA7">
              <w:rPr>
                <w:rFonts w:ascii="Times New Roman" w:hAnsi="Times New Roman"/>
                <w:sz w:val="24"/>
                <w:szCs w:val="24"/>
                <w:u w:val="single"/>
              </w:rPr>
              <w:t xml:space="preserve">1.2, 3.9, </w:t>
            </w:r>
            <w:r w:rsidR="002F5E3D" w:rsidRPr="00777EA7">
              <w:rPr>
                <w:rFonts w:ascii="Times New Roman" w:hAnsi="Times New Roman"/>
                <w:sz w:val="24"/>
                <w:szCs w:val="24"/>
                <w:u w:val="single"/>
              </w:rPr>
              <w:t>3.10</w:t>
            </w:r>
            <w:r w:rsidRPr="00777EA7">
              <w:rPr>
                <w:rFonts w:ascii="Times New Roman" w:hAnsi="Times New Roman"/>
                <w:sz w:val="24"/>
                <w:szCs w:val="24"/>
              </w:rPr>
              <w:t xml:space="preserve">): </w:t>
            </w:r>
            <w:r w:rsidR="002F5E3D" w:rsidRPr="00777EA7">
              <w:rPr>
                <w:rFonts w:ascii="Times New Roman" w:hAnsi="Times New Roman"/>
                <w:sz w:val="24"/>
                <w:szCs w:val="24"/>
              </w:rPr>
              <w:t>The European Media Freedom Act</w:t>
            </w:r>
            <w:r w:rsidR="00575B4C" w:rsidRPr="00777EA7">
              <w:rPr>
                <w:rStyle w:val="FootnoteReference"/>
                <w:rFonts w:ascii="Times New Roman" w:hAnsi="Times New Roman"/>
                <w:sz w:val="24"/>
                <w:szCs w:val="24"/>
              </w:rPr>
              <w:footnoteReference w:id="2"/>
            </w:r>
            <w:r w:rsidR="002F5E3D" w:rsidRPr="00777EA7">
              <w:rPr>
                <w:rFonts w:ascii="Times New Roman" w:hAnsi="Times New Roman"/>
                <w:sz w:val="24"/>
                <w:szCs w:val="24"/>
              </w:rPr>
              <w:t xml:space="preserve"> (EMFA) provides unprecedented safeguards for media and journalists against political interference. EMFA aims to ensure editorial independence of public service media providers and provision by them of a plurality of information and opinions to their audiences. Furthermore, under EMFA, very large online platforms must provide functionalities for media service providers to declare their compliance with regulatory standards, ensure transparent communication, and prioriti</w:t>
            </w:r>
            <w:r w:rsidR="001C296F" w:rsidRPr="00777EA7">
              <w:rPr>
                <w:rFonts w:ascii="Times New Roman" w:hAnsi="Times New Roman"/>
                <w:sz w:val="24"/>
                <w:szCs w:val="24"/>
              </w:rPr>
              <w:t>s</w:t>
            </w:r>
            <w:r w:rsidR="002F5E3D" w:rsidRPr="00777EA7">
              <w:rPr>
                <w:rFonts w:ascii="Times New Roman" w:hAnsi="Times New Roman"/>
                <w:sz w:val="24"/>
                <w:szCs w:val="24"/>
              </w:rPr>
              <w:t>e handling complaints to safeguard media freedom and user access to diverse information. Most provisions of the EMFA apply from August 2025 and the Commission is in close contact with Member States to make sure that their legal and institutional frameworks are aligned with the EMFA and facilitate its full application.</w:t>
            </w:r>
          </w:p>
          <w:p w14:paraId="5F288BB6" w14:textId="60C9DAE7" w:rsidR="00F12A8B" w:rsidRPr="00777EA7" w:rsidRDefault="0076336D" w:rsidP="00ED0093">
            <w:pPr>
              <w:widowControl w:val="0"/>
              <w:spacing w:before="120" w:after="120"/>
              <w:jc w:val="both"/>
              <w:rPr>
                <w:rFonts w:ascii="Times New Roman" w:hAnsi="Times New Roman"/>
                <w:sz w:val="24"/>
                <w:szCs w:val="24"/>
              </w:rPr>
            </w:pPr>
            <w:r w:rsidRPr="00777EA7">
              <w:rPr>
                <w:rFonts w:ascii="Times New Roman" w:hAnsi="Times New Roman"/>
                <w:b/>
                <w:bCs/>
                <w:sz w:val="24"/>
                <w:szCs w:val="24"/>
              </w:rPr>
              <w:t>Economic situation of</w:t>
            </w:r>
            <w:r w:rsidR="00E6446F" w:rsidRPr="00777EA7">
              <w:rPr>
                <w:rFonts w:ascii="Times New Roman" w:hAnsi="Times New Roman"/>
                <w:b/>
                <w:bCs/>
                <w:sz w:val="24"/>
                <w:szCs w:val="24"/>
              </w:rPr>
              <w:t xml:space="preserve"> media</w:t>
            </w:r>
            <w:r w:rsidRPr="00777EA7">
              <w:rPr>
                <w:rFonts w:ascii="Times New Roman" w:hAnsi="Times New Roman"/>
                <w:b/>
                <w:bCs/>
                <w:sz w:val="24"/>
                <w:szCs w:val="24"/>
              </w:rPr>
              <w:t xml:space="preserve"> industry and </w:t>
            </w:r>
            <w:r w:rsidR="00A92902" w:rsidRPr="00777EA7">
              <w:rPr>
                <w:rFonts w:ascii="Times New Roman" w:hAnsi="Times New Roman"/>
                <w:b/>
                <w:bCs/>
                <w:sz w:val="24"/>
                <w:szCs w:val="24"/>
              </w:rPr>
              <w:t>suppor</w:t>
            </w:r>
            <w:r w:rsidR="00F12A8B" w:rsidRPr="00777EA7">
              <w:rPr>
                <w:rFonts w:ascii="Times New Roman" w:hAnsi="Times New Roman"/>
                <w:b/>
                <w:bCs/>
                <w:sz w:val="24"/>
                <w:szCs w:val="24"/>
              </w:rPr>
              <w:t>ting instruments</w:t>
            </w:r>
            <w:r w:rsidR="002F5E3D" w:rsidRPr="00777EA7">
              <w:rPr>
                <w:rFonts w:ascii="Times New Roman" w:hAnsi="Times New Roman"/>
                <w:b/>
                <w:bCs/>
                <w:sz w:val="24"/>
                <w:szCs w:val="24"/>
              </w:rPr>
              <w:t xml:space="preserve"> </w:t>
            </w:r>
            <w:r w:rsidR="002F5E3D" w:rsidRPr="00777EA7">
              <w:rPr>
                <w:rFonts w:ascii="Times New Roman" w:hAnsi="Times New Roman"/>
                <w:sz w:val="24"/>
                <w:szCs w:val="24"/>
              </w:rPr>
              <w:t>(</w:t>
            </w:r>
            <w:r w:rsidR="002F5E3D" w:rsidRPr="00777EA7">
              <w:rPr>
                <w:rFonts w:ascii="Times New Roman" w:hAnsi="Times New Roman"/>
                <w:sz w:val="24"/>
                <w:szCs w:val="24"/>
                <w:u w:val="single"/>
              </w:rPr>
              <w:t>paragraphs 1.</w:t>
            </w:r>
            <w:r w:rsidR="00E6446F" w:rsidRPr="00777EA7">
              <w:rPr>
                <w:rFonts w:ascii="Times New Roman" w:hAnsi="Times New Roman"/>
                <w:sz w:val="24"/>
                <w:szCs w:val="24"/>
                <w:u w:val="single"/>
              </w:rPr>
              <w:t>3</w:t>
            </w:r>
            <w:r w:rsidR="002F5E3D" w:rsidRPr="00777EA7">
              <w:rPr>
                <w:rFonts w:ascii="Times New Roman" w:hAnsi="Times New Roman"/>
                <w:sz w:val="24"/>
                <w:szCs w:val="24"/>
                <w:u w:val="single"/>
              </w:rPr>
              <w:t xml:space="preserve">, </w:t>
            </w:r>
            <w:r w:rsidR="00E6446F" w:rsidRPr="00777EA7">
              <w:rPr>
                <w:rFonts w:ascii="Times New Roman" w:hAnsi="Times New Roman"/>
                <w:sz w:val="24"/>
                <w:szCs w:val="24"/>
                <w:u w:val="single"/>
              </w:rPr>
              <w:t>1</w:t>
            </w:r>
            <w:r w:rsidR="002F5E3D" w:rsidRPr="00777EA7">
              <w:rPr>
                <w:rFonts w:ascii="Times New Roman" w:hAnsi="Times New Roman"/>
                <w:sz w:val="24"/>
                <w:szCs w:val="24"/>
                <w:u w:val="single"/>
              </w:rPr>
              <w:t>.</w:t>
            </w:r>
            <w:r w:rsidR="00E6446F" w:rsidRPr="00777EA7">
              <w:rPr>
                <w:rFonts w:ascii="Times New Roman" w:hAnsi="Times New Roman"/>
                <w:sz w:val="24"/>
                <w:szCs w:val="24"/>
                <w:u w:val="single"/>
              </w:rPr>
              <w:t>4</w:t>
            </w:r>
            <w:r w:rsidR="002F5E3D" w:rsidRPr="00777EA7">
              <w:rPr>
                <w:rFonts w:ascii="Times New Roman" w:hAnsi="Times New Roman"/>
                <w:sz w:val="24"/>
                <w:szCs w:val="24"/>
                <w:u w:val="single"/>
              </w:rPr>
              <w:t xml:space="preserve">, </w:t>
            </w:r>
            <w:r w:rsidR="00E6446F" w:rsidRPr="00777EA7">
              <w:rPr>
                <w:rFonts w:ascii="Times New Roman" w:hAnsi="Times New Roman"/>
                <w:sz w:val="24"/>
                <w:szCs w:val="24"/>
                <w:u w:val="single"/>
              </w:rPr>
              <w:t>1</w:t>
            </w:r>
            <w:r w:rsidR="002F5E3D" w:rsidRPr="00777EA7">
              <w:rPr>
                <w:rFonts w:ascii="Times New Roman" w:hAnsi="Times New Roman"/>
                <w:sz w:val="24"/>
                <w:szCs w:val="24"/>
                <w:u w:val="single"/>
              </w:rPr>
              <w:t>.</w:t>
            </w:r>
            <w:r w:rsidR="00E6446F" w:rsidRPr="00777EA7">
              <w:rPr>
                <w:rFonts w:ascii="Times New Roman" w:hAnsi="Times New Roman"/>
                <w:sz w:val="24"/>
                <w:szCs w:val="24"/>
                <w:u w:val="single"/>
              </w:rPr>
              <w:t>5</w:t>
            </w:r>
            <w:r w:rsidR="00F12A8B" w:rsidRPr="00777EA7">
              <w:rPr>
                <w:rFonts w:ascii="Times New Roman" w:hAnsi="Times New Roman"/>
                <w:sz w:val="24"/>
                <w:szCs w:val="24"/>
                <w:u w:val="single"/>
              </w:rPr>
              <w:t>, 1.6</w:t>
            </w:r>
            <w:r w:rsidR="002F5E3D" w:rsidRPr="00777EA7">
              <w:rPr>
                <w:rFonts w:ascii="Times New Roman" w:hAnsi="Times New Roman"/>
                <w:sz w:val="24"/>
                <w:szCs w:val="24"/>
              </w:rPr>
              <w:t xml:space="preserve">): </w:t>
            </w:r>
            <w:r w:rsidR="00564B97" w:rsidRPr="00777EA7">
              <w:rPr>
                <w:rFonts w:ascii="Times New Roman" w:hAnsi="Times New Roman"/>
                <w:sz w:val="24"/>
                <w:szCs w:val="24"/>
              </w:rPr>
              <w:t>The Commission is aware of the market dynamics in the sector and is closely monitoring relevant development</w:t>
            </w:r>
            <w:r w:rsidR="00334157" w:rsidRPr="00777EA7">
              <w:rPr>
                <w:rFonts w:ascii="Times New Roman" w:hAnsi="Times New Roman"/>
                <w:sz w:val="24"/>
                <w:szCs w:val="24"/>
              </w:rPr>
              <w:t>s</w:t>
            </w:r>
            <w:r w:rsidR="00564B97" w:rsidRPr="00777EA7">
              <w:rPr>
                <w:rFonts w:ascii="Times New Roman" w:hAnsi="Times New Roman"/>
                <w:sz w:val="24"/>
                <w:szCs w:val="24"/>
              </w:rPr>
              <w:t xml:space="preserve"> to ensure compliance with competition rules in all Member States. </w:t>
            </w:r>
            <w:r w:rsidR="00F12A8B" w:rsidRPr="00777EA7">
              <w:rPr>
                <w:rFonts w:ascii="Times New Roman" w:eastAsia="Times New Roman" w:hAnsi="Times New Roman"/>
                <w:sz w:val="24"/>
                <w:szCs w:val="24"/>
              </w:rPr>
              <w:t xml:space="preserve">As announced by President von der Leyen and mentioned again in the recently adopted </w:t>
            </w:r>
            <w:r w:rsidR="00250CE3">
              <w:rPr>
                <w:rFonts w:ascii="Times New Roman" w:eastAsia="Times New Roman" w:hAnsi="Times New Roman"/>
                <w:sz w:val="24"/>
                <w:szCs w:val="24"/>
              </w:rPr>
              <w:t xml:space="preserve">European </w:t>
            </w:r>
            <w:r w:rsidR="00F12A8B" w:rsidRPr="00777EA7">
              <w:rPr>
                <w:rFonts w:ascii="Times New Roman" w:eastAsia="Times New Roman" w:hAnsi="Times New Roman"/>
                <w:sz w:val="24"/>
                <w:szCs w:val="24"/>
              </w:rPr>
              <w:t>Democracy Shield</w:t>
            </w:r>
            <w:r w:rsidR="00536A83" w:rsidRPr="00777EA7">
              <w:rPr>
                <w:rStyle w:val="FootnoteReference"/>
                <w:rFonts w:ascii="Times New Roman" w:eastAsia="Times New Roman" w:hAnsi="Times New Roman"/>
                <w:sz w:val="24"/>
                <w:szCs w:val="24"/>
              </w:rPr>
              <w:footnoteReference w:id="3"/>
            </w:r>
            <w:r w:rsidR="00F12A8B" w:rsidRPr="00777EA7">
              <w:rPr>
                <w:rFonts w:ascii="Times New Roman" w:eastAsia="Times New Roman" w:hAnsi="Times New Roman"/>
                <w:sz w:val="24"/>
                <w:szCs w:val="24"/>
              </w:rPr>
              <w:t xml:space="preserve">, the Commission will put forward a new Media Resilience Programme to support independent journalism and media literacy. The Programme will bridge current support to the media with funding programmes proposed in the new Multiannual Financial Framework (MFF). In the next MFF 2028-2034, the Commission has proposed the </w:t>
            </w:r>
            <w:proofErr w:type="spellStart"/>
            <w:r w:rsidR="00F12A8B" w:rsidRPr="00777EA7">
              <w:rPr>
                <w:rFonts w:ascii="Times New Roman" w:eastAsia="Times New Roman" w:hAnsi="Times New Roman"/>
                <w:sz w:val="24"/>
                <w:szCs w:val="24"/>
              </w:rPr>
              <w:t>AgoraEU</w:t>
            </w:r>
            <w:proofErr w:type="spellEnd"/>
            <w:r w:rsidR="00F12A8B" w:rsidRPr="00777EA7">
              <w:rPr>
                <w:rFonts w:ascii="Times New Roman" w:eastAsia="Times New Roman" w:hAnsi="Times New Roman"/>
                <w:sz w:val="24"/>
                <w:szCs w:val="24"/>
              </w:rPr>
              <w:t xml:space="preserve"> programme, which contains a strong MEDIA+ strand. Under this strand, the programme aims to provide holistic support to free and independent journalism and news media, protect and promote media freedom; enhance the financial viability of the media, support media literacy and the detection and countering of disinformation.</w:t>
            </w:r>
            <w:r w:rsidR="00F12A8B" w:rsidRPr="00777EA7">
              <w:rPr>
                <w:rFonts w:ascii="Times New Roman" w:hAnsi="Times New Roman"/>
                <w:sz w:val="24"/>
                <w:szCs w:val="24"/>
              </w:rPr>
              <w:t xml:space="preserve"> </w:t>
            </w:r>
            <w:r w:rsidR="00E80391" w:rsidRPr="00777EA7">
              <w:rPr>
                <w:rFonts w:ascii="Times New Roman" w:hAnsi="Times New Roman"/>
                <w:sz w:val="24"/>
                <w:szCs w:val="24"/>
              </w:rPr>
              <w:t xml:space="preserve">In addition, </w:t>
            </w:r>
            <w:r w:rsidR="00F12A8B" w:rsidRPr="00777EA7">
              <w:rPr>
                <w:rFonts w:ascii="Times New Roman" w:hAnsi="Times New Roman"/>
                <w:sz w:val="24"/>
                <w:szCs w:val="24"/>
              </w:rPr>
              <w:t xml:space="preserve">Erasmus+ offers continuous support for the development of digital literacy and tackling disinformation through formal and non-formal education to boost the general information ecosystem. For instance, since 2021 more than 1 200 Erasmus+ projects have addressed these topics, totalling more than EUR 80 million. </w:t>
            </w:r>
            <w:r w:rsidR="00B46955" w:rsidRPr="00777EA7">
              <w:rPr>
                <w:rFonts w:ascii="Times New Roman" w:hAnsi="Times New Roman"/>
                <w:sz w:val="24"/>
                <w:szCs w:val="24"/>
              </w:rPr>
              <w:t xml:space="preserve">Yet </w:t>
            </w:r>
            <w:r w:rsidR="003A203E" w:rsidRPr="00777EA7">
              <w:rPr>
                <w:rFonts w:ascii="Times New Roman" w:hAnsi="Times New Roman"/>
                <w:sz w:val="24"/>
                <w:szCs w:val="24"/>
              </w:rPr>
              <w:t xml:space="preserve">another angle is the quality of jobs in the media sector: </w:t>
            </w:r>
            <w:r w:rsidR="00F12A8B" w:rsidRPr="00777EA7">
              <w:rPr>
                <w:rFonts w:ascii="Times New Roman" w:hAnsi="Times New Roman"/>
                <w:sz w:val="24"/>
                <w:szCs w:val="24"/>
              </w:rPr>
              <w:t>The Quality Jobs Roadmap</w:t>
            </w:r>
            <w:r w:rsidR="00D369FB" w:rsidRPr="00777EA7">
              <w:rPr>
                <w:rStyle w:val="FootnoteReference"/>
                <w:rFonts w:ascii="Times New Roman" w:hAnsi="Times New Roman"/>
                <w:sz w:val="24"/>
                <w:szCs w:val="24"/>
              </w:rPr>
              <w:footnoteReference w:id="4"/>
            </w:r>
            <w:r w:rsidR="00F12A8B" w:rsidRPr="00777EA7">
              <w:rPr>
                <w:rFonts w:ascii="Times New Roman" w:hAnsi="Times New Roman"/>
                <w:sz w:val="24"/>
                <w:szCs w:val="24"/>
              </w:rPr>
              <w:t xml:space="preserve"> adopted by the Commission on 4 December 2025, </w:t>
            </w:r>
            <w:r w:rsidR="00BB2B93">
              <w:rPr>
                <w:rFonts w:ascii="Times New Roman" w:hAnsi="Times New Roman"/>
                <w:sz w:val="24"/>
                <w:szCs w:val="24"/>
              </w:rPr>
              <w:t>urges</w:t>
            </w:r>
            <w:r w:rsidR="00BB2B93" w:rsidRPr="00777EA7">
              <w:rPr>
                <w:rFonts w:ascii="Times New Roman" w:hAnsi="Times New Roman"/>
                <w:sz w:val="24"/>
                <w:szCs w:val="24"/>
              </w:rPr>
              <w:t xml:space="preserve"> </w:t>
            </w:r>
            <w:r w:rsidR="00F12A8B" w:rsidRPr="00777EA7">
              <w:rPr>
                <w:rFonts w:ascii="Times New Roman" w:hAnsi="Times New Roman"/>
                <w:sz w:val="24"/>
                <w:szCs w:val="24"/>
              </w:rPr>
              <w:t xml:space="preserve">to align employment policies with the needs of a fast-evolving </w:t>
            </w:r>
            <w:r w:rsidR="00F12A8B" w:rsidRPr="00777EA7">
              <w:rPr>
                <w:rFonts w:ascii="Times New Roman" w:hAnsi="Times New Roman"/>
                <w:sz w:val="24"/>
                <w:szCs w:val="24"/>
              </w:rPr>
              <w:lastRenderedPageBreak/>
              <w:t xml:space="preserve">economy, so that the EU can drive the green and digital transitions while remaining grounded in the principles of the European social model, social progress and full employment. The </w:t>
            </w:r>
            <w:proofErr w:type="gramStart"/>
            <w:r w:rsidR="00F12A8B" w:rsidRPr="00777EA7">
              <w:rPr>
                <w:rFonts w:ascii="Times New Roman" w:hAnsi="Times New Roman"/>
                <w:sz w:val="24"/>
                <w:szCs w:val="24"/>
              </w:rPr>
              <w:t>Roadmap</w:t>
            </w:r>
            <w:proofErr w:type="gramEnd"/>
            <w:r w:rsidR="00F12A8B" w:rsidRPr="00777EA7">
              <w:rPr>
                <w:rFonts w:ascii="Times New Roman" w:hAnsi="Times New Roman"/>
                <w:sz w:val="24"/>
                <w:szCs w:val="24"/>
              </w:rPr>
              <w:t xml:space="preserve"> is built around three main, mutually reinforcing, pillars: creating and keeping quality jobs in Europe; supporting the effective use of digital tools in the workplace, while minimising associated risks; putting emphasis on stronger safety nets that ensure fairness, safety and equality in the workplace. The </w:t>
            </w:r>
            <w:proofErr w:type="gramStart"/>
            <w:r w:rsidR="00F12A8B" w:rsidRPr="00777EA7">
              <w:rPr>
                <w:rFonts w:ascii="Times New Roman" w:hAnsi="Times New Roman"/>
                <w:sz w:val="24"/>
                <w:szCs w:val="24"/>
              </w:rPr>
              <w:t>Roadmap</w:t>
            </w:r>
            <w:proofErr w:type="gramEnd"/>
            <w:r w:rsidR="00F12A8B" w:rsidRPr="00777EA7">
              <w:rPr>
                <w:rFonts w:ascii="Times New Roman" w:hAnsi="Times New Roman"/>
                <w:sz w:val="24"/>
                <w:szCs w:val="24"/>
              </w:rPr>
              <w:t xml:space="preserve"> also acknowledges that in the cultural and creative sectors, artists and other highly mobile professionals linked to those activities often face precarious working and social conditions. The Commission </w:t>
            </w:r>
            <w:r w:rsidR="00BB2B93">
              <w:rPr>
                <w:rFonts w:ascii="Times New Roman" w:hAnsi="Times New Roman"/>
                <w:sz w:val="24"/>
                <w:szCs w:val="24"/>
              </w:rPr>
              <w:t>also</w:t>
            </w:r>
            <w:r w:rsidR="00BB2B93" w:rsidRPr="00777EA7">
              <w:rPr>
                <w:rFonts w:ascii="Times New Roman" w:hAnsi="Times New Roman"/>
                <w:sz w:val="24"/>
                <w:szCs w:val="24"/>
              </w:rPr>
              <w:t xml:space="preserve"> </w:t>
            </w:r>
            <w:r w:rsidR="00F12A8B" w:rsidRPr="00777EA7">
              <w:rPr>
                <w:rFonts w:ascii="Times New Roman" w:hAnsi="Times New Roman"/>
                <w:sz w:val="24"/>
                <w:szCs w:val="24"/>
              </w:rPr>
              <w:t>published a Culture Compass for Europe</w:t>
            </w:r>
            <w:r w:rsidR="00BB2B93">
              <w:rPr>
                <w:rStyle w:val="FootnoteReference"/>
                <w:rFonts w:ascii="Times New Roman" w:hAnsi="Times New Roman"/>
                <w:sz w:val="24"/>
                <w:szCs w:val="24"/>
              </w:rPr>
              <w:footnoteReference w:id="5"/>
            </w:r>
            <w:r w:rsidR="00F12A8B" w:rsidRPr="00777EA7">
              <w:rPr>
                <w:rFonts w:ascii="Times New Roman" w:hAnsi="Times New Roman"/>
                <w:sz w:val="24"/>
                <w:szCs w:val="24"/>
              </w:rPr>
              <w:t xml:space="preserve"> to address the challenges facing the cultural and creative sectors and industries. </w:t>
            </w:r>
            <w:r w:rsidR="00BB2B93">
              <w:rPr>
                <w:rFonts w:ascii="Times New Roman" w:eastAsia="Times New Roman" w:hAnsi="Times New Roman"/>
                <w:sz w:val="24"/>
                <w:szCs w:val="24"/>
                <w:lang w:val="en-IE"/>
              </w:rPr>
              <w:t>Last, t</w:t>
            </w:r>
            <w:r w:rsidR="00EC1F86" w:rsidRPr="00ED0093">
              <w:rPr>
                <w:rFonts w:ascii="Times New Roman" w:eastAsia="Times New Roman" w:hAnsi="Times New Roman"/>
                <w:sz w:val="24"/>
                <w:szCs w:val="24"/>
                <w:lang w:val="en-IE"/>
              </w:rPr>
              <w:t xml:space="preserve">he Commission has also launched a first stage consultation of the social partners under Article 154 </w:t>
            </w:r>
            <w:r w:rsidR="00966416">
              <w:rPr>
                <w:rFonts w:ascii="Times New Roman" w:eastAsia="Times New Roman" w:hAnsi="Times New Roman"/>
                <w:sz w:val="24"/>
                <w:szCs w:val="24"/>
                <w:lang w:val="en-IE"/>
              </w:rPr>
              <w:t>of the Treaty on the Functioning of the European Union (</w:t>
            </w:r>
            <w:r w:rsidR="00EC1F86" w:rsidRPr="00ED0093">
              <w:rPr>
                <w:rFonts w:ascii="Times New Roman" w:eastAsia="Times New Roman" w:hAnsi="Times New Roman"/>
                <w:sz w:val="24"/>
                <w:szCs w:val="24"/>
                <w:lang w:val="en-IE"/>
              </w:rPr>
              <w:t>TFEU</w:t>
            </w:r>
            <w:r w:rsidR="00966416">
              <w:rPr>
                <w:rFonts w:ascii="Times New Roman" w:eastAsia="Times New Roman" w:hAnsi="Times New Roman"/>
                <w:sz w:val="24"/>
                <w:szCs w:val="24"/>
                <w:lang w:val="en-IE"/>
              </w:rPr>
              <w:t>)</w:t>
            </w:r>
            <w:r w:rsidR="00EC1F86" w:rsidRPr="00ED0093">
              <w:rPr>
                <w:rFonts w:ascii="Times New Roman" w:eastAsia="Times New Roman" w:hAnsi="Times New Roman"/>
                <w:sz w:val="24"/>
                <w:szCs w:val="24"/>
                <w:lang w:val="en-IE"/>
              </w:rPr>
              <w:t xml:space="preserve"> on a possible Quality Jobs Act to seek social partners’ views on the need and possible direction of EU action to improve job quality.</w:t>
            </w:r>
          </w:p>
          <w:p w14:paraId="51AD6705" w14:textId="05B128E6" w:rsidR="008D0758" w:rsidRPr="00777EA7" w:rsidRDefault="00492C30" w:rsidP="00ED0093">
            <w:pPr>
              <w:widowControl w:val="0"/>
              <w:spacing w:before="120" w:after="120"/>
              <w:jc w:val="both"/>
              <w:rPr>
                <w:rFonts w:ascii="Times New Roman" w:hAnsi="Times New Roman"/>
                <w:sz w:val="24"/>
                <w:szCs w:val="24"/>
              </w:rPr>
            </w:pPr>
            <w:r w:rsidRPr="00777EA7">
              <w:rPr>
                <w:rFonts w:ascii="Times New Roman" w:hAnsi="Times New Roman"/>
                <w:b/>
                <w:bCs/>
                <w:sz w:val="24"/>
                <w:szCs w:val="24"/>
              </w:rPr>
              <w:t xml:space="preserve">Social </w:t>
            </w:r>
            <w:r w:rsidR="00800657" w:rsidRPr="00777EA7">
              <w:rPr>
                <w:rFonts w:ascii="Times New Roman" w:hAnsi="Times New Roman"/>
                <w:b/>
                <w:bCs/>
                <w:sz w:val="24"/>
                <w:szCs w:val="24"/>
              </w:rPr>
              <w:t>p</w:t>
            </w:r>
            <w:r w:rsidRPr="00777EA7">
              <w:rPr>
                <w:rFonts w:ascii="Times New Roman" w:hAnsi="Times New Roman"/>
                <w:b/>
                <w:bCs/>
                <w:sz w:val="24"/>
                <w:szCs w:val="24"/>
              </w:rPr>
              <w:t xml:space="preserve">rotection of journalists </w:t>
            </w:r>
            <w:r w:rsidRPr="00777EA7">
              <w:rPr>
                <w:rFonts w:ascii="Times New Roman" w:hAnsi="Times New Roman"/>
                <w:sz w:val="24"/>
                <w:szCs w:val="24"/>
              </w:rPr>
              <w:t>(</w:t>
            </w:r>
            <w:r w:rsidRPr="00777EA7">
              <w:rPr>
                <w:rFonts w:ascii="Times New Roman" w:hAnsi="Times New Roman"/>
                <w:sz w:val="24"/>
                <w:szCs w:val="24"/>
                <w:u w:val="single"/>
              </w:rPr>
              <w:t>paragraph 1.</w:t>
            </w:r>
            <w:r w:rsidR="00800657" w:rsidRPr="00777EA7">
              <w:rPr>
                <w:rFonts w:ascii="Times New Roman" w:hAnsi="Times New Roman"/>
                <w:sz w:val="24"/>
                <w:szCs w:val="24"/>
                <w:u w:val="single"/>
              </w:rPr>
              <w:t>7</w:t>
            </w:r>
            <w:r w:rsidRPr="00777EA7">
              <w:rPr>
                <w:rFonts w:ascii="Times New Roman" w:hAnsi="Times New Roman"/>
                <w:sz w:val="24"/>
                <w:szCs w:val="24"/>
              </w:rPr>
              <w:t xml:space="preserve">): </w:t>
            </w:r>
            <w:r w:rsidR="024C5A4E" w:rsidRPr="00777EA7">
              <w:rPr>
                <w:rFonts w:ascii="Times New Roman" w:hAnsi="Times New Roman"/>
                <w:sz w:val="24"/>
                <w:szCs w:val="24"/>
              </w:rPr>
              <w:t>The</w:t>
            </w:r>
            <w:r w:rsidR="3744B9C8" w:rsidRPr="00777EA7">
              <w:rPr>
                <w:rFonts w:ascii="Times New Roman" w:hAnsi="Times New Roman"/>
                <w:sz w:val="24"/>
                <w:szCs w:val="24"/>
              </w:rPr>
              <w:t xml:space="preserve"> Commission</w:t>
            </w:r>
            <w:r w:rsidR="61DF8176" w:rsidRPr="00777EA7">
              <w:rPr>
                <w:rFonts w:ascii="Times New Roman" w:hAnsi="Times New Roman"/>
                <w:sz w:val="24"/>
                <w:szCs w:val="24"/>
              </w:rPr>
              <w:t xml:space="preserve"> is </w:t>
            </w:r>
            <w:proofErr w:type="gramStart"/>
            <w:r w:rsidR="61DF8176" w:rsidRPr="00777EA7">
              <w:rPr>
                <w:rFonts w:ascii="Times New Roman" w:hAnsi="Times New Roman"/>
                <w:sz w:val="24"/>
                <w:szCs w:val="24"/>
              </w:rPr>
              <w:t>well aware</w:t>
            </w:r>
            <w:proofErr w:type="gramEnd"/>
            <w:r w:rsidR="61DF8176" w:rsidRPr="00777EA7">
              <w:rPr>
                <w:rFonts w:ascii="Times New Roman" w:hAnsi="Times New Roman"/>
                <w:sz w:val="24"/>
                <w:szCs w:val="24"/>
              </w:rPr>
              <w:t xml:space="preserve"> of the</w:t>
            </w:r>
            <w:r w:rsidR="00F83A8B" w:rsidRPr="00777EA7">
              <w:rPr>
                <w:rFonts w:ascii="Times New Roman" w:hAnsi="Times New Roman"/>
                <w:sz w:val="24"/>
                <w:szCs w:val="24"/>
              </w:rPr>
              <w:t xml:space="preserve"> </w:t>
            </w:r>
            <w:r w:rsidR="00F83A8B" w:rsidRPr="00777EA7">
              <w:rPr>
                <w:rFonts w:ascii="Times New Roman" w:hAnsi="Times New Roman"/>
                <w:sz w:val="24"/>
                <w:szCs w:val="24"/>
                <w:lang w:val="en-IE"/>
              </w:rPr>
              <w:t>precarious working conditions (e.g. dependent self-employment, income instability, competition with non-professionals) of many journalists</w:t>
            </w:r>
            <w:r w:rsidR="61DF8176" w:rsidRPr="00777EA7">
              <w:rPr>
                <w:rFonts w:ascii="Times New Roman" w:hAnsi="Times New Roman"/>
                <w:sz w:val="24"/>
                <w:szCs w:val="24"/>
              </w:rPr>
              <w:t xml:space="preserve"> and </w:t>
            </w:r>
            <w:r w:rsidR="3744B9C8" w:rsidRPr="00777EA7">
              <w:rPr>
                <w:rFonts w:ascii="Times New Roman" w:hAnsi="Times New Roman"/>
                <w:sz w:val="24"/>
                <w:szCs w:val="24"/>
              </w:rPr>
              <w:t xml:space="preserve">supports the </w:t>
            </w:r>
            <w:r w:rsidR="4C5A683E" w:rsidRPr="00777EA7">
              <w:rPr>
                <w:rFonts w:ascii="Times New Roman" w:hAnsi="Times New Roman"/>
                <w:sz w:val="24"/>
                <w:szCs w:val="24"/>
              </w:rPr>
              <w:t xml:space="preserve">EU level social dialogue </w:t>
            </w:r>
            <w:r w:rsidR="2BA7750B" w:rsidRPr="00777EA7">
              <w:rPr>
                <w:rFonts w:ascii="Times New Roman" w:hAnsi="Times New Roman"/>
                <w:sz w:val="24"/>
                <w:szCs w:val="24"/>
              </w:rPr>
              <w:t xml:space="preserve">at sectoral level </w:t>
            </w:r>
            <w:r w:rsidR="4C5A683E" w:rsidRPr="00777EA7">
              <w:rPr>
                <w:rFonts w:ascii="Times New Roman" w:hAnsi="Times New Roman"/>
                <w:sz w:val="24"/>
                <w:szCs w:val="24"/>
              </w:rPr>
              <w:t xml:space="preserve">between employers and </w:t>
            </w:r>
            <w:r w:rsidR="576807B2" w:rsidRPr="00777EA7">
              <w:rPr>
                <w:rFonts w:ascii="Times New Roman" w:hAnsi="Times New Roman"/>
                <w:sz w:val="24"/>
                <w:szCs w:val="24"/>
              </w:rPr>
              <w:t>journalists</w:t>
            </w:r>
            <w:r w:rsidR="1C70B65D" w:rsidRPr="00777EA7">
              <w:rPr>
                <w:rFonts w:ascii="Times New Roman" w:hAnsi="Times New Roman"/>
                <w:sz w:val="24"/>
                <w:szCs w:val="24"/>
              </w:rPr>
              <w:t xml:space="preserve"> to provide </w:t>
            </w:r>
            <w:r w:rsidR="350C0A3C" w:rsidRPr="00777EA7">
              <w:rPr>
                <w:rFonts w:ascii="Times New Roman" w:hAnsi="Times New Roman"/>
                <w:sz w:val="24"/>
                <w:szCs w:val="24"/>
              </w:rPr>
              <w:t xml:space="preserve">decent working conditions for journalists, irrespective of their </w:t>
            </w:r>
            <w:r w:rsidR="24CF1DF3" w:rsidRPr="00777EA7">
              <w:rPr>
                <w:rFonts w:ascii="Times New Roman" w:hAnsi="Times New Roman"/>
                <w:sz w:val="24"/>
                <w:szCs w:val="24"/>
              </w:rPr>
              <w:t>employment status</w:t>
            </w:r>
            <w:r w:rsidR="25273293" w:rsidRPr="00777EA7">
              <w:rPr>
                <w:rFonts w:ascii="Times New Roman" w:hAnsi="Times New Roman"/>
                <w:sz w:val="24"/>
                <w:szCs w:val="24"/>
              </w:rPr>
              <w:t xml:space="preserve">. </w:t>
            </w:r>
            <w:r w:rsidR="00A44F3C" w:rsidRPr="00777EA7">
              <w:rPr>
                <w:rFonts w:ascii="Times New Roman" w:hAnsi="Times New Roman"/>
                <w:sz w:val="24"/>
                <w:szCs w:val="24"/>
              </w:rPr>
              <w:t>The Commission also co-finances relevant social partner projects focusing on social dialogue and capacity building of social partners</w:t>
            </w:r>
            <w:r w:rsidR="00EC065C" w:rsidRPr="00777EA7">
              <w:rPr>
                <w:rStyle w:val="FootnoteReference"/>
                <w:rFonts w:ascii="Times New Roman" w:hAnsi="Times New Roman"/>
                <w:sz w:val="24"/>
                <w:szCs w:val="24"/>
              </w:rPr>
              <w:footnoteReference w:id="6"/>
            </w:r>
            <w:r w:rsidR="00A44F3C" w:rsidRPr="00777EA7">
              <w:rPr>
                <w:rFonts w:ascii="Times New Roman" w:hAnsi="Times New Roman"/>
                <w:sz w:val="24"/>
                <w:szCs w:val="24"/>
              </w:rPr>
              <w:t xml:space="preserve">. </w:t>
            </w:r>
            <w:r w:rsidR="25273293" w:rsidRPr="00777EA7">
              <w:rPr>
                <w:rFonts w:ascii="Times New Roman" w:hAnsi="Times New Roman"/>
                <w:sz w:val="24"/>
                <w:szCs w:val="24"/>
              </w:rPr>
              <w:t>The</w:t>
            </w:r>
            <w:r w:rsidR="576807B2" w:rsidRPr="00777EA7">
              <w:rPr>
                <w:rFonts w:ascii="Times New Roman" w:hAnsi="Times New Roman"/>
                <w:sz w:val="24"/>
                <w:szCs w:val="24"/>
              </w:rPr>
              <w:t xml:space="preserve"> </w:t>
            </w:r>
            <w:r w:rsidR="592F7BE8" w:rsidRPr="00777EA7">
              <w:rPr>
                <w:rFonts w:ascii="Times New Roman" w:hAnsi="Times New Roman"/>
                <w:sz w:val="24"/>
                <w:szCs w:val="24"/>
              </w:rPr>
              <w:t>P</w:t>
            </w:r>
            <w:r w:rsidR="024C5A4E" w:rsidRPr="00777EA7">
              <w:rPr>
                <w:rFonts w:ascii="Times New Roman" w:hAnsi="Times New Roman"/>
                <w:sz w:val="24"/>
                <w:szCs w:val="24"/>
              </w:rPr>
              <w:t xml:space="preserve">latform </w:t>
            </w:r>
            <w:r w:rsidR="592F7BE8" w:rsidRPr="00777EA7">
              <w:rPr>
                <w:rFonts w:ascii="Times New Roman" w:hAnsi="Times New Roman"/>
                <w:sz w:val="24"/>
                <w:szCs w:val="24"/>
              </w:rPr>
              <w:t>T</w:t>
            </w:r>
            <w:r w:rsidR="024C5A4E" w:rsidRPr="00777EA7">
              <w:rPr>
                <w:rFonts w:ascii="Times New Roman" w:hAnsi="Times New Roman"/>
                <w:sz w:val="24"/>
                <w:szCs w:val="24"/>
              </w:rPr>
              <w:t xml:space="preserve">ackling </w:t>
            </w:r>
            <w:r w:rsidR="592F7BE8" w:rsidRPr="00777EA7">
              <w:rPr>
                <w:rFonts w:ascii="Times New Roman" w:hAnsi="Times New Roman"/>
                <w:sz w:val="24"/>
                <w:szCs w:val="24"/>
              </w:rPr>
              <w:t>U</w:t>
            </w:r>
            <w:r w:rsidR="024C5A4E" w:rsidRPr="00777EA7">
              <w:rPr>
                <w:rFonts w:ascii="Times New Roman" w:hAnsi="Times New Roman"/>
                <w:sz w:val="24"/>
                <w:szCs w:val="24"/>
              </w:rPr>
              <w:t xml:space="preserve">ndeclared </w:t>
            </w:r>
            <w:r w:rsidR="592F7BE8" w:rsidRPr="00777EA7">
              <w:rPr>
                <w:rFonts w:ascii="Times New Roman" w:hAnsi="Times New Roman"/>
                <w:sz w:val="24"/>
                <w:szCs w:val="24"/>
              </w:rPr>
              <w:t>W</w:t>
            </w:r>
            <w:r w:rsidR="024C5A4E" w:rsidRPr="00777EA7">
              <w:rPr>
                <w:rFonts w:ascii="Times New Roman" w:hAnsi="Times New Roman"/>
                <w:sz w:val="24"/>
                <w:szCs w:val="24"/>
              </w:rPr>
              <w:t>ork</w:t>
            </w:r>
            <w:r w:rsidR="7673FA4A" w:rsidRPr="00777EA7">
              <w:rPr>
                <w:rFonts w:ascii="Times New Roman" w:hAnsi="Times New Roman"/>
                <w:sz w:val="24"/>
                <w:szCs w:val="24"/>
              </w:rPr>
              <w:t xml:space="preserve"> </w:t>
            </w:r>
            <w:r w:rsidR="1D6505D5" w:rsidRPr="00777EA7">
              <w:rPr>
                <w:rFonts w:ascii="Times New Roman" w:hAnsi="Times New Roman"/>
                <w:sz w:val="24"/>
                <w:szCs w:val="24"/>
              </w:rPr>
              <w:t xml:space="preserve">organised in </w:t>
            </w:r>
            <w:r w:rsidR="45F4E9DD" w:rsidRPr="00777EA7">
              <w:rPr>
                <w:rFonts w:ascii="Times New Roman" w:hAnsi="Times New Roman"/>
                <w:sz w:val="24"/>
                <w:szCs w:val="24"/>
              </w:rPr>
              <w:t xml:space="preserve">2024 </w:t>
            </w:r>
            <w:r w:rsidR="009A7609" w:rsidRPr="00777EA7">
              <w:rPr>
                <w:rFonts w:ascii="Times New Roman" w:hAnsi="Times New Roman"/>
                <w:sz w:val="24"/>
                <w:szCs w:val="24"/>
              </w:rPr>
              <w:t>a webinar</w:t>
            </w:r>
            <w:r w:rsidR="25B3F967" w:rsidRPr="00777EA7">
              <w:rPr>
                <w:rFonts w:ascii="Times New Roman" w:hAnsi="Times New Roman"/>
                <w:sz w:val="24"/>
                <w:szCs w:val="24"/>
              </w:rPr>
              <w:t xml:space="preserve"> and peer learning dialogue</w:t>
            </w:r>
            <w:r w:rsidR="009A7609" w:rsidRPr="00777EA7">
              <w:rPr>
                <w:rFonts w:ascii="Times New Roman" w:hAnsi="Times New Roman"/>
                <w:sz w:val="24"/>
                <w:szCs w:val="24"/>
              </w:rPr>
              <w:t xml:space="preserve"> to </w:t>
            </w:r>
            <w:r w:rsidR="538D7E36" w:rsidRPr="00777EA7">
              <w:rPr>
                <w:rFonts w:ascii="Times New Roman" w:hAnsi="Times New Roman"/>
                <w:sz w:val="24"/>
                <w:szCs w:val="24"/>
              </w:rPr>
              <w:t xml:space="preserve">facilitate the exchange </w:t>
            </w:r>
            <w:r w:rsidR="00347E6D" w:rsidRPr="00777EA7">
              <w:rPr>
                <w:rFonts w:ascii="Times New Roman" w:hAnsi="Times New Roman"/>
                <w:sz w:val="24"/>
                <w:szCs w:val="24"/>
              </w:rPr>
              <w:t xml:space="preserve">between </w:t>
            </w:r>
            <w:r w:rsidR="538D7E36" w:rsidRPr="00777EA7">
              <w:rPr>
                <w:rFonts w:ascii="Times New Roman" w:hAnsi="Times New Roman"/>
                <w:sz w:val="24"/>
                <w:szCs w:val="24"/>
              </w:rPr>
              <w:t xml:space="preserve">national authorities and </w:t>
            </w:r>
            <w:r w:rsidR="005A3498" w:rsidRPr="00777EA7">
              <w:rPr>
                <w:rFonts w:ascii="Times New Roman" w:hAnsi="Times New Roman"/>
                <w:sz w:val="24"/>
                <w:szCs w:val="24"/>
              </w:rPr>
              <w:t xml:space="preserve">social partners </w:t>
            </w:r>
            <w:r w:rsidR="36DD1776" w:rsidRPr="00777EA7">
              <w:rPr>
                <w:rFonts w:ascii="Times New Roman" w:hAnsi="Times New Roman"/>
                <w:sz w:val="24"/>
                <w:szCs w:val="24"/>
              </w:rPr>
              <w:t xml:space="preserve">on </w:t>
            </w:r>
            <w:r w:rsidR="475CB756" w:rsidRPr="00777EA7">
              <w:rPr>
                <w:rFonts w:ascii="Times New Roman" w:hAnsi="Times New Roman"/>
                <w:sz w:val="24"/>
                <w:szCs w:val="24"/>
              </w:rPr>
              <w:t xml:space="preserve">how to </w:t>
            </w:r>
            <w:r w:rsidR="751B8A67" w:rsidRPr="00777EA7">
              <w:rPr>
                <w:rFonts w:ascii="Times New Roman" w:hAnsi="Times New Roman"/>
                <w:sz w:val="24"/>
                <w:szCs w:val="24"/>
              </w:rPr>
              <w:t xml:space="preserve">tackle </w:t>
            </w:r>
            <w:r w:rsidR="4CF0BC37" w:rsidRPr="00777EA7">
              <w:rPr>
                <w:rFonts w:ascii="Times New Roman" w:hAnsi="Times New Roman"/>
                <w:sz w:val="24"/>
                <w:szCs w:val="24"/>
              </w:rPr>
              <w:t>bogus self-employment.</w:t>
            </w:r>
            <w:r w:rsidR="005444D4" w:rsidRPr="00777EA7">
              <w:rPr>
                <w:rStyle w:val="FootnoteReference"/>
                <w:rFonts w:ascii="Times New Roman" w:hAnsi="Times New Roman"/>
                <w:sz w:val="24"/>
                <w:szCs w:val="24"/>
              </w:rPr>
              <w:footnoteReference w:id="7"/>
            </w:r>
            <w:r w:rsidR="4CF0BC37" w:rsidRPr="00777EA7">
              <w:rPr>
                <w:rFonts w:ascii="Times New Roman" w:hAnsi="Times New Roman"/>
                <w:sz w:val="24"/>
                <w:szCs w:val="24"/>
              </w:rPr>
              <w:t xml:space="preserve"> </w:t>
            </w:r>
            <w:r w:rsidR="2A6333D8" w:rsidRPr="00777EA7">
              <w:rPr>
                <w:rFonts w:ascii="Times New Roman" w:hAnsi="Times New Roman"/>
                <w:sz w:val="24"/>
                <w:szCs w:val="24"/>
              </w:rPr>
              <w:t xml:space="preserve">In the </w:t>
            </w:r>
            <w:r w:rsidR="02BFA4F0" w:rsidRPr="00777EA7">
              <w:rPr>
                <w:rFonts w:ascii="Times New Roman" w:hAnsi="Times New Roman"/>
                <w:sz w:val="24"/>
                <w:szCs w:val="24"/>
              </w:rPr>
              <w:t>context of an analysis of the extent of undeclared work among highly skilled workers</w:t>
            </w:r>
            <w:r w:rsidR="005D3F33" w:rsidRPr="00777EA7">
              <w:rPr>
                <w:rFonts w:ascii="Times New Roman" w:hAnsi="Times New Roman"/>
                <w:sz w:val="24"/>
                <w:szCs w:val="24"/>
              </w:rPr>
              <w:t xml:space="preserve"> </w:t>
            </w:r>
            <w:r w:rsidR="12715EF0" w:rsidRPr="00777EA7">
              <w:rPr>
                <w:rFonts w:ascii="Times New Roman" w:hAnsi="Times New Roman"/>
                <w:sz w:val="24"/>
                <w:szCs w:val="24"/>
              </w:rPr>
              <w:t>(</w:t>
            </w:r>
            <w:r w:rsidR="00891DF8">
              <w:rPr>
                <w:rFonts w:ascii="Times New Roman" w:hAnsi="Times New Roman"/>
                <w:sz w:val="24"/>
                <w:szCs w:val="24"/>
              </w:rPr>
              <w:t xml:space="preserve">in </w:t>
            </w:r>
            <w:r w:rsidR="12715EF0" w:rsidRPr="00777EA7">
              <w:rPr>
                <w:rFonts w:ascii="Times New Roman" w:hAnsi="Times New Roman"/>
                <w:sz w:val="24"/>
                <w:szCs w:val="24"/>
              </w:rPr>
              <w:t>2024)</w:t>
            </w:r>
            <w:r w:rsidR="02BFA4F0" w:rsidRPr="00777EA7">
              <w:rPr>
                <w:rFonts w:ascii="Times New Roman" w:hAnsi="Times New Roman"/>
                <w:sz w:val="24"/>
                <w:szCs w:val="24"/>
              </w:rPr>
              <w:t xml:space="preserve">, the Platform </w:t>
            </w:r>
            <w:r w:rsidR="2088053D" w:rsidRPr="00777EA7">
              <w:rPr>
                <w:rFonts w:ascii="Times New Roman" w:hAnsi="Times New Roman"/>
                <w:sz w:val="24"/>
                <w:szCs w:val="24"/>
              </w:rPr>
              <w:t xml:space="preserve">Tackling Undeclared </w:t>
            </w:r>
            <w:r w:rsidR="001C1F76" w:rsidRPr="00777EA7">
              <w:rPr>
                <w:rFonts w:ascii="Times New Roman" w:hAnsi="Times New Roman"/>
                <w:sz w:val="24"/>
                <w:szCs w:val="24"/>
              </w:rPr>
              <w:t>W</w:t>
            </w:r>
            <w:r w:rsidR="2088053D" w:rsidRPr="00777EA7">
              <w:rPr>
                <w:rFonts w:ascii="Times New Roman" w:hAnsi="Times New Roman"/>
                <w:sz w:val="24"/>
                <w:szCs w:val="24"/>
              </w:rPr>
              <w:t xml:space="preserve">ork </w:t>
            </w:r>
            <w:r w:rsidR="02BFA4F0" w:rsidRPr="00777EA7">
              <w:rPr>
                <w:rFonts w:ascii="Times New Roman" w:hAnsi="Times New Roman"/>
                <w:sz w:val="24"/>
                <w:szCs w:val="24"/>
              </w:rPr>
              <w:t>also highlighted th</w:t>
            </w:r>
            <w:r w:rsidR="005A3498" w:rsidRPr="00777EA7">
              <w:rPr>
                <w:rFonts w:ascii="Times New Roman" w:hAnsi="Times New Roman"/>
                <w:sz w:val="24"/>
                <w:szCs w:val="24"/>
              </w:rPr>
              <w:t xml:space="preserve">at </w:t>
            </w:r>
            <w:r w:rsidR="00B169E5" w:rsidRPr="00777EA7">
              <w:rPr>
                <w:rFonts w:ascii="Times New Roman" w:hAnsi="Times New Roman"/>
                <w:sz w:val="24"/>
                <w:szCs w:val="24"/>
              </w:rPr>
              <w:t xml:space="preserve">‘dependent’ self-employment and rather precarious forms of </w:t>
            </w:r>
            <w:r w:rsidR="00446023" w:rsidRPr="00777EA7">
              <w:rPr>
                <w:rFonts w:ascii="Times New Roman" w:hAnsi="Times New Roman"/>
                <w:sz w:val="24"/>
                <w:szCs w:val="24"/>
              </w:rPr>
              <w:t>freelancing are frequent in journalism</w:t>
            </w:r>
            <w:r w:rsidR="00CB5600" w:rsidRPr="00777EA7">
              <w:rPr>
                <w:rStyle w:val="FootnoteReference"/>
                <w:rFonts w:ascii="Times New Roman" w:hAnsi="Times New Roman"/>
                <w:sz w:val="24"/>
                <w:szCs w:val="24"/>
              </w:rPr>
              <w:footnoteReference w:id="8"/>
            </w:r>
            <w:r w:rsidR="001D14A7" w:rsidRPr="00777EA7">
              <w:rPr>
                <w:rFonts w:ascii="Times New Roman" w:hAnsi="Times New Roman"/>
                <w:sz w:val="24"/>
                <w:szCs w:val="24"/>
              </w:rPr>
              <w:t xml:space="preserve">. </w:t>
            </w:r>
            <w:r w:rsidR="00267A88" w:rsidRPr="00777EA7">
              <w:rPr>
                <w:rFonts w:ascii="Times New Roman" w:hAnsi="Times New Roman"/>
                <w:sz w:val="24"/>
                <w:szCs w:val="24"/>
              </w:rPr>
              <w:t>The Commission is also committed to support</w:t>
            </w:r>
            <w:r w:rsidR="00201A28" w:rsidRPr="00777EA7">
              <w:rPr>
                <w:rFonts w:ascii="Times New Roman" w:hAnsi="Times New Roman"/>
                <w:sz w:val="24"/>
                <w:szCs w:val="24"/>
              </w:rPr>
              <w:t>ing</w:t>
            </w:r>
            <w:r w:rsidR="00267A88" w:rsidRPr="00777EA7">
              <w:rPr>
                <w:rFonts w:ascii="Times New Roman" w:hAnsi="Times New Roman"/>
                <w:sz w:val="24"/>
                <w:szCs w:val="24"/>
              </w:rPr>
              <w:t xml:space="preserve"> the implementation of </w:t>
            </w:r>
            <w:r w:rsidR="003E3AE8" w:rsidRPr="00777EA7">
              <w:rPr>
                <w:rFonts w:ascii="Times New Roman" w:hAnsi="Times New Roman"/>
                <w:sz w:val="24"/>
                <w:szCs w:val="24"/>
              </w:rPr>
              <w:t>p</w:t>
            </w:r>
            <w:r w:rsidR="00A27E6E" w:rsidRPr="00777EA7">
              <w:rPr>
                <w:rFonts w:ascii="Times New Roman" w:hAnsi="Times New Roman"/>
                <w:sz w:val="24"/>
                <w:szCs w:val="24"/>
              </w:rPr>
              <w:t xml:space="preserve">rinciple 12 of the European Pillar of Social </w:t>
            </w:r>
            <w:r w:rsidR="00201A28" w:rsidRPr="00777EA7">
              <w:rPr>
                <w:rFonts w:ascii="Times New Roman" w:hAnsi="Times New Roman"/>
                <w:sz w:val="24"/>
                <w:szCs w:val="24"/>
              </w:rPr>
              <w:t>Rights</w:t>
            </w:r>
            <w:r w:rsidR="0061648B" w:rsidRPr="00777EA7">
              <w:rPr>
                <w:rStyle w:val="FootnoteReference"/>
                <w:rFonts w:ascii="Times New Roman" w:hAnsi="Times New Roman"/>
                <w:sz w:val="24"/>
                <w:szCs w:val="24"/>
              </w:rPr>
              <w:footnoteReference w:id="9"/>
            </w:r>
            <w:r w:rsidR="00A27E6E" w:rsidRPr="00777EA7">
              <w:rPr>
                <w:rFonts w:ascii="Times New Roman" w:hAnsi="Times New Roman"/>
                <w:sz w:val="24"/>
                <w:szCs w:val="24"/>
              </w:rPr>
              <w:t xml:space="preserve"> </w:t>
            </w:r>
            <w:r w:rsidR="00201A28" w:rsidRPr="00777EA7">
              <w:rPr>
                <w:rFonts w:ascii="Times New Roman" w:hAnsi="Times New Roman"/>
                <w:sz w:val="24"/>
                <w:szCs w:val="24"/>
              </w:rPr>
              <w:t xml:space="preserve">on </w:t>
            </w:r>
            <w:r w:rsidR="00A27E6E" w:rsidRPr="00777EA7">
              <w:rPr>
                <w:rFonts w:ascii="Times New Roman" w:hAnsi="Times New Roman"/>
                <w:sz w:val="24"/>
                <w:szCs w:val="24"/>
              </w:rPr>
              <w:t xml:space="preserve">access to social protection for all, </w:t>
            </w:r>
            <w:r w:rsidR="00201A28" w:rsidRPr="00777EA7">
              <w:rPr>
                <w:rFonts w:ascii="Times New Roman" w:hAnsi="Times New Roman"/>
                <w:sz w:val="24"/>
                <w:szCs w:val="24"/>
              </w:rPr>
              <w:t xml:space="preserve">including </w:t>
            </w:r>
            <w:r w:rsidR="00A27E6E" w:rsidRPr="00777EA7">
              <w:rPr>
                <w:rFonts w:ascii="Times New Roman" w:hAnsi="Times New Roman"/>
                <w:sz w:val="24"/>
                <w:szCs w:val="24"/>
              </w:rPr>
              <w:t xml:space="preserve">workers and </w:t>
            </w:r>
            <w:r w:rsidR="00063C22" w:rsidRPr="00777EA7">
              <w:rPr>
                <w:rFonts w:ascii="Times New Roman" w:hAnsi="Times New Roman"/>
                <w:sz w:val="24"/>
                <w:szCs w:val="24"/>
              </w:rPr>
              <w:t xml:space="preserve">the </w:t>
            </w:r>
            <w:r w:rsidR="00A27E6E" w:rsidRPr="00777EA7">
              <w:rPr>
                <w:rFonts w:ascii="Times New Roman" w:hAnsi="Times New Roman"/>
                <w:sz w:val="24"/>
                <w:szCs w:val="24"/>
              </w:rPr>
              <w:t xml:space="preserve">self-employed. </w:t>
            </w:r>
            <w:r w:rsidR="003D22A9" w:rsidRPr="00777EA7">
              <w:rPr>
                <w:rFonts w:ascii="Times New Roman" w:hAnsi="Times New Roman"/>
                <w:sz w:val="24"/>
                <w:szCs w:val="24"/>
              </w:rPr>
              <w:t>In 2019, the Council adopted a Recommendation on access to social protection for workers and the self-employed</w:t>
            </w:r>
            <w:r w:rsidR="008A6876" w:rsidRPr="00777EA7">
              <w:rPr>
                <w:rStyle w:val="FootnoteReference"/>
                <w:rFonts w:ascii="Times New Roman" w:hAnsi="Times New Roman"/>
                <w:sz w:val="24"/>
                <w:szCs w:val="24"/>
              </w:rPr>
              <w:footnoteReference w:id="10"/>
            </w:r>
            <w:r w:rsidR="003D22A9" w:rsidRPr="00777EA7">
              <w:rPr>
                <w:rFonts w:ascii="Times New Roman" w:hAnsi="Times New Roman"/>
                <w:sz w:val="24"/>
                <w:szCs w:val="24"/>
              </w:rPr>
              <w:t xml:space="preserve"> </w:t>
            </w:r>
            <w:r w:rsidR="00F94E5C" w:rsidRPr="00777EA7">
              <w:rPr>
                <w:rFonts w:ascii="Times New Roman" w:hAnsi="Times New Roman"/>
                <w:sz w:val="24"/>
                <w:szCs w:val="24"/>
              </w:rPr>
              <w:t>and the Commission is monitoring its implementation</w:t>
            </w:r>
            <w:r w:rsidR="00427291" w:rsidRPr="00777EA7">
              <w:rPr>
                <w:rFonts w:ascii="Times New Roman" w:hAnsi="Times New Roman"/>
                <w:sz w:val="24"/>
                <w:szCs w:val="24"/>
              </w:rPr>
              <w:t xml:space="preserve">, notably through </w:t>
            </w:r>
            <w:r w:rsidR="005352C7" w:rsidRPr="00777EA7">
              <w:rPr>
                <w:rFonts w:ascii="Times New Roman" w:hAnsi="Times New Roman"/>
                <w:sz w:val="24"/>
                <w:szCs w:val="24"/>
              </w:rPr>
              <w:t xml:space="preserve">the </w:t>
            </w:r>
            <w:r w:rsidR="00427291" w:rsidRPr="00777EA7">
              <w:rPr>
                <w:rFonts w:ascii="Times New Roman" w:hAnsi="Times New Roman"/>
                <w:sz w:val="24"/>
                <w:szCs w:val="24"/>
              </w:rPr>
              <w:t>exchange of good practices</w:t>
            </w:r>
            <w:r w:rsidR="00B415B6" w:rsidRPr="00777EA7">
              <w:rPr>
                <w:rFonts w:ascii="Times New Roman" w:hAnsi="Times New Roman"/>
                <w:sz w:val="24"/>
                <w:szCs w:val="24"/>
              </w:rPr>
              <w:t xml:space="preserve"> and</w:t>
            </w:r>
            <w:r w:rsidR="00427291" w:rsidRPr="00777EA7">
              <w:rPr>
                <w:rFonts w:ascii="Times New Roman" w:hAnsi="Times New Roman"/>
                <w:sz w:val="24"/>
                <w:szCs w:val="24"/>
              </w:rPr>
              <w:t xml:space="preserve"> </w:t>
            </w:r>
            <w:r w:rsidR="00F62920" w:rsidRPr="00777EA7">
              <w:rPr>
                <w:rFonts w:ascii="Times New Roman" w:hAnsi="Times New Roman"/>
                <w:sz w:val="24"/>
                <w:szCs w:val="24"/>
              </w:rPr>
              <w:t>the organisation</w:t>
            </w:r>
            <w:r w:rsidR="00F51947" w:rsidRPr="00777EA7">
              <w:rPr>
                <w:rFonts w:ascii="Times New Roman" w:hAnsi="Times New Roman"/>
                <w:sz w:val="24"/>
                <w:szCs w:val="24"/>
              </w:rPr>
              <w:t xml:space="preserve"> of</w:t>
            </w:r>
            <w:r w:rsidR="00427291" w:rsidRPr="00777EA7">
              <w:rPr>
                <w:rFonts w:ascii="Times New Roman" w:hAnsi="Times New Roman"/>
                <w:sz w:val="24"/>
                <w:szCs w:val="24"/>
              </w:rPr>
              <w:t xml:space="preserve"> mutual learning events</w:t>
            </w:r>
            <w:r w:rsidR="00F51947" w:rsidRPr="00777EA7">
              <w:rPr>
                <w:rFonts w:ascii="Times New Roman" w:hAnsi="Times New Roman"/>
                <w:sz w:val="24"/>
                <w:szCs w:val="24"/>
              </w:rPr>
              <w:t xml:space="preserve"> with Member States</w:t>
            </w:r>
            <w:r w:rsidR="00427291" w:rsidRPr="00777EA7">
              <w:rPr>
                <w:rFonts w:ascii="Times New Roman" w:hAnsi="Times New Roman"/>
                <w:sz w:val="24"/>
                <w:szCs w:val="24"/>
              </w:rPr>
              <w:t>.</w:t>
            </w:r>
            <w:r w:rsidR="009C211C" w:rsidRPr="00777EA7">
              <w:rPr>
                <w:rFonts w:ascii="Times New Roman" w:hAnsi="Times New Roman"/>
                <w:sz w:val="24"/>
                <w:szCs w:val="24"/>
              </w:rPr>
              <w:t xml:space="preserve"> </w:t>
            </w:r>
          </w:p>
          <w:p w14:paraId="002DE4DF" w14:textId="638E72D8" w:rsidR="00504EAA" w:rsidRPr="00ED0093" w:rsidRDefault="00133D4A" w:rsidP="00ED0093">
            <w:pPr>
              <w:widowControl w:val="0"/>
              <w:spacing w:before="120" w:after="120"/>
              <w:jc w:val="both"/>
              <w:rPr>
                <w:sz w:val="24"/>
                <w:szCs w:val="24"/>
              </w:rPr>
            </w:pPr>
            <w:r w:rsidRPr="00777EA7">
              <w:rPr>
                <w:rFonts w:ascii="Times New Roman" w:hAnsi="Times New Roman"/>
                <w:b/>
                <w:bCs/>
                <w:sz w:val="24"/>
                <w:szCs w:val="24"/>
              </w:rPr>
              <w:t>Safety and workplace p</w:t>
            </w:r>
            <w:r w:rsidR="00C813BF" w:rsidRPr="00777EA7">
              <w:rPr>
                <w:rFonts w:ascii="Times New Roman" w:hAnsi="Times New Roman"/>
                <w:b/>
                <w:bCs/>
                <w:sz w:val="24"/>
                <w:szCs w:val="24"/>
              </w:rPr>
              <w:t xml:space="preserve">rotection of journalists </w:t>
            </w:r>
            <w:r w:rsidR="00C813BF" w:rsidRPr="00777EA7">
              <w:rPr>
                <w:rFonts w:ascii="Times New Roman" w:hAnsi="Times New Roman"/>
                <w:sz w:val="24"/>
                <w:szCs w:val="24"/>
              </w:rPr>
              <w:t>(</w:t>
            </w:r>
            <w:r w:rsidR="00C813BF" w:rsidRPr="00777EA7">
              <w:rPr>
                <w:rFonts w:ascii="Times New Roman" w:hAnsi="Times New Roman"/>
                <w:sz w:val="24"/>
                <w:szCs w:val="24"/>
                <w:u w:val="single"/>
              </w:rPr>
              <w:t>paragraph</w:t>
            </w:r>
            <w:r w:rsidR="00250CE3">
              <w:rPr>
                <w:rFonts w:ascii="Times New Roman" w:hAnsi="Times New Roman"/>
                <w:sz w:val="24"/>
                <w:szCs w:val="24"/>
                <w:u w:val="single"/>
              </w:rPr>
              <w:t>s</w:t>
            </w:r>
            <w:r w:rsidR="00C813BF" w:rsidRPr="00777EA7">
              <w:rPr>
                <w:rFonts w:ascii="Times New Roman" w:hAnsi="Times New Roman"/>
                <w:sz w:val="24"/>
                <w:szCs w:val="24"/>
                <w:u w:val="single"/>
              </w:rPr>
              <w:t xml:space="preserve"> 1.</w:t>
            </w:r>
            <w:r w:rsidRPr="00777EA7">
              <w:rPr>
                <w:rFonts w:ascii="Times New Roman" w:hAnsi="Times New Roman"/>
                <w:sz w:val="24"/>
                <w:szCs w:val="24"/>
                <w:u w:val="single"/>
              </w:rPr>
              <w:t>9, 1.</w:t>
            </w:r>
            <w:r w:rsidR="00273922" w:rsidRPr="00777EA7">
              <w:rPr>
                <w:rFonts w:ascii="Times New Roman" w:hAnsi="Times New Roman"/>
                <w:sz w:val="24"/>
                <w:szCs w:val="24"/>
                <w:u w:val="single"/>
              </w:rPr>
              <w:t>1</w:t>
            </w:r>
            <w:r w:rsidRPr="00777EA7">
              <w:rPr>
                <w:rFonts w:ascii="Times New Roman" w:hAnsi="Times New Roman"/>
                <w:sz w:val="24"/>
                <w:szCs w:val="24"/>
                <w:u w:val="single"/>
              </w:rPr>
              <w:t>0</w:t>
            </w:r>
            <w:r w:rsidR="00821730" w:rsidRPr="00777EA7">
              <w:rPr>
                <w:rFonts w:ascii="Times New Roman" w:hAnsi="Times New Roman"/>
                <w:sz w:val="24"/>
                <w:szCs w:val="24"/>
                <w:u w:val="single"/>
              </w:rPr>
              <w:t>, 3.6, 3.7</w:t>
            </w:r>
            <w:r w:rsidR="00C813BF" w:rsidRPr="00777EA7">
              <w:rPr>
                <w:rFonts w:ascii="Times New Roman" w:hAnsi="Times New Roman"/>
                <w:sz w:val="24"/>
                <w:szCs w:val="24"/>
              </w:rPr>
              <w:t>):</w:t>
            </w:r>
            <w:r w:rsidR="006D1071" w:rsidRPr="00777EA7">
              <w:rPr>
                <w:rFonts w:ascii="Times New Roman" w:hAnsi="Times New Roman"/>
                <w:sz w:val="24"/>
                <w:szCs w:val="24"/>
              </w:rPr>
              <w:t xml:space="preserve"> </w:t>
            </w:r>
            <w:r w:rsidR="00A275FB" w:rsidRPr="00777EA7">
              <w:rPr>
                <w:rFonts w:ascii="Times New Roman" w:hAnsi="Times New Roman"/>
                <w:sz w:val="24"/>
                <w:szCs w:val="24"/>
              </w:rPr>
              <w:t xml:space="preserve">This is an </w:t>
            </w:r>
            <w:r w:rsidR="004D1A84" w:rsidRPr="00777EA7">
              <w:rPr>
                <w:rFonts w:ascii="Times New Roman" w:hAnsi="Times New Roman"/>
                <w:sz w:val="24"/>
                <w:szCs w:val="24"/>
              </w:rPr>
              <w:t>ongoing priority for the</w:t>
            </w:r>
            <w:r w:rsidR="00250CE3">
              <w:rPr>
                <w:rFonts w:ascii="Times New Roman" w:hAnsi="Times New Roman"/>
                <w:sz w:val="24"/>
                <w:szCs w:val="24"/>
              </w:rPr>
              <w:t xml:space="preserve"> </w:t>
            </w:r>
            <w:r w:rsidR="004D1A84" w:rsidRPr="00777EA7">
              <w:rPr>
                <w:rFonts w:ascii="Times New Roman" w:hAnsi="Times New Roman"/>
                <w:sz w:val="24"/>
                <w:szCs w:val="24"/>
              </w:rPr>
              <w:t xml:space="preserve">Commission, including </w:t>
            </w:r>
            <w:r w:rsidR="00530BE2" w:rsidRPr="00777EA7">
              <w:rPr>
                <w:rFonts w:ascii="Times New Roman" w:hAnsi="Times New Roman"/>
                <w:sz w:val="24"/>
                <w:szCs w:val="24"/>
              </w:rPr>
              <w:t>in external action</w:t>
            </w:r>
            <w:r w:rsidR="00556A34" w:rsidRPr="00777EA7">
              <w:rPr>
                <w:rFonts w:ascii="Times New Roman" w:hAnsi="Times New Roman"/>
                <w:sz w:val="24"/>
                <w:szCs w:val="24"/>
              </w:rPr>
              <w:t>. T</w:t>
            </w:r>
            <w:r w:rsidR="0040322D" w:rsidRPr="00777EA7">
              <w:rPr>
                <w:rFonts w:ascii="Times New Roman" w:hAnsi="Times New Roman"/>
                <w:sz w:val="24"/>
                <w:szCs w:val="24"/>
              </w:rPr>
              <w:t>he European Democracy Shield</w:t>
            </w:r>
            <w:r w:rsidR="00D443D5" w:rsidRPr="00777EA7">
              <w:rPr>
                <w:rFonts w:ascii="Times New Roman" w:hAnsi="Times New Roman"/>
                <w:sz w:val="24"/>
                <w:szCs w:val="24"/>
              </w:rPr>
              <w:t xml:space="preserve"> includes </w:t>
            </w:r>
            <w:r w:rsidR="00D443D5" w:rsidRPr="00777EA7">
              <w:rPr>
                <w:rFonts w:ascii="Times New Roman" w:hAnsi="Times New Roman"/>
                <w:sz w:val="24"/>
                <w:szCs w:val="24"/>
              </w:rPr>
              <w:lastRenderedPageBreak/>
              <w:t>measures to protect journalists</w:t>
            </w:r>
            <w:r w:rsidR="00D443D5" w:rsidRPr="00777EA7">
              <w:rPr>
                <w:rFonts w:ascii="Times New Roman" w:hAnsi="Times New Roman"/>
                <w:b/>
                <w:bCs/>
                <w:sz w:val="24"/>
                <w:szCs w:val="24"/>
              </w:rPr>
              <w:t xml:space="preserve"> </w:t>
            </w:r>
            <w:r w:rsidR="00D443D5" w:rsidRPr="00777EA7">
              <w:rPr>
                <w:rFonts w:ascii="Times New Roman" w:hAnsi="Times New Roman"/>
                <w:sz w:val="24"/>
                <w:szCs w:val="24"/>
              </w:rPr>
              <w:t>against undue pressure, threats and attacks,</w:t>
            </w:r>
            <w:r w:rsidR="0040322D" w:rsidRPr="00777EA7">
              <w:rPr>
                <w:rFonts w:ascii="Times New Roman" w:hAnsi="Times New Roman"/>
                <w:sz w:val="24"/>
                <w:szCs w:val="24"/>
              </w:rPr>
              <w:t xml:space="preserve"> </w:t>
            </w:r>
            <w:r w:rsidR="005172A4" w:rsidRPr="00777EA7">
              <w:rPr>
                <w:rFonts w:ascii="Times New Roman" w:hAnsi="Times New Roman"/>
                <w:sz w:val="24"/>
                <w:szCs w:val="24"/>
              </w:rPr>
              <w:t>such as</w:t>
            </w:r>
            <w:r w:rsidR="0040322D" w:rsidRPr="00777EA7">
              <w:rPr>
                <w:rFonts w:ascii="Times New Roman" w:hAnsi="Times New Roman"/>
                <w:sz w:val="24"/>
                <w:szCs w:val="24"/>
              </w:rPr>
              <w:t xml:space="preserve"> updat</w:t>
            </w:r>
            <w:r w:rsidR="00250CE3">
              <w:rPr>
                <w:rFonts w:ascii="Times New Roman" w:hAnsi="Times New Roman"/>
                <w:sz w:val="24"/>
                <w:szCs w:val="24"/>
              </w:rPr>
              <w:t>ing</w:t>
            </w:r>
            <w:r w:rsidR="0040322D" w:rsidRPr="00777EA7">
              <w:rPr>
                <w:rFonts w:ascii="Times New Roman" w:hAnsi="Times New Roman"/>
                <w:sz w:val="24"/>
                <w:szCs w:val="24"/>
              </w:rPr>
              <w:t xml:space="preserve"> its Recommendation on the safety of journalists</w:t>
            </w:r>
            <w:r w:rsidR="0013077D" w:rsidRPr="00777EA7">
              <w:rPr>
                <w:rStyle w:val="FootnoteReference"/>
                <w:rFonts w:ascii="Times New Roman" w:hAnsi="Times New Roman"/>
                <w:sz w:val="24"/>
                <w:szCs w:val="24"/>
              </w:rPr>
              <w:footnoteReference w:id="11"/>
            </w:r>
            <w:r w:rsidR="0040322D" w:rsidRPr="00777EA7">
              <w:rPr>
                <w:rFonts w:ascii="Times New Roman" w:hAnsi="Times New Roman"/>
                <w:sz w:val="24"/>
                <w:szCs w:val="24"/>
              </w:rPr>
              <w:t xml:space="preserve"> </w:t>
            </w:r>
            <w:r w:rsidR="0049541C" w:rsidRPr="00777EA7">
              <w:rPr>
                <w:rFonts w:ascii="Times New Roman" w:hAnsi="Times New Roman"/>
                <w:sz w:val="24"/>
                <w:szCs w:val="24"/>
              </w:rPr>
              <w:t>and support</w:t>
            </w:r>
            <w:r w:rsidR="00250CE3">
              <w:rPr>
                <w:rFonts w:ascii="Times New Roman" w:hAnsi="Times New Roman"/>
                <w:sz w:val="24"/>
                <w:szCs w:val="24"/>
              </w:rPr>
              <w:t>ing</w:t>
            </w:r>
            <w:r w:rsidR="0049541C" w:rsidRPr="00777EA7">
              <w:rPr>
                <w:rFonts w:ascii="Times New Roman" w:hAnsi="Times New Roman"/>
                <w:sz w:val="24"/>
                <w:szCs w:val="24"/>
              </w:rPr>
              <w:t xml:space="preserve"> </w:t>
            </w:r>
            <w:r w:rsidR="0049541C" w:rsidRPr="00777EA7" w:rsidDel="002C38B0">
              <w:rPr>
                <w:rFonts w:ascii="Times New Roman" w:hAnsi="Times New Roman"/>
                <w:sz w:val="24"/>
                <w:szCs w:val="24"/>
              </w:rPr>
              <w:t xml:space="preserve">the </w:t>
            </w:r>
            <w:r w:rsidR="0049541C" w:rsidRPr="00777EA7">
              <w:rPr>
                <w:rFonts w:ascii="Times New Roman" w:hAnsi="Times New Roman"/>
                <w:sz w:val="24"/>
                <w:szCs w:val="24"/>
              </w:rPr>
              <w:t>review of its anti-SLAPP Recommendation</w:t>
            </w:r>
            <w:r w:rsidR="0040322D" w:rsidRPr="00777EA7">
              <w:rPr>
                <w:rFonts w:ascii="Times New Roman" w:hAnsi="Times New Roman"/>
                <w:sz w:val="24"/>
                <w:szCs w:val="24"/>
              </w:rPr>
              <w:t>.</w:t>
            </w:r>
            <w:r w:rsidR="006D1071" w:rsidRPr="00777EA7">
              <w:rPr>
                <w:rFonts w:ascii="Times New Roman" w:hAnsi="Times New Roman"/>
                <w:sz w:val="24"/>
                <w:szCs w:val="24"/>
              </w:rPr>
              <w:t xml:space="preserve"> </w:t>
            </w:r>
            <w:r w:rsidR="0BDED542" w:rsidRPr="00777EA7">
              <w:rPr>
                <w:rFonts w:ascii="Times New Roman" w:hAnsi="Times New Roman"/>
                <w:sz w:val="24"/>
                <w:szCs w:val="24"/>
              </w:rPr>
              <w:t>The Framework Directive on Safety and Health at Work</w:t>
            </w:r>
            <w:r w:rsidR="00C06B2C" w:rsidRPr="00777EA7">
              <w:rPr>
                <w:rStyle w:val="FootnoteReference"/>
                <w:rFonts w:ascii="Times New Roman" w:hAnsi="Times New Roman"/>
                <w:sz w:val="24"/>
                <w:szCs w:val="24"/>
              </w:rPr>
              <w:footnoteReference w:id="12"/>
            </w:r>
            <w:r w:rsidR="0BDED542" w:rsidRPr="00777EA7">
              <w:rPr>
                <w:rFonts w:ascii="Times New Roman" w:hAnsi="Times New Roman"/>
                <w:sz w:val="24"/>
                <w:szCs w:val="24"/>
              </w:rPr>
              <w:t xml:space="preserve"> </w:t>
            </w:r>
            <w:r w:rsidR="00AA12F6" w:rsidRPr="00777EA7">
              <w:rPr>
                <w:rFonts w:ascii="Times New Roman" w:hAnsi="Times New Roman"/>
                <w:sz w:val="24"/>
                <w:szCs w:val="24"/>
              </w:rPr>
              <w:t>applies to all sectors</w:t>
            </w:r>
            <w:r w:rsidR="0057307E" w:rsidRPr="00777EA7">
              <w:rPr>
                <w:rFonts w:ascii="Times New Roman" w:hAnsi="Times New Roman"/>
                <w:sz w:val="24"/>
                <w:szCs w:val="24"/>
              </w:rPr>
              <w:t xml:space="preserve">, </w:t>
            </w:r>
            <w:r w:rsidR="0BDED542" w:rsidRPr="00777EA7">
              <w:rPr>
                <w:rFonts w:ascii="Times New Roman" w:hAnsi="Times New Roman"/>
                <w:sz w:val="24"/>
                <w:szCs w:val="24"/>
              </w:rPr>
              <w:t xml:space="preserve">covers any occupational risk and lays down the main principles of prevention and protection against </w:t>
            </w:r>
            <w:r w:rsidR="00063A0F" w:rsidRPr="00777EA7">
              <w:rPr>
                <w:rFonts w:ascii="Times New Roman" w:hAnsi="Times New Roman"/>
                <w:sz w:val="24"/>
                <w:szCs w:val="24"/>
              </w:rPr>
              <w:t>such risks</w:t>
            </w:r>
            <w:r w:rsidR="0BDED542" w:rsidRPr="00777EA7">
              <w:rPr>
                <w:rFonts w:ascii="Times New Roman" w:hAnsi="Times New Roman"/>
                <w:sz w:val="24"/>
                <w:szCs w:val="24"/>
              </w:rPr>
              <w:t>. As part of the ongoing review of the Workplace Directive</w:t>
            </w:r>
            <w:r w:rsidR="005F3A0B" w:rsidRPr="00777EA7">
              <w:rPr>
                <w:rStyle w:val="FootnoteReference"/>
                <w:rFonts w:ascii="Times New Roman" w:hAnsi="Times New Roman"/>
                <w:sz w:val="24"/>
                <w:szCs w:val="24"/>
              </w:rPr>
              <w:footnoteReference w:id="13"/>
            </w:r>
            <w:r w:rsidR="0BDED542" w:rsidRPr="00777EA7">
              <w:rPr>
                <w:rFonts w:ascii="Times New Roman" w:hAnsi="Times New Roman"/>
                <w:sz w:val="24"/>
                <w:szCs w:val="24"/>
              </w:rPr>
              <w:t xml:space="preserve">, the Commission is looking at the need to </w:t>
            </w:r>
            <w:r w:rsidR="009767C8">
              <w:rPr>
                <w:rFonts w:ascii="Times New Roman" w:hAnsi="Times New Roman"/>
                <w:sz w:val="24"/>
                <w:szCs w:val="24"/>
              </w:rPr>
              <w:t>adapt</w:t>
            </w:r>
            <w:r w:rsidR="0BDED542" w:rsidRPr="00777EA7">
              <w:rPr>
                <w:rFonts w:ascii="Times New Roman" w:hAnsi="Times New Roman"/>
                <w:sz w:val="24"/>
                <w:szCs w:val="24"/>
              </w:rPr>
              <w:t xml:space="preserve"> occupational safety and health protections of workers to modern workplaces, and to further address psychosocial risks.</w:t>
            </w:r>
            <w:r w:rsidR="003674D0" w:rsidRPr="00777EA7">
              <w:rPr>
                <w:rFonts w:ascii="Times New Roman" w:hAnsi="Times New Roman"/>
                <w:sz w:val="24"/>
                <w:szCs w:val="24"/>
              </w:rPr>
              <w:t xml:space="preserve"> </w:t>
            </w:r>
            <w:r w:rsidR="1019E963" w:rsidRPr="00777EA7">
              <w:rPr>
                <w:rFonts w:ascii="Times New Roman" w:eastAsia="Times New Roman" w:hAnsi="Times New Roman"/>
                <w:sz w:val="24"/>
                <w:szCs w:val="24"/>
              </w:rPr>
              <w:t>In addition, there are ongoing initiatives such as the</w:t>
            </w:r>
            <w:r w:rsidR="00EA1690" w:rsidRPr="00777EA7">
              <w:rPr>
                <w:rFonts w:ascii="Times New Roman" w:eastAsia="Times New Roman" w:hAnsi="Times New Roman"/>
                <w:sz w:val="24"/>
                <w:szCs w:val="24"/>
              </w:rPr>
              <w:t xml:space="preserve"> </w:t>
            </w:r>
            <w:r w:rsidR="009A0B83" w:rsidRPr="00777EA7">
              <w:rPr>
                <w:rFonts w:ascii="Times New Roman" w:eastAsia="Times New Roman" w:hAnsi="Times New Roman"/>
                <w:sz w:val="24"/>
                <w:szCs w:val="24"/>
              </w:rPr>
              <w:t xml:space="preserve">development by the </w:t>
            </w:r>
            <w:r w:rsidR="00EA1690" w:rsidRPr="00777EA7">
              <w:rPr>
                <w:rFonts w:ascii="Times New Roman" w:eastAsia="Times New Roman" w:hAnsi="Times New Roman"/>
                <w:sz w:val="24"/>
                <w:szCs w:val="24"/>
              </w:rPr>
              <w:t>European Agency for Safety and Health at Work</w:t>
            </w:r>
            <w:r w:rsidR="1019E963" w:rsidRPr="00777EA7">
              <w:rPr>
                <w:rFonts w:ascii="Times New Roman" w:eastAsia="Times New Roman" w:hAnsi="Times New Roman"/>
                <w:sz w:val="24"/>
                <w:szCs w:val="24"/>
              </w:rPr>
              <w:t xml:space="preserve"> </w:t>
            </w:r>
            <w:r w:rsidR="00C603FC" w:rsidRPr="00777EA7">
              <w:rPr>
                <w:rFonts w:ascii="Times New Roman" w:eastAsia="Times New Roman" w:hAnsi="Times New Roman"/>
                <w:sz w:val="24"/>
                <w:szCs w:val="24"/>
              </w:rPr>
              <w:t>(</w:t>
            </w:r>
            <w:r w:rsidR="1019E963" w:rsidRPr="00777EA7">
              <w:rPr>
                <w:rFonts w:ascii="Times New Roman" w:eastAsia="Times New Roman" w:hAnsi="Times New Roman"/>
                <w:sz w:val="24"/>
                <w:szCs w:val="24"/>
              </w:rPr>
              <w:t>EU-OSHA</w:t>
            </w:r>
            <w:r w:rsidR="00C603FC" w:rsidRPr="00777EA7">
              <w:rPr>
                <w:rFonts w:ascii="Times New Roman" w:eastAsia="Times New Roman" w:hAnsi="Times New Roman"/>
                <w:sz w:val="24"/>
                <w:szCs w:val="24"/>
              </w:rPr>
              <w:t>)</w:t>
            </w:r>
            <w:r w:rsidR="1019E963" w:rsidRPr="00777EA7">
              <w:rPr>
                <w:rFonts w:ascii="Times New Roman" w:eastAsia="Times New Roman" w:hAnsi="Times New Roman"/>
                <w:sz w:val="24"/>
                <w:szCs w:val="24"/>
              </w:rPr>
              <w:t xml:space="preserve"> </w:t>
            </w:r>
            <w:r w:rsidR="009A0B83" w:rsidRPr="00777EA7">
              <w:rPr>
                <w:rFonts w:ascii="Times New Roman" w:eastAsia="Times New Roman" w:hAnsi="Times New Roman"/>
                <w:sz w:val="24"/>
                <w:szCs w:val="24"/>
              </w:rPr>
              <w:t xml:space="preserve">of the </w:t>
            </w:r>
            <w:r w:rsidR="1019E963" w:rsidRPr="00777EA7">
              <w:rPr>
                <w:rFonts w:ascii="Times New Roman" w:eastAsia="Times New Roman" w:hAnsi="Times New Roman"/>
                <w:sz w:val="24"/>
                <w:szCs w:val="24"/>
              </w:rPr>
              <w:t>Online Interactive Risk Assessment tool on sexual harassment and third-party violence. Social partners are also</w:t>
            </w:r>
            <w:r w:rsidR="0048252E" w:rsidRPr="00777EA7">
              <w:rPr>
                <w:rFonts w:ascii="Times New Roman" w:eastAsia="Times New Roman" w:hAnsi="Times New Roman"/>
                <w:sz w:val="24"/>
                <w:szCs w:val="24"/>
              </w:rPr>
              <w:t xml:space="preserve"> actively involved in the context of safety and health at the workplace</w:t>
            </w:r>
            <w:r w:rsidR="1019E963" w:rsidRPr="00777EA7">
              <w:rPr>
                <w:rFonts w:ascii="Times New Roman" w:eastAsia="Times New Roman" w:hAnsi="Times New Roman"/>
                <w:sz w:val="24"/>
                <w:szCs w:val="24"/>
              </w:rPr>
              <w:t xml:space="preserve">, including </w:t>
            </w:r>
            <w:r w:rsidR="0048252E" w:rsidRPr="00777EA7">
              <w:rPr>
                <w:rFonts w:ascii="Times New Roman" w:eastAsia="Times New Roman" w:hAnsi="Times New Roman"/>
                <w:sz w:val="24"/>
                <w:szCs w:val="24"/>
              </w:rPr>
              <w:t xml:space="preserve">in </w:t>
            </w:r>
            <w:r w:rsidR="1019E963" w:rsidRPr="00777EA7">
              <w:rPr>
                <w:rFonts w:ascii="Times New Roman" w:eastAsia="Times New Roman" w:hAnsi="Times New Roman"/>
                <w:sz w:val="24"/>
                <w:szCs w:val="24"/>
              </w:rPr>
              <w:t>the 2025 update of the multi-sectoral Guidelines</w:t>
            </w:r>
            <w:r w:rsidR="00FA604F" w:rsidRPr="00777EA7">
              <w:rPr>
                <w:rStyle w:val="FootnoteReference"/>
                <w:rFonts w:ascii="Times New Roman" w:eastAsia="Times New Roman" w:hAnsi="Times New Roman"/>
                <w:sz w:val="24"/>
                <w:szCs w:val="24"/>
              </w:rPr>
              <w:footnoteReference w:id="14"/>
            </w:r>
            <w:r w:rsidR="1019E963" w:rsidRPr="00777EA7">
              <w:rPr>
                <w:rFonts w:ascii="Times New Roman" w:eastAsia="Times New Roman" w:hAnsi="Times New Roman"/>
                <w:sz w:val="24"/>
                <w:szCs w:val="24"/>
              </w:rPr>
              <w:t xml:space="preserve"> in this area.</w:t>
            </w:r>
          </w:p>
          <w:p w14:paraId="0EFFA374" w14:textId="4037ABD2" w:rsidR="00504EAA" w:rsidRPr="00777EA7" w:rsidRDefault="008F421A" w:rsidP="00ED0093">
            <w:pPr>
              <w:widowControl w:val="0"/>
              <w:spacing w:before="120" w:after="120"/>
              <w:jc w:val="both"/>
              <w:rPr>
                <w:rFonts w:ascii="Times New Roman" w:eastAsia="Times New Roman" w:hAnsi="Times New Roman"/>
                <w:sz w:val="24"/>
                <w:szCs w:val="24"/>
              </w:rPr>
            </w:pPr>
            <w:r w:rsidRPr="00777EA7">
              <w:rPr>
                <w:rFonts w:ascii="Times New Roman" w:hAnsi="Times New Roman"/>
                <w:b/>
                <w:bCs/>
                <w:sz w:val="24"/>
                <w:szCs w:val="24"/>
              </w:rPr>
              <w:t>Artificial intelligence and</w:t>
            </w:r>
            <w:r w:rsidR="00B8558F" w:rsidRPr="00777EA7">
              <w:rPr>
                <w:rFonts w:ascii="Times New Roman" w:hAnsi="Times New Roman"/>
                <w:b/>
                <w:bCs/>
                <w:sz w:val="24"/>
                <w:szCs w:val="24"/>
              </w:rPr>
              <w:t xml:space="preserve"> protection of journalists </w:t>
            </w:r>
            <w:r w:rsidR="00B8558F" w:rsidRPr="00777EA7">
              <w:rPr>
                <w:rFonts w:ascii="Times New Roman" w:hAnsi="Times New Roman"/>
                <w:sz w:val="24"/>
                <w:szCs w:val="24"/>
              </w:rPr>
              <w:t>(</w:t>
            </w:r>
            <w:r w:rsidR="00B8558F" w:rsidRPr="00777EA7">
              <w:rPr>
                <w:rFonts w:ascii="Times New Roman" w:hAnsi="Times New Roman"/>
                <w:sz w:val="24"/>
                <w:szCs w:val="24"/>
                <w:u w:val="single"/>
              </w:rPr>
              <w:t>paragraph</w:t>
            </w:r>
            <w:r w:rsidR="009767C8">
              <w:rPr>
                <w:rFonts w:ascii="Times New Roman" w:hAnsi="Times New Roman"/>
                <w:sz w:val="24"/>
                <w:szCs w:val="24"/>
                <w:u w:val="single"/>
              </w:rPr>
              <w:t>s</w:t>
            </w:r>
            <w:r w:rsidR="00B8558F" w:rsidRPr="00777EA7">
              <w:rPr>
                <w:rFonts w:ascii="Times New Roman" w:hAnsi="Times New Roman"/>
                <w:sz w:val="24"/>
                <w:szCs w:val="24"/>
                <w:u w:val="single"/>
              </w:rPr>
              <w:t xml:space="preserve"> 1.</w:t>
            </w:r>
            <w:r w:rsidR="00273922" w:rsidRPr="00777EA7">
              <w:rPr>
                <w:rFonts w:ascii="Times New Roman" w:hAnsi="Times New Roman"/>
                <w:sz w:val="24"/>
                <w:szCs w:val="24"/>
                <w:u w:val="single"/>
              </w:rPr>
              <w:t>11</w:t>
            </w:r>
            <w:r w:rsidR="00B8558F" w:rsidRPr="00777EA7">
              <w:rPr>
                <w:rFonts w:ascii="Times New Roman" w:hAnsi="Times New Roman"/>
                <w:sz w:val="24"/>
                <w:szCs w:val="24"/>
                <w:u w:val="single"/>
              </w:rPr>
              <w:t>, 1.</w:t>
            </w:r>
            <w:r w:rsidR="00273922" w:rsidRPr="00777EA7">
              <w:rPr>
                <w:rFonts w:ascii="Times New Roman" w:hAnsi="Times New Roman"/>
                <w:sz w:val="24"/>
                <w:szCs w:val="24"/>
                <w:u w:val="single"/>
              </w:rPr>
              <w:t>13</w:t>
            </w:r>
            <w:r w:rsidR="00B8558F" w:rsidRPr="00777EA7">
              <w:rPr>
                <w:rFonts w:ascii="Times New Roman" w:hAnsi="Times New Roman"/>
                <w:sz w:val="24"/>
                <w:szCs w:val="24"/>
                <w:u w:val="single"/>
              </w:rPr>
              <w:t>, 3.</w:t>
            </w:r>
            <w:r w:rsidR="00273922" w:rsidRPr="00777EA7">
              <w:rPr>
                <w:rFonts w:ascii="Times New Roman" w:hAnsi="Times New Roman"/>
                <w:sz w:val="24"/>
                <w:szCs w:val="24"/>
                <w:u w:val="single"/>
              </w:rPr>
              <w:t>8</w:t>
            </w:r>
            <w:r w:rsidR="00B8558F" w:rsidRPr="00777EA7">
              <w:rPr>
                <w:rFonts w:ascii="Times New Roman" w:hAnsi="Times New Roman"/>
                <w:sz w:val="24"/>
                <w:szCs w:val="24"/>
              </w:rPr>
              <w:t>):</w:t>
            </w:r>
            <w:r w:rsidR="00F556D6" w:rsidRPr="00777EA7">
              <w:rPr>
                <w:rFonts w:ascii="Times New Roman" w:hAnsi="Times New Roman"/>
                <w:sz w:val="24"/>
                <w:szCs w:val="24"/>
              </w:rPr>
              <w:t xml:space="preserve"> </w:t>
            </w:r>
            <w:r w:rsidR="6B2E1884" w:rsidRPr="00777EA7">
              <w:rPr>
                <w:rFonts w:ascii="Times New Roman" w:hAnsi="Times New Roman"/>
                <w:sz w:val="24"/>
                <w:szCs w:val="24"/>
              </w:rPr>
              <w:t xml:space="preserve">The Commission takes note of the call to closely monitor the application of the Union’s legislative framework on artificial intelligence </w:t>
            </w:r>
            <w:proofErr w:type="gramStart"/>
            <w:r w:rsidR="6B2E1884" w:rsidRPr="00777EA7">
              <w:rPr>
                <w:rFonts w:ascii="Times New Roman" w:hAnsi="Times New Roman"/>
                <w:sz w:val="24"/>
                <w:szCs w:val="24"/>
              </w:rPr>
              <w:t>in order to</w:t>
            </w:r>
            <w:proofErr w:type="gramEnd"/>
            <w:r w:rsidR="6B2E1884" w:rsidRPr="00777EA7">
              <w:rPr>
                <w:rFonts w:ascii="Times New Roman" w:hAnsi="Times New Roman"/>
                <w:sz w:val="24"/>
                <w:szCs w:val="24"/>
              </w:rPr>
              <w:t xml:space="preserve"> secure a fair balance between giving AI providers access to European data and </w:t>
            </w:r>
            <w:r w:rsidR="6B2E1884" w:rsidRPr="00777EA7">
              <w:rPr>
                <w:rFonts w:ascii="Times New Roman" w:hAnsi="Times New Roman"/>
                <w:sz w:val="24"/>
                <w:szCs w:val="24"/>
                <w:lang w:val="en-IE"/>
              </w:rPr>
              <w:t>ensuring the protection of journalists.</w:t>
            </w:r>
            <w:r w:rsidR="007E5331" w:rsidRPr="00777EA7">
              <w:rPr>
                <w:rFonts w:ascii="Times New Roman" w:hAnsi="Times New Roman"/>
                <w:sz w:val="24"/>
                <w:szCs w:val="24"/>
                <w:lang w:val="en-IE"/>
              </w:rPr>
              <w:t xml:space="preserve"> The copyright-related obligations of the AI Act (Article 53(1)c and d)) complement the EU copyright framework. The Commission will monitor the application of the existing rules and continue to analyse the challenges faced by authors and other right</w:t>
            </w:r>
            <w:r w:rsidR="00EC1F86" w:rsidRPr="00777EA7">
              <w:rPr>
                <w:rFonts w:ascii="Times New Roman" w:hAnsi="Times New Roman"/>
                <w:sz w:val="24"/>
                <w:szCs w:val="24"/>
                <w:lang w:val="en-IE"/>
              </w:rPr>
              <w:t>-</w:t>
            </w:r>
            <w:r w:rsidR="007E5331" w:rsidRPr="00777EA7">
              <w:rPr>
                <w:rFonts w:ascii="Times New Roman" w:hAnsi="Times New Roman"/>
                <w:sz w:val="24"/>
                <w:szCs w:val="24"/>
                <w:lang w:val="en-IE"/>
              </w:rPr>
              <w:t>holders in the context of AI.</w:t>
            </w:r>
            <w:r w:rsidR="6B2E1884" w:rsidRPr="00777EA7">
              <w:rPr>
                <w:rFonts w:ascii="Times New Roman" w:hAnsi="Times New Roman"/>
                <w:sz w:val="24"/>
                <w:szCs w:val="24"/>
                <w:lang w:val="en-IE"/>
              </w:rPr>
              <w:t xml:space="preserve"> The Commission</w:t>
            </w:r>
            <w:r w:rsidR="6B2E1884" w:rsidRPr="00777EA7">
              <w:rPr>
                <w:rFonts w:ascii="Times New Roman" w:hAnsi="Times New Roman"/>
                <w:sz w:val="24"/>
                <w:szCs w:val="24"/>
              </w:rPr>
              <w:t xml:space="preserve"> is closely following the developments around the use of artificial intelligence at the workplace, including by supporting Member States in the transposition of the Platform Work Directive</w:t>
            </w:r>
            <w:r w:rsidR="001209BF" w:rsidRPr="00777EA7">
              <w:rPr>
                <w:rStyle w:val="FootnoteReference"/>
                <w:rFonts w:ascii="Times New Roman" w:hAnsi="Times New Roman"/>
                <w:sz w:val="24"/>
                <w:szCs w:val="24"/>
              </w:rPr>
              <w:footnoteReference w:id="15"/>
            </w:r>
            <w:r w:rsidR="6B2E1884" w:rsidRPr="00777EA7">
              <w:rPr>
                <w:rFonts w:ascii="Times New Roman" w:hAnsi="Times New Roman"/>
                <w:sz w:val="24"/>
                <w:szCs w:val="24"/>
              </w:rPr>
              <w:t xml:space="preserve"> and its provisions on algorithmic management. It is also considering possible future initiatives on algorithmic management in the context of the forthcoming Quality Jobs Act, for which the first-stage social partner consultation</w:t>
            </w:r>
            <w:r w:rsidR="00835A5F" w:rsidRPr="00777EA7">
              <w:rPr>
                <w:rFonts w:ascii="Times New Roman" w:hAnsi="Times New Roman"/>
                <w:sz w:val="24"/>
                <w:szCs w:val="24"/>
              </w:rPr>
              <w:t xml:space="preserve"> </w:t>
            </w:r>
            <w:r w:rsidR="00C14B59" w:rsidRPr="00777EA7">
              <w:rPr>
                <w:rFonts w:ascii="Times New Roman" w:hAnsi="Times New Roman"/>
                <w:sz w:val="24"/>
                <w:szCs w:val="24"/>
              </w:rPr>
              <w:t>ended</w:t>
            </w:r>
            <w:r w:rsidR="00835A5F" w:rsidRPr="00777EA7">
              <w:rPr>
                <w:rFonts w:ascii="Times New Roman" w:hAnsi="Times New Roman"/>
                <w:sz w:val="24"/>
                <w:szCs w:val="24"/>
              </w:rPr>
              <w:t xml:space="preserve"> on 29 January 2026</w:t>
            </w:r>
            <w:r w:rsidR="6B2E1884" w:rsidRPr="00777EA7">
              <w:rPr>
                <w:rFonts w:ascii="Times New Roman" w:hAnsi="Times New Roman"/>
                <w:sz w:val="24"/>
                <w:szCs w:val="24"/>
              </w:rPr>
              <w:t xml:space="preserve">. </w:t>
            </w:r>
            <w:r w:rsidR="468AE43C" w:rsidRPr="00777EA7">
              <w:rPr>
                <w:rFonts w:ascii="Times New Roman" w:eastAsia="Times New Roman" w:hAnsi="Times New Roman"/>
                <w:sz w:val="24"/>
                <w:szCs w:val="24"/>
              </w:rPr>
              <w:t xml:space="preserve">As announced in the </w:t>
            </w:r>
            <w:r w:rsidR="00B14E8A" w:rsidRPr="00777EA7">
              <w:rPr>
                <w:rFonts w:ascii="Times New Roman" w:eastAsia="Times New Roman" w:hAnsi="Times New Roman"/>
                <w:sz w:val="24"/>
                <w:szCs w:val="24"/>
              </w:rPr>
              <w:t xml:space="preserve">European </w:t>
            </w:r>
            <w:r w:rsidR="468AE43C" w:rsidRPr="00777EA7">
              <w:rPr>
                <w:rFonts w:ascii="Times New Roman" w:eastAsia="Times New Roman" w:hAnsi="Times New Roman"/>
                <w:sz w:val="24"/>
                <w:szCs w:val="24"/>
              </w:rPr>
              <w:t xml:space="preserve">Democracy Shield, </w:t>
            </w:r>
            <w:r w:rsidR="00680BC6" w:rsidRPr="00777EA7">
              <w:rPr>
                <w:rFonts w:ascii="Times New Roman" w:hAnsi="Times New Roman"/>
                <w:sz w:val="24"/>
                <w:szCs w:val="24"/>
              </w:rPr>
              <w:t>the Commission will adopt guidelines to support the implementation of relevant EU rules to promote safe harbours for journalists, researchers and civil society organisations active in analysing the information environment and its evolutions (e.g. the impact of AI). Also</w:t>
            </w:r>
            <w:r w:rsidR="004D411A" w:rsidRPr="00777EA7">
              <w:rPr>
                <w:rFonts w:ascii="Times New Roman" w:eastAsia="Times New Roman" w:hAnsi="Times New Roman"/>
                <w:sz w:val="24"/>
                <w:szCs w:val="24"/>
              </w:rPr>
              <w:t xml:space="preserve">, </w:t>
            </w:r>
            <w:r w:rsidR="468AE43C" w:rsidRPr="00777EA7">
              <w:rPr>
                <w:rFonts w:ascii="Times New Roman" w:eastAsia="Times New Roman" w:hAnsi="Times New Roman"/>
                <w:sz w:val="24"/>
                <w:szCs w:val="24"/>
              </w:rPr>
              <w:t>the Creative Europe programme will expand its existing calls for proposals on skills in 2027, by adding a</w:t>
            </w:r>
            <w:r w:rsidR="00766129">
              <w:rPr>
                <w:rFonts w:ascii="Times New Roman" w:eastAsia="Times New Roman" w:hAnsi="Times New Roman"/>
                <w:sz w:val="24"/>
                <w:szCs w:val="24"/>
              </w:rPr>
              <w:t> </w:t>
            </w:r>
            <w:r w:rsidR="468AE43C" w:rsidRPr="00777EA7">
              <w:rPr>
                <w:rFonts w:ascii="Times New Roman" w:eastAsia="Times New Roman" w:hAnsi="Times New Roman"/>
                <w:sz w:val="24"/>
                <w:szCs w:val="24"/>
              </w:rPr>
              <w:t xml:space="preserve">new action on upskilling news media professionals. In the next MFF 2028-2034, the Commission has proposed the </w:t>
            </w:r>
            <w:proofErr w:type="spellStart"/>
            <w:r w:rsidR="468AE43C" w:rsidRPr="00777EA7">
              <w:rPr>
                <w:rFonts w:ascii="Times New Roman" w:eastAsia="Times New Roman" w:hAnsi="Times New Roman"/>
                <w:sz w:val="24"/>
                <w:szCs w:val="24"/>
              </w:rPr>
              <w:t>AgoraEU</w:t>
            </w:r>
            <w:proofErr w:type="spellEnd"/>
            <w:r w:rsidR="468AE43C" w:rsidRPr="00777EA7">
              <w:rPr>
                <w:rFonts w:ascii="Times New Roman" w:eastAsia="Times New Roman" w:hAnsi="Times New Roman"/>
                <w:sz w:val="24"/>
                <w:szCs w:val="24"/>
              </w:rPr>
              <w:t xml:space="preserve"> programme, which contains a strong MEDIA+ strand. The MEDIA+ strand of </w:t>
            </w:r>
            <w:proofErr w:type="spellStart"/>
            <w:r w:rsidR="468AE43C" w:rsidRPr="00777EA7">
              <w:rPr>
                <w:rFonts w:ascii="Times New Roman" w:eastAsia="Times New Roman" w:hAnsi="Times New Roman"/>
                <w:sz w:val="24"/>
                <w:szCs w:val="24"/>
              </w:rPr>
              <w:t>AgoraEU</w:t>
            </w:r>
            <w:proofErr w:type="spellEnd"/>
            <w:r w:rsidR="468AE43C" w:rsidRPr="00777EA7">
              <w:rPr>
                <w:rFonts w:ascii="Times New Roman" w:eastAsia="Times New Roman" w:hAnsi="Times New Roman"/>
                <w:sz w:val="24"/>
                <w:szCs w:val="24"/>
              </w:rPr>
              <w:t xml:space="preserve"> </w:t>
            </w:r>
            <w:r w:rsidR="021F2E47" w:rsidRPr="00777EA7">
              <w:rPr>
                <w:rFonts w:ascii="Times New Roman" w:eastAsia="Times New Roman" w:hAnsi="Times New Roman"/>
                <w:sz w:val="24"/>
                <w:szCs w:val="24"/>
              </w:rPr>
              <w:t xml:space="preserve">programme </w:t>
            </w:r>
            <w:r w:rsidR="468AE43C" w:rsidRPr="00777EA7">
              <w:rPr>
                <w:rFonts w:ascii="Times New Roman" w:eastAsia="Times New Roman" w:hAnsi="Times New Roman"/>
                <w:sz w:val="24"/>
                <w:szCs w:val="24"/>
              </w:rPr>
              <w:t>includes a focus on the reskilling and upskilling of news media professionals.</w:t>
            </w:r>
          </w:p>
          <w:p w14:paraId="30D14481" w14:textId="640696A2" w:rsidR="0049246C" w:rsidRPr="00777EA7" w:rsidRDefault="005D73DE" w:rsidP="00ED0093">
            <w:pPr>
              <w:widowControl w:val="0"/>
              <w:spacing w:before="120" w:after="120"/>
              <w:jc w:val="both"/>
              <w:rPr>
                <w:rFonts w:ascii="Times New Roman" w:hAnsi="Times New Roman"/>
                <w:b/>
                <w:sz w:val="24"/>
                <w:szCs w:val="24"/>
              </w:rPr>
            </w:pPr>
            <w:r w:rsidRPr="00777EA7">
              <w:rPr>
                <w:rFonts w:ascii="Times New Roman" w:hAnsi="Times New Roman"/>
                <w:sz w:val="24"/>
                <w:szCs w:val="24"/>
              </w:rPr>
              <w:t xml:space="preserve">In the first half of 2026, the Commission will also present the final AI literacy framework for primary and secondary education, developed in cooperation with the Organisation for Economic Co-operation </w:t>
            </w:r>
            <w:r w:rsidRPr="00777EA7">
              <w:rPr>
                <w:rFonts w:ascii="Times New Roman" w:hAnsi="Times New Roman"/>
                <w:sz w:val="24"/>
                <w:szCs w:val="24"/>
              </w:rPr>
              <w:lastRenderedPageBreak/>
              <w:t xml:space="preserve">and Development. Building on </w:t>
            </w:r>
            <w:r w:rsidR="00802A3A">
              <w:rPr>
                <w:rFonts w:ascii="Times New Roman" w:hAnsi="Times New Roman"/>
                <w:sz w:val="24"/>
                <w:szCs w:val="24"/>
              </w:rPr>
              <w:t>that framework</w:t>
            </w:r>
            <w:r w:rsidRPr="00777EA7">
              <w:rPr>
                <w:rFonts w:ascii="Times New Roman" w:hAnsi="Times New Roman"/>
                <w:sz w:val="24"/>
                <w:szCs w:val="24"/>
              </w:rPr>
              <w:t>, the 2030 Roadmap on the future of digital education and skills</w:t>
            </w:r>
            <w:r w:rsidR="00ED0093">
              <w:rPr>
                <w:rFonts w:ascii="Times New Roman" w:hAnsi="Times New Roman"/>
                <w:sz w:val="24"/>
                <w:szCs w:val="24"/>
              </w:rPr>
              <w:t xml:space="preserve"> -</w:t>
            </w:r>
            <w:r w:rsidRPr="00777EA7">
              <w:rPr>
                <w:rFonts w:ascii="Times New Roman" w:hAnsi="Times New Roman"/>
                <w:sz w:val="24"/>
                <w:szCs w:val="24"/>
              </w:rPr>
              <w:t xml:space="preserve"> as a</w:t>
            </w:r>
            <w:r w:rsidR="00887E72">
              <w:rPr>
                <w:rFonts w:ascii="Times New Roman" w:hAnsi="Times New Roman"/>
                <w:sz w:val="24"/>
                <w:szCs w:val="24"/>
              </w:rPr>
              <w:t> </w:t>
            </w:r>
            <w:r w:rsidRPr="00777EA7">
              <w:rPr>
                <w:rFonts w:ascii="Times New Roman" w:hAnsi="Times New Roman"/>
                <w:sz w:val="24"/>
                <w:szCs w:val="24"/>
              </w:rPr>
              <w:t>successor of the Digital Education Action Plan</w:t>
            </w:r>
            <w:r w:rsidRPr="00777EA7">
              <w:rPr>
                <w:rStyle w:val="FootnoteReference"/>
                <w:rFonts w:ascii="Times New Roman" w:hAnsi="Times New Roman"/>
                <w:sz w:val="24"/>
                <w:szCs w:val="24"/>
              </w:rPr>
              <w:footnoteReference w:id="16"/>
            </w:r>
            <w:r w:rsidR="00ED0093">
              <w:rPr>
                <w:rFonts w:ascii="Times New Roman" w:hAnsi="Times New Roman"/>
                <w:sz w:val="24"/>
                <w:szCs w:val="24"/>
              </w:rPr>
              <w:t xml:space="preserve"> -</w:t>
            </w:r>
            <w:r w:rsidRPr="00777EA7">
              <w:rPr>
                <w:rFonts w:ascii="Times New Roman" w:hAnsi="Times New Roman"/>
                <w:sz w:val="24"/>
                <w:szCs w:val="24"/>
              </w:rPr>
              <w:t xml:space="preserve"> will </w:t>
            </w:r>
            <w:r w:rsidR="00ED0093">
              <w:rPr>
                <w:rFonts w:ascii="Times New Roman" w:hAnsi="Times New Roman"/>
                <w:sz w:val="24"/>
                <w:szCs w:val="24"/>
              </w:rPr>
              <w:t>investigate</w:t>
            </w:r>
            <w:r w:rsidRPr="00777EA7">
              <w:rPr>
                <w:rFonts w:ascii="Times New Roman" w:hAnsi="Times New Roman"/>
                <w:sz w:val="24"/>
                <w:szCs w:val="24"/>
              </w:rPr>
              <w:t xml:space="preserve"> mainstreaming AI literacy </w:t>
            </w:r>
            <w:r w:rsidR="00ED0093">
              <w:rPr>
                <w:rFonts w:ascii="Times New Roman" w:hAnsi="Times New Roman"/>
                <w:sz w:val="24"/>
                <w:szCs w:val="24"/>
              </w:rPr>
              <w:t>from</w:t>
            </w:r>
            <w:r w:rsidRPr="00777EA7">
              <w:rPr>
                <w:rFonts w:ascii="Times New Roman" w:hAnsi="Times New Roman"/>
                <w:sz w:val="24"/>
                <w:szCs w:val="24"/>
              </w:rPr>
              <w:t xml:space="preserve"> a lifelong learning perspective. This </w:t>
            </w:r>
            <w:r w:rsidR="00802A3A">
              <w:rPr>
                <w:rFonts w:ascii="Times New Roman" w:hAnsi="Times New Roman"/>
                <w:sz w:val="24"/>
                <w:szCs w:val="24"/>
              </w:rPr>
              <w:t>is scheduled to</w:t>
            </w:r>
            <w:r w:rsidRPr="00777EA7">
              <w:rPr>
                <w:rFonts w:ascii="Times New Roman" w:hAnsi="Times New Roman"/>
                <w:sz w:val="24"/>
                <w:szCs w:val="24"/>
              </w:rPr>
              <w:t xml:space="preserve"> be adopted during the second half of 2026</w:t>
            </w:r>
            <w:r w:rsidR="00C3441C" w:rsidRPr="00777EA7">
              <w:rPr>
                <w:rFonts w:ascii="Times New Roman" w:hAnsi="Times New Roman"/>
                <w:sz w:val="24"/>
                <w:szCs w:val="24"/>
              </w:rPr>
              <w:t>.</w:t>
            </w:r>
          </w:p>
        </w:tc>
      </w:tr>
    </w:tbl>
    <w:p w14:paraId="41D86A3C" w14:textId="77777777" w:rsidR="00554137" w:rsidRPr="00144447" w:rsidRDefault="00554137" w:rsidP="002F2F5E">
      <w:pPr>
        <w:spacing w:after="120"/>
        <w:rPr>
          <w:rFonts w:ascii="Times New Roman" w:hAnsi="Times New Roman"/>
          <w:b/>
          <w:sz w:val="16"/>
          <w:szCs w:val="16"/>
          <w:u w:val="single"/>
        </w:rPr>
      </w:pPr>
    </w:p>
    <w:sectPr w:rsidR="00554137" w:rsidRPr="001444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2621" w14:textId="77777777" w:rsidR="0040385D" w:rsidRDefault="0040385D" w:rsidP="00FF63EA">
      <w:pPr>
        <w:spacing w:after="0" w:line="240" w:lineRule="auto"/>
      </w:pPr>
      <w:r>
        <w:separator/>
      </w:r>
    </w:p>
  </w:endnote>
  <w:endnote w:type="continuationSeparator" w:id="0">
    <w:p w14:paraId="687F2260" w14:textId="77777777" w:rsidR="0040385D" w:rsidRDefault="0040385D" w:rsidP="00FF63EA">
      <w:pPr>
        <w:spacing w:after="0" w:line="240" w:lineRule="auto"/>
      </w:pPr>
      <w:r>
        <w:continuationSeparator/>
      </w:r>
    </w:p>
  </w:endnote>
  <w:endnote w:type="continuationNotice" w:id="1">
    <w:p w14:paraId="46566B57" w14:textId="77777777" w:rsidR="0040385D" w:rsidRDefault="00403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CF658" w14:textId="77777777" w:rsidR="0040385D" w:rsidRDefault="0040385D" w:rsidP="00FF63EA">
      <w:pPr>
        <w:spacing w:after="0" w:line="240" w:lineRule="auto"/>
      </w:pPr>
      <w:r>
        <w:separator/>
      </w:r>
    </w:p>
  </w:footnote>
  <w:footnote w:type="continuationSeparator" w:id="0">
    <w:p w14:paraId="5EF1344E" w14:textId="77777777" w:rsidR="0040385D" w:rsidRDefault="0040385D" w:rsidP="00FF63EA">
      <w:pPr>
        <w:spacing w:after="0" w:line="240" w:lineRule="auto"/>
      </w:pPr>
      <w:r>
        <w:continuationSeparator/>
      </w:r>
    </w:p>
  </w:footnote>
  <w:footnote w:type="continuationNotice" w:id="1">
    <w:p w14:paraId="0752CB91" w14:textId="77777777" w:rsidR="0040385D" w:rsidRDefault="0040385D">
      <w:pPr>
        <w:spacing w:after="0" w:line="240" w:lineRule="auto"/>
      </w:pPr>
    </w:p>
  </w:footnote>
  <w:footnote w:id="2">
    <w:p w14:paraId="5D9BE084" w14:textId="52596968" w:rsidR="00575B4C" w:rsidRPr="00575B4C" w:rsidRDefault="00575B4C" w:rsidP="00ED0093">
      <w:pPr>
        <w:pStyle w:val="FootnoteText"/>
        <w:widowControl w:val="0"/>
        <w:ind w:right="-425" w:hanging="425"/>
        <w:jc w:val="both"/>
      </w:pPr>
      <w:r>
        <w:rPr>
          <w:rStyle w:val="FootnoteReference"/>
        </w:rPr>
        <w:footnoteRef/>
      </w:r>
      <w:r>
        <w:t xml:space="preserve"> </w:t>
      </w:r>
      <w:r w:rsidR="00A001A9">
        <w:tab/>
      </w:r>
      <w:r>
        <w:t>Regulation (EU) 2024/1083 of the European Parliament and of the Councial of 11 April 2024 establishing a common framework for media services in the internal market and amending Directive 2010/13/EU (European Media Freedom Act) (</w:t>
      </w:r>
      <w:hyperlink r:id="rId1" w:history="1">
        <w:r w:rsidR="00323CEC">
          <w:rPr>
            <w:rStyle w:val="Hyperlink"/>
          </w:rPr>
          <w:t>https://eur-lex.europa.eu/legal-content/EN/TXT/?uri=CELEX:32024R1083</w:t>
        </w:r>
      </w:hyperlink>
      <w:r>
        <w:t>)</w:t>
      </w:r>
      <w:r w:rsidR="00A001A9">
        <w:t>.</w:t>
      </w:r>
    </w:p>
  </w:footnote>
  <w:footnote w:id="3">
    <w:p w14:paraId="09836D84" w14:textId="2EFBCCA4" w:rsidR="00536A83" w:rsidRPr="00536A83" w:rsidRDefault="00536A83" w:rsidP="00ED0093">
      <w:pPr>
        <w:pStyle w:val="FootnoteText"/>
        <w:widowControl w:val="0"/>
        <w:ind w:right="-425" w:hanging="425"/>
        <w:jc w:val="both"/>
      </w:pPr>
      <w:r>
        <w:rPr>
          <w:rStyle w:val="FootnoteReference"/>
        </w:rPr>
        <w:footnoteRef/>
      </w:r>
      <w:r>
        <w:t xml:space="preserve"> </w:t>
      </w:r>
      <w:r w:rsidR="00A001A9">
        <w:tab/>
      </w:r>
      <w:r w:rsidR="006E5C50">
        <w:t>J</w:t>
      </w:r>
      <w:r w:rsidR="000945BD" w:rsidRPr="000945BD">
        <w:t>oint Communication to the European Parliament, the European Council, The Council, the European Economic and Social Committee and the Committee of the Regions</w:t>
      </w:r>
      <w:r w:rsidR="000945BD">
        <w:t xml:space="preserve">: </w:t>
      </w:r>
      <w:r w:rsidR="000945BD" w:rsidRPr="000945BD">
        <w:t>European Democracy Shield: Empowering Strong and Resilient Democracies</w:t>
      </w:r>
      <w:r w:rsidR="000945BD">
        <w:t xml:space="preserve"> (</w:t>
      </w:r>
      <w:hyperlink r:id="rId2" w:history="1">
        <w:r w:rsidR="0095490C">
          <w:rPr>
            <w:rStyle w:val="Hyperlink"/>
          </w:rPr>
          <w:t>https://eur-lex.europa.eu/legal-content/EN/TXT/?uri=CELEX:52025JC0791</w:t>
        </w:r>
      </w:hyperlink>
      <w:r w:rsidR="000945BD">
        <w:t>)</w:t>
      </w:r>
      <w:r w:rsidR="00A001A9">
        <w:t>.</w:t>
      </w:r>
    </w:p>
  </w:footnote>
  <w:footnote w:id="4">
    <w:p w14:paraId="5ED95963" w14:textId="399C0008" w:rsidR="00D369FB" w:rsidRPr="00950855" w:rsidRDefault="00D369FB" w:rsidP="00ED0093">
      <w:pPr>
        <w:pStyle w:val="FootnoteText"/>
        <w:widowControl w:val="0"/>
        <w:ind w:right="-425" w:hanging="425"/>
        <w:jc w:val="both"/>
        <w:rPr>
          <w:lang w:val="pt-PT"/>
        </w:rPr>
      </w:pPr>
      <w:r>
        <w:rPr>
          <w:rStyle w:val="FootnoteReference"/>
        </w:rPr>
        <w:footnoteRef/>
      </w:r>
      <w:r w:rsidRPr="00950855">
        <w:rPr>
          <w:lang w:val="pt-PT"/>
        </w:rPr>
        <w:t xml:space="preserve"> </w:t>
      </w:r>
      <w:r w:rsidR="00A001A9" w:rsidRPr="00950855">
        <w:rPr>
          <w:lang w:val="pt-PT"/>
        </w:rPr>
        <w:tab/>
      </w:r>
      <w:proofErr w:type="gramStart"/>
      <w:r w:rsidR="00BF7B8D" w:rsidRPr="00950855">
        <w:rPr>
          <w:lang w:val="pt-PT"/>
        </w:rPr>
        <w:t>COM</w:t>
      </w:r>
      <w:r w:rsidR="003956F3" w:rsidRPr="00950855">
        <w:rPr>
          <w:lang w:val="pt-PT"/>
        </w:rPr>
        <w:t>(</w:t>
      </w:r>
      <w:proofErr w:type="gramEnd"/>
      <w:r w:rsidR="003956F3" w:rsidRPr="00950855">
        <w:rPr>
          <w:lang w:val="pt-PT"/>
        </w:rPr>
        <w:t>2025)994 final</w:t>
      </w:r>
      <w:r w:rsidR="00C44167" w:rsidRPr="00950855">
        <w:rPr>
          <w:lang w:val="pt-PT"/>
        </w:rPr>
        <w:t xml:space="preserve"> (</w:t>
      </w:r>
      <w:hyperlink r:id="rId3" w:history="1">
        <w:r w:rsidR="00F40EEB" w:rsidRPr="00950855">
          <w:rPr>
            <w:rStyle w:val="Hyperlink"/>
            <w:lang w:val="pt-PT"/>
          </w:rPr>
          <w:t>https://eur-lex.europa.eu/legal-content/EN/TXT/?uri=celex:52025DC0944</w:t>
        </w:r>
      </w:hyperlink>
      <w:r w:rsidR="00C44167" w:rsidRPr="00950855">
        <w:rPr>
          <w:lang w:val="pt-PT"/>
        </w:rPr>
        <w:t>)</w:t>
      </w:r>
      <w:r w:rsidR="00A001A9" w:rsidRPr="00950855">
        <w:rPr>
          <w:lang w:val="pt-PT"/>
        </w:rPr>
        <w:t>.</w:t>
      </w:r>
    </w:p>
  </w:footnote>
  <w:footnote w:id="5">
    <w:p w14:paraId="09DDC3D9" w14:textId="56899876" w:rsidR="00BB2B93" w:rsidRPr="00950855" w:rsidRDefault="00BB2B93" w:rsidP="00766129">
      <w:pPr>
        <w:pStyle w:val="FootnoteText"/>
        <w:widowControl w:val="0"/>
        <w:ind w:left="-141" w:right="-425" w:hanging="284"/>
        <w:jc w:val="both"/>
        <w:rPr>
          <w:lang w:val="pt-PT"/>
        </w:rPr>
      </w:pPr>
      <w:r w:rsidRPr="00766129">
        <w:rPr>
          <w:rStyle w:val="FootnoteReference"/>
        </w:rPr>
        <w:footnoteRef/>
      </w:r>
      <w:r w:rsidR="00766129" w:rsidRPr="00950855">
        <w:rPr>
          <w:rStyle w:val="FootnoteReference"/>
          <w:lang w:val="pt-PT"/>
        </w:rPr>
        <w:t>.</w:t>
      </w:r>
      <w:r w:rsidR="00766129" w:rsidRPr="00950855">
        <w:rPr>
          <w:lang w:val="pt-PT"/>
        </w:rPr>
        <w:tab/>
      </w:r>
      <w:hyperlink r:id="rId4" w:history="1">
        <w:r w:rsidR="00766129" w:rsidRPr="00950855">
          <w:rPr>
            <w:rStyle w:val="Hyperlink"/>
            <w:lang w:val="pt-PT"/>
          </w:rPr>
          <w:t>https://culture.ec.europa.eu/sites/default/files/2025-11/Communication%20-%20Culture%20Compass%20with%20cover_0.pdf</w:t>
        </w:r>
      </w:hyperlink>
      <w:r w:rsidR="00766129" w:rsidRPr="00950855">
        <w:rPr>
          <w:lang w:val="pt-PT"/>
        </w:rPr>
        <w:t>.</w:t>
      </w:r>
    </w:p>
  </w:footnote>
  <w:footnote w:id="6">
    <w:p w14:paraId="587DE702" w14:textId="7C21837D" w:rsidR="00EC065C" w:rsidRPr="00EC065C" w:rsidRDefault="00EC065C" w:rsidP="00ED0093">
      <w:pPr>
        <w:pStyle w:val="FootnoteText"/>
        <w:widowControl w:val="0"/>
        <w:ind w:left="-142" w:right="-425" w:hanging="284"/>
        <w:jc w:val="both"/>
      </w:pPr>
      <w:r>
        <w:rPr>
          <w:rStyle w:val="FootnoteReference"/>
        </w:rPr>
        <w:footnoteRef/>
      </w:r>
      <w:r>
        <w:t xml:space="preserve"> </w:t>
      </w:r>
      <w:r w:rsidR="00A001A9">
        <w:tab/>
      </w:r>
      <w:r w:rsidR="001D3C2A">
        <w:t>E.g. compare the project</w:t>
      </w:r>
      <w:r w:rsidRPr="00EC065C">
        <w:t xml:space="preserve"> </w:t>
      </w:r>
      <w:r w:rsidR="001D3C2A">
        <w:t>“</w:t>
      </w:r>
      <w:r w:rsidRPr="00EC065C">
        <w:t>Stand up for journalism</w:t>
      </w:r>
      <w:r w:rsidR="001D3C2A">
        <w:t>”</w:t>
      </w:r>
      <w:r w:rsidRPr="00EC065C">
        <w:t xml:space="preserve"> </w:t>
      </w:r>
      <w:r w:rsidR="001D3C2A">
        <w:t xml:space="preserve">on the </w:t>
      </w:r>
      <w:r w:rsidRPr="00EC065C">
        <w:t xml:space="preserve">EU Funding &amp; Tenders Portal </w:t>
      </w:r>
      <w:r w:rsidR="00B43533">
        <w:t>(</w:t>
      </w:r>
      <w:hyperlink r:id="rId5" w:history="1">
        <w:r w:rsidR="00B43533" w:rsidRPr="00B43533">
          <w:rPr>
            <w:rStyle w:val="Hyperlink"/>
          </w:rPr>
          <w:t>https://ec.europa.eu/info/funding-tenders/opportunities/portal/screen/opportunities/projects-details/43252517/101143466/SOCPL?order=DESC&amp;pageNumber=1&amp;pageSize=10&amp;sortBy=es_SortDate&amp;programmePeriod=2021%20-%202027&amp;topicAbbreviation=SOCPL-2023-INFO-WK</w:t>
        </w:r>
      </w:hyperlink>
      <w:r w:rsidR="00B43533">
        <w:t>)</w:t>
      </w:r>
      <w:r w:rsidR="00A001A9">
        <w:t>.</w:t>
      </w:r>
    </w:p>
  </w:footnote>
  <w:footnote w:id="7">
    <w:p w14:paraId="6CB4147B" w14:textId="7C24C8FD" w:rsidR="005444D4" w:rsidRPr="001076B7" w:rsidRDefault="005444D4" w:rsidP="00ED0093">
      <w:pPr>
        <w:pStyle w:val="FootnoteText"/>
        <w:widowControl w:val="0"/>
        <w:ind w:left="-142" w:right="-425" w:hanging="284"/>
        <w:jc w:val="both"/>
      </w:pPr>
      <w:r w:rsidRPr="001076B7">
        <w:rPr>
          <w:rStyle w:val="FootnoteReference"/>
        </w:rPr>
        <w:footnoteRef/>
      </w:r>
      <w:r w:rsidRPr="001076B7">
        <w:t xml:space="preserve"> </w:t>
      </w:r>
      <w:r w:rsidR="00A001A9">
        <w:tab/>
      </w:r>
      <w:r w:rsidR="00F81B55">
        <w:t>For further information see</w:t>
      </w:r>
      <w:r w:rsidR="009733BD">
        <w:t xml:space="preserve"> </w:t>
      </w:r>
      <w:hyperlink r:id="rId6" w:history="1">
        <w:r w:rsidR="0000760B" w:rsidRPr="00014A3C">
          <w:rPr>
            <w:rStyle w:val="Hyperlink"/>
          </w:rPr>
          <w:t>https://www.ela.europa.eu/sites/default/files/2025-06/Webinar_BSE_Report_FINAL.pdf</w:t>
        </w:r>
      </w:hyperlink>
      <w:r w:rsidRPr="001076B7">
        <w:t xml:space="preserve"> and </w:t>
      </w:r>
      <w:hyperlink r:id="rId7" w:history="1">
        <w:r w:rsidR="002B138C" w:rsidRPr="001076B7">
          <w:rPr>
            <w:rStyle w:val="Hyperlink"/>
          </w:rPr>
          <w:t>https://www.ela.europa.eu/sites/default/files/2024-09/PLD_BSE_Final_Report_clean_0.pdf</w:t>
        </w:r>
      </w:hyperlink>
      <w:r w:rsidR="00A001A9">
        <w:t>.</w:t>
      </w:r>
    </w:p>
  </w:footnote>
  <w:footnote w:id="8">
    <w:p w14:paraId="45E34114" w14:textId="13CA4517" w:rsidR="00CB5600" w:rsidRPr="001076B7" w:rsidRDefault="00CB5600" w:rsidP="00ED0093">
      <w:pPr>
        <w:pStyle w:val="FootnoteText"/>
        <w:widowControl w:val="0"/>
        <w:ind w:left="-142" w:right="-425" w:hanging="284"/>
        <w:jc w:val="both"/>
      </w:pPr>
      <w:r w:rsidRPr="001076B7">
        <w:rPr>
          <w:rStyle w:val="FootnoteReference"/>
        </w:rPr>
        <w:footnoteRef/>
      </w:r>
      <w:r>
        <w:t xml:space="preserve"> </w:t>
      </w:r>
      <w:r w:rsidR="00A001A9">
        <w:tab/>
      </w:r>
      <w:r>
        <w:t>For further information see</w:t>
      </w:r>
      <w:r w:rsidRPr="001076B7">
        <w:t xml:space="preserve"> </w:t>
      </w:r>
      <w:hyperlink r:id="rId8" w:history="1">
        <w:r w:rsidRPr="001076B7">
          <w:rPr>
            <w:rStyle w:val="Hyperlink"/>
          </w:rPr>
          <w:t>https://www.ela.europa.eu/sites/default/files/2024-11/LRP-TRW-HSW.pdf</w:t>
        </w:r>
      </w:hyperlink>
      <w:r w:rsidRPr="001076B7">
        <w:t xml:space="preserve">;  </w:t>
      </w:r>
      <w:hyperlink r:id="rId9" w:history="1">
        <w:r w:rsidRPr="001076B7">
          <w:rPr>
            <w:rStyle w:val="Hyperlink"/>
          </w:rPr>
          <w:t>https://www.ela.europa.eu/sites/default/files/2024-09/Study_UDW_high_skilled_workers_v4.pdf</w:t>
        </w:r>
      </w:hyperlink>
      <w:r w:rsidRPr="001076B7">
        <w:t xml:space="preserve">,  </w:t>
      </w:r>
      <w:hyperlink r:id="rId10" w:history="1">
        <w:r w:rsidRPr="001076B7">
          <w:rPr>
            <w:rStyle w:val="Hyperlink"/>
          </w:rPr>
          <w:t>https://www.ela.europa.eu/sites/default/files/2024-07/Executive_Summary_TRW_HSW.pdf</w:t>
        </w:r>
      </w:hyperlink>
      <w:r w:rsidRPr="001076B7">
        <w:t xml:space="preserve">; </w:t>
      </w:r>
      <w:hyperlink r:id="rId11" w:history="1">
        <w:r w:rsidRPr="001076B7">
          <w:rPr>
            <w:rStyle w:val="Hyperlink"/>
          </w:rPr>
          <w:t>https://www.ela.europa.eu/sites/default/files/2025-06/ES_Coordination_between_Tax_and_Labour_Inspectorates_in_HSW.pdf</w:t>
        </w:r>
      </w:hyperlink>
      <w:r w:rsidR="00966416">
        <w:t>.</w:t>
      </w:r>
      <w:r w:rsidRPr="001076B7">
        <w:t xml:space="preserve"> </w:t>
      </w:r>
    </w:p>
  </w:footnote>
  <w:footnote w:id="9">
    <w:p w14:paraId="0594D5A8" w14:textId="4B657152" w:rsidR="0061648B" w:rsidRPr="00950855" w:rsidRDefault="0061648B" w:rsidP="00ED0093">
      <w:pPr>
        <w:pStyle w:val="FootnoteText"/>
        <w:widowControl w:val="0"/>
        <w:ind w:left="-142" w:right="-425" w:hanging="284"/>
        <w:jc w:val="both"/>
        <w:rPr>
          <w:lang w:val="pt-PT"/>
        </w:rPr>
      </w:pPr>
      <w:r>
        <w:rPr>
          <w:rStyle w:val="FootnoteReference"/>
        </w:rPr>
        <w:footnoteRef/>
      </w:r>
      <w:r w:rsidRPr="00950855">
        <w:rPr>
          <w:lang w:val="pt-PT"/>
        </w:rPr>
        <w:t xml:space="preserve"> </w:t>
      </w:r>
      <w:r w:rsidR="00A001A9" w:rsidRPr="00950855">
        <w:rPr>
          <w:lang w:val="pt-PT"/>
        </w:rPr>
        <w:tab/>
      </w:r>
      <w:proofErr w:type="gramStart"/>
      <w:r w:rsidR="004F4896" w:rsidRPr="00950855">
        <w:rPr>
          <w:lang w:val="pt-PT"/>
        </w:rPr>
        <w:t>COM(</w:t>
      </w:r>
      <w:proofErr w:type="gramEnd"/>
      <w:r w:rsidR="004F4896" w:rsidRPr="00950855">
        <w:rPr>
          <w:lang w:val="pt-PT"/>
        </w:rPr>
        <w:t>2017)0250 final (</w:t>
      </w:r>
      <w:hyperlink r:id="rId12" w:history="1">
        <w:r w:rsidR="004F4896" w:rsidRPr="00950855">
          <w:rPr>
            <w:rStyle w:val="Hyperlink"/>
            <w:lang w:val="pt-PT"/>
          </w:rPr>
          <w:t>https://eur-lex.europa.eu/legal-content/EN/TXT/?uri=CELEX:52017DC0250</w:t>
        </w:r>
      </w:hyperlink>
      <w:r w:rsidR="004F4896" w:rsidRPr="00950855">
        <w:rPr>
          <w:lang w:val="pt-PT"/>
        </w:rPr>
        <w:t>)</w:t>
      </w:r>
      <w:r w:rsidR="00966416" w:rsidRPr="00950855">
        <w:rPr>
          <w:lang w:val="pt-PT"/>
        </w:rPr>
        <w:t>.</w:t>
      </w:r>
    </w:p>
  </w:footnote>
  <w:footnote w:id="10">
    <w:p w14:paraId="301968E1" w14:textId="552D4B1D" w:rsidR="008A6876" w:rsidRPr="008A6876" w:rsidRDefault="008A6876" w:rsidP="00ED0093">
      <w:pPr>
        <w:pStyle w:val="FootnoteText"/>
        <w:widowControl w:val="0"/>
        <w:ind w:left="-284" w:right="-425" w:hanging="142"/>
        <w:jc w:val="both"/>
      </w:pPr>
      <w:r>
        <w:rPr>
          <w:rStyle w:val="FootnoteReference"/>
        </w:rPr>
        <w:footnoteRef/>
      </w:r>
      <w:r>
        <w:t xml:space="preserve"> </w:t>
      </w:r>
      <w:r w:rsidR="00966416">
        <w:tab/>
      </w:r>
      <w:r w:rsidR="00F90BE9" w:rsidRPr="00F90BE9">
        <w:t>Council Recommendation 2019/C 387/01</w:t>
      </w:r>
      <w:r w:rsidR="00F90BE9">
        <w:t xml:space="preserve"> </w:t>
      </w:r>
      <w:r w:rsidR="00F90BE9" w:rsidRPr="00F90BE9">
        <w:t>of 8 November 2019 on access to social protection for workers and the self-employed</w:t>
      </w:r>
      <w:r w:rsidR="00F90BE9">
        <w:t xml:space="preserve"> (</w:t>
      </w:r>
      <w:hyperlink r:id="rId13" w:history="1">
        <w:r w:rsidR="009733BD">
          <w:rPr>
            <w:rStyle w:val="Hyperlink"/>
          </w:rPr>
          <w:t>https://eur-lex.europa.eu/legal-content/EN/TXT/?uri=CELEX:32019H1115(01)</w:t>
        </w:r>
      </w:hyperlink>
      <w:r w:rsidR="00F90BE9">
        <w:t>)</w:t>
      </w:r>
      <w:r w:rsidR="00A001A9">
        <w:t>.</w:t>
      </w:r>
    </w:p>
  </w:footnote>
  <w:footnote w:id="11">
    <w:p w14:paraId="35566EBE" w14:textId="5ABCD2F3" w:rsidR="0013077D" w:rsidRPr="0013077D" w:rsidRDefault="0013077D" w:rsidP="00ED0093">
      <w:pPr>
        <w:pStyle w:val="FootnoteText"/>
        <w:widowControl w:val="0"/>
        <w:ind w:left="-141" w:right="-425" w:hanging="284"/>
        <w:jc w:val="both"/>
      </w:pPr>
      <w:r>
        <w:rPr>
          <w:rStyle w:val="FootnoteReference"/>
        </w:rPr>
        <w:footnoteRef/>
      </w:r>
      <w:r>
        <w:t xml:space="preserve"> </w:t>
      </w:r>
      <w:r w:rsidR="00A001A9">
        <w:tab/>
      </w:r>
      <w:r w:rsidR="001A481E">
        <w:t>Commission Recommendation</w:t>
      </w:r>
      <w:r w:rsidR="00666977">
        <w:t xml:space="preserve"> </w:t>
      </w:r>
      <w:r w:rsidR="00666977" w:rsidRPr="0007650D">
        <w:t>(EU) 2021/1534</w:t>
      </w:r>
      <w:r w:rsidR="00666977" w:rsidRPr="0007650D">
        <w:rPr>
          <w:b/>
          <w:bCs/>
        </w:rPr>
        <w:t xml:space="preserve"> </w:t>
      </w:r>
      <w:r w:rsidR="001A481E">
        <w:t>of 16.9.2021</w:t>
      </w:r>
      <w:r w:rsidR="001F7ABA">
        <w:t xml:space="preserve"> </w:t>
      </w:r>
      <w:r w:rsidR="001A481E">
        <w:t>on ensuring the protection, safety and empowerment of journalists and other media professionals in the European Union</w:t>
      </w:r>
      <w:r w:rsidR="001F7ABA">
        <w:t xml:space="preserve"> (</w:t>
      </w:r>
      <w:hyperlink r:id="rId14" w:history="1">
        <w:r w:rsidR="0007650D">
          <w:rPr>
            <w:rStyle w:val="Hyperlink"/>
          </w:rPr>
          <w:t>https://eur-lex.europa.eu/legal-content/EN/TXT/?uri=CELEX:32021H1534</w:t>
        </w:r>
      </w:hyperlink>
      <w:r w:rsidR="001F7ABA">
        <w:t>)</w:t>
      </w:r>
      <w:r w:rsidR="00A001A9">
        <w:t>.</w:t>
      </w:r>
    </w:p>
  </w:footnote>
  <w:footnote w:id="12">
    <w:p w14:paraId="16BEBDAC" w14:textId="42FBC621" w:rsidR="00C06B2C" w:rsidRPr="008E4193" w:rsidRDefault="00C06B2C" w:rsidP="00ED0093">
      <w:pPr>
        <w:pStyle w:val="FootnoteText"/>
        <w:widowControl w:val="0"/>
        <w:ind w:left="-141" w:right="-425" w:hanging="284"/>
        <w:jc w:val="both"/>
      </w:pPr>
      <w:r w:rsidRPr="001076B7">
        <w:rPr>
          <w:rStyle w:val="FootnoteReference"/>
        </w:rPr>
        <w:footnoteRef/>
      </w:r>
      <w:r w:rsidRPr="001076B7">
        <w:t xml:space="preserve"> </w:t>
      </w:r>
      <w:r w:rsidR="00966416">
        <w:tab/>
      </w:r>
      <w:r w:rsidRPr="00336743">
        <w:t>Council</w:t>
      </w:r>
      <w:r w:rsidRPr="001076B7">
        <w:t xml:space="preserve"> Directive 89/391/EEC of 12 June 1989 on the introduction of measures to encourage improvements in the safety and health of workers at work (OJ L 183, 29.6.1989, p. 1) </w:t>
      </w:r>
      <w:r w:rsidR="00080A45">
        <w:t>(</w:t>
      </w:r>
      <w:hyperlink r:id="rId15" w:history="1">
        <w:r w:rsidR="007D0F1F">
          <w:rPr>
            <w:rStyle w:val="Hyperlink"/>
          </w:rPr>
          <w:t>https://eur-lex.europa.eu/legal-content/EN/ALL/?uri=celex:31989L0391</w:t>
        </w:r>
      </w:hyperlink>
      <w:r w:rsidRPr="001076B7">
        <w:t>)</w:t>
      </w:r>
      <w:r w:rsidR="00966416">
        <w:t>.</w:t>
      </w:r>
    </w:p>
  </w:footnote>
  <w:footnote w:id="13">
    <w:p w14:paraId="07E96327" w14:textId="6B06FF97" w:rsidR="005F3A0B" w:rsidRPr="005F3A0B" w:rsidRDefault="005F3A0B" w:rsidP="00ED0093">
      <w:pPr>
        <w:pStyle w:val="FootnoteText"/>
        <w:widowControl w:val="0"/>
        <w:ind w:left="-141" w:right="-425" w:hanging="284"/>
        <w:jc w:val="both"/>
      </w:pPr>
      <w:r>
        <w:rPr>
          <w:rStyle w:val="FootnoteReference"/>
        </w:rPr>
        <w:footnoteRef/>
      </w:r>
      <w:r>
        <w:t xml:space="preserve"> </w:t>
      </w:r>
      <w:r w:rsidR="00966416">
        <w:tab/>
      </w:r>
      <w:r w:rsidRPr="005F3A0B">
        <w:t xml:space="preserve">Council Directive 89/654/EEC of 30 November 1989 concerning the minimum safety and health requirements for the workplace (OJ L 393, 30.12.1989, p. 1) </w:t>
      </w:r>
      <w:r w:rsidR="002F7C42">
        <w:t>(</w:t>
      </w:r>
      <w:hyperlink r:id="rId16" w:history="1">
        <w:r w:rsidRPr="00B9262E">
          <w:rPr>
            <w:rStyle w:val="Hyperlink"/>
          </w:rPr>
          <w:t>https://eur-lex.europa.eu/legal-content/EN/TXT/PDF/?uri=CELEX:31989L0654</w:t>
        </w:r>
      </w:hyperlink>
      <w:r w:rsidRPr="005F3A0B">
        <w:t>)</w:t>
      </w:r>
      <w:r w:rsidR="00966416">
        <w:t>.</w:t>
      </w:r>
    </w:p>
  </w:footnote>
  <w:footnote w:id="14">
    <w:p w14:paraId="65EA4209" w14:textId="472EAD05" w:rsidR="00FA604F" w:rsidRPr="001A1C63" w:rsidRDefault="00FA604F" w:rsidP="00ED0093">
      <w:pPr>
        <w:pStyle w:val="FootnoteText"/>
        <w:widowControl w:val="0"/>
        <w:ind w:left="-141" w:right="-425" w:hanging="284"/>
        <w:jc w:val="both"/>
      </w:pPr>
      <w:r>
        <w:rPr>
          <w:rStyle w:val="FootnoteReference"/>
        </w:rPr>
        <w:footnoteRef/>
      </w:r>
      <w:r w:rsidRPr="001A1C63">
        <w:t xml:space="preserve"> </w:t>
      </w:r>
      <w:r w:rsidR="00966416">
        <w:tab/>
      </w:r>
      <w:r w:rsidR="00336743" w:rsidRPr="001A1C63">
        <w:t>Multi-sectoral Guidelines</w:t>
      </w:r>
      <w:r w:rsidR="001A1C63" w:rsidRPr="001A1C63">
        <w:t xml:space="preserve"> </w:t>
      </w:r>
      <w:r w:rsidRPr="001A1C63">
        <w:t>(</w:t>
      </w:r>
      <w:hyperlink r:id="rId17" w:history="1">
        <w:r w:rsidRPr="001A1C63">
          <w:rPr>
            <w:rStyle w:val="Hyperlink"/>
          </w:rPr>
          <w:t>https://employment-social-affairs.ec.europa.eu/news/eu-sectoral-social-partners-join-forces-counter-third-party-violence-and-harassment-related-work-2025-05-06_en</w:t>
        </w:r>
      </w:hyperlink>
      <w:r w:rsidRPr="001A1C63">
        <w:t>)</w:t>
      </w:r>
      <w:r w:rsidR="00966416">
        <w:t>.</w:t>
      </w:r>
    </w:p>
  </w:footnote>
  <w:footnote w:id="15">
    <w:p w14:paraId="2942E18B" w14:textId="623F9F71" w:rsidR="001209BF" w:rsidRPr="001209BF" w:rsidRDefault="001209BF" w:rsidP="00ED0093">
      <w:pPr>
        <w:pStyle w:val="FootnoteText"/>
        <w:widowControl w:val="0"/>
        <w:ind w:left="-141" w:right="-425" w:hanging="284"/>
        <w:jc w:val="both"/>
      </w:pPr>
      <w:r>
        <w:rPr>
          <w:rStyle w:val="FootnoteReference"/>
        </w:rPr>
        <w:footnoteRef/>
      </w:r>
      <w:r>
        <w:t xml:space="preserve"> </w:t>
      </w:r>
      <w:r w:rsidR="00966416">
        <w:tab/>
      </w:r>
      <w:r w:rsidR="00C65336" w:rsidRPr="00C65336">
        <w:t>Directive (EU) 2024/2831 of the European Parliament and of the Council of 23 October 2024 on improving working conditions in platform work</w:t>
      </w:r>
      <w:r w:rsidR="002F7C42">
        <w:t xml:space="preserve"> (</w:t>
      </w:r>
      <w:hyperlink r:id="rId18" w:history="1">
        <w:r w:rsidR="00B9262E">
          <w:rPr>
            <w:rStyle w:val="Hyperlink"/>
          </w:rPr>
          <w:t>https://eur-lex.europa.eu/legal-content/EN/TXT/?uri=CELEX:32024L2831</w:t>
        </w:r>
      </w:hyperlink>
      <w:r w:rsidR="002F7C42">
        <w:t>)</w:t>
      </w:r>
      <w:r w:rsidR="00966416">
        <w:t>.</w:t>
      </w:r>
    </w:p>
  </w:footnote>
  <w:footnote w:id="16">
    <w:p w14:paraId="42733652" w14:textId="0439F024" w:rsidR="005D73DE" w:rsidRPr="00950855" w:rsidRDefault="005D73DE" w:rsidP="005D73DE">
      <w:pPr>
        <w:spacing w:after="0" w:line="240" w:lineRule="auto"/>
        <w:rPr>
          <w:rFonts w:ascii="Times New Roman" w:hAnsi="Times New Roman"/>
          <w:lang w:val="pt-PT"/>
        </w:rPr>
      </w:pPr>
      <w:r w:rsidRPr="005356B3">
        <w:rPr>
          <w:rStyle w:val="FootnoteReference"/>
          <w:rFonts w:ascii="Times New Roman" w:hAnsi="Times New Roman"/>
          <w:sz w:val="20"/>
          <w:szCs w:val="20"/>
        </w:rPr>
        <w:footnoteRef/>
      </w:r>
      <w:r w:rsidRPr="00950855">
        <w:rPr>
          <w:rFonts w:ascii="Times New Roman" w:hAnsi="Times New Roman"/>
          <w:sz w:val="20"/>
          <w:szCs w:val="20"/>
          <w:lang w:val="pt-PT"/>
        </w:rPr>
        <w:t xml:space="preserve"> COM/2020/624 final (</w:t>
      </w:r>
      <w:hyperlink r:id="rId19" w:history="1">
        <w:r w:rsidRPr="00950855">
          <w:rPr>
            <w:rStyle w:val="Hyperlink"/>
            <w:rFonts w:ascii="Times New Roman" w:hAnsi="Times New Roman"/>
            <w:sz w:val="20"/>
            <w:szCs w:val="20"/>
            <w:lang w:val="pt-PT"/>
          </w:rPr>
          <w:t>https://eur-lex.europa.eu/legal-content/EN/TXT/?uri=celex:52020DC0624</w:t>
        </w:r>
      </w:hyperlink>
      <w:r w:rsidRPr="00950855">
        <w:rPr>
          <w:rFonts w:ascii="Times New Roman" w:hAnsi="Times New Roman"/>
          <w:sz w:val="20"/>
          <w:szCs w:val="20"/>
          <w:lang w:val="pt-PT"/>
        </w:rPr>
        <w:t>)</w:t>
      </w:r>
      <w:r w:rsidR="001E7472" w:rsidRPr="00950855">
        <w:rPr>
          <w:rFonts w:ascii="Times New Roman" w:hAnsi="Times New Roman"/>
          <w:sz w:val="20"/>
          <w:szCs w:val="20"/>
          <w:lang w:val="pt-P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E77D3"/>
    <w:multiLevelType w:val="hybridMultilevel"/>
    <w:tmpl w:val="7CFE8A8C"/>
    <w:lvl w:ilvl="0" w:tplc="7ED66B66">
      <w:start w:val="1"/>
      <w:numFmt w:val="lowerLetter"/>
      <w:lvlText w:val="%1)"/>
      <w:lvlJc w:val="left"/>
      <w:pPr>
        <w:ind w:left="1020" w:hanging="360"/>
      </w:pPr>
    </w:lvl>
    <w:lvl w:ilvl="1" w:tplc="802EFECE">
      <w:start w:val="1"/>
      <w:numFmt w:val="lowerLetter"/>
      <w:lvlText w:val="%2)"/>
      <w:lvlJc w:val="left"/>
      <w:pPr>
        <w:ind w:left="1020" w:hanging="360"/>
      </w:pPr>
    </w:lvl>
    <w:lvl w:ilvl="2" w:tplc="D0387420">
      <w:start w:val="1"/>
      <w:numFmt w:val="lowerLetter"/>
      <w:lvlText w:val="%3)"/>
      <w:lvlJc w:val="left"/>
      <w:pPr>
        <w:ind w:left="1020" w:hanging="360"/>
      </w:pPr>
    </w:lvl>
    <w:lvl w:ilvl="3" w:tplc="6DC8F816">
      <w:start w:val="1"/>
      <w:numFmt w:val="lowerLetter"/>
      <w:lvlText w:val="%4)"/>
      <w:lvlJc w:val="left"/>
      <w:pPr>
        <w:ind w:left="1020" w:hanging="360"/>
      </w:pPr>
    </w:lvl>
    <w:lvl w:ilvl="4" w:tplc="23DC1F12">
      <w:start w:val="1"/>
      <w:numFmt w:val="lowerLetter"/>
      <w:lvlText w:val="%5)"/>
      <w:lvlJc w:val="left"/>
      <w:pPr>
        <w:ind w:left="1020" w:hanging="360"/>
      </w:pPr>
    </w:lvl>
    <w:lvl w:ilvl="5" w:tplc="76DE943A">
      <w:start w:val="1"/>
      <w:numFmt w:val="lowerLetter"/>
      <w:lvlText w:val="%6)"/>
      <w:lvlJc w:val="left"/>
      <w:pPr>
        <w:ind w:left="1020" w:hanging="360"/>
      </w:pPr>
    </w:lvl>
    <w:lvl w:ilvl="6" w:tplc="0E366DE2">
      <w:start w:val="1"/>
      <w:numFmt w:val="lowerLetter"/>
      <w:lvlText w:val="%7)"/>
      <w:lvlJc w:val="left"/>
      <w:pPr>
        <w:ind w:left="1020" w:hanging="360"/>
      </w:pPr>
    </w:lvl>
    <w:lvl w:ilvl="7" w:tplc="1234A39A">
      <w:start w:val="1"/>
      <w:numFmt w:val="lowerLetter"/>
      <w:lvlText w:val="%8)"/>
      <w:lvlJc w:val="left"/>
      <w:pPr>
        <w:ind w:left="1020" w:hanging="360"/>
      </w:pPr>
    </w:lvl>
    <w:lvl w:ilvl="8" w:tplc="F566E87E">
      <w:start w:val="1"/>
      <w:numFmt w:val="lowerLetter"/>
      <w:lvlText w:val="%9)"/>
      <w:lvlJc w:val="left"/>
      <w:pPr>
        <w:ind w:left="1020" w:hanging="360"/>
      </w:pPr>
    </w:lvl>
  </w:abstractNum>
  <w:num w:numId="1" w16cid:durableId="202204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53F9"/>
    <w:rsid w:val="00006755"/>
    <w:rsid w:val="0000760B"/>
    <w:rsid w:val="00012A37"/>
    <w:rsid w:val="0002035D"/>
    <w:rsid w:val="000222FC"/>
    <w:rsid w:val="00022345"/>
    <w:rsid w:val="00036EEF"/>
    <w:rsid w:val="00043103"/>
    <w:rsid w:val="000450DB"/>
    <w:rsid w:val="00046B15"/>
    <w:rsid w:val="00050DC7"/>
    <w:rsid w:val="00053695"/>
    <w:rsid w:val="000537DE"/>
    <w:rsid w:val="000559AB"/>
    <w:rsid w:val="00055A3F"/>
    <w:rsid w:val="00057647"/>
    <w:rsid w:val="000605E3"/>
    <w:rsid w:val="000613B8"/>
    <w:rsid w:val="00063A0F"/>
    <w:rsid w:val="00063C22"/>
    <w:rsid w:val="0007249A"/>
    <w:rsid w:val="00076109"/>
    <w:rsid w:val="0007650D"/>
    <w:rsid w:val="000775D7"/>
    <w:rsid w:val="00077C4F"/>
    <w:rsid w:val="00080A45"/>
    <w:rsid w:val="00085DCF"/>
    <w:rsid w:val="000945BD"/>
    <w:rsid w:val="00094CF3"/>
    <w:rsid w:val="000A6EA2"/>
    <w:rsid w:val="000B3A0F"/>
    <w:rsid w:val="000B46EB"/>
    <w:rsid w:val="000C2027"/>
    <w:rsid w:val="000C5851"/>
    <w:rsid w:val="000C5C61"/>
    <w:rsid w:val="000E38AA"/>
    <w:rsid w:val="000E47A8"/>
    <w:rsid w:val="000E6BB4"/>
    <w:rsid w:val="000E7589"/>
    <w:rsid w:val="000F0274"/>
    <w:rsid w:val="000F5FD8"/>
    <w:rsid w:val="00101CAC"/>
    <w:rsid w:val="001076B7"/>
    <w:rsid w:val="0010777C"/>
    <w:rsid w:val="00113AF5"/>
    <w:rsid w:val="00116363"/>
    <w:rsid w:val="001167C0"/>
    <w:rsid w:val="001178C0"/>
    <w:rsid w:val="001209BF"/>
    <w:rsid w:val="00127DB1"/>
    <w:rsid w:val="0013077D"/>
    <w:rsid w:val="001334B5"/>
    <w:rsid w:val="00133D4A"/>
    <w:rsid w:val="00135C2A"/>
    <w:rsid w:val="00137BF3"/>
    <w:rsid w:val="00140DCD"/>
    <w:rsid w:val="00141033"/>
    <w:rsid w:val="00144447"/>
    <w:rsid w:val="00192B37"/>
    <w:rsid w:val="00193671"/>
    <w:rsid w:val="001A1C63"/>
    <w:rsid w:val="001A2852"/>
    <w:rsid w:val="001A481E"/>
    <w:rsid w:val="001A4DA8"/>
    <w:rsid w:val="001A54A9"/>
    <w:rsid w:val="001A639F"/>
    <w:rsid w:val="001B0E0B"/>
    <w:rsid w:val="001C1F76"/>
    <w:rsid w:val="001C296F"/>
    <w:rsid w:val="001C4138"/>
    <w:rsid w:val="001C5FA1"/>
    <w:rsid w:val="001C6BD3"/>
    <w:rsid w:val="001D14A7"/>
    <w:rsid w:val="001D2D2A"/>
    <w:rsid w:val="001D3C2A"/>
    <w:rsid w:val="001D4B60"/>
    <w:rsid w:val="001D6DDF"/>
    <w:rsid w:val="001D76AE"/>
    <w:rsid w:val="001E7470"/>
    <w:rsid w:val="001E7472"/>
    <w:rsid w:val="001F2EC6"/>
    <w:rsid w:val="001F4836"/>
    <w:rsid w:val="001F65D0"/>
    <w:rsid w:val="001F7ABA"/>
    <w:rsid w:val="00201A28"/>
    <w:rsid w:val="0020515F"/>
    <w:rsid w:val="002066E7"/>
    <w:rsid w:val="00217468"/>
    <w:rsid w:val="00217E59"/>
    <w:rsid w:val="00225AE2"/>
    <w:rsid w:val="002337BC"/>
    <w:rsid w:val="0023481D"/>
    <w:rsid w:val="00241A2B"/>
    <w:rsid w:val="00244CB9"/>
    <w:rsid w:val="00250CE3"/>
    <w:rsid w:val="002511E7"/>
    <w:rsid w:val="00261219"/>
    <w:rsid w:val="00267A88"/>
    <w:rsid w:val="00273922"/>
    <w:rsid w:val="00276B37"/>
    <w:rsid w:val="00277F12"/>
    <w:rsid w:val="002826EC"/>
    <w:rsid w:val="00290A94"/>
    <w:rsid w:val="002A260B"/>
    <w:rsid w:val="002A7192"/>
    <w:rsid w:val="002B138C"/>
    <w:rsid w:val="002B5692"/>
    <w:rsid w:val="002C2DAE"/>
    <w:rsid w:val="002C5654"/>
    <w:rsid w:val="002D051D"/>
    <w:rsid w:val="002E1CEE"/>
    <w:rsid w:val="002E3C6D"/>
    <w:rsid w:val="002F03FA"/>
    <w:rsid w:val="002F149F"/>
    <w:rsid w:val="002F1C79"/>
    <w:rsid w:val="002F2F5E"/>
    <w:rsid w:val="002F3A41"/>
    <w:rsid w:val="002F4BF7"/>
    <w:rsid w:val="002F5E3D"/>
    <w:rsid w:val="002F7C42"/>
    <w:rsid w:val="003004D2"/>
    <w:rsid w:val="003019A9"/>
    <w:rsid w:val="0031212F"/>
    <w:rsid w:val="00317AED"/>
    <w:rsid w:val="003220E7"/>
    <w:rsid w:val="00323CEC"/>
    <w:rsid w:val="00330DBF"/>
    <w:rsid w:val="00334157"/>
    <w:rsid w:val="003349A3"/>
    <w:rsid w:val="00336743"/>
    <w:rsid w:val="003378C0"/>
    <w:rsid w:val="00342729"/>
    <w:rsid w:val="00347E6D"/>
    <w:rsid w:val="00364655"/>
    <w:rsid w:val="003674D0"/>
    <w:rsid w:val="00372292"/>
    <w:rsid w:val="00377967"/>
    <w:rsid w:val="00386143"/>
    <w:rsid w:val="003956F3"/>
    <w:rsid w:val="003A203E"/>
    <w:rsid w:val="003A60A2"/>
    <w:rsid w:val="003B2F78"/>
    <w:rsid w:val="003B484F"/>
    <w:rsid w:val="003B58DC"/>
    <w:rsid w:val="003C076B"/>
    <w:rsid w:val="003D22A9"/>
    <w:rsid w:val="003D31D2"/>
    <w:rsid w:val="003D392A"/>
    <w:rsid w:val="003E21A3"/>
    <w:rsid w:val="003E3AE8"/>
    <w:rsid w:val="003F0321"/>
    <w:rsid w:val="003F2E5B"/>
    <w:rsid w:val="003F686E"/>
    <w:rsid w:val="0040322D"/>
    <w:rsid w:val="0040385D"/>
    <w:rsid w:val="004254A3"/>
    <w:rsid w:val="00427291"/>
    <w:rsid w:val="00442552"/>
    <w:rsid w:val="004434B4"/>
    <w:rsid w:val="00446023"/>
    <w:rsid w:val="00447EE7"/>
    <w:rsid w:val="00455A1C"/>
    <w:rsid w:val="004608E2"/>
    <w:rsid w:val="00465C68"/>
    <w:rsid w:val="004675B5"/>
    <w:rsid w:val="004730FC"/>
    <w:rsid w:val="00473E4C"/>
    <w:rsid w:val="004763C3"/>
    <w:rsid w:val="004770D6"/>
    <w:rsid w:val="00477E74"/>
    <w:rsid w:val="004810CD"/>
    <w:rsid w:val="0048252E"/>
    <w:rsid w:val="00491002"/>
    <w:rsid w:val="0049246C"/>
    <w:rsid w:val="00492C30"/>
    <w:rsid w:val="0049541C"/>
    <w:rsid w:val="004A7932"/>
    <w:rsid w:val="004C14AE"/>
    <w:rsid w:val="004C2334"/>
    <w:rsid w:val="004C7604"/>
    <w:rsid w:val="004D1A84"/>
    <w:rsid w:val="004D411A"/>
    <w:rsid w:val="004D7E79"/>
    <w:rsid w:val="004E1D38"/>
    <w:rsid w:val="004E6B7A"/>
    <w:rsid w:val="004F1442"/>
    <w:rsid w:val="004F4896"/>
    <w:rsid w:val="004F6117"/>
    <w:rsid w:val="004F63F1"/>
    <w:rsid w:val="004F651E"/>
    <w:rsid w:val="00504EAA"/>
    <w:rsid w:val="0050708C"/>
    <w:rsid w:val="00511C07"/>
    <w:rsid w:val="005172A4"/>
    <w:rsid w:val="0052537C"/>
    <w:rsid w:val="0052596B"/>
    <w:rsid w:val="00527D8F"/>
    <w:rsid w:val="00530BE2"/>
    <w:rsid w:val="00533E68"/>
    <w:rsid w:val="005352C7"/>
    <w:rsid w:val="00536A11"/>
    <w:rsid w:val="00536A83"/>
    <w:rsid w:val="00536AC4"/>
    <w:rsid w:val="0053767F"/>
    <w:rsid w:val="005407BD"/>
    <w:rsid w:val="005444D4"/>
    <w:rsid w:val="00554137"/>
    <w:rsid w:val="00554D8D"/>
    <w:rsid w:val="005551B2"/>
    <w:rsid w:val="00556A34"/>
    <w:rsid w:val="005619A8"/>
    <w:rsid w:val="00564B97"/>
    <w:rsid w:val="00567DC1"/>
    <w:rsid w:val="0057284F"/>
    <w:rsid w:val="0057307E"/>
    <w:rsid w:val="00573835"/>
    <w:rsid w:val="00575B4C"/>
    <w:rsid w:val="005776D1"/>
    <w:rsid w:val="005801E4"/>
    <w:rsid w:val="00581306"/>
    <w:rsid w:val="00585B5D"/>
    <w:rsid w:val="00597809"/>
    <w:rsid w:val="005A3498"/>
    <w:rsid w:val="005B5F82"/>
    <w:rsid w:val="005C1DFF"/>
    <w:rsid w:val="005C3105"/>
    <w:rsid w:val="005D3F33"/>
    <w:rsid w:val="005D6D64"/>
    <w:rsid w:val="005D73DE"/>
    <w:rsid w:val="005E1D18"/>
    <w:rsid w:val="005F2B77"/>
    <w:rsid w:val="005F3A0B"/>
    <w:rsid w:val="005F3C6A"/>
    <w:rsid w:val="006056A9"/>
    <w:rsid w:val="006116C0"/>
    <w:rsid w:val="006146CB"/>
    <w:rsid w:val="0061648B"/>
    <w:rsid w:val="00626F2E"/>
    <w:rsid w:val="00640A55"/>
    <w:rsid w:val="00651F51"/>
    <w:rsid w:val="006576F7"/>
    <w:rsid w:val="00666977"/>
    <w:rsid w:val="006723FF"/>
    <w:rsid w:val="0067359D"/>
    <w:rsid w:val="0068003C"/>
    <w:rsid w:val="00680BC6"/>
    <w:rsid w:val="00692C2F"/>
    <w:rsid w:val="00695797"/>
    <w:rsid w:val="00696A5E"/>
    <w:rsid w:val="006A29D1"/>
    <w:rsid w:val="006A421E"/>
    <w:rsid w:val="006A4B76"/>
    <w:rsid w:val="006A5D11"/>
    <w:rsid w:val="006B0192"/>
    <w:rsid w:val="006B3B69"/>
    <w:rsid w:val="006C235F"/>
    <w:rsid w:val="006C4FC0"/>
    <w:rsid w:val="006C5260"/>
    <w:rsid w:val="006D1071"/>
    <w:rsid w:val="006D57F5"/>
    <w:rsid w:val="006E2C50"/>
    <w:rsid w:val="006E5C50"/>
    <w:rsid w:val="006F556D"/>
    <w:rsid w:val="007108BA"/>
    <w:rsid w:val="007132BD"/>
    <w:rsid w:val="00725CF5"/>
    <w:rsid w:val="00731C26"/>
    <w:rsid w:val="00734613"/>
    <w:rsid w:val="00744F62"/>
    <w:rsid w:val="0074650B"/>
    <w:rsid w:val="00751910"/>
    <w:rsid w:val="00751E60"/>
    <w:rsid w:val="007524E1"/>
    <w:rsid w:val="007547B5"/>
    <w:rsid w:val="00762B3F"/>
    <w:rsid w:val="0076336D"/>
    <w:rsid w:val="00766129"/>
    <w:rsid w:val="007709A6"/>
    <w:rsid w:val="00775792"/>
    <w:rsid w:val="00777EA7"/>
    <w:rsid w:val="00781355"/>
    <w:rsid w:val="00795A9E"/>
    <w:rsid w:val="007A606D"/>
    <w:rsid w:val="007A64C5"/>
    <w:rsid w:val="007B6A49"/>
    <w:rsid w:val="007C168D"/>
    <w:rsid w:val="007C2214"/>
    <w:rsid w:val="007C35B2"/>
    <w:rsid w:val="007D0F1F"/>
    <w:rsid w:val="007D1246"/>
    <w:rsid w:val="007D2E2E"/>
    <w:rsid w:val="007D315E"/>
    <w:rsid w:val="007D4BAD"/>
    <w:rsid w:val="007E5331"/>
    <w:rsid w:val="007F01DD"/>
    <w:rsid w:val="007F284B"/>
    <w:rsid w:val="007F65F3"/>
    <w:rsid w:val="007F69E9"/>
    <w:rsid w:val="00800657"/>
    <w:rsid w:val="00802A3A"/>
    <w:rsid w:val="0080310E"/>
    <w:rsid w:val="00803157"/>
    <w:rsid w:val="00807B48"/>
    <w:rsid w:val="008135CA"/>
    <w:rsid w:val="00814AB7"/>
    <w:rsid w:val="0081584F"/>
    <w:rsid w:val="00820689"/>
    <w:rsid w:val="00821716"/>
    <w:rsid w:val="00821730"/>
    <w:rsid w:val="008258FC"/>
    <w:rsid w:val="008277D9"/>
    <w:rsid w:val="008326C3"/>
    <w:rsid w:val="008329F6"/>
    <w:rsid w:val="008339D8"/>
    <w:rsid w:val="00835A5F"/>
    <w:rsid w:val="008401E1"/>
    <w:rsid w:val="008541BE"/>
    <w:rsid w:val="008564A7"/>
    <w:rsid w:val="008603A9"/>
    <w:rsid w:val="00866E95"/>
    <w:rsid w:val="008703BF"/>
    <w:rsid w:val="00871B85"/>
    <w:rsid w:val="0087392B"/>
    <w:rsid w:val="008750B3"/>
    <w:rsid w:val="008814A3"/>
    <w:rsid w:val="00882D1F"/>
    <w:rsid w:val="00886058"/>
    <w:rsid w:val="00886AC3"/>
    <w:rsid w:val="00887E72"/>
    <w:rsid w:val="00890250"/>
    <w:rsid w:val="00891DF8"/>
    <w:rsid w:val="008925CE"/>
    <w:rsid w:val="00897894"/>
    <w:rsid w:val="008978FE"/>
    <w:rsid w:val="008A1A1B"/>
    <w:rsid w:val="008A6876"/>
    <w:rsid w:val="008B2C6B"/>
    <w:rsid w:val="008B6C48"/>
    <w:rsid w:val="008C4D41"/>
    <w:rsid w:val="008C5375"/>
    <w:rsid w:val="008D0758"/>
    <w:rsid w:val="008D13EA"/>
    <w:rsid w:val="008D2B31"/>
    <w:rsid w:val="008D2D51"/>
    <w:rsid w:val="008D39A1"/>
    <w:rsid w:val="008D3A25"/>
    <w:rsid w:val="008D443A"/>
    <w:rsid w:val="008E0277"/>
    <w:rsid w:val="008E109F"/>
    <w:rsid w:val="008E4193"/>
    <w:rsid w:val="008F0443"/>
    <w:rsid w:val="008F421A"/>
    <w:rsid w:val="00906D2A"/>
    <w:rsid w:val="0090733F"/>
    <w:rsid w:val="00912CE5"/>
    <w:rsid w:val="009175C1"/>
    <w:rsid w:val="00921E95"/>
    <w:rsid w:val="00927784"/>
    <w:rsid w:val="00931BB4"/>
    <w:rsid w:val="00937149"/>
    <w:rsid w:val="00950855"/>
    <w:rsid w:val="0095490C"/>
    <w:rsid w:val="00961C8F"/>
    <w:rsid w:val="009624A3"/>
    <w:rsid w:val="00963727"/>
    <w:rsid w:val="00966416"/>
    <w:rsid w:val="00973206"/>
    <w:rsid w:val="009733BD"/>
    <w:rsid w:val="009767C8"/>
    <w:rsid w:val="00981F45"/>
    <w:rsid w:val="0098354F"/>
    <w:rsid w:val="00994D12"/>
    <w:rsid w:val="009A0A8F"/>
    <w:rsid w:val="009A0B83"/>
    <w:rsid w:val="009A1B31"/>
    <w:rsid w:val="009A1E5B"/>
    <w:rsid w:val="009A3524"/>
    <w:rsid w:val="009A5144"/>
    <w:rsid w:val="009A7609"/>
    <w:rsid w:val="009B128B"/>
    <w:rsid w:val="009B77C0"/>
    <w:rsid w:val="009C211C"/>
    <w:rsid w:val="009D30DD"/>
    <w:rsid w:val="009E2DDE"/>
    <w:rsid w:val="009F1BA3"/>
    <w:rsid w:val="00A001A9"/>
    <w:rsid w:val="00A0637C"/>
    <w:rsid w:val="00A16F07"/>
    <w:rsid w:val="00A275FB"/>
    <w:rsid w:val="00A27E6E"/>
    <w:rsid w:val="00A313E5"/>
    <w:rsid w:val="00A3538E"/>
    <w:rsid w:val="00A37675"/>
    <w:rsid w:val="00A44F3C"/>
    <w:rsid w:val="00A62C7B"/>
    <w:rsid w:val="00A65AC7"/>
    <w:rsid w:val="00A70D4D"/>
    <w:rsid w:val="00A72901"/>
    <w:rsid w:val="00A73819"/>
    <w:rsid w:val="00A7709A"/>
    <w:rsid w:val="00A77F58"/>
    <w:rsid w:val="00A83974"/>
    <w:rsid w:val="00A91CD9"/>
    <w:rsid w:val="00A92902"/>
    <w:rsid w:val="00A93ECA"/>
    <w:rsid w:val="00A96C94"/>
    <w:rsid w:val="00AA0D0B"/>
    <w:rsid w:val="00AA12F6"/>
    <w:rsid w:val="00AA4190"/>
    <w:rsid w:val="00AA600C"/>
    <w:rsid w:val="00AB015F"/>
    <w:rsid w:val="00AC4469"/>
    <w:rsid w:val="00AC7556"/>
    <w:rsid w:val="00AD4942"/>
    <w:rsid w:val="00AE1842"/>
    <w:rsid w:val="00AE34AC"/>
    <w:rsid w:val="00AE3C7C"/>
    <w:rsid w:val="00AE6498"/>
    <w:rsid w:val="00AF5FEE"/>
    <w:rsid w:val="00B0005B"/>
    <w:rsid w:val="00B00446"/>
    <w:rsid w:val="00B024DA"/>
    <w:rsid w:val="00B0798A"/>
    <w:rsid w:val="00B1402A"/>
    <w:rsid w:val="00B14E8A"/>
    <w:rsid w:val="00B169E5"/>
    <w:rsid w:val="00B16BDB"/>
    <w:rsid w:val="00B31306"/>
    <w:rsid w:val="00B4005A"/>
    <w:rsid w:val="00B415B6"/>
    <w:rsid w:val="00B42814"/>
    <w:rsid w:val="00B43533"/>
    <w:rsid w:val="00B46955"/>
    <w:rsid w:val="00B6109D"/>
    <w:rsid w:val="00B64BCA"/>
    <w:rsid w:val="00B669F9"/>
    <w:rsid w:val="00B8086F"/>
    <w:rsid w:val="00B81055"/>
    <w:rsid w:val="00B83936"/>
    <w:rsid w:val="00B8558F"/>
    <w:rsid w:val="00B9262E"/>
    <w:rsid w:val="00BA146E"/>
    <w:rsid w:val="00BA6031"/>
    <w:rsid w:val="00BB2B93"/>
    <w:rsid w:val="00BC4A2E"/>
    <w:rsid w:val="00BD6EB7"/>
    <w:rsid w:val="00BE74D9"/>
    <w:rsid w:val="00BE7582"/>
    <w:rsid w:val="00BF5C65"/>
    <w:rsid w:val="00BF7B8D"/>
    <w:rsid w:val="00C046B5"/>
    <w:rsid w:val="00C06B2C"/>
    <w:rsid w:val="00C14B59"/>
    <w:rsid w:val="00C25E49"/>
    <w:rsid w:val="00C3441C"/>
    <w:rsid w:val="00C37BDD"/>
    <w:rsid w:val="00C44167"/>
    <w:rsid w:val="00C50C20"/>
    <w:rsid w:val="00C525A8"/>
    <w:rsid w:val="00C53E98"/>
    <w:rsid w:val="00C54D27"/>
    <w:rsid w:val="00C603FC"/>
    <w:rsid w:val="00C62384"/>
    <w:rsid w:val="00C639E3"/>
    <w:rsid w:val="00C65336"/>
    <w:rsid w:val="00C71ED9"/>
    <w:rsid w:val="00C76EEB"/>
    <w:rsid w:val="00C813BF"/>
    <w:rsid w:val="00C85D96"/>
    <w:rsid w:val="00C92B3D"/>
    <w:rsid w:val="00C943DD"/>
    <w:rsid w:val="00C96132"/>
    <w:rsid w:val="00CB5600"/>
    <w:rsid w:val="00CB58B7"/>
    <w:rsid w:val="00CB597A"/>
    <w:rsid w:val="00CC09DD"/>
    <w:rsid w:val="00CC562E"/>
    <w:rsid w:val="00CD1D94"/>
    <w:rsid w:val="00CD2E87"/>
    <w:rsid w:val="00CD7F42"/>
    <w:rsid w:val="00CE0294"/>
    <w:rsid w:val="00CF701B"/>
    <w:rsid w:val="00D01F5A"/>
    <w:rsid w:val="00D05C4A"/>
    <w:rsid w:val="00D1223B"/>
    <w:rsid w:val="00D1323B"/>
    <w:rsid w:val="00D1716E"/>
    <w:rsid w:val="00D31105"/>
    <w:rsid w:val="00D369FB"/>
    <w:rsid w:val="00D42FAE"/>
    <w:rsid w:val="00D43284"/>
    <w:rsid w:val="00D443D5"/>
    <w:rsid w:val="00D51282"/>
    <w:rsid w:val="00D52BBA"/>
    <w:rsid w:val="00D565D0"/>
    <w:rsid w:val="00D61FD2"/>
    <w:rsid w:val="00D63A57"/>
    <w:rsid w:val="00D64E05"/>
    <w:rsid w:val="00D805F5"/>
    <w:rsid w:val="00D92FD3"/>
    <w:rsid w:val="00D931A3"/>
    <w:rsid w:val="00DA3B6E"/>
    <w:rsid w:val="00DA7E59"/>
    <w:rsid w:val="00DB7581"/>
    <w:rsid w:val="00DC38CB"/>
    <w:rsid w:val="00DC70C1"/>
    <w:rsid w:val="00DD1425"/>
    <w:rsid w:val="00DD6AFE"/>
    <w:rsid w:val="00DE26FB"/>
    <w:rsid w:val="00DE380E"/>
    <w:rsid w:val="00DF6A24"/>
    <w:rsid w:val="00E02975"/>
    <w:rsid w:val="00E100C9"/>
    <w:rsid w:val="00E145D9"/>
    <w:rsid w:val="00E2069C"/>
    <w:rsid w:val="00E32675"/>
    <w:rsid w:val="00E3731C"/>
    <w:rsid w:val="00E411AE"/>
    <w:rsid w:val="00E46871"/>
    <w:rsid w:val="00E46A27"/>
    <w:rsid w:val="00E6446F"/>
    <w:rsid w:val="00E6606A"/>
    <w:rsid w:val="00E755D8"/>
    <w:rsid w:val="00E80171"/>
    <w:rsid w:val="00E80391"/>
    <w:rsid w:val="00E83C12"/>
    <w:rsid w:val="00E87B9E"/>
    <w:rsid w:val="00E904C8"/>
    <w:rsid w:val="00E91B9F"/>
    <w:rsid w:val="00E9223C"/>
    <w:rsid w:val="00EA1690"/>
    <w:rsid w:val="00EA1BBF"/>
    <w:rsid w:val="00EA6143"/>
    <w:rsid w:val="00EA6CE1"/>
    <w:rsid w:val="00EB29A9"/>
    <w:rsid w:val="00EB39FD"/>
    <w:rsid w:val="00EB77D2"/>
    <w:rsid w:val="00EC049D"/>
    <w:rsid w:val="00EC065C"/>
    <w:rsid w:val="00EC1F86"/>
    <w:rsid w:val="00EC34F5"/>
    <w:rsid w:val="00EC3DF3"/>
    <w:rsid w:val="00ED0093"/>
    <w:rsid w:val="00ED33FA"/>
    <w:rsid w:val="00ED581C"/>
    <w:rsid w:val="00EE4B4C"/>
    <w:rsid w:val="00EF0C0D"/>
    <w:rsid w:val="00EF656A"/>
    <w:rsid w:val="00F12A8B"/>
    <w:rsid w:val="00F153AD"/>
    <w:rsid w:val="00F15B23"/>
    <w:rsid w:val="00F24556"/>
    <w:rsid w:val="00F27944"/>
    <w:rsid w:val="00F316C8"/>
    <w:rsid w:val="00F31B7B"/>
    <w:rsid w:val="00F40BCE"/>
    <w:rsid w:val="00F40EEB"/>
    <w:rsid w:val="00F46AD6"/>
    <w:rsid w:val="00F51947"/>
    <w:rsid w:val="00F556D6"/>
    <w:rsid w:val="00F55C88"/>
    <w:rsid w:val="00F600FE"/>
    <w:rsid w:val="00F62920"/>
    <w:rsid w:val="00F632DE"/>
    <w:rsid w:val="00F66C63"/>
    <w:rsid w:val="00F735E4"/>
    <w:rsid w:val="00F73825"/>
    <w:rsid w:val="00F81B55"/>
    <w:rsid w:val="00F83A8B"/>
    <w:rsid w:val="00F8424D"/>
    <w:rsid w:val="00F87DBC"/>
    <w:rsid w:val="00F90BE9"/>
    <w:rsid w:val="00F94E5C"/>
    <w:rsid w:val="00FA604F"/>
    <w:rsid w:val="00FB7834"/>
    <w:rsid w:val="00FC5132"/>
    <w:rsid w:val="00FD10AC"/>
    <w:rsid w:val="00FD3444"/>
    <w:rsid w:val="00FD4B6A"/>
    <w:rsid w:val="00FD7D47"/>
    <w:rsid w:val="00FF03A8"/>
    <w:rsid w:val="00FF63EA"/>
    <w:rsid w:val="0167217A"/>
    <w:rsid w:val="021F2E47"/>
    <w:rsid w:val="024C5A4E"/>
    <w:rsid w:val="02684F5B"/>
    <w:rsid w:val="02BFA4F0"/>
    <w:rsid w:val="049D950C"/>
    <w:rsid w:val="07155ED2"/>
    <w:rsid w:val="099D0FB9"/>
    <w:rsid w:val="0AFFB2E2"/>
    <w:rsid w:val="0B196ADC"/>
    <w:rsid w:val="0BDCC4B9"/>
    <w:rsid w:val="0BDED542"/>
    <w:rsid w:val="0D5B42D2"/>
    <w:rsid w:val="1019E963"/>
    <w:rsid w:val="11CF7B90"/>
    <w:rsid w:val="11EA7E39"/>
    <w:rsid w:val="122AA608"/>
    <w:rsid w:val="12715EF0"/>
    <w:rsid w:val="1293036E"/>
    <w:rsid w:val="12975CC9"/>
    <w:rsid w:val="1321EC1D"/>
    <w:rsid w:val="134A165C"/>
    <w:rsid w:val="1868B749"/>
    <w:rsid w:val="1BECB9DB"/>
    <w:rsid w:val="1C0941C6"/>
    <w:rsid w:val="1C70B65D"/>
    <w:rsid w:val="1D01F917"/>
    <w:rsid w:val="1D6505D5"/>
    <w:rsid w:val="1D850A21"/>
    <w:rsid w:val="1DE0D566"/>
    <w:rsid w:val="1E0485C3"/>
    <w:rsid w:val="1FC6AC35"/>
    <w:rsid w:val="2088053D"/>
    <w:rsid w:val="23BF7FB8"/>
    <w:rsid w:val="24CF1DF3"/>
    <w:rsid w:val="25273293"/>
    <w:rsid w:val="25B3F967"/>
    <w:rsid w:val="274CDDF5"/>
    <w:rsid w:val="28C4F785"/>
    <w:rsid w:val="2A5B0C08"/>
    <w:rsid w:val="2A6333D8"/>
    <w:rsid w:val="2BA7750B"/>
    <w:rsid w:val="2CF01443"/>
    <w:rsid w:val="2D9A55B0"/>
    <w:rsid w:val="2E6116B9"/>
    <w:rsid w:val="3503F1D4"/>
    <w:rsid w:val="350C0A3C"/>
    <w:rsid w:val="36DD1776"/>
    <w:rsid w:val="373BEDAF"/>
    <w:rsid w:val="3744B9C8"/>
    <w:rsid w:val="393326AC"/>
    <w:rsid w:val="393C0DAE"/>
    <w:rsid w:val="39875018"/>
    <w:rsid w:val="3E7DEF54"/>
    <w:rsid w:val="4336382B"/>
    <w:rsid w:val="442D57BB"/>
    <w:rsid w:val="45F4E9DD"/>
    <w:rsid w:val="4620309C"/>
    <w:rsid w:val="468AE43C"/>
    <w:rsid w:val="46D04627"/>
    <w:rsid w:val="475CB756"/>
    <w:rsid w:val="47748313"/>
    <w:rsid w:val="4C31E0DA"/>
    <w:rsid w:val="4C5A683E"/>
    <w:rsid w:val="4CF0BC37"/>
    <w:rsid w:val="4FFB34CB"/>
    <w:rsid w:val="50F59474"/>
    <w:rsid w:val="538D7E36"/>
    <w:rsid w:val="53932F0A"/>
    <w:rsid w:val="53D7A48D"/>
    <w:rsid w:val="55F3D06B"/>
    <w:rsid w:val="576807B2"/>
    <w:rsid w:val="5790DB61"/>
    <w:rsid w:val="585FA86F"/>
    <w:rsid w:val="592F7BE8"/>
    <w:rsid w:val="59628B69"/>
    <w:rsid w:val="5A86FC82"/>
    <w:rsid w:val="5AEB9999"/>
    <w:rsid w:val="5DFAFEC6"/>
    <w:rsid w:val="5E824F4B"/>
    <w:rsid w:val="613A495F"/>
    <w:rsid w:val="61DF8176"/>
    <w:rsid w:val="62629637"/>
    <w:rsid w:val="63D77CEF"/>
    <w:rsid w:val="643D2C7D"/>
    <w:rsid w:val="6654CE81"/>
    <w:rsid w:val="6798EB13"/>
    <w:rsid w:val="69377537"/>
    <w:rsid w:val="693DA441"/>
    <w:rsid w:val="6B2E1884"/>
    <w:rsid w:val="6C365AE7"/>
    <w:rsid w:val="6D4A5543"/>
    <w:rsid w:val="6DE99471"/>
    <w:rsid w:val="6E240364"/>
    <w:rsid w:val="6EBD0347"/>
    <w:rsid w:val="6F68214B"/>
    <w:rsid w:val="72784424"/>
    <w:rsid w:val="751B8A67"/>
    <w:rsid w:val="7647D990"/>
    <w:rsid w:val="7673FA4A"/>
    <w:rsid w:val="77761B01"/>
    <w:rsid w:val="7849C404"/>
    <w:rsid w:val="7939845A"/>
    <w:rsid w:val="7A5AAA9D"/>
    <w:rsid w:val="7ABAAE3E"/>
    <w:rsid w:val="7B3BC444"/>
    <w:rsid w:val="7F1C1EE0"/>
    <w:rsid w:val="7FD411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357E4A1C-D771-489E-885C-4AAB1977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193"/>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4469"/>
    <w:pPr>
      <w:tabs>
        <w:tab w:val="center" w:pos="4680"/>
        <w:tab w:val="right" w:pos="9360"/>
      </w:tabs>
    </w:pPr>
  </w:style>
  <w:style w:type="character" w:customStyle="1" w:styleId="HeaderChar">
    <w:name w:val="Header Char"/>
    <w:link w:val="Header"/>
    <w:uiPriority w:val="99"/>
    <w:semiHidden/>
    <w:rsid w:val="00AC4469"/>
    <w:rPr>
      <w:sz w:val="22"/>
      <w:szCs w:val="22"/>
      <w:lang w:eastAsia="en-US"/>
    </w:rPr>
  </w:style>
  <w:style w:type="paragraph" w:styleId="Footer">
    <w:name w:val="footer"/>
    <w:basedOn w:val="Normal"/>
    <w:link w:val="FooterChar"/>
    <w:uiPriority w:val="99"/>
    <w:semiHidden/>
    <w:unhideWhenUsed/>
    <w:rsid w:val="00AC4469"/>
    <w:pPr>
      <w:tabs>
        <w:tab w:val="center" w:pos="4680"/>
        <w:tab w:val="right" w:pos="9360"/>
      </w:tabs>
    </w:pPr>
  </w:style>
  <w:style w:type="character" w:customStyle="1" w:styleId="FooterChar">
    <w:name w:val="Footer Char"/>
    <w:link w:val="Footer"/>
    <w:uiPriority w:val="99"/>
    <w:semiHidden/>
    <w:rsid w:val="00AC4469"/>
    <w:rPr>
      <w:sz w:val="22"/>
      <w:szCs w:val="22"/>
      <w:lang w:eastAsia="en-US"/>
    </w:rPr>
  </w:style>
  <w:style w:type="character" w:styleId="CommentReference">
    <w:name w:val="annotation reference"/>
    <w:uiPriority w:val="99"/>
    <w:semiHidden/>
    <w:unhideWhenUsed/>
    <w:rsid w:val="00871B85"/>
    <w:rPr>
      <w:sz w:val="16"/>
      <w:szCs w:val="16"/>
    </w:rPr>
  </w:style>
  <w:style w:type="paragraph" w:styleId="CommentText">
    <w:name w:val="annotation text"/>
    <w:basedOn w:val="Normal"/>
    <w:link w:val="CommentTextChar"/>
    <w:uiPriority w:val="99"/>
    <w:unhideWhenUsed/>
    <w:rsid w:val="00871B85"/>
    <w:rPr>
      <w:sz w:val="20"/>
      <w:szCs w:val="20"/>
    </w:rPr>
  </w:style>
  <w:style w:type="character" w:customStyle="1" w:styleId="CommentTextChar">
    <w:name w:val="Comment Text Char"/>
    <w:link w:val="CommentText"/>
    <w:uiPriority w:val="99"/>
    <w:rsid w:val="00871B85"/>
    <w:rPr>
      <w:lang w:eastAsia="en-US"/>
    </w:rPr>
  </w:style>
  <w:style w:type="paragraph" w:styleId="CommentSubject">
    <w:name w:val="annotation subject"/>
    <w:basedOn w:val="CommentText"/>
    <w:next w:val="CommentText"/>
    <w:link w:val="CommentSubjectChar"/>
    <w:uiPriority w:val="99"/>
    <w:semiHidden/>
    <w:unhideWhenUsed/>
    <w:rsid w:val="00871B85"/>
    <w:rPr>
      <w:b/>
      <w:bCs/>
    </w:rPr>
  </w:style>
  <w:style w:type="character" w:customStyle="1" w:styleId="CommentSubjectChar">
    <w:name w:val="Comment Subject Char"/>
    <w:link w:val="CommentSubject"/>
    <w:uiPriority w:val="99"/>
    <w:semiHidden/>
    <w:rsid w:val="00871B85"/>
    <w:rPr>
      <w:b/>
      <w:bCs/>
      <w:lang w:eastAsia="en-US"/>
    </w:rPr>
  </w:style>
  <w:style w:type="character" w:styleId="Mention">
    <w:name w:val="Mention"/>
    <w:uiPriority w:val="99"/>
    <w:unhideWhenUsed/>
    <w:rsid w:val="00871B85"/>
    <w:rPr>
      <w:color w:val="2B579A"/>
      <w:shd w:val="clear" w:color="auto" w:fill="E1DFDD"/>
    </w:rPr>
  </w:style>
  <w:style w:type="paragraph" w:styleId="FootnoteText">
    <w:name w:val="footnote text"/>
    <w:basedOn w:val="Normal"/>
    <w:link w:val="FootnoteTextChar"/>
    <w:uiPriority w:val="99"/>
    <w:unhideWhenUsed/>
    <w:rsid w:val="00336743"/>
    <w:pPr>
      <w:spacing w:after="0" w:line="240" w:lineRule="auto"/>
    </w:pPr>
    <w:rPr>
      <w:rFonts w:ascii="Times New Roman" w:hAnsi="Times New Roman"/>
      <w:sz w:val="20"/>
      <w:szCs w:val="20"/>
    </w:rPr>
  </w:style>
  <w:style w:type="character" w:customStyle="1" w:styleId="FootnoteTextChar">
    <w:name w:val="Footnote Text Char"/>
    <w:link w:val="FootnoteText"/>
    <w:uiPriority w:val="99"/>
    <w:rsid w:val="00336743"/>
    <w:rPr>
      <w:rFonts w:ascii="Times New Roman" w:hAnsi="Times New Roman"/>
      <w:lang w:eastAsia="en-US"/>
    </w:rPr>
  </w:style>
  <w:style w:type="character" w:styleId="FootnoteReference">
    <w:name w:val="footnote reference"/>
    <w:uiPriority w:val="99"/>
    <w:semiHidden/>
    <w:unhideWhenUsed/>
    <w:rsid w:val="005444D4"/>
    <w:rPr>
      <w:vertAlign w:val="superscript"/>
    </w:rPr>
  </w:style>
  <w:style w:type="character" w:styleId="Hyperlink">
    <w:name w:val="Hyperlink"/>
    <w:uiPriority w:val="99"/>
    <w:unhideWhenUsed/>
    <w:rsid w:val="005444D4"/>
    <w:rPr>
      <w:color w:val="0563C1"/>
      <w:u w:val="single"/>
    </w:rPr>
  </w:style>
  <w:style w:type="character" w:styleId="UnresolvedMention">
    <w:name w:val="Unresolved Mention"/>
    <w:uiPriority w:val="99"/>
    <w:semiHidden/>
    <w:unhideWhenUsed/>
    <w:rsid w:val="005444D4"/>
    <w:rPr>
      <w:color w:val="605E5C"/>
      <w:shd w:val="clear" w:color="auto" w:fill="E1DFDD"/>
    </w:rPr>
  </w:style>
  <w:style w:type="paragraph" w:styleId="Revision">
    <w:name w:val="Revision"/>
    <w:hidden/>
    <w:uiPriority w:val="99"/>
    <w:semiHidden/>
    <w:rsid w:val="00ED33FA"/>
    <w:rPr>
      <w:sz w:val="22"/>
      <w:szCs w:val="22"/>
      <w:lang w:val="en-GB" w:eastAsia="en-US"/>
    </w:rPr>
  </w:style>
  <w:style w:type="character" w:styleId="FollowedHyperlink">
    <w:name w:val="FollowedHyperlink"/>
    <w:uiPriority w:val="99"/>
    <w:semiHidden/>
    <w:unhideWhenUsed/>
    <w:rsid w:val="00C92B3D"/>
    <w:rPr>
      <w:color w:val="954F72"/>
      <w:u w:val="single"/>
    </w:rPr>
  </w:style>
  <w:style w:type="paragraph" w:customStyle="1" w:styleId="ListHeader">
    <w:name w:val="List Header"/>
    <w:uiPriority w:val="99"/>
    <w:rsid w:val="004434B4"/>
    <w:pPr>
      <w:widowControl w:val="0"/>
      <w:autoSpaceDE w:val="0"/>
      <w:autoSpaceDN w:val="0"/>
      <w:adjustRightInd w:val="0"/>
    </w:pPr>
    <w:rPr>
      <w:rFonts w:ascii="Arial" w:eastAsia="Times New Roman" w:hAnsi="Arial" w:cs="Arial"/>
      <w:b/>
      <w:bCs/>
      <w:color w:val="000000"/>
      <w:sz w:val="18"/>
      <w:szCs w:val="18"/>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47993">
      <w:bodyDiv w:val="1"/>
      <w:marLeft w:val="0"/>
      <w:marRight w:val="0"/>
      <w:marTop w:val="0"/>
      <w:marBottom w:val="0"/>
      <w:divBdr>
        <w:top w:val="none" w:sz="0" w:space="0" w:color="auto"/>
        <w:left w:val="none" w:sz="0" w:space="0" w:color="auto"/>
        <w:bottom w:val="none" w:sz="0" w:space="0" w:color="auto"/>
        <w:right w:val="none" w:sz="0" w:space="0" w:color="auto"/>
      </w:divBdr>
    </w:div>
    <w:div w:id="168250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la.europa.eu/sites/default/files/2024-11/LRP-TRW-HSW.pdf" TargetMode="External"/><Relationship Id="rId13" Type="http://schemas.openxmlformats.org/officeDocument/2006/relationships/hyperlink" Target="https://eur-lex.europa.eu/legal-content/EN/TXT/?uri=CELEX:32019H1115(01)" TargetMode="External"/><Relationship Id="rId18" Type="http://schemas.openxmlformats.org/officeDocument/2006/relationships/hyperlink" Target="https://eur-lex.europa.eu/legal-content/EN/TXT/?uri=CELEX:32024L2831" TargetMode="External"/><Relationship Id="rId3" Type="http://schemas.openxmlformats.org/officeDocument/2006/relationships/hyperlink" Target="https://eur-lex.europa.eu/legal-content/EN/TXT/?uri=celex:52025DC0944" TargetMode="External"/><Relationship Id="rId7" Type="http://schemas.openxmlformats.org/officeDocument/2006/relationships/hyperlink" Target="https://www.ela.europa.eu/sites/default/files/2024-09/PLD_BSE_Final_Report_clean_0.pdf" TargetMode="External"/><Relationship Id="rId12" Type="http://schemas.openxmlformats.org/officeDocument/2006/relationships/hyperlink" Target="https://eur-lex.europa.eu/legal-content/EN/TXT/?uri=CELEX:52017DC0250" TargetMode="External"/><Relationship Id="rId17" Type="http://schemas.openxmlformats.org/officeDocument/2006/relationships/hyperlink" Target="https://employment-social-affairs.ec.europa.eu/news/eu-sectoral-social-partners-join-forces-counter-third-party-violence-and-harassment-related-work-2025-05-06_en" TargetMode="External"/><Relationship Id="rId2" Type="http://schemas.openxmlformats.org/officeDocument/2006/relationships/hyperlink" Target="https://eur-lex.europa.eu/legal-content/EN/TXT/?uri=CELEX:52025JC0791" TargetMode="External"/><Relationship Id="rId16" Type="http://schemas.openxmlformats.org/officeDocument/2006/relationships/hyperlink" Target="https://eur-lex.europa.eu/legal-content/EN/TXT/PDF/?uri=CELEX:31989L0654" TargetMode="External"/><Relationship Id="rId1" Type="http://schemas.openxmlformats.org/officeDocument/2006/relationships/hyperlink" Target="https://eur-lex.europa.eu/legal-content/EN/TXT/?uri=CELEX:32024R1083" TargetMode="External"/><Relationship Id="rId6" Type="http://schemas.openxmlformats.org/officeDocument/2006/relationships/hyperlink" Target="https://www.ela.europa.eu/sites/default/files/2025-06/Webinar_BSE_Report_FINAL.pdf" TargetMode="External"/><Relationship Id="rId11" Type="http://schemas.openxmlformats.org/officeDocument/2006/relationships/hyperlink" Target="https://www.ela.europa.eu/sites/default/files/2025-06/ES_Coordination_between_Tax_and_Labour_Inspectorates_in_HSW.pdf" TargetMode="External"/><Relationship Id="rId5" Type="http://schemas.openxmlformats.org/officeDocument/2006/relationships/hyperlink" Target="https://ec.europa.eu/info/funding-tenders/opportunities/portal/screen/opportunities/projects-details/43252517/101143466/SOCPL?order=DESC&amp;pageNumber=1&amp;pageSize=10&amp;sortBy=es_SortDate&amp;programmePeriod=2021%20-%202027&amp;topicAbbreviation=SOCPL-2023-INFO-WK" TargetMode="External"/><Relationship Id="rId15" Type="http://schemas.openxmlformats.org/officeDocument/2006/relationships/hyperlink" Target="https://eur-lex.europa.eu/legal-content/EN/ALL/?uri=celex%3A31989L0391" TargetMode="External"/><Relationship Id="rId10" Type="http://schemas.openxmlformats.org/officeDocument/2006/relationships/hyperlink" Target="https://www.ela.europa.eu/sites/default/files/2024-07/Executive_Summary_TRW_HSW.pdf" TargetMode="External"/><Relationship Id="rId19" Type="http://schemas.openxmlformats.org/officeDocument/2006/relationships/hyperlink" Target="https://eur-lex.europa.eu/legal-content/EN/TXT/?uri=celex:52020DC0624" TargetMode="External"/><Relationship Id="rId4" Type="http://schemas.openxmlformats.org/officeDocument/2006/relationships/hyperlink" Target="https://culture.ec.europa.eu/sites/default/files/2025-11/Communication%20-%20Culture%20Compass%20with%20cover_0.pdf" TargetMode="External"/><Relationship Id="rId9" Type="http://schemas.openxmlformats.org/officeDocument/2006/relationships/hyperlink" Target="https://www.ela.europa.eu/sites/default/files/2024-09/Study_UDW_high_skilled_workers_v4.pdf" TargetMode="External"/><Relationship Id="rId14" Type="http://schemas.openxmlformats.org/officeDocument/2006/relationships/hyperlink" Target="https://eur-lex.europa.eu/legal-content/EN/TXT/?uri=CELEX:32021H1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98044-06BA-4762-BE51-D9E02FD2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1333</Words>
  <Characters>7698</Characters>
  <Application>Microsoft Office Word</Application>
  <DocSecurity>0</DocSecurity>
  <Lines>99</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9022</CharactersWithSpaces>
  <SharedDoc>false</SharedDoc>
  <HLinks>
    <vt:vector size="108" baseType="variant">
      <vt:variant>
        <vt:i4>131090</vt:i4>
      </vt:variant>
      <vt:variant>
        <vt:i4>51</vt:i4>
      </vt:variant>
      <vt:variant>
        <vt:i4>0</vt:i4>
      </vt:variant>
      <vt:variant>
        <vt:i4>5</vt:i4>
      </vt:variant>
      <vt:variant>
        <vt:lpwstr>https://eur-lex.europa.eu/legal-content/EN/TXT/?uri=celex:52020DC0624</vt:lpwstr>
      </vt:variant>
      <vt:variant>
        <vt:lpwstr/>
      </vt:variant>
      <vt:variant>
        <vt:i4>65604</vt:i4>
      </vt:variant>
      <vt:variant>
        <vt:i4>48</vt:i4>
      </vt:variant>
      <vt:variant>
        <vt:i4>0</vt:i4>
      </vt:variant>
      <vt:variant>
        <vt:i4>5</vt:i4>
      </vt:variant>
      <vt:variant>
        <vt:lpwstr>https://eur-lex.europa.eu/legal-content/EN/TXT/?uri=CELEX:32024L2831</vt:lpwstr>
      </vt:variant>
      <vt:variant>
        <vt:lpwstr/>
      </vt:variant>
      <vt:variant>
        <vt:i4>983082</vt:i4>
      </vt:variant>
      <vt:variant>
        <vt:i4>45</vt:i4>
      </vt:variant>
      <vt:variant>
        <vt:i4>0</vt:i4>
      </vt:variant>
      <vt:variant>
        <vt:i4>5</vt:i4>
      </vt:variant>
      <vt:variant>
        <vt:lpwstr>https://employment-social-affairs.ec.europa.eu/news/eu-sectoral-social-partners-join-forces-counter-third-party-violence-and-harassment-related-work-2025-05-06_en</vt:lpwstr>
      </vt:variant>
      <vt:variant>
        <vt:lpwstr/>
      </vt:variant>
      <vt:variant>
        <vt:i4>1376271</vt:i4>
      </vt:variant>
      <vt:variant>
        <vt:i4>42</vt:i4>
      </vt:variant>
      <vt:variant>
        <vt:i4>0</vt:i4>
      </vt:variant>
      <vt:variant>
        <vt:i4>5</vt:i4>
      </vt:variant>
      <vt:variant>
        <vt:lpwstr>https://eur-lex.europa.eu/legal-content/EN/TXT/PDF/?uri=CELEX:31989L0654</vt:lpwstr>
      </vt:variant>
      <vt:variant>
        <vt:lpwstr/>
      </vt:variant>
      <vt:variant>
        <vt:i4>7340143</vt:i4>
      </vt:variant>
      <vt:variant>
        <vt:i4>39</vt:i4>
      </vt:variant>
      <vt:variant>
        <vt:i4>0</vt:i4>
      </vt:variant>
      <vt:variant>
        <vt:i4>5</vt:i4>
      </vt:variant>
      <vt:variant>
        <vt:lpwstr>https://eur-lex.europa.eu/legal-content/EN/ALL/?uri=celex%3A31989L0391</vt:lpwstr>
      </vt:variant>
      <vt:variant>
        <vt:lpwstr/>
      </vt:variant>
      <vt:variant>
        <vt:i4>852034</vt:i4>
      </vt:variant>
      <vt:variant>
        <vt:i4>36</vt:i4>
      </vt:variant>
      <vt:variant>
        <vt:i4>0</vt:i4>
      </vt:variant>
      <vt:variant>
        <vt:i4>5</vt:i4>
      </vt:variant>
      <vt:variant>
        <vt:lpwstr>https://eur-lex.europa.eu/legal-content/EN/TXT/?uri=CELEX:32021H1534</vt:lpwstr>
      </vt:variant>
      <vt:variant>
        <vt:lpwstr/>
      </vt:variant>
      <vt:variant>
        <vt:i4>1179729</vt:i4>
      </vt:variant>
      <vt:variant>
        <vt:i4>33</vt:i4>
      </vt:variant>
      <vt:variant>
        <vt:i4>0</vt:i4>
      </vt:variant>
      <vt:variant>
        <vt:i4>5</vt:i4>
      </vt:variant>
      <vt:variant>
        <vt:lpwstr>https://eur-lex.europa.eu/legal-content/EN/TXT/?uri=CELEX:32019H1115(01)</vt:lpwstr>
      </vt:variant>
      <vt:variant>
        <vt:lpwstr/>
      </vt:variant>
      <vt:variant>
        <vt:i4>393233</vt:i4>
      </vt:variant>
      <vt:variant>
        <vt:i4>30</vt:i4>
      </vt:variant>
      <vt:variant>
        <vt:i4>0</vt:i4>
      </vt:variant>
      <vt:variant>
        <vt:i4>5</vt:i4>
      </vt:variant>
      <vt:variant>
        <vt:lpwstr>https://eur-lex.europa.eu/legal-content/EN/TXT/?uri=CELEX:52017DC0250</vt:lpwstr>
      </vt:variant>
      <vt:variant>
        <vt:lpwstr/>
      </vt:variant>
      <vt:variant>
        <vt:i4>8192061</vt:i4>
      </vt:variant>
      <vt:variant>
        <vt:i4>27</vt:i4>
      </vt:variant>
      <vt:variant>
        <vt:i4>0</vt:i4>
      </vt:variant>
      <vt:variant>
        <vt:i4>5</vt:i4>
      </vt:variant>
      <vt:variant>
        <vt:lpwstr>https://www.ela.europa.eu/sites/default/files/2025-06/ES_Coordination_between_Tax_and_Labour_Inspectorates_in_HSW.pdf</vt:lpwstr>
      </vt:variant>
      <vt:variant>
        <vt:lpwstr/>
      </vt:variant>
      <vt:variant>
        <vt:i4>127</vt:i4>
      </vt:variant>
      <vt:variant>
        <vt:i4>24</vt:i4>
      </vt:variant>
      <vt:variant>
        <vt:i4>0</vt:i4>
      </vt:variant>
      <vt:variant>
        <vt:i4>5</vt:i4>
      </vt:variant>
      <vt:variant>
        <vt:lpwstr>https://www.ela.europa.eu/sites/default/files/2024-07/Executive_Summary_TRW_HSW.pdf</vt:lpwstr>
      </vt:variant>
      <vt:variant>
        <vt:lpwstr/>
      </vt:variant>
      <vt:variant>
        <vt:i4>3080223</vt:i4>
      </vt:variant>
      <vt:variant>
        <vt:i4>21</vt:i4>
      </vt:variant>
      <vt:variant>
        <vt:i4>0</vt:i4>
      </vt:variant>
      <vt:variant>
        <vt:i4>5</vt:i4>
      </vt:variant>
      <vt:variant>
        <vt:lpwstr>https://www.ela.europa.eu/sites/default/files/2024-09/Study_UDW_high_skilled_workers_v4.pdf</vt:lpwstr>
      </vt:variant>
      <vt:variant>
        <vt:lpwstr/>
      </vt:variant>
      <vt:variant>
        <vt:i4>6225946</vt:i4>
      </vt:variant>
      <vt:variant>
        <vt:i4>18</vt:i4>
      </vt:variant>
      <vt:variant>
        <vt:i4>0</vt:i4>
      </vt:variant>
      <vt:variant>
        <vt:i4>5</vt:i4>
      </vt:variant>
      <vt:variant>
        <vt:lpwstr>https://www.ela.europa.eu/sites/default/files/2024-11/LRP-TRW-HSW.pdf</vt:lpwstr>
      </vt:variant>
      <vt:variant>
        <vt:lpwstr/>
      </vt:variant>
      <vt:variant>
        <vt:i4>2031650</vt:i4>
      </vt:variant>
      <vt:variant>
        <vt:i4>15</vt:i4>
      </vt:variant>
      <vt:variant>
        <vt:i4>0</vt:i4>
      </vt:variant>
      <vt:variant>
        <vt:i4>5</vt:i4>
      </vt:variant>
      <vt:variant>
        <vt:lpwstr>https://www.ela.europa.eu/sites/default/files/2024-09/PLD_BSE_Final_Report_clean_0.pdf</vt:lpwstr>
      </vt:variant>
      <vt:variant>
        <vt:lpwstr/>
      </vt:variant>
      <vt:variant>
        <vt:i4>7602190</vt:i4>
      </vt:variant>
      <vt:variant>
        <vt:i4>12</vt:i4>
      </vt:variant>
      <vt:variant>
        <vt:i4>0</vt:i4>
      </vt:variant>
      <vt:variant>
        <vt:i4>5</vt:i4>
      </vt:variant>
      <vt:variant>
        <vt:lpwstr>https://www.ela.europa.eu/sites/default/files/2025-06/Webinar_BSE_Report_FINAL.pdf</vt:lpwstr>
      </vt:variant>
      <vt:variant>
        <vt:lpwstr/>
      </vt:variant>
      <vt:variant>
        <vt:i4>2818129</vt:i4>
      </vt:variant>
      <vt:variant>
        <vt:i4>9</vt:i4>
      </vt:variant>
      <vt:variant>
        <vt:i4>0</vt:i4>
      </vt:variant>
      <vt:variant>
        <vt:i4>5</vt:i4>
      </vt:variant>
      <vt:variant>
        <vt:lpwstr>https://ec.europa.eu/info/funding-tenders/opportunities/portal/screen/opportunities/projects-details/43252517/101143466/SOCPL?order=DESC&amp;pageNumber=1&amp;pageSize=10&amp;sortBy=es_SortDate&amp;programmePeriod=2021%20-%202027&amp;topicAbbreviation=SOCPL-2023-INFO-WK</vt:lpwstr>
      </vt:variant>
      <vt:variant>
        <vt:lpwstr/>
      </vt:variant>
      <vt:variant>
        <vt:i4>262168</vt:i4>
      </vt:variant>
      <vt:variant>
        <vt:i4>6</vt:i4>
      </vt:variant>
      <vt:variant>
        <vt:i4>0</vt:i4>
      </vt:variant>
      <vt:variant>
        <vt:i4>5</vt:i4>
      </vt:variant>
      <vt:variant>
        <vt:lpwstr>https://eur-lex.europa.eu/legal-content/EN/TXT/?uri=celex:52025DC0944</vt:lpwstr>
      </vt:variant>
      <vt:variant>
        <vt:lpwstr/>
      </vt:variant>
      <vt:variant>
        <vt:i4>458774</vt:i4>
      </vt:variant>
      <vt:variant>
        <vt:i4>3</vt:i4>
      </vt:variant>
      <vt:variant>
        <vt:i4>0</vt:i4>
      </vt:variant>
      <vt:variant>
        <vt:i4>5</vt:i4>
      </vt:variant>
      <vt:variant>
        <vt:lpwstr>https://eur-lex.europa.eu/legal-content/EN/TXT/?uri=CELEX:52025JC0791</vt:lpwstr>
      </vt:variant>
      <vt:variant>
        <vt:lpwstr/>
      </vt:variant>
      <vt:variant>
        <vt:i4>1376332</vt:i4>
      </vt:variant>
      <vt:variant>
        <vt:i4>0</vt:i4>
      </vt:variant>
      <vt:variant>
        <vt:i4>0</vt:i4>
      </vt:variant>
      <vt:variant>
        <vt:i4>5</vt:i4>
      </vt:variant>
      <vt:variant>
        <vt:lpwstr>https://eur-lex.europa.eu/legal-content/EN/TXT/?uri=CELEX:32024R1083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2013-03-02T09:02:00Z</cp:lastPrinted>
  <dcterms:created xsi:type="dcterms:W3CDTF">2026-03-26T10:15:00Z</dcterms:created>
  <dcterms:modified xsi:type="dcterms:W3CDTF">2026-03-26T10:15:00Z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