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74C5" w14:textId="77777777" w:rsidR="000F515D" w:rsidRPr="008F6362" w:rsidRDefault="00442EED" w:rsidP="00B36A04">
      <w:pPr>
        <w:ind w:right="-108"/>
        <w:jc w:val="center"/>
        <w:rPr>
          <w:rFonts w:ascii="Arial" w:hAnsi="Arial" w:cs="Arial"/>
          <w:b/>
          <w:i/>
          <w:sz w:val="20"/>
        </w:rPr>
      </w:pPr>
      <w:r w:rsidRPr="008F6362">
        <w:rPr>
          <w:noProof/>
          <w:sz w:val="20"/>
          <w:lang w:val="en-US"/>
        </w:rPr>
        <mc:AlternateContent>
          <mc:Choice Requires="wps">
            <w:drawing>
              <wp:anchor distT="0" distB="0" distL="114300" distR="114300" simplePos="0" relativeHeight="251660288" behindDoc="1" locked="0" layoutInCell="0" allowOverlap="1" wp14:anchorId="25C48FE5" wp14:editId="00D10A8E">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C69F" w14:textId="77777777" w:rsidR="00F819A7" w:rsidRPr="00442EED" w:rsidRDefault="00F819A7" w:rsidP="00442EED">
                            <w:pPr>
                              <w:jc w:val="center"/>
                              <w:rPr>
                                <w:rFonts w:ascii="Arial" w:hAnsi="Arial"/>
                                <w:b/>
                                <w:sz w:val="48"/>
                              </w:rPr>
                            </w:pPr>
                            <w:r w:rsidRPr="00442EED">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8FE5"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" o:allowincell="f" filled="f" stroked="f">
                <v:textbox>
                  <w:txbxContent>
                    <w:p w14:paraId="56CEC69F" w14:textId="77777777" w:rsidR="00F819A7" w:rsidRPr="00442EED" w:rsidRDefault="00F819A7" w:rsidP="00442EED">
                      <w:pPr>
                        <w:jc w:val="center"/>
                        <w:rPr>
                          <w:rFonts w:ascii="Arial" w:hAnsi="Arial"/>
                          <w:b/>
                          <w:sz w:val="48"/>
                        </w:rPr>
                      </w:pPr>
                      <w:r w:rsidRPr="00442EED">
                        <w:rPr>
                          <w:rFonts w:ascii="Arial" w:hAnsi="Arial"/>
                          <w:b/>
                          <w:sz w:val="48"/>
                        </w:rPr>
                        <w:t>EN</w:t>
                      </w:r>
                    </w:p>
                  </w:txbxContent>
                </v:textbox>
                <w10:wrap anchorx="page" anchory="page"/>
              </v:shape>
            </w:pict>
          </mc:Fallback>
        </mc:AlternateContent>
      </w:r>
      <w:r w:rsidR="00E07FCD" w:rsidRPr="008F6362">
        <w:rPr>
          <w:noProof/>
          <w:lang w:val="en-US"/>
        </w:rPr>
        <w:drawing>
          <wp:inline distT="0" distB="0" distL="0" distR="0" wp14:anchorId="6E8E8C33" wp14:editId="6DA57D95">
            <wp:extent cx="1792800" cy="1240079"/>
            <wp:effectExtent l="0" t="0" r="0" b="0"/>
            <wp:docPr id="2" name="Picture 2"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14:paraId="1FCDA0C8" w14:textId="77777777" w:rsidR="000F515D" w:rsidRPr="008F6362" w:rsidRDefault="000F515D" w:rsidP="00B36A04">
      <w:pPr>
        <w:jc w:val="center"/>
        <w:rPr>
          <w:rFonts w:ascii="Arial" w:hAnsi="Arial" w:cs="Arial"/>
          <w:b/>
          <w:i/>
          <w:sz w:val="20"/>
        </w:rPr>
      </w:pPr>
      <w:r w:rsidRPr="008F6362">
        <w:rPr>
          <w:rFonts w:ascii="Arial" w:hAnsi="Arial" w:cs="Arial"/>
          <w:b/>
          <w:i/>
          <w:sz w:val="20"/>
        </w:rPr>
        <w:t>Section for Economic and Monetary Union and Economic and Social Cohesion</w:t>
      </w:r>
    </w:p>
    <w:p w14:paraId="2E9DCBC2" w14:textId="77777777" w:rsidR="000F515D" w:rsidRPr="008F6362" w:rsidRDefault="000F515D" w:rsidP="00B36A04">
      <w:pPr>
        <w:rPr>
          <w:rFonts w:eastAsia="PMingLiU"/>
        </w:rPr>
      </w:pPr>
    </w:p>
    <w:p w14:paraId="769EA6AB" w14:textId="77777777" w:rsidR="006C2A78" w:rsidRPr="008F6362" w:rsidRDefault="006C2A78" w:rsidP="00B36A04">
      <w:pPr>
        <w:rPr>
          <w:rFonts w:eastAsia="PMingLiU"/>
        </w:rPr>
      </w:pPr>
    </w:p>
    <w:p w14:paraId="3F6CDC1E" w14:textId="21CB5B0E" w:rsidR="00996CF4" w:rsidRPr="008F6362" w:rsidRDefault="00996CF4" w:rsidP="00B36A04">
      <w:pPr>
        <w:jc w:val="center"/>
        <w:rPr>
          <w:rFonts w:eastAsia="PMingLiU"/>
          <w:b/>
        </w:rPr>
      </w:pPr>
      <w:r w:rsidRPr="008F6362">
        <w:rPr>
          <w:rFonts w:eastAsia="PMingLiU"/>
          <w:b/>
        </w:rPr>
        <w:t xml:space="preserve">ECO </w:t>
      </w:r>
      <w:r w:rsidR="00633743" w:rsidRPr="008F6362">
        <w:rPr>
          <w:rFonts w:eastAsia="PMingLiU"/>
          <w:b/>
        </w:rPr>
        <w:t>p</w:t>
      </w:r>
      <w:r w:rsidRPr="008F6362">
        <w:rPr>
          <w:rFonts w:eastAsia="PMingLiU"/>
          <w:b/>
        </w:rPr>
        <w:t xml:space="preserve">riorities for </w:t>
      </w:r>
      <w:r w:rsidR="00CA45AA" w:rsidRPr="008F6362">
        <w:rPr>
          <w:rFonts w:eastAsia="PMingLiU"/>
          <w:b/>
        </w:rPr>
        <w:t>2026</w:t>
      </w:r>
      <w:r w:rsidR="00F611B6" w:rsidRPr="008F6362">
        <w:rPr>
          <w:rFonts w:eastAsia="PMingLiU"/>
          <w:b/>
        </w:rPr>
        <w:t xml:space="preserve"> and beyond</w:t>
      </w:r>
    </w:p>
    <w:p w14:paraId="7F8658D0" w14:textId="032349FE" w:rsidR="00342BC4" w:rsidRPr="008F6362" w:rsidRDefault="00342BC4" w:rsidP="00B36A04">
      <w:pPr>
        <w:rPr>
          <w:i/>
        </w:rPr>
      </w:pPr>
    </w:p>
    <w:p w14:paraId="72AE77F5" w14:textId="1BDF4E70" w:rsidR="00A47CDF" w:rsidRDefault="00A47CDF" w:rsidP="00B36A04">
      <w:pPr>
        <w:rPr>
          <w:i/>
        </w:rPr>
      </w:pPr>
      <w:r w:rsidRPr="00A47CDF">
        <w:rPr>
          <w:i/>
        </w:rPr>
        <w:t>Europe</w:t>
      </w:r>
      <w:r w:rsidR="00DE67F3">
        <w:rPr>
          <w:i/>
        </w:rPr>
        <w:t>’</w:t>
      </w:r>
      <w:r w:rsidRPr="00A47CDF">
        <w:rPr>
          <w:i/>
        </w:rPr>
        <w:t xml:space="preserve">s economic policy challenges have intensified and evolved significantly since this Committee adopted priorities for the previous ECO </w:t>
      </w:r>
      <w:r w:rsidR="00DE67F3">
        <w:rPr>
          <w:i/>
        </w:rPr>
        <w:t>term of office</w:t>
      </w:r>
      <w:r w:rsidRPr="00A47CDF">
        <w:rPr>
          <w:i/>
        </w:rPr>
        <w:t>. Russia</w:t>
      </w:r>
      <w:r w:rsidR="00DE67F3">
        <w:rPr>
          <w:i/>
        </w:rPr>
        <w:t>’</w:t>
      </w:r>
      <w:r w:rsidRPr="00A47CDF">
        <w:rPr>
          <w:i/>
        </w:rPr>
        <w:t xml:space="preserve">s war against Ukraine continues with no resolution in sight, driving sustained </w:t>
      </w:r>
      <w:r w:rsidR="00373DC0" w:rsidRPr="00A47CDF">
        <w:rPr>
          <w:i/>
        </w:rPr>
        <w:t>defen</w:t>
      </w:r>
      <w:r w:rsidR="00373DC0">
        <w:rPr>
          <w:i/>
        </w:rPr>
        <w:t>c</w:t>
      </w:r>
      <w:r w:rsidR="00373DC0" w:rsidRPr="00A47CDF">
        <w:rPr>
          <w:i/>
        </w:rPr>
        <w:t xml:space="preserve">e </w:t>
      </w:r>
      <w:r w:rsidRPr="00A47CDF">
        <w:rPr>
          <w:i/>
        </w:rPr>
        <w:t xml:space="preserve">spending increases and energy market restructuring. Inflation, while moderating from </w:t>
      </w:r>
      <w:r w:rsidR="00444876">
        <w:rPr>
          <w:i/>
        </w:rPr>
        <w:t xml:space="preserve">its </w:t>
      </w:r>
      <w:r w:rsidRPr="00A47CDF">
        <w:rPr>
          <w:i/>
        </w:rPr>
        <w:t xml:space="preserve">2022-2023 peaks, continues </w:t>
      </w:r>
      <w:r w:rsidR="00444876">
        <w:rPr>
          <w:i/>
        </w:rPr>
        <w:t xml:space="preserve">to put </w:t>
      </w:r>
      <w:r w:rsidRPr="00A47CDF">
        <w:rPr>
          <w:i/>
        </w:rPr>
        <w:t>pressur</w:t>
      </w:r>
      <w:r w:rsidR="00444876">
        <w:rPr>
          <w:i/>
        </w:rPr>
        <w:t>e</w:t>
      </w:r>
      <w:r w:rsidRPr="00A47CDF">
        <w:rPr>
          <w:i/>
        </w:rPr>
        <w:t xml:space="preserve"> </w:t>
      </w:r>
      <w:r w:rsidR="00444876">
        <w:rPr>
          <w:i/>
        </w:rPr>
        <w:t xml:space="preserve">on </w:t>
      </w:r>
      <w:r w:rsidRPr="00A47CDF">
        <w:rPr>
          <w:i/>
        </w:rPr>
        <w:t xml:space="preserve">household budgets across </w:t>
      </w:r>
      <w:r w:rsidR="00444876">
        <w:rPr>
          <w:i/>
        </w:rPr>
        <w:t xml:space="preserve">the </w:t>
      </w:r>
      <w:r w:rsidRPr="00A47CDF">
        <w:rPr>
          <w:i/>
        </w:rPr>
        <w:t xml:space="preserve">Member States. Public finances, strained by pandemic recovery spending and crisis responses, now face simultaneous demands for fiscal consolidation and major investment in </w:t>
      </w:r>
      <w:r w:rsidR="00373DC0" w:rsidRPr="00A47CDF">
        <w:rPr>
          <w:i/>
        </w:rPr>
        <w:t>defen</w:t>
      </w:r>
      <w:r w:rsidR="00373DC0">
        <w:rPr>
          <w:i/>
        </w:rPr>
        <w:t>c</w:t>
      </w:r>
      <w:r w:rsidR="00373DC0" w:rsidRPr="00A47CDF">
        <w:rPr>
          <w:i/>
        </w:rPr>
        <w:t>e</w:t>
      </w:r>
      <w:r w:rsidRPr="00A47CDF">
        <w:rPr>
          <w:i/>
        </w:rPr>
        <w:t xml:space="preserve">, competitiveness, and </w:t>
      </w:r>
      <w:r w:rsidR="0020531D">
        <w:rPr>
          <w:i/>
        </w:rPr>
        <w:t xml:space="preserve">the </w:t>
      </w:r>
      <w:r w:rsidRPr="00A47CDF">
        <w:rPr>
          <w:i/>
        </w:rPr>
        <w:t xml:space="preserve">green transition. Meanwhile, political fragmentation and populist movements have gained strength in </w:t>
      </w:r>
      <w:proofErr w:type="gramStart"/>
      <w:r w:rsidR="0020531D">
        <w:rPr>
          <w:i/>
        </w:rPr>
        <w:t>a number of</w:t>
      </w:r>
      <w:proofErr w:type="gramEnd"/>
      <w:r w:rsidR="0020531D" w:rsidRPr="00A47CDF">
        <w:rPr>
          <w:i/>
        </w:rPr>
        <w:t xml:space="preserve"> </w:t>
      </w:r>
      <w:r w:rsidRPr="00A47CDF">
        <w:rPr>
          <w:i/>
        </w:rPr>
        <w:t>Member States, often exploiting economic anxiety and directing frustration toward</w:t>
      </w:r>
      <w:r w:rsidR="00DE67F3">
        <w:rPr>
          <w:i/>
        </w:rPr>
        <w:t>s</w:t>
      </w:r>
      <w:r w:rsidRPr="00A47CDF">
        <w:rPr>
          <w:i/>
        </w:rPr>
        <w:t xml:space="preserve"> </w:t>
      </w:r>
      <w:r w:rsidR="0020531D">
        <w:rPr>
          <w:i/>
        </w:rPr>
        <w:t xml:space="preserve">the </w:t>
      </w:r>
      <w:r w:rsidRPr="00A47CDF">
        <w:rPr>
          <w:i/>
        </w:rPr>
        <w:t>European institutions.</w:t>
      </w:r>
    </w:p>
    <w:p w14:paraId="20519C65" w14:textId="77777777" w:rsidR="00EF2733" w:rsidRPr="00A47CDF" w:rsidRDefault="00EF2733" w:rsidP="00B36A04">
      <w:pPr>
        <w:rPr>
          <w:i/>
        </w:rPr>
      </w:pPr>
    </w:p>
    <w:p w14:paraId="328C8EC3" w14:textId="314A485A" w:rsidR="00A47CDF" w:rsidRDefault="00A47CDF" w:rsidP="00B36A04">
      <w:pPr>
        <w:rPr>
          <w:i/>
        </w:rPr>
      </w:pPr>
      <w:r w:rsidRPr="00A47CDF">
        <w:rPr>
          <w:i/>
        </w:rPr>
        <w:t>These overlapping pressures create both risks and opportunities for the European Economic and Social Committee. The risk is marginali</w:t>
      </w:r>
      <w:r w:rsidR="0020531D">
        <w:rPr>
          <w:i/>
        </w:rPr>
        <w:t>s</w:t>
      </w:r>
      <w:r w:rsidRPr="00A47CDF">
        <w:rPr>
          <w:i/>
        </w:rPr>
        <w:t xml:space="preserve">ation </w:t>
      </w:r>
      <w:r w:rsidR="0020531D">
        <w:rPr>
          <w:i/>
        </w:rPr>
        <w:t>–</w:t>
      </w:r>
      <w:r w:rsidRPr="00A47CDF">
        <w:rPr>
          <w:i/>
        </w:rPr>
        <w:t xml:space="preserve"> if EU economic policy</w:t>
      </w:r>
      <w:r w:rsidR="0020531D">
        <w:rPr>
          <w:i/>
        </w:rPr>
        <w:t>-</w:t>
      </w:r>
      <w:r w:rsidRPr="00A47CDF">
        <w:rPr>
          <w:i/>
        </w:rPr>
        <w:t xml:space="preserve">making proceeds without meaningful civil society engagement, the EESC becomes increasingly peripheral to European governance. The opportunity is </w:t>
      </w:r>
      <w:r w:rsidR="0020531D">
        <w:rPr>
          <w:i/>
        </w:rPr>
        <w:t xml:space="preserve">to </w:t>
      </w:r>
      <w:r w:rsidRPr="00A47CDF">
        <w:rPr>
          <w:i/>
        </w:rPr>
        <w:t>demonstrat</w:t>
      </w:r>
      <w:r w:rsidR="0020531D">
        <w:rPr>
          <w:i/>
        </w:rPr>
        <w:t>e</w:t>
      </w:r>
      <w:r w:rsidRPr="00A47CDF">
        <w:rPr>
          <w:i/>
        </w:rPr>
        <w:t xml:space="preserve"> the Committee</w:t>
      </w:r>
      <w:r w:rsidR="00DE67F3">
        <w:rPr>
          <w:i/>
        </w:rPr>
        <w:t>’</w:t>
      </w:r>
      <w:r w:rsidRPr="00A47CDF">
        <w:rPr>
          <w:i/>
        </w:rPr>
        <w:t xml:space="preserve">s indispensable value as the institutional bridge between Brussels </w:t>
      </w:r>
      <w:proofErr w:type="gramStart"/>
      <w:r w:rsidRPr="00A47CDF">
        <w:rPr>
          <w:i/>
        </w:rPr>
        <w:t>policy</w:t>
      </w:r>
      <w:r w:rsidR="0020531D">
        <w:rPr>
          <w:i/>
        </w:rPr>
        <w:t>-</w:t>
      </w:r>
      <w:r w:rsidRPr="00A47CDF">
        <w:rPr>
          <w:i/>
        </w:rPr>
        <w:t>making</w:t>
      </w:r>
      <w:proofErr w:type="gramEnd"/>
      <w:r w:rsidRPr="00A47CDF">
        <w:rPr>
          <w:i/>
        </w:rPr>
        <w:t xml:space="preserve"> and the organi</w:t>
      </w:r>
      <w:r w:rsidR="0020531D">
        <w:rPr>
          <w:i/>
        </w:rPr>
        <w:t>s</w:t>
      </w:r>
      <w:r w:rsidRPr="00A47CDF">
        <w:rPr>
          <w:i/>
        </w:rPr>
        <w:t>ed civil society that experiences the consequences of those policies in their daily economic reality.</w:t>
      </w:r>
    </w:p>
    <w:p w14:paraId="208096C8" w14:textId="54CEF97C" w:rsidR="00A47CDF" w:rsidRDefault="00A47CDF" w:rsidP="00B36A04">
      <w:pPr>
        <w:rPr>
          <w:i/>
        </w:rPr>
      </w:pPr>
    </w:p>
    <w:p w14:paraId="6D570F41" w14:textId="0A7BF0DE" w:rsidR="00BB4E1F" w:rsidRPr="008F6362" w:rsidRDefault="00BB4E1F" w:rsidP="00B36A04">
      <w:pPr>
        <w:rPr>
          <w:i/>
        </w:rPr>
      </w:pPr>
      <w:r w:rsidRPr="008F6362">
        <w:rPr>
          <w:i/>
        </w:rPr>
        <w:t>Collective and consistent efforts in the policy areas within the remit of the ECO section</w:t>
      </w:r>
      <w:r w:rsidR="0064563D">
        <w:rPr>
          <w:i/>
        </w:rPr>
        <w:t xml:space="preserve"> – </w:t>
      </w:r>
      <w:r w:rsidR="0020531D" w:rsidRPr="008F6362">
        <w:rPr>
          <w:i/>
        </w:rPr>
        <w:t>economic and monetary union</w:t>
      </w:r>
      <w:r w:rsidRPr="008F6362">
        <w:rPr>
          <w:i/>
        </w:rPr>
        <w:t>, the European Semester, financial markets, the EU budget, taxation, and cohesion policy</w:t>
      </w:r>
      <w:r w:rsidR="0064563D">
        <w:rPr>
          <w:i/>
        </w:rPr>
        <w:t xml:space="preserve"> – </w:t>
      </w:r>
      <w:r w:rsidRPr="008F6362">
        <w:rPr>
          <w:i/>
        </w:rPr>
        <w:t>are therefore essential to enable the EU to achieve its shared goals, strengthen its resilience and strategic autonomy, and ensure the prosperity of all its citizens.</w:t>
      </w:r>
      <w:r w:rsidR="003B5A10">
        <w:rPr>
          <w:i/>
        </w:rPr>
        <w:t xml:space="preserve"> </w:t>
      </w:r>
      <w:r w:rsidR="003B5A10" w:rsidRPr="003B5A10">
        <w:rPr>
          <w:i/>
        </w:rPr>
        <w:t>The ECO section</w:t>
      </w:r>
      <w:r w:rsidR="002A71DF">
        <w:rPr>
          <w:i/>
        </w:rPr>
        <w:t>’</w:t>
      </w:r>
      <w:r w:rsidR="003B5A10" w:rsidRPr="003B5A10">
        <w:rPr>
          <w:i/>
        </w:rPr>
        <w:t>s priorities for 2026 and beyond are designed to seize that opportunity during a period when Europe will make decisive choices about its economic future</w:t>
      </w:r>
      <w:r w:rsidR="002E1925">
        <w:rPr>
          <w:i/>
        </w:rPr>
        <w:t xml:space="preserve"> through</w:t>
      </w:r>
      <w:r w:rsidR="003B5A10" w:rsidRPr="003B5A10">
        <w:rPr>
          <w:i/>
        </w:rPr>
        <w:t xml:space="preserve"> Multiannual Financial Framework negotiations, economic governance implementation, cohesion policy restructuring, </w:t>
      </w:r>
      <w:r w:rsidR="0020531D">
        <w:rPr>
          <w:i/>
        </w:rPr>
        <w:t>and</w:t>
      </w:r>
      <w:r w:rsidR="0020531D" w:rsidRPr="003B5A10">
        <w:rPr>
          <w:i/>
        </w:rPr>
        <w:t xml:space="preserve"> </w:t>
      </w:r>
      <w:r w:rsidR="003B5A10" w:rsidRPr="003B5A10">
        <w:rPr>
          <w:i/>
        </w:rPr>
        <w:t>taxation reform</w:t>
      </w:r>
      <w:r w:rsidR="00787D3D">
        <w:rPr>
          <w:i/>
        </w:rPr>
        <w:t>.</w:t>
      </w:r>
      <w:r w:rsidR="003B5A10" w:rsidRPr="003B5A10">
        <w:rPr>
          <w:i/>
        </w:rPr>
        <w:t xml:space="preserve"> </w:t>
      </w:r>
      <w:r w:rsidR="00787D3D">
        <w:rPr>
          <w:i/>
        </w:rPr>
        <w:t xml:space="preserve">These choices </w:t>
      </w:r>
      <w:r w:rsidR="003B5A10" w:rsidRPr="003B5A10">
        <w:rPr>
          <w:i/>
        </w:rPr>
        <w:t xml:space="preserve">will substantially determine whether European economic </w:t>
      </w:r>
      <w:r w:rsidR="00373DC0">
        <w:rPr>
          <w:i/>
        </w:rPr>
        <w:t>policies</w:t>
      </w:r>
      <w:r w:rsidR="00373DC0" w:rsidRPr="003B5A10">
        <w:rPr>
          <w:i/>
        </w:rPr>
        <w:t xml:space="preserve"> </w:t>
      </w:r>
      <w:r w:rsidR="003B5A10" w:rsidRPr="003B5A10">
        <w:rPr>
          <w:i/>
        </w:rPr>
        <w:t xml:space="preserve">deliver prosperity that validates democratic institutions or generates frustration that fuels their </w:t>
      </w:r>
      <w:proofErr w:type="spellStart"/>
      <w:r w:rsidR="003B5A10" w:rsidRPr="003B5A10">
        <w:rPr>
          <w:i/>
        </w:rPr>
        <w:t>delegitimi</w:t>
      </w:r>
      <w:r w:rsidR="0020531D">
        <w:rPr>
          <w:i/>
        </w:rPr>
        <w:t>s</w:t>
      </w:r>
      <w:r w:rsidR="003B5A10" w:rsidRPr="003B5A10">
        <w:rPr>
          <w:i/>
        </w:rPr>
        <w:t>ation</w:t>
      </w:r>
      <w:proofErr w:type="spellEnd"/>
      <w:r w:rsidR="004E2874">
        <w:rPr>
          <w:i/>
        </w:rPr>
        <w:t>.</w:t>
      </w:r>
    </w:p>
    <w:p w14:paraId="34D76B48" w14:textId="77777777" w:rsidR="00BB4E1F" w:rsidRPr="008F6362" w:rsidRDefault="00BB4E1F" w:rsidP="00B36A04">
      <w:pPr>
        <w:rPr>
          <w:i/>
        </w:rPr>
      </w:pPr>
    </w:p>
    <w:p w14:paraId="456A8E28" w14:textId="1C22021F" w:rsidR="00E932A6" w:rsidRPr="008F6362" w:rsidRDefault="00BB4E1F" w:rsidP="00B36A04">
      <w:pPr>
        <w:rPr>
          <w:i/>
        </w:rPr>
      </w:pPr>
      <w:r w:rsidRPr="008F6362">
        <w:rPr>
          <w:i/>
        </w:rPr>
        <w:t xml:space="preserve">In his work programme, EESC President Séamus Boland emphasised the need to work hand in hand with the European institutions, other EU bodies, and the Member States. He also underlined the importance of European civil society and the need for the EESC to engage more closely with the broader civil society beyond its institutional borders. In </w:t>
      </w:r>
      <w:r w:rsidR="00D42089">
        <w:rPr>
          <w:i/>
        </w:rPr>
        <w:t>this spirit</w:t>
      </w:r>
      <w:r w:rsidRPr="008F6362">
        <w:rPr>
          <w:i/>
        </w:rPr>
        <w:t xml:space="preserve">, throughout this </w:t>
      </w:r>
      <w:r w:rsidR="0020531D">
        <w:rPr>
          <w:i/>
        </w:rPr>
        <w:t>term of office</w:t>
      </w:r>
      <w:r w:rsidRPr="008F6362">
        <w:rPr>
          <w:i/>
        </w:rPr>
        <w:t>, the ECO section will strive to further strengthen its existing ties with international institutions</w:t>
      </w:r>
      <w:r w:rsidR="0003138A">
        <w:rPr>
          <w:i/>
        </w:rPr>
        <w:t xml:space="preserve"> – </w:t>
      </w:r>
      <w:r w:rsidRPr="008F6362">
        <w:rPr>
          <w:i/>
        </w:rPr>
        <w:t>such as the ECB, the IMF, the World Bank, and the OECD</w:t>
      </w:r>
      <w:r w:rsidR="0003138A">
        <w:rPr>
          <w:i/>
        </w:rPr>
        <w:t xml:space="preserve"> – </w:t>
      </w:r>
      <w:proofErr w:type="gramStart"/>
      <w:r w:rsidRPr="008F6362">
        <w:rPr>
          <w:i/>
        </w:rPr>
        <w:t>in order to</w:t>
      </w:r>
      <w:proofErr w:type="gramEnd"/>
      <w:r w:rsidRPr="008F6362">
        <w:rPr>
          <w:i/>
        </w:rPr>
        <w:t xml:space="preserve"> work together on shaping Europe’s economic policies in the years ahead.</w:t>
      </w:r>
    </w:p>
    <w:p w14:paraId="0B3F09FD" w14:textId="77777777" w:rsidR="00BB4E1F" w:rsidRPr="008F6362" w:rsidRDefault="00BB4E1F" w:rsidP="00B36A04">
      <w:pPr>
        <w:rPr>
          <w:i/>
        </w:rPr>
      </w:pPr>
    </w:p>
    <w:p w14:paraId="4EA82F2C" w14:textId="4274023B" w:rsidR="006253FC" w:rsidRPr="008F6362" w:rsidRDefault="006253FC" w:rsidP="00B36A04">
      <w:pPr>
        <w:pStyle w:val="Heading1"/>
        <w:keepNext/>
        <w:keepLines/>
        <w:ind w:left="567" w:hanging="567"/>
      </w:pPr>
      <w:r w:rsidRPr="008F6362">
        <w:rPr>
          <w:b/>
        </w:rPr>
        <w:t xml:space="preserve">EU </w:t>
      </w:r>
      <w:r w:rsidR="0020531D" w:rsidRPr="008F6362">
        <w:rPr>
          <w:b/>
        </w:rPr>
        <w:t xml:space="preserve">budget </w:t>
      </w:r>
      <w:r w:rsidRPr="008F6362">
        <w:rPr>
          <w:b/>
        </w:rPr>
        <w:t>and own resources</w:t>
      </w:r>
    </w:p>
    <w:p w14:paraId="25269CF4" w14:textId="77777777" w:rsidR="006253FC" w:rsidRPr="008F6362" w:rsidRDefault="006253FC" w:rsidP="00B36A04">
      <w:pPr>
        <w:keepNext/>
        <w:keepLines/>
      </w:pPr>
    </w:p>
    <w:p w14:paraId="555FFAAE" w14:textId="4F61131D" w:rsidR="006253FC" w:rsidRDefault="006253FC" w:rsidP="00B36A04">
      <w:r w:rsidRPr="00DC050D">
        <w:t xml:space="preserve">The years 2026 and 2027 will be marked by ongoing negotiations on the next </w:t>
      </w:r>
      <w:r w:rsidRPr="00567558">
        <w:rPr>
          <w:b/>
          <w:bCs/>
        </w:rPr>
        <w:t>Multiannual Financial Framework (MFF)</w:t>
      </w:r>
      <w:r w:rsidRPr="00DC050D">
        <w:t xml:space="preserve">, with the </w:t>
      </w:r>
      <w:r w:rsidR="0020531D">
        <w:t>need to</w:t>
      </w:r>
      <w:r w:rsidRPr="00DC050D">
        <w:t xml:space="preserve"> reach an agreement before 1 January 2028</w:t>
      </w:r>
      <w:r w:rsidR="005D4C51">
        <w:t xml:space="preserve"> at the latest</w:t>
      </w:r>
      <w:r w:rsidRPr="00DC050D">
        <w:t xml:space="preserve">, when the current framework expires. </w:t>
      </w:r>
      <w:r w:rsidR="00133521" w:rsidRPr="00686302">
        <w:t xml:space="preserve">The MFF 2028-2034 negotiations </w:t>
      </w:r>
      <w:r w:rsidR="0020531D">
        <w:t>amount to</w:t>
      </w:r>
      <w:r w:rsidR="0020531D" w:rsidRPr="00686302">
        <w:t xml:space="preserve"> </w:t>
      </w:r>
      <w:r w:rsidR="00133521" w:rsidRPr="00686302">
        <w:t xml:space="preserve">more than budget allocation </w:t>
      </w:r>
      <w:r w:rsidR="0020531D">
        <w:t>–</w:t>
      </w:r>
      <w:r w:rsidR="00133521" w:rsidRPr="00686302">
        <w:t xml:space="preserve"> they will determine the architecture of EU </w:t>
      </w:r>
      <w:r w:rsidR="005D4C51">
        <w:t>policy priorities</w:t>
      </w:r>
      <w:r w:rsidR="00133521" w:rsidRPr="00686302">
        <w:t xml:space="preserve"> for the next </w:t>
      </w:r>
      <w:r w:rsidR="005D4C51">
        <w:t>seven years</w:t>
      </w:r>
      <w:r w:rsidR="005D4C51" w:rsidRPr="00686302">
        <w:t xml:space="preserve"> </w:t>
      </w:r>
      <w:r w:rsidR="00133521" w:rsidRPr="00686302">
        <w:t>and beyond.</w:t>
      </w:r>
    </w:p>
    <w:p w14:paraId="7BB25594" w14:textId="77777777" w:rsidR="00F21B1F" w:rsidRDefault="00F21B1F" w:rsidP="00B36A04"/>
    <w:p w14:paraId="6FE8BF05" w14:textId="2D5014F2" w:rsidR="00F025CD" w:rsidRDefault="00AB6E5B" w:rsidP="00B36A04">
      <w:r w:rsidRPr="00686302">
        <w:t xml:space="preserve">The ECO section will contribute to </w:t>
      </w:r>
      <w:r w:rsidR="005D4C51">
        <w:t xml:space="preserve">the </w:t>
      </w:r>
      <w:r w:rsidRPr="00686302">
        <w:t>MFF negotiations through multiple complementary approaches:</w:t>
      </w:r>
    </w:p>
    <w:p w14:paraId="40FA081A" w14:textId="77777777" w:rsidR="00477180" w:rsidRDefault="00477180" w:rsidP="00B36A04">
      <w:pPr>
        <w:rPr>
          <w:u w:val="single"/>
        </w:rPr>
      </w:pPr>
    </w:p>
    <w:p w14:paraId="5E20CE55" w14:textId="5A27298F" w:rsidR="006253FC" w:rsidRDefault="0020531D" w:rsidP="00B36A04">
      <w:r>
        <w:rPr>
          <w:b/>
          <w:bCs/>
        </w:rPr>
        <w:t xml:space="preserve">The </w:t>
      </w:r>
      <w:r w:rsidRPr="009F0004">
        <w:rPr>
          <w:b/>
          <w:bCs/>
        </w:rPr>
        <w:t xml:space="preserve">formal </w:t>
      </w:r>
      <w:r w:rsidR="00AB6E5B" w:rsidRPr="009F0004">
        <w:rPr>
          <w:b/>
          <w:bCs/>
        </w:rPr>
        <w:t>EESC opinion process</w:t>
      </w:r>
      <w:r w:rsidR="00AB6E5B" w:rsidRPr="009F0004">
        <w:t>:</w:t>
      </w:r>
      <w:r w:rsidR="009F0004">
        <w:t xml:space="preserve"> </w:t>
      </w:r>
      <w:r w:rsidR="006253FC" w:rsidRPr="00DC050D">
        <w:t xml:space="preserve">By January 2026, the EESC will have adopted its </w:t>
      </w:r>
      <w:r w:rsidR="006253FC">
        <w:t xml:space="preserve">MFF </w:t>
      </w:r>
      <w:r w:rsidR="006253FC" w:rsidRPr="00DC050D">
        <w:t xml:space="preserve">policy proposals and will </w:t>
      </w:r>
      <w:r w:rsidR="0026232D">
        <w:t xml:space="preserve">be </w:t>
      </w:r>
      <w:r w:rsidR="006253FC" w:rsidRPr="00DC050D">
        <w:t>actively contribut</w:t>
      </w:r>
      <w:r w:rsidR="0026232D">
        <w:t>ing</w:t>
      </w:r>
      <w:r w:rsidR="006253FC" w:rsidRPr="00DC050D">
        <w:t xml:space="preserve"> to the negotiations</w:t>
      </w:r>
      <w:r w:rsidR="006253FC">
        <w:t xml:space="preserve"> and discussions</w:t>
      </w:r>
      <w:r w:rsidR="006253FC" w:rsidRPr="00DC050D">
        <w:t>, ensuring that the voice of European organised civil society is heard</w:t>
      </w:r>
      <w:r w:rsidR="006253FC">
        <w:t xml:space="preserve"> and taken account of</w:t>
      </w:r>
      <w:r w:rsidR="006253FC" w:rsidRPr="00DC050D">
        <w:t>. The</w:t>
      </w:r>
      <w:r w:rsidR="006253FC">
        <w:t xml:space="preserve"> EESC will also notably </w:t>
      </w:r>
      <w:r w:rsidR="006253FC" w:rsidRPr="00DC050D">
        <w:t>address the revenue side of the budget</w:t>
      </w:r>
      <w:r w:rsidR="006253FC">
        <w:t xml:space="preserve"> (</w:t>
      </w:r>
      <w:r w:rsidR="006253FC" w:rsidRPr="00567558">
        <w:rPr>
          <w:b/>
          <w:bCs/>
        </w:rPr>
        <w:t>EU own resources</w:t>
      </w:r>
      <w:r w:rsidR="006253FC">
        <w:t xml:space="preserve">). </w:t>
      </w:r>
    </w:p>
    <w:p w14:paraId="010DCDDB" w14:textId="77777777" w:rsidR="00477180" w:rsidRPr="00DC050D" w:rsidRDefault="00477180" w:rsidP="00B36A04"/>
    <w:p w14:paraId="2B988D03" w14:textId="46A4A3FC" w:rsidR="006253FC" w:rsidRPr="00DC050D" w:rsidRDefault="006253FC" w:rsidP="00B36A04">
      <w:r w:rsidRPr="009F0004">
        <w:rPr>
          <w:b/>
          <w:bCs/>
        </w:rPr>
        <w:t>Decisive follow-up</w:t>
      </w:r>
      <w:r w:rsidRPr="00DC050D">
        <w:t xml:space="preserve"> on the adopted EESC opinions </w:t>
      </w:r>
      <w:r>
        <w:t xml:space="preserve">on the MFF </w:t>
      </w:r>
      <w:r w:rsidRPr="00DC050D">
        <w:t xml:space="preserve">will be of utmost importance. In addition to </w:t>
      </w:r>
      <w:r>
        <w:t xml:space="preserve">EESC rapporteurs </w:t>
      </w:r>
      <w:r w:rsidRPr="00DC050D">
        <w:t>promoting the Committee’s policy positions in political debates on the MFF</w:t>
      </w:r>
      <w:r w:rsidR="009F0004">
        <w:t xml:space="preserve"> </w:t>
      </w:r>
      <w:r w:rsidR="0020531D">
        <w:t>–</w:t>
      </w:r>
      <w:r w:rsidR="009F0004">
        <w:t xml:space="preserve"> </w:t>
      </w:r>
      <w:r w:rsidRPr="00DC050D">
        <w:t xml:space="preserve">both </w:t>
      </w:r>
      <w:r>
        <w:t>in</w:t>
      </w:r>
      <w:r w:rsidRPr="00DC050D">
        <w:t xml:space="preserve"> and beyond Brussels</w:t>
      </w:r>
      <w:r w:rsidR="009F0004">
        <w:t xml:space="preserve"> </w:t>
      </w:r>
      <w:r w:rsidR="0020531D">
        <w:t>–</w:t>
      </w:r>
      <w:r w:rsidR="009F0004">
        <w:t xml:space="preserve"> </w:t>
      </w:r>
      <w:r w:rsidRPr="00DC050D">
        <w:t xml:space="preserve">the ECO section will organise </w:t>
      </w:r>
      <w:r w:rsidRPr="00567558">
        <w:rPr>
          <w:b/>
          <w:bCs/>
        </w:rPr>
        <w:t xml:space="preserve">regular </w:t>
      </w:r>
      <w:r w:rsidR="0026232D">
        <w:rPr>
          <w:b/>
          <w:bCs/>
        </w:rPr>
        <w:t>‘</w:t>
      </w:r>
      <w:r w:rsidRPr="00567558">
        <w:rPr>
          <w:b/>
          <w:bCs/>
        </w:rPr>
        <w:t xml:space="preserve">MFF </w:t>
      </w:r>
      <w:r w:rsidR="0020531D" w:rsidRPr="00567558">
        <w:rPr>
          <w:b/>
          <w:bCs/>
        </w:rPr>
        <w:t>talks</w:t>
      </w:r>
      <w:r w:rsidR="0026232D">
        <w:rPr>
          <w:b/>
          <w:bCs/>
        </w:rPr>
        <w:t>’</w:t>
      </w:r>
      <w:r w:rsidRPr="00567558">
        <w:rPr>
          <w:b/>
          <w:bCs/>
        </w:rPr>
        <w:t xml:space="preserve"> with external stakeholders</w:t>
      </w:r>
      <w:r>
        <w:t xml:space="preserve">, </w:t>
      </w:r>
      <w:r w:rsidRPr="00DC050D">
        <w:t xml:space="preserve">focusing on </w:t>
      </w:r>
      <w:r>
        <w:t>the various</w:t>
      </w:r>
      <w:r w:rsidRPr="00DC050D">
        <w:t xml:space="preserve"> aspects of the </w:t>
      </w:r>
      <w:r>
        <w:t>EU</w:t>
      </w:r>
      <w:r w:rsidR="0026232D">
        <w:t>’</w:t>
      </w:r>
      <w:r>
        <w:t>s multiannual budget</w:t>
      </w:r>
      <w:r w:rsidR="00946F6E">
        <w:t xml:space="preserve"> and the state of the negotiation process</w:t>
      </w:r>
      <w:r w:rsidRPr="00DC050D">
        <w:t>.</w:t>
      </w:r>
    </w:p>
    <w:p w14:paraId="4A97D853" w14:textId="77777777" w:rsidR="004E186D" w:rsidRDefault="004E186D" w:rsidP="00B36A04"/>
    <w:p w14:paraId="0EF25891" w14:textId="233401D9" w:rsidR="004E186D" w:rsidRPr="00686302" w:rsidRDefault="004E186D" w:rsidP="00B36A04">
      <w:pPr>
        <w:spacing w:after="160"/>
      </w:pPr>
      <w:r w:rsidRPr="009F0004">
        <w:rPr>
          <w:b/>
          <w:bCs/>
        </w:rPr>
        <w:t>Coalition coordination:</w:t>
      </w:r>
      <w:r w:rsidRPr="00686302">
        <w:t xml:space="preserve"> The EESC cannot influence MFF negotiations alone. ECO will </w:t>
      </w:r>
      <w:r w:rsidR="00FB4FF3">
        <w:t xml:space="preserve">therefore </w:t>
      </w:r>
      <w:r w:rsidRPr="00686302">
        <w:t>work systematically with</w:t>
      </w:r>
      <w:r w:rsidR="0077664C">
        <w:t xml:space="preserve"> key institutional and civil society partners</w:t>
      </w:r>
      <w:r w:rsidRPr="00686302">
        <w:t>:</w:t>
      </w:r>
    </w:p>
    <w:p w14:paraId="023C6601" w14:textId="7558F774" w:rsidR="004E186D" w:rsidRPr="00686302" w:rsidRDefault="0020531D" w:rsidP="00B36A04">
      <w:pPr>
        <w:numPr>
          <w:ilvl w:val="0"/>
          <w:numId w:val="7"/>
        </w:numPr>
        <w:spacing w:after="160"/>
        <w:jc w:val="left"/>
      </w:pPr>
      <w:r>
        <w:t xml:space="preserve">the </w:t>
      </w:r>
      <w:r w:rsidR="004E186D" w:rsidRPr="00686302">
        <w:t xml:space="preserve">European Parliament </w:t>
      </w:r>
      <w:r w:rsidR="004E186D">
        <w:t xml:space="preserve">(especially </w:t>
      </w:r>
      <w:r>
        <w:t xml:space="preserve">its </w:t>
      </w:r>
      <w:r w:rsidR="004E186D" w:rsidRPr="00686302">
        <w:t>Committee</w:t>
      </w:r>
      <w:r w:rsidR="00FB4FF3">
        <w:t xml:space="preserve"> on </w:t>
      </w:r>
      <w:r w:rsidR="00FB4FF3" w:rsidRPr="00686302">
        <w:t>Budget</w:t>
      </w:r>
      <w:r w:rsidR="00FB4FF3">
        <w:t>s-</w:t>
      </w:r>
      <w:proofErr w:type="spellStart"/>
      <w:r w:rsidR="00FB4FF3">
        <w:t>BUDG</w:t>
      </w:r>
      <w:proofErr w:type="spellEnd"/>
      <w:r w:rsidR="004E186D">
        <w:t>)</w:t>
      </w:r>
      <w:r w:rsidR="004E186D" w:rsidRPr="00686302">
        <w:t xml:space="preserve">, </w:t>
      </w:r>
      <w:r w:rsidR="00EC4A18">
        <w:t xml:space="preserve">supporting </w:t>
      </w:r>
      <w:r w:rsidR="00946F6E">
        <w:t>the negotiations</w:t>
      </w:r>
      <w:r w:rsidR="00946F6E" w:rsidRPr="00686302">
        <w:t xml:space="preserve"> </w:t>
      </w:r>
      <w:r w:rsidR="004E186D" w:rsidRPr="00686302">
        <w:t xml:space="preserve">with analysis and civil society </w:t>
      </w:r>
      <w:proofErr w:type="gramStart"/>
      <w:r w:rsidR="004E186D" w:rsidRPr="00686302">
        <w:t>mobili</w:t>
      </w:r>
      <w:r w:rsidR="00FB4FF3">
        <w:t>s</w:t>
      </w:r>
      <w:r w:rsidR="004E186D" w:rsidRPr="00686302">
        <w:t>ation</w:t>
      </w:r>
      <w:r>
        <w:t>;</w:t>
      </w:r>
      <w:proofErr w:type="gramEnd"/>
      <w:r w:rsidR="00EC4A18">
        <w:t xml:space="preserve"> </w:t>
      </w:r>
    </w:p>
    <w:p w14:paraId="6221F819" w14:textId="3533C9AC" w:rsidR="004E186D" w:rsidRPr="00686302" w:rsidRDefault="0020531D" w:rsidP="00B36A04">
      <w:pPr>
        <w:numPr>
          <w:ilvl w:val="0"/>
          <w:numId w:val="7"/>
        </w:numPr>
        <w:spacing w:after="160"/>
        <w:jc w:val="left"/>
      </w:pPr>
      <w:r>
        <w:t xml:space="preserve">the </w:t>
      </w:r>
      <w:r w:rsidR="004E186D" w:rsidRPr="00686302">
        <w:t xml:space="preserve">Committee of the Regions, coordinating on multi-level governance preservation and </w:t>
      </w:r>
      <w:r>
        <w:t xml:space="preserve">the </w:t>
      </w:r>
      <w:r w:rsidR="004E186D" w:rsidRPr="00686302">
        <w:t>design</w:t>
      </w:r>
      <w:r w:rsidR="004103A0">
        <w:t xml:space="preserve"> of the </w:t>
      </w:r>
      <w:r w:rsidR="004103A0" w:rsidRPr="008F6362">
        <w:rPr>
          <w:b/>
          <w:bCs/>
        </w:rPr>
        <w:t>National and Regional Partnership Plans</w:t>
      </w:r>
      <w:r w:rsidR="004103A0">
        <w:rPr>
          <w:b/>
          <w:bCs/>
        </w:rPr>
        <w:t xml:space="preserve"> (</w:t>
      </w:r>
      <w:proofErr w:type="spellStart"/>
      <w:r w:rsidR="004103A0">
        <w:rPr>
          <w:b/>
          <w:bCs/>
        </w:rPr>
        <w:t>NRPPs</w:t>
      </w:r>
      <w:proofErr w:type="spellEnd"/>
      <w:proofErr w:type="gramStart"/>
      <w:r w:rsidR="004103A0">
        <w:rPr>
          <w:b/>
          <w:bCs/>
        </w:rPr>
        <w:t>)</w:t>
      </w:r>
      <w:r w:rsidRPr="00590DA7">
        <w:t>;</w:t>
      </w:r>
      <w:proofErr w:type="gramEnd"/>
    </w:p>
    <w:p w14:paraId="4C37B8B7" w14:textId="79D973B3" w:rsidR="004E186D" w:rsidRPr="00686302" w:rsidRDefault="004E186D" w:rsidP="00B36A04">
      <w:pPr>
        <w:numPr>
          <w:ilvl w:val="0"/>
          <w:numId w:val="7"/>
        </w:numPr>
        <w:spacing w:after="160"/>
        <w:jc w:val="left"/>
      </w:pPr>
      <w:r w:rsidRPr="00686302">
        <w:t>European civil society networks, facilitating collective advocacy on shared priorities</w:t>
      </w:r>
      <w:r w:rsidR="0020531D">
        <w:t>; and</w:t>
      </w:r>
    </w:p>
    <w:p w14:paraId="10B628F6" w14:textId="13E58D1F" w:rsidR="004E186D" w:rsidRDefault="004E186D" w:rsidP="00B36A04">
      <w:pPr>
        <w:numPr>
          <w:ilvl w:val="0"/>
          <w:numId w:val="7"/>
        </w:numPr>
        <w:spacing w:after="160"/>
        <w:jc w:val="left"/>
      </w:pPr>
      <w:r w:rsidRPr="00686302">
        <w:t xml:space="preserve">National Economic and Social Councils through </w:t>
      </w:r>
      <w:proofErr w:type="spellStart"/>
      <w:r w:rsidRPr="00686302">
        <w:t>CESLink</w:t>
      </w:r>
      <w:proofErr w:type="spellEnd"/>
      <w:r w:rsidRPr="00686302">
        <w:t xml:space="preserve">, ensuring </w:t>
      </w:r>
      <w:r w:rsidR="00FB4FF3">
        <w:t xml:space="preserve">that </w:t>
      </w:r>
      <w:r w:rsidRPr="00686302">
        <w:t xml:space="preserve">Member State civil society voices </w:t>
      </w:r>
      <w:r w:rsidR="00FB4FF3">
        <w:t xml:space="preserve">can </w:t>
      </w:r>
      <w:r w:rsidRPr="00686302">
        <w:t xml:space="preserve">inform </w:t>
      </w:r>
      <w:r w:rsidR="0020531D">
        <w:t xml:space="preserve">the </w:t>
      </w:r>
      <w:r w:rsidR="00FB4FF3">
        <w:t>EESC</w:t>
      </w:r>
      <w:r w:rsidR="0026232D">
        <w:t>’</w:t>
      </w:r>
      <w:r w:rsidR="0020531D">
        <w:t>s</w:t>
      </w:r>
      <w:r w:rsidR="00FB4FF3" w:rsidRPr="00686302">
        <w:t xml:space="preserve"> </w:t>
      </w:r>
      <w:r w:rsidRPr="00686302">
        <w:t>positioning</w:t>
      </w:r>
      <w:r w:rsidR="0020531D">
        <w:t>.</w:t>
      </w:r>
    </w:p>
    <w:p w14:paraId="2F6841D0" w14:textId="3595955F" w:rsidR="0013339B" w:rsidRPr="0013339B" w:rsidRDefault="0013339B" w:rsidP="00B36A04">
      <w:pPr>
        <w:numPr>
          <w:ilvl w:val="0"/>
          <w:numId w:val="7"/>
        </w:numPr>
        <w:spacing w:after="160"/>
        <w:jc w:val="left"/>
      </w:pPr>
      <w:r w:rsidRPr="006F4ACA">
        <w:t>Social partners</w:t>
      </w:r>
      <w:r>
        <w:t xml:space="preserve"> and civil society</w:t>
      </w:r>
      <w:r w:rsidRPr="006F4ACA">
        <w:t xml:space="preserve"> </w:t>
      </w:r>
      <w:proofErr w:type="gramStart"/>
      <w:r w:rsidRPr="006F4ACA">
        <w:t>in order to</w:t>
      </w:r>
      <w:proofErr w:type="gramEnd"/>
      <w:r w:rsidRPr="006F4ACA">
        <w:t xml:space="preserve"> enforce the Partnership Principle and empower a multilevel governance framework</w:t>
      </w:r>
    </w:p>
    <w:p w14:paraId="4366A420" w14:textId="77777777" w:rsidR="004E186D" w:rsidRPr="0013339B" w:rsidRDefault="004E186D" w:rsidP="00B36A04"/>
    <w:p w14:paraId="166688C7" w14:textId="2ADB3F3E" w:rsidR="006253FC" w:rsidRDefault="006253FC" w:rsidP="00B36A04">
      <w:r w:rsidRPr="00DC050D">
        <w:t xml:space="preserve">The EESC will stand as a key ally of the European Parliament in </w:t>
      </w:r>
      <w:r w:rsidRPr="00FF5ACD">
        <w:rPr>
          <w:b/>
          <w:bCs/>
        </w:rPr>
        <w:t>advocating a strong EU budget</w:t>
      </w:r>
      <w:r w:rsidRPr="00DC050D">
        <w:t xml:space="preserve"> that provides the </w:t>
      </w:r>
      <w:r w:rsidR="0020531D">
        <w:t>EU</w:t>
      </w:r>
      <w:r w:rsidR="0020531D" w:rsidRPr="00DC050D">
        <w:t xml:space="preserve"> </w:t>
      </w:r>
      <w:r w:rsidRPr="00DC050D">
        <w:t xml:space="preserve">with the financial means necessary to fulfil its political ambitions. It will also defend the vital roles of </w:t>
      </w:r>
      <w:r w:rsidR="0020531D">
        <w:t xml:space="preserve">the </w:t>
      </w:r>
      <w:r w:rsidRPr="00DC050D">
        <w:t>social partners, as well as regional and local authorities, in the planning and implementation of EU spending programmes</w:t>
      </w:r>
      <w:r>
        <w:t xml:space="preserve">, because </w:t>
      </w:r>
      <w:r w:rsidRPr="00C962E4">
        <w:t>inclusiveness, partnership and democratic participation lie at the heart of the European project</w:t>
      </w:r>
      <w:r>
        <w:t xml:space="preserve"> and </w:t>
      </w:r>
      <w:proofErr w:type="gramStart"/>
      <w:r>
        <w:t>have to</w:t>
      </w:r>
      <w:proofErr w:type="gramEnd"/>
      <w:r>
        <w:t xml:space="preserve"> be defende</w:t>
      </w:r>
      <w:r w:rsidR="009D1D03">
        <w:t>d</w:t>
      </w:r>
      <w:r w:rsidRPr="00C962E4">
        <w:t>.</w:t>
      </w:r>
    </w:p>
    <w:p w14:paraId="4C23CA0C" w14:textId="77777777" w:rsidR="009D1D03" w:rsidRDefault="009D1D03" w:rsidP="00B36A04"/>
    <w:p w14:paraId="399E418B" w14:textId="6360B17F" w:rsidR="009D1D03" w:rsidRDefault="00946731" w:rsidP="00B36A04">
      <w:r w:rsidRPr="007550DF">
        <w:t xml:space="preserve">To this end, </w:t>
      </w:r>
      <w:r w:rsidR="00FB4FF3">
        <w:t xml:space="preserve">throughout the process </w:t>
      </w:r>
      <w:r w:rsidR="0026232D">
        <w:t xml:space="preserve">leading </w:t>
      </w:r>
      <w:r w:rsidR="00FB4FF3">
        <w:t xml:space="preserve">up to an agreement on the next </w:t>
      </w:r>
      <w:r w:rsidR="009D1D03" w:rsidRPr="00686302">
        <w:t xml:space="preserve">MFF, ECO will engage with Commission services, Member States, and stakeholders on </w:t>
      </w:r>
      <w:proofErr w:type="spellStart"/>
      <w:r w:rsidR="009D1D03" w:rsidRPr="00686302">
        <w:t>NRPP</w:t>
      </w:r>
      <w:proofErr w:type="spellEnd"/>
      <w:r w:rsidR="009D1D03" w:rsidRPr="00686302">
        <w:t xml:space="preserve"> design and implementation to ensure that when the new framework launches </w:t>
      </w:r>
      <w:r w:rsidR="0020531D">
        <w:t xml:space="preserve">in </w:t>
      </w:r>
      <w:r w:rsidR="009D1D03" w:rsidRPr="00686302">
        <w:t>January 2028, partnership mechanisms and civil society participation infrastructure are operational rather than aspirational</w:t>
      </w:r>
      <w:r w:rsidR="00FB4FF3">
        <w:t>.</w:t>
      </w:r>
      <w:r w:rsidR="0013339B" w:rsidRPr="0013339B">
        <w:t xml:space="preserve"> </w:t>
      </w:r>
      <w:r w:rsidR="008A288C">
        <w:t>M</w:t>
      </w:r>
      <w:r w:rsidR="0013339B" w:rsidRPr="0013339B">
        <w:t xml:space="preserve">ultilevel governance is also key to </w:t>
      </w:r>
      <w:r w:rsidR="0013339B" w:rsidRPr="0013339B">
        <w:lastRenderedPageBreak/>
        <w:t>ensur</w:t>
      </w:r>
      <w:r w:rsidR="008A288C">
        <w:t>ing</w:t>
      </w:r>
      <w:r w:rsidR="0013339B" w:rsidRPr="0013339B">
        <w:t xml:space="preserve"> that the EU economy is </w:t>
      </w:r>
      <w:r w:rsidR="008A288C">
        <w:t>placed on a pathway to</w:t>
      </w:r>
      <w:r w:rsidR="0013339B" w:rsidRPr="0013339B">
        <w:t xml:space="preserve"> innovation and environmental sustainability with public and private investment, employment creation and </w:t>
      </w:r>
      <w:r w:rsidR="008A288C">
        <w:t xml:space="preserve">good </w:t>
      </w:r>
      <w:r w:rsidR="0013339B" w:rsidRPr="0013339B">
        <w:t xml:space="preserve">quality jobs. </w:t>
      </w:r>
    </w:p>
    <w:p w14:paraId="6FA6F5CF" w14:textId="77777777" w:rsidR="009D1D03" w:rsidRDefault="009D1D03" w:rsidP="00B36A04"/>
    <w:p w14:paraId="769A0837" w14:textId="54798E86" w:rsidR="006253FC" w:rsidRPr="00DC050D" w:rsidRDefault="009C1008" w:rsidP="00B36A04">
      <w:r w:rsidRPr="00686302">
        <w:t xml:space="preserve">The MFF proposal </w:t>
      </w:r>
      <w:r w:rsidR="0020531D">
        <w:t xml:space="preserve">that </w:t>
      </w:r>
      <w:r w:rsidR="00FB4FF3">
        <w:t xml:space="preserve">the Commission </w:t>
      </w:r>
      <w:r w:rsidR="0026232D">
        <w:t xml:space="preserve">has </w:t>
      </w:r>
      <w:r w:rsidR="00FB4FF3">
        <w:t xml:space="preserve">tabled is likely to </w:t>
      </w:r>
      <w:r w:rsidRPr="00686302">
        <w:t xml:space="preserve">evolve substantially during </w:t>
      </w:r>
      <w:r w:rsidR="00FB4FF3">
        <w:t xml:space="preserve">the </w:t>
      </w:r>
      <w:r w:rsidRPr="00686302">
        <w:t xml:space="preserve">negotiations </w:t>
      </w:r>
      <w:r w:rsidR="00FB4FF3">
        <w:t xml:space="preserve">in </w:t>
      </w:r>
      <w:r w:rsidRPr="00686302">
        <w:t>respon</w:t>
      </w:r>
      <w:r w:rsidR="00FB4FF3">
        <w:t>se</w:t>
      </w:r>
      <w:r w:rsidRPr="00686302">
        <w:t xml:space="preserve"> to Parliament</w:t>
      </w:r>
      <w:r w:rsidR="0026232D">
        <w:t>’</w:t>
      </w:r>
      <w:r w:rsidR="00FB4FF3">
        <w:t>s demands</w:t>
      </w:r>
      <w:r w:rsidRPr="00686302">
        <w:t xml:space="preserve">, </w:t>
      </w:r>
      <w:r w:rsidR="00FB4FF3" w:rsidRPr="00686302">
        <w:t xml:space="preserve">positions </w:t>
      </w:r>
      <w:r w:rsidR="00FB4FF3">
        <w:t xml:space="preserve">within the </w:t>
      </w:r>
      <w:r w:rsidRPr="00686302">
        <w:t xml:space="preserve">Council, and stakeholder input. </w:t>
      </w:r>
      <w:r w:rsidR="00FB4FF3">
        <w:t>T</w:t>
      </w:r>
      <w:r w:rsidRPr="00686302">
        <w:t xml:space="preserve">he ECO section will maintain </w:t>
      </w:r>
      <w:r w:rsidRPr="00FF5ACD">
        <w:rPr>
          <w:b/>
          <w:bCs/>
        </w:rPr>
        <w:t>sustained analytical engagement throughout the negotiation period</w:t>
      </w:r>
      <w:r w:rsidRPr="00686302">
        <w:t xml:space="preserve">. This </w:t>
      </w:r>
      <w:r w:rsidR="0026232D">
        <w:t xml:space="preserve">will </w:t>
      </w:r>
      <w:r w:rsidRPr="00686302">
        <w:t xml:space="preserve">enable the Committee to provide timely input when positions are </w:t>
      </w:r>
      <w:r w:rsidR="0026232D">
        <w:t xml:space="preserve">being </w:t>
      </w:r>
      <w:r w:rsidRPr="00686302">
        <w:t>form</w:t>
      </w:r>
      <w:r w:rsidR="0026232D">
        <w:t>ed</w:t>
      </w:r>
      <w:r w:rsidR="00F21B1F">
        <w:t xml:space="preserve"> </w:t>
      </w:r>
      <w:r w:rsidR="00946F6E">
        <w:t xml:space="preserve">on </w:t>
      </w:r>
      <w:proofErr w:type="gramStart"/>
      <w:r w:rsidR="00946F6E">
        <w:t>particular elements</w:t>
      </w:r>
      <w:proofErr w:type="gramEnd"/>
      <w:r w:rsidRPr="00686302">
        <w:t xml:space="preserve">. The ECO </w:t>
      </w:r>
      <w:r w:rsidR="0020531D" w:rsidRPr="00686302">
        <w:t xml:space="preserve">bureau </w:t>
      </w:r>
      <w:r w:rsidRPr="00686302">
        <w:t xml:space="preserve">will determine whether specific negotiation developments require supplementary formal opinions or </w:t>
      </w:r>
      <w:r w:rsidR="0026232D">
        <w:t xml:space="preserve">whether they </w:t>
      </w:r>
      <w:r w:rsidRPr="00686302">
        <w:t xml:space="preserve">can be addressed through analytical briefings, parliamentary </w:t>
      </w:r>
      <w:r w:rsidR="0026232D">
        <w:t>evidence</w:t>
      </w:r>
      <w:r w:rsidRPr="00686302">
        <w:t xml:space="preserve">, and stakeholder engagement that </w:t>
      </w:r>
      <w:r w:rsidR="0026232D">
        <w:t xml:space="preserve">would </w:t>
      </w:r>
      <w:r w:rsidRPr="00686302">
        <w:t>complement the foundational EESC positions adopted in 2026</w:t>
      </w:r>
      <w:r>
        <w:t>.</w:t>
      </w:r>
      <w:r w:rsidR="006253FC">
        <w:t xml:space="preserve"> </w:t>
      </w:r>
    </w:p>
    <w:p w14:paraId="34CEBCFB" w14:textId="77777777" w:rsidR="006253FC" w:rsidRPr="008F6362" w:rsidRDefault="006253FC" w:rsidP="00B36A04">
      <w:pPr>
        <w:rPr>
          <w:rFonts w:eastAsia="PMingLiU"/>
        </w:rPr>
      </w:pPr>
    </w:p>
    <w:p w14:paraId="4100C38D" w14:textId="2692D25E" w:rsidR="00EF2BB7" w:rsidRPr="008F6362" w:rsidRDefault="00182244" w:rsidP="00B36A04">
      <w:pPr>
        <w:pStyle w:val="Heading1"/>
        <w:keepNext/>
        <w:ind w:left="567" w:hanging="567"/>
      </w:pPr>
      <w:r w:rsidRPr="008F6362">
        <w:rPr>
          <w:b/>
        </w:rPr>
        <w:t>Economic and Monetary Union</w:t>
      </w:r>
    </w:p>
    <w:p w14:paraId="555AC147" w14:textId="77777777" w:rsidR="00EF2BB7" w:rsidRPr="008F6362" w:rsidRDefault="00EF2BB7" w:rsidP="00B36A04">
      <w:pPr>
        <w:keepNext/>
        <w:rPr>
          <w:rFonts w:eastAsia="PMingLiU"/>
        </w:rPr>
      </w:pPr>
    </w:p>
    <w:p w14:paraId="730DE5B9" w14:textId="1D9D6FE1" w:rsidR="00E932A6" w:rsidRPr="008F6362" w:rsidRDefault="00A501DA" w:rsidP="00B36A04">
      <w:r w:rsidRPr="008F6362">
        <w:t xml:space="preserve">The challenges </w:t>
      </w:r>
      <w:r w:rsidR="0020531D">
        <w:t xml:space="preserve">that </w:t>
      </w:r>
      <w:r w:rsidRPr="008F6362">
        <w:t xml:space="preserve">the EU </w:t>
      </w:r>
      <w:r w:rsidR="0020531D">
        <w:t xml:space="preserve">has </w:t>
      </w:r>
      <w:r w:rsidRPr="008F6362">
        <w:t xml:space="preserve">faced in the last </w:t>
      </w:r>
      <w:r w:rsidR="004617DF">
        <w:t xml:space="preserve">few </w:t>
      </w:r>
      <w:r w:rsidRPr="008F6362">
        <w:t>years, from recovery from the COVID-19 pandemic</w:t>
      </w:r>
      <w:r w:rsidR="00C25842" w:rsidRPr="008F6362">
        <w:t xml:space="preserve">, </w:t>
      </w:r>
      <w:r w:rsidRPr="008F6362">
        <w:t>the socio-economic fallout from the war in Ukraine</w:t>
      </w:r>
      <w:r w:rsidR="00C25842" w:rsidRPr="008F6362">
        <w:t xml:space="preserve"> to increasing geopolitical tensions</w:t>
      </w:r>
      <w:r w:rsidRPr="008F6362">
        <w:t xml:space="preserve">, has reinforced </w:t>
      </w:r>
      <w:r w:rsidR="004617DF">
        <w:t xml:space="preserve">the understanding </w:t>
      </w:r>
      <w:r w:rsidRPr="008F6362">
        <w:t>that a resilient and sustainable EU economy is a fundamental precondition and a key bas</w:t>
      </w:r>
      <w:r w:rsidR="004617DF">
        <w:t>is</w:t>
      </w:r>
      <w:r w:rsidRPr="008F6362">
        <w:t xml:space="preserve"> for achieving many of the EU</w:t>
      </w:r>
      <w:r w:rsidR="004617DF">
        <w:t>’</w:t>
      </w:r>
      <w:r w:rsidRPr="008F6362">
        <w:t xml:space="preserve">s ambitions: ensuring a just green and digital transition, reducing inequalities in opportunities and outcomes, and ensuring shared prosperity for all people across the EU, to name </w:t>
      </w:r>
      <w:r w:rsidR="004617DF">
        <w:t xml:space="preserve">but </w:t>
      </w:r>
      <w:r w:rsidRPr="008F6362">
        <w:t xml:space="preserve">a few. </w:t>
      </w:r>
      <w:r w:rsidR="00E932A6" w:rsidRPr="008F6362">
        <w:t>The experience of recent year</w:t>
      </w:r>
      <w:r w:rsidR="004B4C69" w:rsidRPr="008F6362">
        <w:t>s</w:t>
      </w:r>
      <w:r w:rsidR="00E932A6" w:rsidRPr="008F6362">
        <w:t xml:space="preserve"> has also shown that new and unexpected challenges can arise quickly, requiring a prompt re-evaluation of macroeconomic policies.</w:t>
      </w:r>
      <w:r w:rsidR="00024628">
        <w:t xml:space="preserve"> </w:t>
      </w:r>
      <w:r w:rsidR="00181A00">
        <w:t>Given the</w:t>
      </w:r>
      <w:r w:rsidR="00024628">
        <w:t xml:space="preserve"> many recent challenges, the EU was </w:t>
      </w:r>
      <w:r w:rsidR="00181A00">
        <w:t>forced</w:t>
      </w:r>
      <w:r w:rsidR="00024628">
        <w:t xml:space="preserve"> to base its response </w:t>
      </w:r>
      <w:r w:rsidR="00181A00">
        <w:t>on</w:t>
      </w:r>
      <w:r w:rsidR="00024628">
        <w:t xml:space="preserve"> emergency frameworks and temporary powers</w:t>
      </w:r>
      <w:r w:rsidR="00324DD4">
        <w:t>, leading to suboptimal decisions</w:t>
      </w:r>
      <w:r w:rsidR="00024628">
        <w:t xml:space="preserve">. </w:t>
      </w:r>
      <w:proofErr w:type="gramStart"/>
      <w:r w:rsidR="00024628">
        <w:t>In order for</w:t>
      </w:r>
      <w:proofErr w:type="gramEnd"/>
      <w:r w:rsidR="00024628">
        <w:t xml:space="preserve"> the EU</w:t>
      </w:r>
      <w:r w:rsidR="00181A00">
        <w:t>'s</w:t>
      </w:r>
      <w:r w:rsidR="00024628">
        <w:t xml:space="preserve"> economic governance to function well, new space must be found to enable the EU institutions to react flexibly and credibly to new challenges and</w:t>
      </w:r>
      <w:r w:rsidR="00F5081F">
        <w:t xml:space="preserve"> </w:t>
      </w:r>
      <w:r w:rsidR="00024628">
        <w:t xml:space="preserve">ongoing </w:t>
      </w:r>
      <w:r w:rsidR="00181A00">
        <w:t>developments</w:t>
      </w:r>
      <w:r w:rsidR="00024628">
        <w:t xml:space="preserve">. </w:t>
      </w:r>
      <w:r w:rsidR="00E932A6" w:rsidRPr="008F6362">
        <w:t>The ECO section will remain vigilant and ready to update and redirect its policy recommendations should the macroeconomic conditions change</w:t>
      </w:r>
      <w:r w:rsidR="002518FD">
        <w:t xml:space="preserve">, thus </w:t>
      </w:r>
      <w:r w:rsidR="00631D14">
        <w:t>helping the</w:t>
      </w:r>
      <w:r w:rsidR="002518FD">
        <w:t xml:space="preserve"> EU to respond flexibly to new challenges</w:t>
      </w:r>
      <w:r w:rsidR="00E915DA">
        <w:t xml:space="preserve"> and stay competitive in the new reality emerging from the current multi-faceted crises</w:t>
      </w:r>
      <w:r w:rsidR="00E932A6" w:rsidRPr="008F6362">
        <w:t xml:space="preserve">. </w:t>
      </w:r>
    </w:p>
    <w:p w14:paraId="5DECEAF0" w14:textId="77777777" w:rsidR="00CD4E49" w:rsidRPr="008F6362" w:rsidRDefault="00CD4E49" w:rsidP="00B36A04"/>
    <w:p w14:paraId="7AE5AA92" w14:textId="177961B1" w:rsidR="00CD4E49" w:rsidRPr="008F6362" w:rsidRDefault="00CD4E49" w:rsidP="00B36A04">
      <w:r w:rsidRPr="008F6362">
        <w:t xml:space="preserve">During the last </w:t>
      </w:r>
      <w:r w:rsidR="00A0129F">
        <w:t>term of office</w:t>
      </w:r>
      <w:r w:rsidRPr="008F6362">
        <w:t xml:space="preserve">, the ECO section spearheaded an EESC-wide discussion on the </w:t>
      </w:r>
      <w:r w:rsidRPr="008F6362">
        <w:rPr>
          <w:b/>
          <w:bCs/>
        </w:rPr>
        <w:t>cost-of-living crisis</w:t>
      </w:r>
      <w:r w:rsidRPr="008F6362">
        <w:t xml:space="preserve">, resulting in the adoption of seven sectoral opinions dedicated to </w:t>
      </w:r>
      <w:r w:rsidR="00D05967" w:rsidRPr="008F6362">
        <w:t>examining the different facets of this policy challenge and</w:t>
      </w:r>
      <w:r w:rsidR="00F43C5D" w:rsidRPr="008F6362">
        <w:t xml:space="preserve"> an umbrella opinion building on the conclusions of these</w:t>
      </w:r>
      <w:r w:rsidR="00D05967" w:rsidRPr="008F6362">
        <w:t xml:space="preserve"> to </w:t>
      </w:r>
      <w:r w:rsidR="00F43C5D" w:rsidRPr="008F6362">
        <w:t>present</w:t>
      </w:r>
      <w:r w:rsidR="00D05967" w:rsidRPr="008F6362">
        <w:t xml:space="preserve"> a comprehensive and wide-ranging list of EESC recommendations to European and national policy-makers, civil society organisations and other stakeholders. </w:t>
      </w:r>
      <w:r w:rsidR="00EC264F" w:rsidRPr="008F6362">
        <w:t xml:space="preserve">Building on the fundamental recommendations put forward in this package and considering the </w:t>
      </w:r>
      <w:r w:rsidR="00F43C5D" w:rsidRPr="008F6362">
        <w:t>continuously fragile state of the global economy</w:t>
      </w:r>
      <w:r w:rsidR="00EC264F" w:rsidRPr="008F6362">
        <w:t xml:space="preserve">, it is crucial </w:t>
      </w:r>
      <w:r w:rsidR="00F43C5D" w:rsidRPr="008F6362">
        <w:t>that the ECO section continue to push for the vital polic</w:t>
      </w:r>
      <w:r w:rsidR="00680C4C">
        <w:t>i</w:t>
      </w:r>
      <w:r w:rsidR="00F43C5D" w:rsidRPr="008F6362">
        <w:t xml:space="preserve">es </w:t>
      </w:r>
      <w:r w:rsidR="00680C4C">
        <w:t xml:space="preserve">needed </w:t>
      </w:r>
      <w:r w:rsidR="00F43C5D" w:rsidRPr="008F6362">
        <w:t xml:space="preserve">to protect vulnerable groups, promote fairness and build long-term economic and social resilience. </w:t>
      </w:r>
    </w:p>
    <w:p w14:paraId="612095F9" w14:textId="77777777" w:rsidR="00A501DA" w:rsidRPr="008F6362" w:rsidRDefault="00A501DA" w:rsidP="00B36A04"/>
    <w:p w14:paraId="28F3338B" w14:textId="361E37C1" w:rsidR="00C25842" w:rsidRPr="008F6362" w:rsidRDefault="00A501DA" w:rsidP="00B36A04">
      <w:r w:rsidRPr="008F6362">
        <w:t xml:space="preserve">The ECO section will continue working towards building a sound economic base for Europe – </w:t>
      </w:r>
      <w:r w:rsidR="00CD4E49" w:rsidRPr="008F6362">
        <w:t>founded</w:t>
      </w:r>
      <w:r w:rsidRPr="008F6362">
        <w:t xml:space="preserve"> on </w:t>
      </w:r>
      <w:r w:rsidRPr="008F6362">
        <w:rPr>
          <w:bCs/>
        </w:rPr>
        <w:t>sustainability, productivity, fairness and macroeconomic stability – a</w:t>
      </w:r>
      <w:r w:rsidRPr="008F6362">
        <w:t xml:space="preserve">llowing the </w:t>
      </w:r>
      <w:r w:rsidR="00680C4C">
        <w:t>EU</w:t>
      </w:r>
      <w:r w:rsidRPr="008F6362">
        <w:t xml:space="preserve"> to underpin its far-reaching ambitions in mastering the green and digital transitions, ensuring Europe</w:t>
      </w:r>
      <w:r w:rsidR="00680C4C">
        <w:t>’</w:t>
      </w:r>
      <w:r w:rsidRPr="008F6362">
        <w:t>s competitiveness and strategic autonomy</w:t>
      </w:r>
      <w:r w:rsidR="00C25842" w:rsidRPr="008F6362">
        <w:t>, and supporting its security</w:t>
      </w:r>
      <w:r w:rsidRPr="008F6362">
        <w:t>.</w:t>
      </w:r>
      <w:r w:rsidR="00C25842" w:rsidRPr="008F6362">
        <w:t xml:space="preserve"> To help shape Europe</w:t>
      </w:r>
      <w:r w:rsidR="00680C4C">
        <w:t>’</w:t>
      </w:r>
      <w:r w:rsidR="00C25842" w:rsidRPr="008F6362">
        <w:t xml:space="preserve">s economic policies, the ECO section will continue issuing two opinions each year on the </w:t>
      </w:r>
      <w:r w:rsidR="00C25842" w:rsidRPr="008F6362">
        <w:rPr>
          <w:b/>
          <w:bCs/>
        </w:rPr>
        <w:t>Recommendation on the euro area economic policy,</w:t>
      </w:r>
      <w:r w:rsidR="00C25842" w:rsidRPr="008F6362">
        <w:t xml:space="preserve"> to provide timely and up-to-date policy input into the process of (macro-)</w:t>
      </w:r>
      <w:r w:rsidR="009913AD">
        <w:t xml:space="preserve"> </w:t>
      </w:r>
      <w:r w:rsidR="00C25842" w:rsidRPr="008F6362">
        <w:t xml:space="preserve">economic policy coordination within the annual European Semester cycle. </w:t>
      </w:r>
    </w:p>
    <w:p w14:paraId="770E6993" w14:textId="77777777" w:rsidR="00C25842" w:rsidRPr="008F6362" w:rsidRDefault="00C25842" w:rsidP="00B36A04"/>
    <w:p w14:paraId="157949A3" w14:textId="1607E157" w:rsidR="00C25842" w:rsidRPr="008F6362" w:rsidRDefault="00C25842" w:rsidP="00B36A04">
      <w:r w:rsidRPr="008F6362">
        <w:lastRenderedPageBreak/>
        <w:t>To ensure the resilience and sustainability of Europe</w:t>
      </w:r>
      <w:r w:rsidR="00680C4C">
        <w:t>’</w:t>
      </w:r>
      <w:r w:rsidRPr="008F6362">
        <w:t xml:space="preserve">s economies, macroeconomic stability and sound public finances cannot be overlooked as they ensure </w:t>
      </w:r>
      <w:r w:rsidR="00680C4C">
        <w:t xml:space="preserve">that </w:t>
      </w:r>
      <w:r w:rsidRPr="008F6362">
        <w:t xml:space="preserve">the Member States and the EU </w:t>
      </w:r>
      <w:r w:rsidR="00680C4C">
        <w:t>are able</w:t>
      </w:r>
      <w:r w:rsidR="00680C4C" w:rsidRPr="008F6362">
        <w:t xml:space="preserve"> </w:t>
      </w:r>
      <w:r w:rsidRPr="008F6362">
        <w:t xml:space="preserve">to make available and allocate efficiently the financial resources needed at EU and at national level to achieve our shared objectives. The </w:t>
      </w:r>
      <w:r w:rsidRPr="008F6362">
        <w:rPr>
          <w:b/>
          <w:bCs/>
        </w:rPr>
        <w:t>revision of the European economic governance framework</w:t>
      </w:r>
      <w:r w:rsidRPr="00AD2F78">
        <w:t xml:space="preserve"> </w:t>
      </w:r>
      <w:r w:rsidRPr="00AA5DEB">
        <w:t>was a</w:t>
      </w:r>
      <w:r w:rsidRPr="00AD2F78">
        <w:t xml:space="preserve"> </w:t>
      </w:r>
      <w:r w:rsidRPr="00AA5DEB">
        <w:t xml:space="preserve">key step in reshaping the rules and procedures for coordinating </w:t>
      </w:r>
      <w:r w:rsidR="00AC3727" w:rsidRPr="00AA5DEB">
        <w:t>M</w:t>
      </w:r>
      <w:r w:rsidRPr="00AA5DEB">
        <w:t xml:space="preserve">ember </w:t>
      </w:r>
      <w:r w:rsidR="00AC3727" w:rsidRPr="00AA5DEB">
        <w:t>S</w:t>
      </w:r>
      <w:r w:rsidRPr="00AA5DEB">
        <w:t>tates</w:t>
      </w:r>
      <w:r w:rsidR="00680C4C" w:rsidRPr="00AA5DEB">
        <w:t>’</w:t>
      </w:r>
      <w:r w:rsidRPr="00AA5DEB">
        <w:t xml:space="preserve"> economic and fiscal policies to ensure stability and growth, but the implementation of these rules </w:t>
      </w:r>
      <w:r w:rsidR="00AC3727" w:rsidRPr="00AA5DEB">
        <w:t>is the key to ensur</w:t>
      </w:r>
      <w:r w:rsidR="00680C4C" w:rsidRPr="00AA5DEB">
        <w:t>ing</w:t>
      </w:r>
      <w:r w:rsidR="00AC3727" w:rsidRPr="00AA5DEB">
        <w:t xml:space="preserve"> that they </w:t>
      </w:r>
      <w:r w:rsidRPr="00AA5DEB">
        <w:t>can achieve their</w:t>
      </w:r>
      <w:r w:rsidR="00AC3727" w:rsidRPr="00AA5DEB">
        <w:t xml:space="preserve"> stated</w:t>
      </w:r>
      <w:r w:rsidRPr="00AA5DEB">
        <w:t xml:space="preserve"> purpose. The EESC </w:t>
      </w:r>
      <w:r w:rsidR="00AC3727" w:rsidRPr="00AA5DEB">
        <w:t xml:space="preserve">called for </w:t>
      </w:r>
      <w:r w:rsidR="00680C4C" w:rsidRPr="00AA5DEB">
        <w:t xml:space="preserve">the </w:t>
      </w:r>
      <w:r w:rsidR="00AC3727" w:rsidRPr="00AA5DEB">
        <w:t>social partners and civil society organisations to be involved at all stages of the new economic governance framework from conception to implementation, and the ECO section stands ready to play its role in monitoring the implementation of the new framework.</w:t>
      </w:r>
    </w:p>
    <w:p w14:paraId="0C1F59F2" w14:textId="77777777" w:rsidR="00D346AA" w:rsidRPr="008F6362" w:rsidRDefault="00D346AA" w:rsidP="00B36A04"/>
    <w:p w14:paraId="53934AF6" w14:textId="782A8AD0" w:rsidR="00D346AA" w:rsidRPr="008F6362" w:rsidRDefault="00D346AA" w:rsidP="00B36A04">
      <w:r w:rsidRPr="008F6362">
        <w:t xml:space="preserve">In recent years, a discussion was started on the introduction of a </w:t>
      </w:r>
      <w:r w:rsidRPr="008F6362">
        <w:rPr>
          <w:b/>
          <w:bCs/>
        </w:rPr>
        <w:t>digital euro</w:t>
      </w:r>
      <w:r w:rsidRPr="008F6362">
        <w:t xml:space="preserve">. The ECO section has been active on this topic since its inception and contributed to the EU-wide debate with two opinions during the previous </w:t>
      </w:r>
      <w:r w:rsidR="007663EE">
        <w:t>term</w:t>
      </w:r>
      <w:r w:rsidRPr="008F6362">
        <w:t xml:space="preserve">. </w:t>
      </w:r>
      <w:r w:rsidR="0002114C" w:rsidRPr="008F6362">
        <w:t>As the preparation phase, which started in November 2023 and was dedicated to laying the foundations for the potential issuance of a digital euro is coming to an end, the ECO section is eager to continue its work and</w:t>
      </w:r>
      <w:r w:rsidR="007663EE">
        <w:t xml:space="preserve"> its</w:t>
      </w:r>
      <w:r w:rsidR="0002114C" w:rsidRPr="008F6362">
        <w:t xml:space="preserve"> close cooperation with the European Central Bank and the European Commission should the decision be made to launch the digital euro. The ECO section will continue to advocate financial and digital inclusiveness, financial stability and making the payment system more efficient and competitive. The involvement of organised civil society is crucial to ensure that due consideration is given to these concerns and to contribute to the public</w:t>
      </w:r>
      <w:r w:rsidR="007663EE">
        <w:t>’</w:t>
      </w:r>
      <w:r w:rsidR="0002114C" w:rsidRPr="008F6362">
        <w:t xml:space="preserve">s understanding of the reason for the introduction </w:t>
      </w:r>
      <w:r w:rsidR="007663EE" w:rsidRPr="008F6362">
        <w:t xml:space="preserve">of the digital euro </w:t>
      </w:r>
      <w:r w:rsidR="0002114C" w:rsidRPr="008F6362">
        <w:t xml:space="preserve">and </w:t>
      </w:r>
      <w:r w:rsidR="007663EE">
        <w:t xml:space="preserve">its </w:t>
      </w:r>
      <w:r w:rsidR="0002114C" w:rsidRPr="008F6362">
        <w:t>different features.</w:t>
      </w:r>
    </w:p>
    <w:p w14:paraId="3608EE8F" w14:textId="5DA23D2D" w:rsidR="00CD4E49" w:rsidRPr="008F6362" w:rsidRDefault="00CD4E49" w:rsidP="00B36A04"/>
    <w:p w14:paraId="0A5B52D7" w14:textId="31C1D4DB" w:rsidR="00540E14" w:rsidRPr="008F6362" w:rsidRDefault="0061593A" w:rsidP="00B36A04">
      <w:pPr>
        <w:pStyle w:val="Heading1"/>
        <w:keepNext/>
        <w:keepLines/>
        <w:ind w:left="567" w:hanging="567"/>
      </w:pPr>
      <w:r w:rsidRPr="008F6362" w:rsidDel="0037286F">
        <w:rPr>
          <w:b/>
        </w:rPr>
        <w:t>The European Semester</w:t>
      </w:r>
      <w:r w:rsidR="00E6386E" w:rsidRPr="008F6362">
        <w:rPr>
          <w:b/>
        </w:rPr>
        <w:t xml:space="preserve"> </w:t>
      </w:r>
    </w:p>
    <w:p w14:paraId="31502969" w14:textId="77777777" w:rsidR="00CC00FF" w:rsidRPr="008F6362" w:rsidRDefault="00CC00FF" w:rsidP="00B36A04">
      <w:pPr>
        <w:keepNext/>
        <w:keepLines/>
      </w:pPr>
    </w:p>
    <w:p w14:paraId="38BB118B" w14:textId="41B22B9B" w:rsidR="007E01F5" w:rsidRPr="008F6362" w:rsidRDefault="007E01F5" w:rsidP="00B36A04">
      <w:pPr>
        <w:overflowPunct w:val="0"/>
        <w:autoSpaceDE w:val="0"/>
        <w:autoSpaceDN w:val="0"/>
        <w:textAlignment w:val="baseline"/>
        <w:rPr>
          <w:strike/>
        </w:rPr>
      </w:pPr>
      <w:r w:rsidRPr="008F6362">
        <w:t xml:space="preserve">The European Semester is part of the </w:t>
      </w:r>
      <w:r w:rsidR="007663EE">
        <w:t>EU’</w:t>
      </w:r>
      <w:r w:rsidRPr="008F6362">
        <w:t xml:space="preserve">s economic governance framework. It </w:t>
      </w:r>
      <w:r w:rsidR="007663EE">
        <w:t>enables</w:t>
      </w:r>
      <w:r w:rsidR="007663EE" w:rsidRPr="008F6362">
        <w:t xml:space="preserve"> </w:t>
      </w:r>
      <w:r w:rsidRPr="008F6362">
        <w:t xml:space="preserve">integrated </w:t>
      </w:r>
      <w:r w:rsidR="007663EE">
        <w:t>oversight</w:t>
      </w:r>
      <w:r w:rsidR="007663EE" w:rsidRPr="008F6362">
        <w:t xml:space="preserve"> </w:t>
      </w:r>
      <w:r w:rsidRPr="008F6362">
        <w:t xml:space="preserve">and coordination of </w:t>
      </w:r>
      <w:r w:rsidR="007663EE">
        <w:t xml:space="preserve">the </w:t>
      </w:r>
      <w:r w:rsidRPr="008F6362">
        <w:t>Member States</w:t>
      </w:r>
      <w:r w:rsidR="007663EE">
        <w:t>’</w:t>
      </w:r>
      <w:r w:rsidRPr="008F6362">
        <w:t xml:space="preserve"> economic, fiscal, employment and social policies across the EU. Increased coordination among </w:t>
      </w:r>
      <w:r w:rsidR="000A3671">
        <w:t xml:space="preserve">the </w:t>
      </w:r>
      <w:r w:rsidRPr="008F6362">
        <w:t xml:space="preserve">Member States has become essential in </w:t>
      </w:r>
      <w:r w:rsidR="000A3671">
        <w:t xml:space="preserve">the </w:t>
      </w:r>
      <w:r w:rsidRPr="008F6362">
        <w:t xml:space="preserve">light of growing economic and social challenges. In response to this, the European Semester has adapted to reflect changes in the policy environment by </w:t>
      </w:r>
      <w:r w:rsidRPr="00567558">
        <w:rPr>
          <w:b/>
          <w:bCs/>
        </w:rPr>
        <w:t>incorporating the European Pillar of Social Rights</w:t>
      </w:r>
      <w:r w:rsidRPr="008F6362">
        <w:t xml:space="preserve"> and </w:t>
      </w:r>
      <w:r w:rsidRPr="00567558">
        <w:rPr>
          <w:b/>
          <w:bCs/>
        </w:rPr>
        <w:t>the European Green Deal</w:t>
      </w:r>
      <w:r w:rsidRPr="008F6362">
        <w:t xml:space="preserve">. Moreover, since the </w:t>
      </w:r>
      <w:r w:rsidR="00F21B1F" w:rsidRPr="008F6362">
        <w:t>COVID</w:t>
      </w:r>
      <w:r w:rsidRPr="008F6362">
        <w:t xml:space="preserve">-19 pandemic, the European Semester has been adapted to take account of the creation of the </w:t>
      </w:r>
      <w:r w:rsidRPr="00567558">
        <w:rPr>
          <w:b/>
          <w:bCs/>
        </w:rPr>
        <w:t>Recovery and Resilience Facility</w:t>
      </w:r>
      <w:r w:rsidRPr="008F6362">
        <w:t xml:space="preserve">. More recently, the European Semester has evolved further in response to the European Commission’s legislative package reforming the EU’s economic governance framework </w:t>
      </w:r>
      <w:proofErr w:type="gramStart"/>
      <w:r w:rsidRPr="008F6362">
        <w:t>in order to</w:t>
      </w:r>
      <w:proofErr w:type="gramEnd"/>
      <w:r w:rsidRPr="008F6362">
        <w:t xml:space="preserve"> strengthen the EU’s competitiveness and better prepare it for future challenges by supporting progress towards a green, digital, inclusive and resilient economy. Consequently, the European Semester has become a robust and well-established instrument for the EU</w:t>
      </w:r>
      <w:r w:rsidR="000A3671">
        <w:t>’</w:t>
      </w:r>
      <w:r w:rsidRPr="008F6362">
        <w:t xml:space="preserve">s economic governance and coordination with </w:t>
      </w:r>
      <w:r w:rsidR="000A3671">
        <w:t xml:space="preserve">the </w:t>
      </w:r>
      <w:r w:rsidRPr="008F6362">
        <w:t>Member States. It is currently undergoing development and therefore requires significant engagement from</w:t>
      </w:r>
      <w:r w:rsidR="000A3671">
        <w:t xml:space="preserve"> the</w:t>
      </w:r>
      <w:r w:rsidRPr="008F6362">
        <w:t xml:space="preserve"> ECO section and its dedicated </w:t>
      </w:r>
      <w:r w:rsidRPr="00567558">
        <w:rPr>
          <w:b/>
          <w:bCs/>
        </w:rPr>
        <w:t>European Semester Group</w:t>
      </w:r>
      <w:r w:rsidRPr="008F6362">
        <w:t xml:space="preserve">. </w:t>
      </w:r>
    </w:p>
    <w:p w14:paraId="7B9CC11B" w14:textId="77777777" w:rsidR="007E01F5" w:rsidRPr="008F6362" w:rsidRDefault="007E01F5" w:rsidP="00B36A04">
      <w:pPr>
        <w:rPr>
          <w14:ligatures w14:val="standardContextual"/>
        </w:rPr>
      </w:pPr>
    </w:p>
    <w:p w14:paraId="1EED3981" w14:textId="580A5A77" w:rsidR="003A196F" w:rsidRDefault="007E01F5" w:rsidP="00B36A04">
      <w:r w:rsidRPr="008F6362">
        <w:t xml:space="preserve">During this </w:t>
      </w:r>
      <w:r w:rsidR="000A3671">
        <w:t>term of office</w:t>
      </w:r>
      <w:r w:rsidRPr="008F6362">
        <w:t>, the outcomes of the Group</w:t>
      </w:r>
      <w:r w:rsidR="000A3671">
        <w:t>’</w:t>
      </w:r>
      <w:r w:rsidRPr="008F6362">
        <w:t xml:space="preserve">s discussions will be reflected in the opinions and reports prepared to feed into the </w:t>
      </w:r>
      <w:r w:rsidRPr="00567558">
        <w:rPr>
          <w:b/>
          <w:bCs/>
        </w:rPr>
        <w:t>European Semester cycle</w:t>
      </w:r>
      <w:r w:rsidRPr="008F6362">
        <w:t>: in particular in opinions related to the European Semester Autumn Package, as well as in the information report and own-initiative opinion, based on a consultation of organised civil society in the Member States. To this end, the ECO section</w:t>
      </w:r>
      <w:r w:rsidR="000A3671">
        <w:t>’</w:t>
      </w:r>
      <w:r w:rsidRPr="008F6362">
        <w:t xml:space="preserve">s European Semester Group intends to continue its important work of collecting, channelling and promoting the policy views of organised civil society, by organising country visits and circulating a questionnaire. </w:t>
      </w:r>
    </w:p>
    <w:p w14:paraId="2CFDD958" w14:textId="77777777" w:rsidR="003A196F" w:rsidRDefault="003A196F" w:rsidP="00B36A04"/>
    <w:p w14:paraId="20CAEBAF" w14:textId="05FEDCC4" w:rsidR="002E615A" w:rsidRDefault="00BD56F6" w:rsidP="00B36A04">
      <w:r>
        <w:t>Moreover, t</w:t>
      </w:r>
      <w:r w:rsidR="002E615A" w:rsidRPr="00686302">
        <w:t>he Group</w:t>
      </w:r>
      <w:r w:rsidR="000A3671">
        <w:t>’</w:t>
      </w:r>
      <w:r w:rsidR="002E615A" w:rsidRPr="00686302">
        <w:t>s systematic engagement with organi</w:t>
      </w:r>
      <w:r>
        <w:t>s</w:t>
      </w:r>
      <w:r w:rsidR="002E615A" w:rsidRPr="00686302">
        <w:t>ed civil society</w:t>
      </w:r>
      <w:r>
        <w:t xml:space="preserve"> in</w:t>
      </w:r>
      <w:r w:rsidR="002E615A" w:rsidRPr="00686302">
        <w:t xml:space="preserve"> all Member States ensures</w:t>
      </w:r>
      <w:r>
        <w:t xml:space="preserve"> </w:t>
      </w:r>
      <w:r w:rsidR="000A3671">
        <w:t xml:space="preserve">that </w:t>
      </w:r>
      <w:r>
        <w:t>the</w:t>
      </w:r>
      <w:r w:rsidR="002E615A" w:rsidRPr="00686302">
        <w:t xml:space="preserve"> </w:t>
      </w:r>
      <w:proofErr w:type="spellStart"/>
      <w:r w:rsidR="002E615A" w:rsidRPr="00686302">
        <w:t>ECO</w:t>
      </w:r>
      <w:r w:rsidR="000A3671">
        <w:t>’</w:t>
      </w:r>
      <w:r w:rsidR="002E615A" w:rsidRPr="00686302">
        <w:t>s</w:t>
      </w:r>
      <w:proofErr w:type="spellEnd"/>
      <w:r w:rsidR="002E615A" w:rsidRPr="00686302">
        <w:t xml:space="preserve"> </w:t>
      </w:r>
      <w:r>
        <w:t xml:space="preserve">position on the </w:t>
      </w:r>
      <w:r w:rsidR="002E615A" w:rsidRPr="00686302">
        <w:t xml:space="preserve">MFF reflects </w:t>
      </w:r>
      <w:r>
        <w:t xml:space="preserve">the </w:t>
      </w:r>
      <w:r w:rsidR="002E615A" w:rsidRPr="00686302">
        <w:t xml:space="preserve">genuine </w:t>
      </w:r>
      <w:r>
        <w:t xml:space="preserve">concerns of </w:t>
      </w:r>
      <w:r w:rsidR="002E615A" w:rsidRPr="00686302">
        <w:t xml:space="preserve">pan-European civil society rather than </w:t>
      </w:r>
      <w:r>
        <w:t xml:space="preserve">solely </w:t>
      </w:r>
      <w:r w:rsidR="002E615A" w:rsidRPr="00686302">
        <w:t>Brussels-</w:t>
      </w:r>
      <w:r w:rsidR="00560638" w:rsidRPr="00686302">
        <w:t>centr</w:t>
      </w:r>
      <w:r>
        <w:t>ic</w:t>
      </w:r>
      <w:r w:rsidR="002E615A" w:rsidRPr="00686302">
        <w:t xml:space="preserve"> perspectives</w:t>
      </w:r>
      <w:r w:rsidR="002E615A">
        <w:t>.</w:t>
      </w:r>
      <w:r w:rsidR="002F24A5">
        <w:t xml:space="preserve"> In addition, a</w:t>
      </w:r>
      <w:r w:rsidR="003A196F" w:rsidRPr="00FF5ACD">
        <w:t>fter the RRF</w:t>
      </w:r>
      <w:r w:rsidR="000A3671">
        <w:t>’</w:t>
      </w:r>
      <w:r w:rsidR="003A196F" w:rsidRPr="00FF5ACD">
        <w:t>s end in 2026</w:t>
      </w:r>
      <w:r w:rsidR="003A196F">
        <w:t xml:space="preserve">, </w:t>
      </w:r>
      <w:r w:rsidR="002E615A">
        <w:t>an evaluation of this instrument</w:t>
      </w:r>
      <w:r w:rsidR="00192E52">
        <w:t xml:space="preserve"> is expected</w:t>
      </w:r>
      <w:r w:rsidR="002E615A">
        <w:t>, which c</w:t>
      </w:r>
      <w:r w:rsidR="002F24A5">
        <w:t>ould</w:t>
      </w:r>
      <w:r w:rsidR="002E615A">
        <w:t xml:space="preserve"> further feed into the final negotiations </w:t>
      </w:r>
      <w:r w:rsidR="002F24A5">
        <w:t>on</w:t>
      </w:r>
      <w:r w:rsidR="002E615A">
        <w:t xml:space="preserve"> the design of the new </w:t>
      </w:r>
      <w:r w:rsidR="000A3671">
        <w:t xml:space="preserve">National and </w:t>
      </w:r>
      <w:r w:rsidR="002E615A">
        <w:t>R</w:t>
      </w:r>
      <w:r w:rsidR="002F24A5">
        <w:t xml:space="preserve">egional </w:t>
      </w:r>
      <w:r w:rsidR="002E615A">
        <w:t>P</w:t>
      </w:r>
      <w:r w:rsidR="002F24A5">
        <w:t xml:space="preserve">artnership </w:t>
      </w:r>
      <w:r w:rsidR="002E615A">
        <w:t>P</w:t>
      </w:r>
      <w:r w:rsidR="002F24A5">
        <w:t>lan</w:t>
      </w:r>
      <w:r w:rsidR="002E615A">
        <w:t>s</w:t>
      </w:r>
      <w:r w:rsidR="005E1749">
        <w:t xml:space="preserve"> and</w:t>
      </w:r>
      <w:r w:rsidR="002E615A">
        <w:t xml:space="preserve"> provide valuable lessons for civil society engagement in the new financial cycle.</w:t>
      </w:r>
    </w:p>
    <w:p w14:paraId="7854D5C0" w14:textId="77777777" w:rsidR="002E615A" w:rsidRDefault="002E615A" w:rsidP="00B36A04"/>
    <w:p w14:paraId="148DC5F0" w14:textId="1D68049A" w:rsidR="00102C7F" w:rsidRDefault="007E01F5" w:rsidP="00B36A04">
      <w:r w:rsidRPr="008F6362">
        <w:t>We will also continue to hold regular Group meetings and one conference per year to discuss key documents and developments within the European Semester cycle.</w:t>
      </w:r>
    </w:p>
    <w:p w14:paraId="2DF82F6E" w14:textId="77777777" w:rsidR="00996695" w:rsidRDefault="00996695" w:rsidP="00B36A04"/>
    <w:p w14:paraId="57008818" w14:textId="209F75F9" w:rsidR="00996CF4" w:rsidRPr="008F6362" w:rsidRDefault="001007A3" w:rsidP="00B36A04">
      <w:pPr>
        <w:pStyle w:val="Heading1"/>
        <w:keepNext/>
        <w:ind w:left="567" w:hanging="567"/>
      </w:pPr>
      <w:r w:rsidRPr="008F6362">
        <w:rPr>
          <w:b/>
        </w:rPr>
        <w:t>European financial markets</w:t>
      </w:r>
    </w:p>
    <w:p w14:paraId="7A2AA26D" w14:textId="77777777" w:rsidR="00E063C2" w:rsidRPr="008F6362" w:rsidRDefault="00E063C2" w:rsidP="00B36A04">
      <w:pPr>
        <w:keepNext/>
      </w:pPr>
    </w:p>
    <w:p w14:paraId="10FB69F4" w14:textId="39E6379C" w:rsidR="002B2975" w:rsidRPr="004A16C7" w:rsidRDefault="002B2975" w:rsidP="00B36A04">
      <w:r w:rsidRPr="004A16C7">
        <w:t xml:space="preserve">The </w:t>
      </w:r>
      <w:r w:rsidRPr="00567558">
        <w:rPr>
          <w:b/>
          <w:bCs/>
        </w:rPr>
        <w:t>funding gap</w:t>
      </w:r>
      <w:r w:rsidRPr="004A16C7">
        <w:t xml:space="preserve"> is the greatest barrier for the ambitious goals of the EU concerning </w:t>
      </w:r>
      <w:r w:rsidR="000A3671">
        <w:t xml:space="preserve">the </w:t>
      </w:r>
      <w:r w:rsidRPr="004A16C7">
        <w:t xml:space="preserve">fair transition, digitalisation, resilience, strategic autonomy, sustainable competitiveness and security and defence. For that reason, it is imperative to mobilise domestic savings towards investment and, particularly, long-term investments. In this context, the ECO section </w:t>
      </w:r>
      <w:r w:rsidR="000A3671">
        <w:t>stresses</w:t>
      </w:r>
      <w:r w:rsidRPr="004A16C7">
        <w:t xml:space="preserve"> the urgent need for further regulatory and supervisory harmonisation, and the removal of the numerous obstacles to cross-border activity, while safeguarding sound regulation and </w:t>
      </w:r>
      <w:r w:rsidR="000A3671">
        <w:t>oversight</w:t>
      </w:r>
      <w:r w:rsidR="00B81D46">
        <w:t>,</w:t>
      </w:r>
      <w:r w:rsidRPr="004A16C7">
        <w:t xml:space="preserve"> </w:t>
      </w:r>
      <w:r w:rsidR="000A3671">
        <w:t>with a</w:t>
      </w:r>
      <w:r w:rsidR="000A3671" w:rsidRPr="004A16C7">
        <w:t xml:space="preserve"> </w:t>
      </w:r>
      <w:r w:rsidRPr="004A16C7">
        <w:t xml:space="preserve">view to preserving </w:t>
      </w:r>
      <w:r w:rsidRPr="00567558">
        <w:rPr>
          <w:b/>
          <w:bCs/>
        </w:rPr>
        <w:t>financial stability</w:t>
      </w:r>
      <w:r w:rsidRPr="004A16C7">
        <w:t xml:space="preserve"> and protecting consumers and investors. This will deliver a sound single market </w:t>
      </w:r>
      <w:r w:rsidR="000A3671">
        <w:t>for</w:t>
      </w:r>
      <w:r w:rsidR="000A3671" w:rsidRPr="004A16C7">
        <w:t xml:space="preserve"> </w:t>
      </w:r>
      <w:r w:rsidRPr="004A16C7">
        <w:t xml:space="preserve">the benefit of businesses and households, giving them more possibilities to save, invest, grow and innovate. </w:t>
      </w:r>
    </w:p>
    <w:p w14:paraId="181C734F" w14:textId="77777777" w:rsidR="002B2975" w:rsidRPr="004A16C7" w:rsidRDefault="002B2975" w:rsidP="00B36A04"/>
    <w:p w14:paraId="168063FC" w14:textId="203D7B4C" w:rsidR="002B2975" w:rsidRPr="004A16C7" w:rsidRDefault="002B2975" w:rsidP="00B36A04">
      <w:r w:rsidRPr="004A16C7">
        <w:t xml:space="preserve">The CMU Action Plans in 2015 and 2020 failed to deliver satisfactory progress. Now, the ECO section will focus its work on its contribution to </w:t>
      </w:r>
      <w:r w:rsidRPr="004A16C7">
        <w:rPr>
          <w:b/>
          <w:bCs/>
        </w:rPr>
        <w:t>shap</w:t>
      </w:r>
      <w:r w:rsidR="000A3671">
        <w:rPr>
          <w:b/>
          <w:bCs/>
        </w:rPr>
        <w:t>ing</w:t>
      </w:r>
      <w:r w:rsidRPr="004A16C7">
        <w:rPr>
          <w:b/>
          <w:bCs/>
        </w:rPr>
        <w:t xml:space="preserve"> a successful Savings and Investments Union (SIU)</w:t>
      </w:r>
      <w:r w:rsidRPr="004A16C7">
        <w:t>. For the SIU to succeed, it should be designed with the clear objectives of offering genuine, tangible benefits for EU citizens and businesses in Europe, and funding the real economy, promoting a fair transition, delivering a fair distribution of costs, returns and risks, and safeguarding financial market</w:t>
      </w:r>
      <w:r w:rsidR="00035872">
        <w:t>s</w:t>
      </w:r>
      <w:r w:rsidRPr="004A16C7">
        <w:t xml:space="preserve"> stability. As part of this effort, the ECO section will also follow</w:t>
      </w:r>
      <w:r w:rsidR="000A3671">
        <w:t xml:space="preserve"> </w:t>
      </w:r>
      <w:r w:rsidRPr="004A16C7">
        <w:t xml:space="preserve">up the </w:t>
      </w:r>
      <w:r w:rsidRPr="004A16C7">
        <w:rPr>
          <w:b/>
          <w:bCs/>
        </w:rPr>
        <w:t>implementation of the</w:t>
      </w:r>
      <w:r w:rsidRPr="004A16C7">
        <w:t xml:space="preserve"> </w:t>
      </w:r>
      <w:r w:rsidRPr="004A16C7">
        <w:rPr>
          <w:b/>
          <w:bCs/>
        </w:rPr>
        <w:t xml:space="preserve">financial literacy </w:t>
      </w:r>
      <w:proofErr w:type="gramStart"/>
      <w:r w:rsidRPr="004A16C7">
        <w:rPr>
          <w:b/>
          <w:bCs/>
        </w:rPr>
        <w:t>strategy</w:t>
      </w:r>
      <w:r w:rsidRPr="004A16C7">
        <w:t>, and</w:t>
      </w:r>
      <w:proofErr w:type="gramEnd"/>
      <w:r w:rsidRPr="004A16C7">
        <w:t xml:space="preserve"> be open to collaborat</w:t>
      </w:r>
      <w:r w:rsidR="000A3671">
        <w:t>ing</w:t>
      </w:r>
      <w:r w:rsidRPr="004A16C7">
        <w:t xml:space="preserve"> with </w:t>
      </w:r>
      <w:r w:rsidR="00035872">
        <w:t>the European Commission</w:t>
      </w:r>
      <w:r w:rsidRPr="004A16C7">
        <w:t xml:space="preserve"> and other stakeholders. The ECO section will liaise with the INT section </w:t>
      </w:r>
      <w:proofErr w:type="gramStart"/>
      <w:r w:rsidRPr="004A16C7">
        <w:t>in order to</w:t>
      </w:r>
      <w:proofErr w:type="gramEnd"/>
      <w:r w:rsidRPr="004A16C7">
        <w:t xml:space="preserve"> </w:t>
      </w:r>
      <w:r w:rsidR="000A3671">
        <w:t>work together</w:t>
      </w:r>
      <w:r w:rsidR="000A3671" w:rsidRPr="004A16C7">
        <w:t xml:space="preserve"> </w:t>
      </w:r>
      <w:r w:rsidRPr="004A16C7">
        <w:t>on retail investment and financial services.</w:t>
      </w:r>
    </w:p>
    <w:p w14:paraId="56887C8F" w14:textId="77777777" w:rsidR="002B2975" w:rsidRPr="004A16C7" w:rsidRDefault="002B2975" w:rsidP="00B36A04"/>
    <w:p w14:paraId="4D1F54C3" w14:textId="77777777" w:rsidR="002B2975" w:rsidRPr="004A16C7" w:rsidRDefault="002B2975" w:rsidP="00B36A04">
      <w:r w:rsidRPr="004A16C7">
        <w:t>In more detail, the work of the ECO section towards a SIU will include the following actions:</w:t>
      </w:r>
    </w:p>
    <w:p w14:paraId="46039C60" w14:textId="77777777" w:rsidR="002B2975" w:rsidRPr="004A16C7" w:rsidRDefault="002B2975" w:rsidP="00B36A04"/>
    <w:p w14:paraId="1392D90F" w14:textId="22005530" w:rsidR="002B2975" w:rsidRDefault="002B2975" w:rsidP="00B36A04">
      <w:r w:rsidRPr="004A16C7">
        <w:t xml:space="preserve">On capital markets, </w:t>
      </w:r>
      <w:r w:rsidR="00035872">
        <w:t xml:space="preserve">we will work on the upcoming </w:t>
      </w:r>
      <w:r w:rsidRPr="00F21B1F">
        <w:rPr>
          <w:b/>
          <w:bCs/>
        </w:rPr>
        <w:t>supplementary</w:t>
      </w:r>
      <w:r w:rsidRPr="004A16C7">
        <w:rPr>
          <w:b/>
          <w:bCs/>
        </w:rPr>
        <w:t xml:space="preserve"> pensions package</w:t>
      </w:r>
      <w:r w:rsidRPr="004A16C7">
        <w:t xml:space="preserve">, that </w:t>
      </w:r>
      <w:r w:rsidR="00035872">
        <w:t>is expected to</w:t>
      </w:r>
      <w:r w:rsidRPr="004A16C7">
        <w:t xml:space="preserve"> cover the review of the Pan-European Pension Product (</w:t>
      </w:r>
      <w:r w:rsidRPr="004A16C7">
        <w:rPr>
          <w:b/>
          <w:bCs/>
        </w:rPr>
        <w:t>PEPP</w:t>
      </w:r>
      <w:r w:rsidRPr="004A16C7">
        <w:t>) and the Institutions for Occupational Retirement Provisions (</w:t>
      </w:r>
      <w:proofErr w:type="spellStart"/>
      <w:r w:rsidRPr="004A16C7">
        <w:rPr>
          <w:b/>
          <w:bCs/>
        </w:rPr>
        <w:t>IOPR</w:t>
      </w:r>
      <w:proofErr w:type="spellEnd"/>
      <w:r w:rsidRPr="004A16C7">
        <w:t>)</w:t>
      </w:r>
      <w:r w:rsidR="00035872">
        <w:t xml:space="preserve"> Directive</w:t>
      </w:r>
      <w:r w:rsidRPr="004A16C7">
        <w:t xml:space="preserve">, the review of the </w:t>
      </w:r>
      <w:r w:rsidRPr="004A16C7">
        <w:rPr>
          <w:b/>
          <w:bCs/>
        </w:rPr>
        <w:t>Sustainable Finance Disclosure Regulation</w:t>
      </w:r>
      <w:r w:rsidR="003600C0">
        <w:rPr>
          <w:b/>
          <w:bCs/>
        </w:rPr>
        <w:t xml:space="preserve"> (SFDR)</w:t>
      </w:r>
      <w:r w:rsidRPr="004A16C7">
        <w:t xml:space="preserve">, and further initiatives on </w:t>
      </w:r>
      <w:r w:rsidRPr="004A16C7">
        <w:rPr>
          <w:b/>
          <w:bCs/>
        </w:rPr>
        <w:t>capital markets infrastructure</w:t>
      </w:r>
      <w:r w:rsidR="003600C0">
        <w:rPr>
          <w:b/>
          <w:bCs/>
        </w:rPr>
        <w:t>,</w:t>
      </w:r>
      <w:r w:rsidRPr="004A16C7">
        <w:t xml:space="preserve"> </w:t>
      </w:r>
      <w:r w:rsidRPr="004A16C7">
        <w:rPr>
          <w:b/>
          <w:bCs/>
        </w:rPr>
        <w:t>supervisory harmonisation</w:t>
      </w:r>
      <w:r w:rsidRPr="004A16C7">
        <w:t>, the review of the European Venture Capital Funds Regulation (</w:t>
      </w:r>
      <w:proofErr w:type="spellStart"/>
      <w:r w:rsidRPr="004A16C7">
        <w:rPr>
          <w:b/>
          <w:bCs/>
        </w:rPr>
        <w:t>EuVECA</w:t>
      </w:r>
      <w:proofErr w:type="spellEnd"/>
      <w:r w:rsidRPr="004A16C7">
        <w:t xml:space="preserve">) and </w:t>
      </w:r>
      <w:r w:rsidR="00644E8E">
        <w:t xml:space="preserve">the review </w:t>
      </w:r>
      <w:r w:rsidRPr="004A16C7">
        <w:t xml:space="preserve">of the </w:t>
      </w:r>
      <w:r w:rsidRPr="004A16C7">
        <w:rPr>
          <w:b/>
          <w:bCs/>
        </w:rPr>
        <w:t>Shareholders Directive</w:t>
      </w:r>
      <w:r w:rsidRPr="004A16C7">
        <w:t xml:space="preserve">. The ECO section will also pay attention to any development </w:t>
      </w:r>
      <w:r w:rsidR="00644E8E">
        <w:t>related to</w:t>
      </w:r>
      <w:r w:rsidRPr="004A16C7">
        <w:t xml:space="preserve"> </w:t>
      </w:r>
      <w:r w:rsidR="00644E8E">
        <w:t>a future creation</w:t>
      </w:r>
      <w:r w:rsidRPr="004A16C7">
        <w:t xml:space="preserve"> of a </w:t>
      </w:r>
      <w:r w:rsidRPr="004A16C7">
        <w:rPr>
          <w:b/>
          <w:bCs/>
        </w:rPr>
        <w:t>28</w:t>
      </w:r>
      <w:r w:rsidR="00A0129F">
        <w:rPr>
          <w:b/>
          <w:bCs/>
        </w:rPr>
        <w:t>th</w:t>
      </w:r>
      <w:r w:rsidRPr="004A16C7">
        <w:rPr>
          <w:b/>
          <w:bCs/>
        </w:rPr>
        <w:t xml:space="preserve"> regime</w:t>
      </w:r>
      <w:r w:rsidRPr="004A16C7">
        <w:t xml:space="preserve"> affecting the financial sector.</w:t>
      </w:r>
    </w:p>
    <w:p w14:paraId="1D89B76A" w14:textId="77777777" w:rsidR="003600C0" w:rsidRDefault="003600C0" w:rsidP="00B36A04"/>
    <w:p w14:paraId="1A69D426" w14:textId="396D8A23" w:rsidR="003600C0" w:rsidRPr="004A16C7" w:rsidRDefault="003600C0" w:rsidP="00B36A04">
      <w:r>
        <w:t>In this context</w:t>
      </w:r>
      <w:r w:rsidR="00B81D46">
        <w:t>,</w:t>
      </w:r>
      <w:r>
        <w:t xml:space="preserve"> sustainable finance will continue to be an important </w:t>
      </w:r>
      <w:r w:rsidR="00B81D46">
        <w:t xml:space="preserve">topic </w:t>
      </w:r>
      <w:r>
        <w:t xml:space="preserve">for the EESC, </w:t>
      </w:r>
      <w:proofErr w:type="gramStart"/>
      <w:r w:rsidR="00B81D46">
        <w:t>and,</w:t>
      </w:r>
      <w:proofErr w:type="gramEnd"/>
      <w:r w:rsidR="00B81D46">
        <w:t xml:space="preserve"> particularly the review of the SFDR will be an occasion to </w:t>
      </w:r>
      <w:r>
        <w:t>follow</w:t>
      </w:r>
      <w:r w:rsidR="000A3671">
        <w:t xml:space="preserve"> </w:t>
      </w:r>
      <w:r>
        <w:t xml:space="preserve">up </w:t>
      </w:r>
      <w:r w:rsidR="00B81D46">
        <w:t xml:space="preserve">on </w:t>
      </w:r>
      <w:r>
        <w:t>the policy proposals on the future of the sustainable finance framework</w:t>
      </w:r>
      <w:r w:rsidR="00B81D46">
        <w:t xml:space="preserve"> that</w:t>
      </w:r>
      <w:r>
        <w:t xml:space="preserve"> the EESC </w:t>
      </w:r>
      <w:r w:rsidR="00B81D46">
        <w:t xml:space="preserve">agreed on </w:t>
      </w:r>
      <w:r>
        <w:t>at the request of the Danish presidency of the Council.</w:t>
      </w:r>
    </w:p>
    <w:p w14:paraId="039DC12F" w14:textId="77777777" w:rsidR="002B2975" w:rsidRPr="004A16C7" w:rsidRDefault="002B2975" w:rsidP="00B36A04"/>
    <w:p w14:paraId="7488CCEE" w14:textId="501E9959" w:rsidR="00CA45AA" w:rsidRPr="008F6362" w:rsidRDefault="002B2975" w:rsidP="00B36A04">
      <w:r w:rsidRPr="004A16C7">
        <w:t xml:space="preserve">Concerning the </w:t>
      </w:r>
      <w:r w:rsidRPr="004A16C7">
        <w:rPr>
          <w:b/>
          <w:bCs/>
        </w:rPr>
        <w:t>Banking Union</w:t>
      </w:r>
      <w:r w:rsidRPr="004A16C7">
        <w:t xml:space="preserve">, the ECO section will continue to </w:t>
      </w:r>
      <w:r w:rsidRPr="004A16C7">
        <w:rPr>
          <w:b/>
          <w:bCs/>
        </w:rPr>
        <w:t>monitor</w:t>
      </w:r>
      <w:r w:rsidRPr="004A16C7">
        <w:t xml:space="preserve"> the activity of the co-legislators on the creation of a European Deposit and Insurance Scheme (</w:t>
      </w:r>
      <w:r w:rsidRPr="004A16C7">
        <w:rPr>
          <w:b/>
          <w:bCs/>
        </w:rPr>
        <w:t>EDIS</w:t>
      </w:r>
      <w:r w:rsidRPr="004A16C7">
        <w:t xml:space="preserve">), as well as the final agreement on the </w:t>
      </w:r>
      <w:r w:rsidRPr="00644E8E">
        <w:rPr>
          <w:b/>
          <w:bCs/>
        </w:rPr>
        <w:t>bank crisis</w:t>
      </w:r>
      <w:r w:rsidRPr="004A16C7">
        <w:t xml:space="preserve"> </w:t>
      </w:r>
      <w:r w:rsidRPr="004A16C7">
        <w:rPr>
          <w:b/>
          <w:bCs/>
        </w:rPr>
        <w:t>management and deposit insurance framework</w:t>
      </w:r>
      <w:r w:rsidRPr="004A16C7">
        <w:t xml:space="preserve">. The ECO section will also be attentive to the report </w:t>
      </w:r>
      <w:r w:rsidR="00CA2985" w:rsidRPr="00CA2985">
        <w:t xml:space="preserve">on </w:t>
      </w:r>
      <w:r w:rsidR="00CA2985">
        <w:t xml:space="preserve">the </w:t>
      </w:r>
      <w:r w:rsidR="00CA2985" w:rsidRPr="00CA2985">
        <w:t>banking system</w:t>
      </w:r>
      <w:r w:rsidR="00CA2985">
        <w:t xml:space="preserve"> and</w:t>
      </w:r>
      <w:r w:rsidR="00CA2985" w:rsidRPr="00CA2985">
        <w:t xml:space="preserve"> the evaluation of </w:t>
      </w:r>
      <w:r w:rsidR="00CA2985">
        <w:t xml:space="preserve">its </w:t>
      </w:r>
      <w:r w:rsidR="00CA2985" w:rsidRPr="00CA2985">
        <w:t>competitiveness</w:t>
      </w:r>
      <w:r w:rsidRPr="004A16C7">
        <w:t>,</w:t>
      </w:r>
      <w:r w:rsidR="00644E8E">
        <w:t xml:space="preserve"> including</w:t>
      </w:r>
      <w:r w:rsidRPr="004A16C7">
        <w:t xml:space="preserve"> its conclusions,</w:t>
      </w:r>
      <w:r w:rsidR="00644E8E">
        <w:t xml:space="preserve"> </w:t>
      </w:r>
      <w:r w:rsidR="008B4AA6">
        <w:t>possible</w:t>
      </w:r>
      <w:r w:rsidR="00F23572">
        <w:t xml:space="preserve"> policy</w:t>
      </w:r>
      <w:r w:rsidR="00644E8E">
        <w:t xml:space="preserve"> recommendations,</w:t>
      </w:r>
      <w:r w:rsidRPr="004A16C7">
        <w:t xml:space="preserve"> and follow-up actions.</w:t>
      </w:r>
    </w:p>
    <w:p w14:paraId="1685ABDF" w14:textId="3600F7DB" w:rsidR="00EF7124" w:rsidRDefault="00EF7124" w:rsidP="00B36A04">
      <w:pPr>
        <w:pStyle w:val="ListParagraph"/>
        <w:ind w:left="0"/>
        <w:rPr>
          <w:lang w:val="en-GB"/>
        </w:rPr>
      </w:pPr>
    </w:p>
    <w:p w14:paraId="6DE251BC" w14:textId="77F4E85F" w:rsidR="00350BB6" w:rsidRDefault="00A3706F" w:rsidP="00B36A04">
      <w:pPr>
        <w:pStyle w:val="ListParagraph"/>
        <w:ind w:left="0"/>
      </w:pPr>
      <w:r w:rsidRPr="00686302">
        <w:t xml:space="preserve">Throughout this work, the ECO section will </w:t>
      </w:r>
      <w:r w:rsidR="00240E68">
        <w:t>look at</w:t>
      </w:r>
      <w:r w:rsidR="00240E68" w:rsidRPr="00686302">
        <w:t xml:space="preserve"> </w:t>
      </w:r>
      <w:r w:rsidRPr="00686302">
        <w:t xml:space="preserve">financial market reforms not only through </w:t>
      </w:r>
      <w:r w:rsidRPr="00FF5ACD">
        <w:rPr>
          <w:b/>
          <w:bCs/>
        </w:rPr>
        <w:t>efficiency and stability</w:t>
      </w:r>
      <w:r w:rsidRPr="00686302">
        <w:t xml:space="preserve"> lenses but also through </w:t>
      </w:r>
      <w:r w:rsidRPr="00FF5ACD">
        <w:rPr>
          <w:b/>
          <w:bCs/>
        </w:rPr>
        <w:t>democratic</w:t>
      </w:r>
      <w:r w:rsidRPr="00686302">
        <w:t xml:space="preserve"> </w:t>
      </w:r>
      <w:r w:rsidRPr="00FF5ACD">
        <w:rPr>
          <w:b/>
          <w:bCs/>
        </w:rPr>
        <w:t>legitimacy</w:t>
      </w:r>
      <w:r w:rsidRPr="00686302">
        <w:t xml:space="preserve"> considerations. For Savings and Investments Union initiatives to </w:t>
      </w:r>
      <w:r w:rsidRPr="00FF5ACD">
        <w:rPr>
          <w:b/>
          <w:bCs/>
        </w:rPr>
        <w:t xml:space="preserve">strengthen </w:t>
      </w:r>
      <w:r w:rsidRPr="002554BD">
        <w:t>rather than undermine</w:t>
      </w:r>
      <w:r w:rsidRPr="00FF5ACD">
        <w:rPr>
          <w:b/>
          <w:bCs/>
        </w:rPr>
        <w:t xml:space="preserve"> public confidence</w:t>
      </w:r>
      <w:r w:rsidRPr="00686302">
        <w:t xml:space="preserve"> in </w:t>
      </w:r>
      <w:r w:rsidR="003478D6">
        <w:t>the Single Market and the idea of truly integrated European financial markets</w:t>
      </w:r>
      <w:r w:rsidRPr="00686302">
        <w:t xml:space="preserve">, they must </w:t>
      </w:r>
      <w:r w:rsidRPr="00FF5ACD">
        <w:rPr>
          <w:b/>
          <w:bCs/>
        </w:rPr>
        <w:t>demonstrably benefit</w:t>
      </w:r>
      <w:r w:rsidRPr="00686302">
        <w:t xml:space="preserve"> ordinary </w:t>
      </w:r>
      <w:r w:rsidRPr="00FF5ACD">
        <w:rPr>
          <w:b/>
          <w:bCs/>
        </w:rPr>
        <w:t>citizens</w:t>
      </w:r>
      <w:r w:rsidRPr="00686302">
        <w:t xml:space="preserve"> and </w:t>
      </w:r>
      <w:r w:rsidRPr="00FF5ACD">
        <w:rPr>
          <w:b/>
          <w:bCs/>
        </w:rPr>
        <w:t>SMEs</w:t>
      </w:r>
      <w:r w:rsidRPr="00686302">
        <w:t xml:space="preserve"> alongside </w:t>
      </w:r>
      <w:r w:rsidRPr="00FF5ACD">
        <w:rPr>
          <w:b/>
          <w:bCs/>
        </w:rPr>
        <w:t>institutional investors</w:t>
      </w:r>
      <w:r w:rsidRPr="00686302">
        <w:t xml:space="preserve"> and large </w:t>
      </w:r>
      <w:r w:rsidRPr="00FF5ACD">
        <w:rPr>
          <w:b/>
          <w:bCs/>
        </w:rPr>
        <w:t>corporations</w:t>
      </w:r>
      <w:r w:rsidRPr="00686302">
        <w:t xml:space="preserve">. This means </w:t>
      </w:r>
      <w:proofErr w:type="spellStart"/>
      <w:r w:rsidRPr="002554BD">
        <w:t>prioriti</w:t>
      </w:r>
      <w:r w:rsidR="000A3671">
        <w:t>s</w:t>
      </w:r>
      <w:r w:rsidRPr="002554BD">
        <w:t>ing</w:t>
      </w:r>
      <w:proofErr w:type="spellEnd"/>
      <w:r w:rsidRPr="00686302">
        <w:t xml:space="preserve"> retail investor protection, financial literacy, pension adequacy, and SME access to capital </w:t>
      </w:r>
      <w:r w:rsidR="000A3671">
        <w:t>–</w:t>
      </w:r>
      <w:r w:rsidRPr="00686302">
        <w:t xml:space="preserve"> ensuring that </w:t>
      </w:r>
      <w:r w:rsidR="000A3671">
        <w:t xml:space="preserve">the </w:t>
      </w:r>
      <w:r w:rsidR="000A3671" w:rsidRPr="00686302">
        <w:t xml:space="preserve">Capital Markets Union </w:t>
      </w:r>
      <w:r w:rsidRPr="00686302">
        <w:t>contributes to broadly shared prosperity rather than reinforcing perception that EU financial policy serves narrow elites. Civil society</w:t>
      </w:r>
      <w:r w:rsidR="000A3671">
        <w:t>’</w:t>
      </w:r>
      <w:r w:rsidRPr="00686302">
        <w:t xml:space="preserve">s role in monitoring and </w:t>
      </w:r>
      <w:r w:rsidR="00240E68" w:rsidRPr="00FF5ACD">
        <w:rPr>
          <w:lang w:val="en-GB"/>
        </w:rPr>
        <w:t>scrutini</w:t>
      </w:r>
      <w:r w:rsidR="00240E68">
        <w:rPr>
          <w:lang w:val="en-GB"/>
        </w:rPr>
        <w:t>s</w:t>
      </w:r>
      <w:r w:rsidR="00240E68" w:rsidRPr="00FF5ACD">
        <w:rPr>
          <w:lang w:val="en-GB"/>
        </w:rPr>
        <w:t>ing</w:t>
      </w:r>
      <w:r w:rsidR="00240E68" w:rsidRPr="00686302">
        <w:t xml:space="preserve"> </w:t>
      </w:r>
      <w:r w:rsidRPr="00686302">
        <w:t>SIU implementation is therefore essential for both technical effectiveness and democratic legitimacy.</w:t>
      </w:r>
      <w:r w:rsidR="00D178A9">
        <w:t xml:space="preserve"> </w:t>
      </w:r>
      <w:r w:rsidR="009C3DF1" w:rsidRPr="009C3DF1">
        <w:t>In this context, the ECO section will be attentive to the allocation of financial and non-financial assets in the EU. If considered necessary, the Section could explore discussing this topic and the access of different groups of citizens to capital</w:t>
      </w:r>
      <w:r w:rsidR="006B59E6">
        <w:t>.</w:t>
      </w:r>
    </w:p>
    <w:p w14:paraId="561FB5BE" w14:textId="77777777" w:rsidR="00B36A04" w:rsidRPr="00AC3CFD" w:rsidRDefault="00B36A04" w:rsidP="00B36A04">
      <w:pPr>
        <w:pStyle w:val="ListParagraph"/>
        <w:ind w:left="0"/>
        <w:rPr>
          <w:lang w:val="en-GB"/>
        </w:rPr>
      </w:pPr>
    </w:p>
    <w:p w14:paraId="02ED0A30" w14:textId="6CB4C479" w:rsidR="00996CF4" w:rsidRPr="008F6362" w:rsidRDefault="00ED7587" w:rsidP="00B36A04">
      <w:pPr>
        <w:pStyle w:val="Heading1"/>
        <w:keepNext/>
        <w:ind w:left="567" w:hanging="567"/>
      </w:pPr>
      <w:r w:rsidRPr="008F6362">
        <w:rPr>
          <w:b/>
        </w:rPr>
        <w:t xml:space="preserve">Cohesion and urban policy </w:t>
      </w:r>
    </w:p>
    <w:p w14:paraId="5AAC795A" w14:textId="493A6156" w:rsidR="00DA01BE" w:rsidRPr="008F6362" w:rsidRDefault="00DA01BE" w:rsidP="00B36A04">
      <w:pPr>
        <w:keepNext/>
      </w:pPr>
    </w:p>
    <w:p w14:paraId="5B346AF5" w14:textId="787B70E7" w:rsidR="00236D77" w:rsidRPr="00FF5ACD" w:rsidRDefault="008B0EB1" w:rsidP="00743EE2">
      <w:pPr>
        <w:pStyle w:val="CommentText"/>
        <w:spacing w:line="288" w:lineRule="auto"/>
        <w:rPr>
          <w:sz w:val="22"/>
          <w:szCs w:val="22"/>
        </w:rPr>
      </w:pPr>
      <w:r w:rsidRPr="00FF5ACD">
        <w:rPr>
          <w:sz w:val="22"/>
          <w:szCs w:val="22"/>
        </w:rPr>
        <w:t>Cohesion policy remains one of the fundamental pillars for bringing the EU closer to its citizens and for reducing disparities among EU regions and inequalities among people. Cohesion policy must continue to play a key role in ensuring a balanced recovery from the continuous and unprecedented shocks, fostering convergence and making sure no person or region is left behind.</w:t>
      </w:r>
      <w:r w:rsidR="00236D77" w:rsidRPr="00FF5ACD">
        <w:rPr>
          <w:sz w:val="22"/>
          <w:szCs w:val="22"/>
        </w:rPr>
        <w:t xml:space="preserve"> The EESC will continue to explore ways </w:t>
      </w:r>
      <w:r w:rsidR="00F46710" w:rsidRPr="00FF5ACD">
        <w:rPr>
          <w:sz w:val="22"/>
          <w:szCs w:val="22"/>
        </w:rPr>
        <w:t>for</w:t>
      </w:r>
      <w:r w:rsidR="00236D77" w:rsidRPr="00FF5ACD">
        <w:rPr>
          <w:sz w:val="22"/>
          <w:szCs w:val="22"/>
        </w:rPr>
        <w:t xml:space="preserve"> cohesion policy to deliver </w:t>
      </w:r>
      <w:r w:rsidR="00F46710" w:rsidRPr="00FF5ACD">
        <w:rPr>
          <w:sz w:val="22"/>
          <w:szCs w:val="22"/>
        </w:rPr>
        <w:t>on</w:t>
      </w:r>
      <w:r w:rsidR="00236D77" w:rsidRPr="00FF5ACD">
        <w:rPr>
          <w:sz w:val="22"/>
          <w:szCs w:val="22"/>
        </w:rPr>
        <w:t xml:space="preserve"> emerging topics of interest for citizens, such as affordable housing.</w:t>
      </w:r>
    </w:p>
    <w:p w14:paraId="1879FD3B" w14:textId="04F83085" w:rsidR="008B0EB1" w:rsidRPr="00F46710" w:rsidRDefault="008B0EB1" w:rsidP="00B36A04"/>
    <w:p w14:paraId="2E85A3CB" w14:textId="3385E9EF" w:rsidR="00236D77" w:rsidRPr="00743EE2" w:rsidRDefault="008B0EB1" w:rsidP="00743EE2">
      <w:r w:rsidRPr="008F6362">
        <w:t xml:space="preserve">The ECO section will look </w:t>
      </w:r>
      <w:r w:rsidRPr="00567558">
        <w:t>closely at how</w:t>
      </w:r>
      <w:r w:rsidRPr="008F6362">
        <w:rPr>
          <w:b/>
          <w:bCs/>
        </w:rPr>
        <w:t xml:space="preserve"> cohesion policy </w:t>
      </w:r>
      <w:r w:rsidRPr="00567558">
        <w:t>in the context of the</w:t>
      </w:r>
      <w:r w:rsidRPr="008F6362">
        <w:rPr>
          <w:b/>
          <w:bCs/>
        </w:rPr>
        <w:t xml:space="preserve"> National and Regional Partnership Plans</w:t>
      </w:r>
      <w:r w:rsidRPr="008F6362">
        <w:t xml:space="preserve"> addresses the widening of regional disparities and helps to tackle social and economic issues. Cohesion policy has shown, and will continue to demonstrate, its added value by bringing together EU Member States, regions and cities to protect the people, reduce social </w:t>
      </w:r>
      <w:r w:rsidR="000A3671">
        <w:t>–</w:t>
      </w:r>
      <w:r w:rsidR="000A3671" w:rsidRPr="008F6362">
        <w:t xml:space="preserve"> </w:t>
      </w:r>
      <w:r w:rsidRPr="008F6362">
        <w:t xml:space="preserve">including income and demographic </w:t>
      </w:r>
      <w:r w:rsidR="000A3671">
        <w:t>–</w:t>
      </w:r>
      <w:r w:rsidRPr="008F6362">
        <w:t xml:space="preserve"> disparities, save jobs and preserve local economies. The ECO </w:t>
      </w:r>
      <w:r w:rsidR="000A3671" w:rsidRPr="008F6362">
        <w:t xml:space="preserve">section </w:t>
      </w:r>
      <w:r w:rsidRPr="008F6362">
        <w:t xml:space="preserve">will try to </w:t>
      </w:r>
      <w:r w:rsidR="000A3671">
        <w:t>ensure</w:t>
      </w:r>
      <w:r w:rsidR="000A3671" w:rsidRPr="008F6362">
        <w:t xml:space="preserve"> </w:t>
      </w:r>
      <w:r w:rsidRPr="008F6362">
        <w:t xml:space="preserve">that the </w:t>
      </w:r>
      <w:proofErr w:type="spellStart"/>
      <w:r w:rsidRPr="008F6362">
        <w:t>NRPPs</w:t>
      </w:r>
      <w:proofErr w:type="spellEnd"/>
      <w:r w:rsidRPr="008F6362">
        <w:t xml:space="preserve"> respect the overarching principles of partnership, shared management and </w:t>
      </w:r>
      <w:r w:rsidR="000A3671">
        <w:t xml:space="preserve">a </w:t>
      </w:r>
      <w:r w:rsidRPr="008F6362">
        <w:t>people</w:t>
      </w:r>
      <w:r w:rsidR="000A3671">
        <w:t>-</w:t>
      </w:r>
      <w:r w:rsidRPr="008F6362">
        <w:t xml:space="preserve"> and place-based approach. Furthermore, it will </w:t>
      </w:r>
      <w:r w:rsidR="000A3671">
        <w:t>ensure</w:t>
      </w:r>
      <w:r w:rsidR="000A3671" w:rsidRPr="008F6362">
        <w:t xml:space="preserve"> </w:t>
      </w:r>
      <w:r w:rsidRPr="008F6362">
        <w:t>that civil society continue</w:t>
      </w:r>
      <w:r w:rsidR="000A3671">
        <w:t>s</w:t>
      </w:r>
      <w:r w:rsidRPr="008F6362">
        <w:t xml:space="preserve"> to be a key player in the design and implementation of the cohesion funds under the </w:t>
      </w:r>
      <w:proofErr w:type="spellStart"/>
      <w:r w:rsidRPr="008F6362">
        <w:t>NRPPs</w:t>
      </w:r>
      <w:proofErr w:type="spellEnd"/>
      <w:r w:rsidRPr="008F6362">
        <w:t>.</w:t>
      </w:r>
      <w:r w:rsidR="00743EE2">
        <w:t xml:space="preserve"> </w:t>
      </w:r>
      <w:r w:rsidR="00236D77" w:rsidRPr="00743EE2">
        <w:t xml:space="preserve">In this context, </w:t>
      </w:r>
      <w:r w:rsidR="00F46710" w:rsidRPr="00743EE2">
        <w:t xml:space="preserve">in opinions prepared by </w:t>
      </w:r>
      <w:r w:rsidR="00236D77" w:rsidRPr="00743EE2">
        <w:t>the ECO section</w:t>
      </w:r>
      <w:r w:rsidR="000A3671">
        <w:t>,</w:t>
      </w:r>
      <w:r w:rsidR="00236D77" w:rsidRPr="00743EE2">
        <w:t xml:space="preserve"> </w:t>
      </w:r>
      <w:r w:rsidR="00F46710" w:rsidRPr="00743EE2">
        <w:t xml:space="preserve">the EESC </w:t>
      </w:r>
      <w:r w:rsidR="00236D77" w:rsidRPr="00743EE2">
        <w:t xml:space="preserve">will propose specific governance structures for </w:t>
      </w:r>
      <w:proofErr w:type="spellStart"/>
      <w:r w:rsidR="00236D77" w:rsidRPr="00743EE2">
        <w:t>NRPPs</w:t>
      </w:r>
      <w:proofErr w:type="spellEnd"/>
      <w:r w:rsidR="00236D77" w:rsidRPr="00743EE2">
        <w:t xml:space="preserve"> that preserve meaningful involvement </w:t>
      </w:r>
      <w:r w:rsidR="00F46710" w:rsidRPr="00743EE2">
        <w:t xml:space="preserve">of civil society </w:t>
      </w:r>
      <w:r w:rsidR="00236D77" w:rsidRPr="00743EE2">
        <w:t>while reducing bureaucratic burden for beneficiaries.</w:t>
      </w:r>
    </w:p>
    <w:p w14:paraId="260525BE" w14:textId="77777777" w:rsidR="00236D77" w:rsidRPr="00743EE2" w:rsidRDefault="00236D77" w:rsidP="00B36A04"/>
    <w:p w14:paraId="78407CEF" w14:textId="336C31EB" w:rsidR="008B0EB1" w:rsidRPr="008F6362" w:rsidRDefault="006A1707" w:rsidP="00B36A04">
      <w:r w:rsidRPr="008F6362">
        <w:t xml:space="preserve">In terms of the </w:t>
      </w:r>
      <w:r w:rsidRPr="00567558">
        <w:rPr>
          <w:b/>
          <w:bCs/>
        </w:rPr>
        <w:t>territorial dimension</w:t>
      </w:r>
      <w:r w:rsidRPr="008F6362">
        <w:t xml:space="preserve"> of cohesion policy,</w:t>
      </w:r>
      <w:r w:rsidR="008B0EB1" w:rsidRPr="008F6362">
        <w:t xml:space="preserve"> </w:t>
      </w:r>
      <w:r w:rsidRPr="008F6362">
        <w:t>s</w:t>
      </w:r>
      <w:r w:rsidR="008B0EB1" w:rsidRPr="008F6362">
        <w:t xml:space="preserve">pecial </w:t>
      </w:r>
      <w:r w:rsidRPr="008F6362">
        <w:t xml:space="preserve">attention will </w:t>
      </w:r>
      <w:r w:rsidR="008B0EB1" w:rsidRPr="008F6362">
        <w:t xml:space="preserve">be given to regions with specific territorial characteristics, such as the outermost regions, mountain areas and EU islands. </w:t>
      </w:r>
      <w:r w:rsidRPr="008F6362">
        <w:t xml:space="preserve">The ECO </w:t>
      </w:r>
      <w:r w:rsidR="000A3671" w:rsidRPr="008F6362">
        <w:t xml:space="preserve">section </w:t>
      </w:r>
      <w:r w:rsidRPr="008F6362">
        <w:t xml:space="preserve">will work closely with the European Commission and the other EU institutions and contribute with its opinions on the </w:t>
      </w:r>
      <w:r w:rsidRPr="00567558">
        <w:rPr>
          <w:b/>
          <w:bCs/>
        </w:rPr>
        <w:t>new EU islands strategy</w:t>
      </w:r>
      <w:r w:rsidRPr="008F6362">
        <w:t xml:space="preserve"> and the new Communication on the </w:t>
      </w:r>
      <w:r w:rsidRPr="00567558">
        <w:rPr>
          <w:b/>
          <w:bCs/>
        </w:rPr>
        <w:t>outermost regions</w:t>
      </w:r>
      <w:r w:rsidRPr="008F6362">
        <w:t>.</w:t>
      </w:r>
    </w:p>
    <w:p w14:paraId="45CC1DFA" w14:textId="77777777" w:rsidR="008B0EB1" w:rsidRPr="008F6362" w:rsidRDefault="008B0EB1" w:rsidP="00B36A04"/>
    <w:p w14:paraId="656D84CB" w14:textId="58C3D1C5" w:rsidR="003E2427" w:rsidRPr="008F6362" w:rsidRDefault="006A1707" w:rsidP="00B36A04">
      <w:r w:rsidRPr="008F6362">
        <w:t>U</w:t>
      </w:r>
      <w:r w:rsidR="008B0EB1" w:rsidRPr="008F6362">
        <w:t>rban issues also matter and our cities are highly interdependent on external factors and turbulences like the war in Ukraine and high inflation.</w:t>
      </w:r>
      <w:r w:rsidRPr="008F6362">
        <w:t xml:space="preserve"> T</w:t>
      </w:r>
      <w:r w:rsidR="008B0EB1" w:rsidRPr="008F6362">
        <w:t xml:space="preserve">he urban agenda </w:t>
      </w:r>
      <w:r w:rsidR="003E2427" w:rsidRPr="008F6362">
        <w:t>will continue to</w:t>
      </w:r>
      <w:r w:rsidR="008B0EB1" w:rsidRPr="008F6362">
        <w:t xml:space="preserve"> play an important role in the recovery process. </w:t>
      </w:r>
      <w:r w:rsidR="003E2427" w:rsidRPr="008F6362">
        <w:t xml:space="preserve">The </w:t>
      </w:r>
      <w:r w:rsidR="000A3671">
        <w:t>planned</w:t>
      </w:r>
      <w:r w:rsidR="000A3671" w:rsidRPr="008F6362">
        <w:t xml:space="preserve"> </w:t>
      </w:r>
      <w:r w:rsidR="003E2427" w:rsidRPr="008F6362">
        <w:t xml:space="preserve">new </w:t>
      </w:r>
      <w:r w:rsidR="003E2427" w:rsidRPr="00567558">
        <w:rPr>
          <w:b/>
          <w:bCs/>
        </w:rPr>
        <w:t>EU Agenda for cities</w:t>
      </w:r>
      <w:r w:rsidR="003E2427" w:rsidRPr="008F6362">
        <w:t>, will be</w:t>
      </w:r>
      <w:r w:rsidR="008B0EB1" w:rsidRPr="008F6362">
        <w:t xml:space="preserve"> essential to increase the resilience of municipalities, </w:t>
      </w:r>
      <w:r w:rsidR="003E2427" w:rsidRPr="008F6362">
        <w:t>functional and local areas</w:t>
      </w:r>
      <w:r w:rsidR="008B0EB1" w:rsidRPr="008F6362">
        <w:t xml:space="preserve">, and strengthen their recovery processes. In this context, the ECO section will follow up on proposals made on the </w:t>
      </w:r>
      <w:r w:rsidR="008B0EB1" w:rsidRPr="00567558">
        <w:rPr>
          <w:b/>
          <w:bCs/>
        </w:rPr>
        <w:t>Urban and Territorial Agenda 2030</w:t>
      </w:r>
      <w:r w:rsidR="008B0EB1" w:rsidRPr="008F6362">
        <w:t xml:space="preserve">. </w:t>
      </w:r>
    </w:p>
    <w:p w14:paraId="63A05216" w14:textId="77777777" w:rsidR="003E2427" w:rsidRPr="008F6362" w:rsidRDefault="003E2427" w:rsidP="00B36A04"/>
    <w:p w14:paraId="400CC538" w14:textId="04F968C5" w:rsidR="00CA45AA" w:rsidRPr="008F6362" w:rsidRDefault="008B0EB1" w:rsidP="00B36A04">
      <w:r w:rsidRPr="008F6362">
        <w:t xml:space="preserve">The </w:t>
      </w:r>
      <w:r w:rsidR="00A0129F" w:rsidRPr="00567558">
        <w:rPr>
          <w:b/>
          <w:bCs/>
        </w:rPr>
        <w:t>macro</w:t>
      </w:r>
      <w:r w:rsidRPr="00567558">
        <w:rPr>
          <w:b/>
          <w:bCs/>
        </w:rPr>
        <w:t>-regional strategies</w:t>
      </w:r>
      <w:r w:rsidRPr="008F6362">
        <w:t xml:space="preserve"> (MRS) have been directly and indirectly affected by the COVID-19 crisis and the war in Ukraine. The structural changes </w:t>
      </w:r>
      <w:r w:rsidR="003E2427" w:rsidRPr="008F6362">
        <w:t xml:space="preserve">coming from the </w:t>
      </w:r>
      <w:proofErr w:type="spellStart"/>
      <w:r w:rsidR="003E2427" w:rsidRPr="008F6362">
        <w:t>NRPPs</w:t>
      </w:r>
      <w:proofErr w:type="spellEnd"/>
      <w:r w:rsidR="003E2427" w:rsidRPr="008F6362">
        <w:t xml:space="preserve"> </w:t>
      </w:r>
      <w:r w:rsidRPr="008F6362">
        <w:t xml:space="preserve">and the </w:t>
      </w:r>
      <w:r w:rsidR="003E2427" w:rsidRPr="008F6362">
        <w:t>possible centralisation of the funds</w:t>
      </w:r>
      <w:r w:rsidRPr="008F6362">
        <w:t xml:space="preserve"> </w:t>
      </w:r>
      <w:r w:rsidR="003E2427" w:rsidRPr="008F6362">
        <w:t xml:space="preserve">will influence </w:t>
      </w:r>
      <w:r w:rsidRPr="008F6362">
        <w:t xml:space="preserve">all four MRS, highlighting once again </w:t>
      </w:r>
      <w:r w:rsidR="003E2427" w:rsidRPr="008F6362">
        <w:t xml:space="preserve">that </w:t>
      </w:r>
      <w:r w:rsidRPr="008F6362">
        <w:t>the significance of cross-regional/cross-border cohesion and collaboration in Europe itself</w:t>
      </w:r>
      <w:r w:rsidR="003E2427" w:rsidRPr="008F6362">
        <w:t xml:space="preserve"> should be respected and implemented</w:t>
      </w:r>
      <w:r w:rsidRPr="008F6362">
        <w:t>. The role of organised civil society will be crucial to fulfil the core objectives of MRS and boost territorial and cross-border cooperation.</w:t>
      </w:r>
    </w:p>
    <w:p w14:paraId="22292D2B" w14:textId="77777777" w:rsidR="00A30C32" w:rsidRPr="008F6362" w:rsidRDefault="00A30C32" w:rsidP="00B36A04"/>
    <w:p w14:paraId="63462252" w14:textId="1E669C33" w:rsidR="00996CF4" w:rsidRPr="00D53276" w:rsidRDefault="00ED7587" w:rsidP="00B36A04">
      <w:pPr>
        <w:pStyle w:val="Heading1"/>
        <w:keepNext/>
        <w:keepLines/>
        <w:ind w:left="567" w:hanging="567"/>
        <w:rPr>
          <w:bCs/>
        </w:rPr>
      </w:pPr>
      <w:r w:rsidRPr="008F6362">
        <w:rPr>
          <w:b/>
        </w:rPr>
        <w:t>Taxation</w:t>
      </w:r>
    </w:p>
    <w:p w14:paraId="04172EB3" w14:textId="77777777" w:rsidR="00A10566" w:rsidRPr="008F6362" w:rsidRDefault="00A10566" w:rsidP="00B36A04"/>
    <w:p w14:paraId="01ABF5C7" w14:textId="77777777" w:rsidR="00A10566" w:rsidRPr="008F6362" w:rsidRDefault="00A10566" w:rsidP="00743EE2">
      <w:pPr>
        <w:keepNext/>
        <w:keepLines/>
      </w:pPr>
      <w:r w:rsidRPr="008F6362">
        <w:t xml:space="preserve">The ECO section continues to work on </w:t>
      </w:r>
      <w:r w:rsidRPr="002C3EBE">
        <w:rPr>
          <w:b/>
          <w:bCs/>
        </w:rPr>
        <w:t>s</w:t>
      </w:r>
      <w:r w:rsidRPr="00A2553F">
        <w:rPr>
          <w:b/>
          <w:bCs/>
        </w:rPr>
        <w:t>implification</w:t>
      </w:r>
      <w:r w:rsidRPr="008F6362">
        <w:t xml:space="preserve"> </w:t>
      </w:r>
      <w:proofErr w:type="gramStart"/>
      <w:r w:rsidRPr="008F6362">
        <w:t>in the area of</w:t>
      </w:r>
      <w:proofErr w:type="gramEnd"/>
      <w:r w:rsidRPr="008F6362">
        <w:t xml:space="preserve"> taxation. The ECO section strongly supports the Commission objective to decrease the administrative burden by 25%, and by 35% for SMEs by the end of its mandate in 2029. The ongoing work on the simplification should allow to improve the coherence of tax systems by removing outdated rules and, at the same time, streamlining the applicable ones. Furthermore, the ECO section supports the Commission’s plans to achieve simplification, reduce the administrative burden </w:t>
      </w:r>
      <w:proofErr w:type="gramStart"/>
      <w:r w:rsidRPr="008F6362">
        <w:t>in the area of</w:t>
      </w:r>
      <w:proofErr w:type="gramEnd"/>
      <w:r w:rsidRPr="008F6362">
        <w:t xml:space="preserve"> administrative cooperation. In this area the focus will be on the review of the </w:t>
      </w:r>
      <w:r w:rsidRPr="00A2553F">
        <w:rPr>
          <w:b/>
          <w:bCs/>
        </w:rPr>
        <w:t>Directive of Administrative Cooperation</w:t>
      </w:r>
      <w:r w:rsidRPr="008F6362">
        <w:t xml:space="preserve"> (DAC10) or if included in an Omnibus.</w:t>
      </w:r>
    </w:p>
    <w:p w14:paraId="3D00856C" w14:textId="77777777" w:rsidR="00A10566" w:rsidRPr="008F6362" w:rsidRDefault="00A10566" w:rsidP="00B36A04">
      <w:pPr>
        <w:keepNext/>
        <w:keepLines/>
      </w:pPr>
    </w:p>
    <w:p w14:paraId="580B4791" w14:textId="2D8704CE" w:rsidR="00A10566" w:rsidRPr="008F6362" w:rsidRDefault="00A10566" w:rsidP="00B36A04">
      <w:pPr>
        <w:keepNext/>
        <w:keepLines/>
      </w:pPr>
      <w:r w:rsidRPr="008F6362">
        <w:t xml:space="preserve">Another work stream focuses on structural aspects in general, and on the </w:t>
      </w:r>
      <w:r w:rsidRPr="00A2553F">
        <w:rPr>
          <w:b/>
          <w:bCs/>
        </w:rPr>
        <w:t>taxation of cross-border workers</w:t>
      </w:r>
      <w:r w:rsidRPr="008F6362">
        <w:t xml:space="preserve">. The Commission will revert to these issues during the upcoming </w:t>
      </w:r>
      <w:proofErr w:type="gramStart"/>
      <w:r w:rsidRPr="008F6362">
        <w:t>year</w:t>
      </w:r>
      <w:proofErr w:type="gramEnd"/>
      <w:r w:rsidRPr="008F6362">
        <w:t xml:space="preserve"> and the ECO section is well placed to interact on this issue. There is also ongoing work at the OECD and the UN on so called </w:t>
      </w:r>
      <w:r w:rsidRPr="00A2553F">
        <w:rPr>
          <w:b/>
          <w:bCs/>
        </w:rPr>
        <w:t>taxation of nomad workers</w:t>
      </w:r>
      <w:r w:rsidRPr="008F6362">
        <w:t>.</w:t>
      </w:r>
    </w:p>
    <w:p w14:paraId="43C57385" w14:textId="77777777" w:rsidR="00A10566" w:rsidRPr="008F6362" w:rsidRDefault="00A10566" w:rsidP="00B36A04"/>
    <w:p w14:paraId="08ED9A19" w14:textId="6B5364C1" w:rsidR="00A10566" w:rsidRDefault="00A10566" w:rsidP="00B36A04">
      <w:r w:rsidRPr="008F6362">
        <w:t xml:space="preserve">The ECO section will continue its successful cooperation with the </w:t>
      </w:r>
      <w:r w:rsidRPr="00A729A3">
        <w:rPr>
          <w:b/>
          <w:bCs/>
        </w:rPr>
        <w:t>UN Committee of Experts on International Cooperation in Tax Matters</w:t>
      </w:r>
      <w:r w:rsidRPr="008F6362">
        <w:t xml:space="preserve">. Several new workstreams launched by the Tax Committee are of interests for the ECO section, especially on </w:t>
      </w:r>
      <w:r w:rsidRPr="00A729A3">
        <w:rPr>
          <w:b/>
          <w:bCs/>
        </w:rPr>
        <w:t>Tax Administration and AI</w:t>
      </w:r>
      <w:r w:rsidRPr="008F6362">
        <w:t xml:space="preserve">, as well as the use of AI in actual tax legislative work. It is of the utmost importance for advancing the global dialogue that civil society plays an active role in this crucial international debate. The ECO section will also continue to work in support of a European tax system that is fair and conducive to competitiveness. In particular, the ECO section will follow the </w:t>
      </w:r>
      <w:r w:rsidRPr="00A729A3">
        <w:rPr>
          <w:b/>
          <w:bCs/>
        </w:rPr>
        <w:t>OECD pillar I and II</w:t>
      </w:r>
      <w:r w:rsidRPr="008F6362">
        <w:t xml:space="preserve"> taxation reform process, keeping </w:t>
      </w:r>
      <w:r w:rsidR="00A0129F">
        <w:t xml:space="preserve">a </w:t>
      </w:r>
      <w:r w:rsidRPr="008F6362">
        <w:t xml:space="preserve">focus on reforms of the corporate tax framework </w:t>
      </w:r>
      <w:proofErr w:type="gramStart"/>
      <w:r w:rsidRPr="008F6362">
        <w:t>in order to</w:t>
      </w:r>
      <w:proofErr w:type="gramEnd"/>
      <w:r w:rsidRPr="008F6362">
        <w:t xml:space="preserve"> combat abuses and tax fraud, ensure sustainable revenues and help boost businesses in the internal market, promoting European competitiveness. The ECO </w:t>
      </w:r>
      <w:r w:rsidR="00A0129F" w:rsidRPr="008F6362">
        <w:t xml:space="preserve">section </w:t>
      </w:r>
      <w:r w:rsidRPr="008F6362">
        <w:t xml:space="preserve">continues to work on the revision of the </w:t>
      </w:r>
      <w:r w:rsidRPr="00A729A3">
        <w:rPr>
          <w:b/>
          <w:bCs/>
        </w:rPr>
        <w:t>Tobacco Taxation Directive</w:t>
      </w:r>
      <w:r w:rsidRPr="008F6362">
        <w:t xml:space="preserve">. </w:t>
      </w:r>
      <w:r w:rsidRPr="00A729A3">
        <w:rPr>
          <w:b/>
          <w:bCs/>
        </w:rPr>
        <w:t>Energy taxation</w:t>
      </w:r>
      <w:r w:rsidRPr="008F6362">
        <w:t xml:space="preserve"> and environmental taxation are areas which </w:t>
      </w:r>
      <w:r w:rsidR="00A0129F">
        <w:t xml:space="preserve">are </w:t>
      </w:r>
      <w:r w:rsidRPr="008F6362">
        <w:t xml:space="preserve">likely </w:t>
      </w:r>
      <w:r w:rsidR="00A0129F">
        <w:t>to</w:t>
      </w:r>
      <w:r w:rsidR="00A0129F" w:rsidRPr="008F6362">
        <w:t xml:space="preserve"> </w:t>
      </w:r>
      <w:r w:rsidRPr="008F6362">
        <w:t>be triggered by discussions in the Council.</w:t>
      </w:r>
    </w:p>
    <w:p w14:paraId="401F88AA" w14:textId="77777777" w:rsidR="0088530E" w:rsidRDefault="0088530E" w:rsidP="00B36A04"/>
    <w:p w14:paraId="0649326C" w14:textId="77777777" w:rsidR="00027994" w:rsidRDefault="00027994" w:rsidP="00B36A04"/>
    <w:p w14:paraId="288C3471" w14:textId="38C6155F" w:rsidR="00996CF4" w:rsidRPr="008F6362" w:rsidRDefault="009A7436" w:rsidP="00B36A04">
      <w:pPr>
        <w:jc w:val="center"/>
      </w:pPr>
      <w:r w:rsidRPr="008F6362">
        <w:t>______________</w:t>
      </w:r>
    </w:p>
    <w:p w14:paraId="36C797C8" w14:textId="31AD7B7B" w:rsidR="009F4D18" w:rsidRPr="008F6362" w:rsidRDefault="009F4D18" w:rsidP="00B36A04">
      <w:pPr>
        <w:pStyle w:val="ListParagraph"/>
        <w:ind w:left="0"/>
        <w:rPr>
          <w:lang w:val="en-GB"/>
        </w:rPr>
      </w:pPr>
    </w:p>
    <w:sectPr w:rsidR="009F4D18" w:rsidRPr="008F6362" w:rsidSect="00531EB6">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4C88" w14:textId="77777777" w:rsidR="000976C2" w:rsidRDefault="000976C2" w:rsidP="003A4A36">
      <w:pPr>
        <w:spacing w:line="240" w:lineRule="auto"/>
      </w:pPr>
      <w:r>
        <w:separator/>
      </w:r>
    </w:p>
  </w:endnote>
  <w:endnote w:type="continuationSeparator" w:id="0">
    <w:p w14:paraId="5258E13C" w14:textId="77777777" w:rsidR="000976C2" w:rsidRDefault="000976C2" w:rsidP="003A4A36">
      <w:pPr>
        <w:spacing w:line="240" w:lineRule="auto"/>
      </w:pPr>
      <w:r>
        <w:continuationSeparator/>
      </w:r>
    </w:p>
  </w:endnote>
  <w:endnote w:type="continuationNotice" w:id="1">
    <w:p w14:paraId="578D443C" w14:textId="77777777" w:rsidR="000976C2" w:rsidRDefault="000976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A12" w14:textId="77777777" w:rsidR="00531EB6" w:rsidRPr="00531EB6" w:rsidRDefault="00531EB6" w:rsidP="00531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B42" w14:textId="5670248B" w:rsidR="00BB4BC8" w:rsidRPr="00531EB6" w:rsidRDefault="00531EB6" w:rsidP="00531EB6">
    <w:pPr>
      <w:pStyle w:val="Footer"/>
    </w:pPr>
    <w:r>
      <w:t xml:space="preserve">EESC-2025-03319-02-00-INFO-TRA (EN) </w:t>
    </w:r>
    <w:r>
      <w:fldChar w:fldCharType="begin"/>
    </w:r>
    <w:r>
      <w:instrText xml:space="preserve"> PAGE  \* Arabic  \* MERGEFORMAT </w:instrText>
    </w:r>
    <w:r>
      <w:fldChar w:fldCharType="separate"/>
    </w:r>
    <w:r w:rsidR="00665930">
      <w:rPr>
        <w:noProof/>
      </w:rPr>
      <w:t>1</w:t>
    </w:r>
    <w:r>
      <w:fldChar w:fldCharType="end"/>
    </w:r>
    <w:r>
      <w:t>/</w:t>
    </w:r>
    <w:r>
      <w:fldChar w:fldCharType="begin"/>
    </w:r>
    <w:r>
      <w:instrText xml:space="preserve"> NUMPAGES </w:instrText>
    </w:r>
    <w:r>
      <w:fldChar w:fldCharType="separate"/>
    </w:r>
    <w:r w:rsidR="0066593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69B1" w14:textId="77777777" w:rsidR="00531EB6" w:rsidRPr="00531EB6" w:rsidRDefault="00531EB6" w:rsidP="0053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AE32" w14:textId="77777777" w:rsidR="000976C2" w:rsidRDefault="000976C2" w:rsidP="003A4A36">
      <w:pPr>
        <w:spacing w:line="240" w:lineRule="auto"/>
      </w:pPr>
      <w:r>
        <w:separator/>
      </w:r>
    </w:p>
  </w:footnote>
  <w:footnote w:type="continuationSeparator" w:id="0">
    <w:p w14:paraId="7526A7E6" w14:textId="77777777" w:rsidR="000976C2" w:rsidRDefault="000976C2" w:rsidP="003A4A36">
      <w:pPr>
        <w:spacing w:line="240" w:lineRule="auto"/>
      </w:pPr>
      <w:r>
        <w:continuationSeparator/>
      </w:r>
    </w:p>
  </w:footnote>
  <w:footnote w:type="continuationNotice" w:id="1">
    <w:p w14:paraId="21AE2125" w14:textId="77777777" w:rsidR="000976C2" w:rsidRDefault="000976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A31E" w14:textId="77777777" w:rsidR="00531EB6" w:rsidRPr="00531EB6" w:rsidRDefault="00531EB6" w:rsidP="00531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A98D" w14:textId="29BD654E" w:rsidR="00531EB6" w:rsidRPr="00531EB6" w:rsidRDefault="00531EB6" w:rsidP="00531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57DC" w14:textId="77777777" w:rsidR="00531EB6" w:rsidRPr="00531EB6" w:rsidRDefault="00531EB6" w:rsidP="0053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BC13C3"/>
    <w:multiLevelType w:val="hybridMultilevel"/>
    <w:tmpl w:val="C734B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84A97"/>
    <w:multiLevelType w:val="hybridMultilevel"/>
    <w:tmpl w:val="783A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302B0"/>
    <w:multiLevelType w:val="multilevel"/>
    <w:tmpl w:val="81DE9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EE513B"/>
    <w:multiLevelType w:val="multilevel"/>
    <w:tmpl w:val="2B8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32A22"/>
    <w:multiLevelType w:val="hybridMultilevel"/>
    <w:tmpl w:val="3120F9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4FA7AD6"/>
    <w:multiLevelType w:val="hybridMultilevel"/>
    <w:tmpl w:val="546A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207667">
    <w:abstractNumId w:val="0"/>
  </w:num>
  <w:num w:numId="2" w16cid:durableId="1218055356">
    <w:abstractNumId w:val="2"/>
  </w:num>
  <w:num w:numId="3" w16cid:durableId="658921672">
    <w:abstractNumId w:val="1"/>
  </w:num>
  <w:num w:numId="4" w16cid:durableId="1770730953">
    <w:abstractNumId w:val="0"/>
  </w:num>
  <w:num w:numId="5" w16cid:durableId="1858159493">
    <w:abstractNumId w:val="6"/>
  </w:num>
  <w:num w:numId="6" w16cid:durableId="10381713">
    <w:abstractNumId w:val="5"/>
  </w:num>
  <w:num w:numId="7" w16cid:durableId="430513300">
    <w:abstractNumId w:val="4"/>
  </w:num>
  <w:num w:numId="8" w16cid:durableId="1527713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B7"/>
    <w:rsid w:val="000011D0"/>
    <w:rsid w:val="00002F5D"/>
    <w:rsid w:val="00003854"/>
    <w:rsid w:val="000041A8"/>
    <w:rsid w:val="00010236"/>
    <w:rsid w:val="0001052F"/>
    <w:rsid w:val="00010A2A"/>
    <w:rsid w:val="000209F5"/>
    <w:rsid w:val="0002114C"/>
    <w:rsid w:val="00022877"/>
    <w:rsid w:val="00023422"/>
    <w:rsid w:val="0002358A"/>
    <w:rsid w:val="00024628"/>
    <w:rsid w:val="00025B0B"/>
    <w:rsid w:val="00027994"/>
    <w:rsid w:val="0003138A"/>
    <w:rsid w:val="000317DA"/>
    <w:rsid w:val="00035872"/>
    <w:rsid w:val="000366D8"/>
    <w:rsid w:val="00036D30"/>
    <w:rsid w:val="00047C46"/>
    <w:rsid w:val="00053993"/>
    <w:rsid w:val="00055266"/>
    <w:rsid w:val="000610C5"/>
    <w:rsid w:val="00065437"/>
    <w:rsid w:val="00072494"/>
    <w:rsid w:val="00073ACC"/>
    <w:rsid w:val="00083281"/>
    <w:rsid w:val="00083EB9"/>
    <w:rsid w:val="000865DF"/>
    <w:rsid w:val="0008703A"/>
    <w:rsid w:val="00087E8A"/>
    <w:rsid w:val="000906E1"/>
    <w:rsid w:val="00094991"/>
    <w:rsid w:val="000958B5"/>
    <w:rsid w:val="000969C6"/>
    <w:rsid w:val="000976C2"/>
    <w:rsid w:val="000A3671"/>
    <w:rsid w:val="000A7F04"/>
    <w:rsid w:val="000B0683"/>
    <w:rsid w:val="000B39B7"/>
    <w:rsid w:val="000B460D"/>
    <w:rsid w:val="000C246E"/>
    <w:rsid w:val="000C4570"/>
    <w:rsid w:val="000D0BFC"/>
    <w:rsid w:val="000D5695"/>
    <w:rsid w:val="000D6692"/>
    <w:rsid w:val="000E59AC"/>
    <w:rsid w:val="000E65DC"/>
    <w:rsid w:val="000E6728"/>
    <w:rsid w:val="000E6E79"/>
    <w:rsid w:val="000F414D"/>
    <w:rsid w:val="000F515D"/>
    <w:rsid w:val="000F6BE6"/>
    <w:rsid w:val="001007A3"/>
    <w:rsid w:val="00102C7F"/>
    <w:rsid w:val="00107911"/>
    <w:rsid w:val="00113D34"/>
    <w:rsid w:val="00122482"/>
    <w:rsid w:val="001256A4"/>
    <w:rsid w:val="00131C69"/>
    <w:rsid w:val="00131EA6"/>
    <w:rsid w:val="00132524"/>
    <w:rsid w:val="0013339B"/>
    <w:rsid w:val="00133521"/>
    <w:rsid w:val="00134589"/>
    <w:rsid w:val="00157FF9"/>
    <w:rsid w:val="00161891"/>
    <w:rsid w:val="00162913"/>
    <w:rsid w:val="00165FAA"/>
    <w:rsid w:val="00167E8B"/>
    <w:rsid w:val="0017198F"/>
    <w:rsid w:val="00172506"/>
    <w:rsid w:val="00172608"/>
    <w:rsid w:val="00174821"/>
    <w:rsid w:val="001762ED"/>
    <w:rsid w:val="0018099C"/>
    <w:rsid w:val="00181A00"/>
    <w:rsid w:val="00182244"/>
    <w:rsid w:val="001839A2"/>
    <w:rsid w:val="00183CC4"/>
    <w:rsid w:val="00192E52"/>
    <w:rsid w:val="00193388"/>
    <w:rsid w:val="00194062"/>
    <w:rsid w:val="001A07DD"/>
    <w:rsid w:val="001A4332"/>
    <w:rsid w:val="001A6FD7"/>
    <w:rsid w:val="001B5EE1"/>
    <w:rsid w:val="001C1950"/>
    <w:rsid w:val="001C59E0"/>
    <w:rsid w:val="001D348F"/>
    <w:rsid w:val="001D56F9"/>
    <w:rsid w:val="001D5BE8"/>
    <w:rsid w:val="001E254D"/>
    <w:rsid w:val="001E4F81"/>
    <w:rsid w:val="001E5427"/>
    <w:rsid w:val="001F0DF1"/>
    <w:rsid w:val="001F2670"/>
    <w:rsid w:val="002009A8"/>
    <w:rsid w:val="002009C7"/>
    <w:rsid w:val="0020531D"/>
    <w:rsid w:val="00205DE8"/>
    <w:rsid w:val="002101C6"/>
    <w:rsid w:val="002104A7"/>
    <w:rsid w:val="00210C3D"/>
    <w:rsid w:val="00215DE4"/>
    <w:rsid w:val="002204CA"/>
    <w:rsid w:val="0023280A"/>
    <w:rsid w:val="00232E5B"/>
    <w:rsid w:val="00233038"/>
    <w:rsid w:val="00235F4F"/>
    <w:rsid w:val="00236D77"/>
    <w:rsid w:val="00240E68"/>
    <w:rsid w:val="0024459B"/>
    <w:rsid w:val="0025187F"/>
    <w:rsid w:val="002518FD"/>
    <w:rsid w:val="002554BD"/>
    <w:rsid w:val="00256352"/>
    <w:rsid w:val="002613D1"/>
    <w:rsid w:val="002619D1"/>
    <w:rsid w:val="0026232D"/>
    <w:rsid w:val="0026371B"/>
    <w:rsid w:val="0026371E"/>
    <w:rsid w:val="00264522"/>
    <w:rsid w:val="00265EA1"/>
    <w:rsid w:val="002716A3"/>
    <w:rsid w:val="00282628"/>
    <w:rsid w:val="00283FE3"/>
    <w:rsid w:val="00296143"/>
    <w:rsid w:val="002A1C19"/>
    <w:rsid w:val="002A2C3E"/>
    <w:rsid w:val="002A308D"/>
    <w:rsid w:val="002A71DF"/>
    <w:rsid w:val="002B04CE"/>
    <w:rsid w:val="002B2975"/>
    <w:rsid w:val="002B49FB"/>
    <w:rsid w:val="002C086F"/>
    <w:rsid w:val="002C2659"/>
    <w:rsid w:val="002C3EBE"/>
    <w:rsid w:val="002C5157"/>
    <w:rsid w:val="002C69DB"/>
    <w:rsid w:val="002C7AC1"/>
    <w:rsid w:val="002D29C0"/>
    <w:rsid w:val="002D4F16"/>
    <w:rsid w:val="002E1925"/>
    <w:rsid w:val="002E3B65"/>
    <w:rsid w:val="002E3D6B"/>
    <w:rsid w:val="002E451A"/>
    <w:rsid w:val="002E615A"/>
    <w:rsid w:val="002F0053"/>
    <w:rsid w:val="002F24A5"/>
    <w:rsid w:val="003026D3"/>
    <w:rsid w:val="00302CDE"/>
    <w:rsid w:val="00304DEA"/>
    <w:rsid w:val="00307540"/>
    <w:rsid w:val="003121F1"/>
    <w:rsid w:val="00313B69"/>
    <w:rsid w:val="00314B30"/>
    <w:rsid w:val="00315540"/>
    <w:rsid w:val="00315AB6"/>
    <w:rsid w:val="00320896"/>
    <w:rsid w:val="00324DD4"/>
    <w:rsid w:val="003275C4"/>
    <w:rsid w:val="00335C0F"/>
    <w:rsid w:val="00337832"/>
    <w:rsid w:val="00342BC4"/>
    <w:rsid w:val="00345275"/>
    <w:rsid w:val="003478D6"/>
    <w:rsid w:val="003504DB"/>
    <w:rsid w:val="00350BB6"/>
    <w:rsid w:val="00350D0E"/>
    <w:rsid w:val="00353B23"/>
    <w:rsid w:val="00355B54"/>
    <w:rsid w:val="00356CC6"/>
    <w:rsid w:val="003600C0"/>
    <w:rsid w:val="0036029B"/>
    <w:rsid w:val="00360B65"/>
    <w:rsid w:val="003661E5"/>
    <w:rsid w:val="0037286F"/>
    <w:rsid w:val="00372A8C"/>
    <w:rsid w:val="0037350F"/>
    <w:rsid w:val="00373DC0"/>
    <w:rsid w:val="003743FF"/>
    <w:rsid w:val="0037509A"/>
    <w:rsid w:val="00381786"/>
    <w:rsid w:val="003826FD"/>
    <w:rsid w:val="00383C3C"/>
    <w:rsid w:val="00392715"/>
    <w:rsid w:val="00397052"/>
    <w:rsid w:val="003A196F"/>
    <w:rsid w:val="003A2C25"/>
    <w:rsid w:val="003A35F7"/>
    <w:rsid w:val="003A4A36"/>
    <w:rsid w:val="003A695D"/>
    <w:rsid w:val="003B5A10"/>
    <w:rsid w:val="003B5A75"/>
    <w:rsid w:val="003B75FD"/>
    <w:rsid w:val="003C4759"/>
    <w:rsid w:val="003D60D8"/>
    <w:rsid w:val="003D717B"/>
    <w:rsid w:val="003E0AF9"/>
    <w:rsid w:val="003E2427"/>
    <w:rsid w:val="003E47D3"/>
    <w:rsid w:val="003E7214"/>
    <w:rsid w:val="003F3163"/>
    <w:rsid w:val="003F40AF"/>
    <w:rsid w:val="003F4861"/>
    <w:rsid w:val="003F59CC"/>
    <w:rsid w:val="00401251"/>
    <w:rsid w:val="004026E4"/>
    <w:rsid w:val="00402A42"/>
    <w:rsid w:val="004068D4"/>
    <w:rsid w:val="004103A0"/>
    <w:rsid w:val="0041080F"/>
    <w:rsid w:val="004126C6"/>
    <w:rsid w:val="00414A50"/>
    <w:rsid w:val="00420FE0"/>
    <w:rsid w:val="004257C3"/>
    <w:rsid w:val="00426150"/>
    <w:rsid w:val="004331EA"/>
    <w:rsid w:val="004340E7"/>
    <w:rsid w:val="00437B80"/>
    <w:rsid w:val="004409AD"/>
    <w:rsid w:val="00442EED"/>
    <w:rsid w:val="00443E9E"/>
    <w:rsid w:val="00444876"/>
    <w:rsid w:val="00450A72"/>
    <w:rsid w:val="004617DF"/>
    <w:rsid w:val="004653C5"/>
    <w:rsid w:val="00471228"/>
    <w:rsid w:val="00477180"/>
    <w:rsid w:val="004833A8"/>
    <w:rsid w:val="00484F16"/>
    <w:rsid w:val="00484F81"/>
    <w:rsid w:val="00486EF2"/>
    <w:rsid w:val="00493722"/>
    <w:rsid w:val="00496098"/>
    <w:rsid w:val="00496201"/>
    <w:rsid w:val="004A14DC"/>
    <w:rsid w:val="004A180A"/>
    <w:rsid w:val="004B0D6E"/>
    <w:rsid w:val="004B32EF"/>
    <w:rsid w:val="004B4C69"/>
    <w:rsid w:val="004B69D6"/>
    <w:rsid w:val="004C19FE"/>
    <w:rsid w:val="004C2362"/>
    <w:rsid w:val="004C4860"/>
    <w:rsid w:val="004C5403"/>
    <w:rsid w:val="004C5BAD"/>
    <w:rsid w:val="004C5F8F"/>
    <w:rsid w:val="004D3BA8"/>
    <w:rsid w:val="004D7B57"/>
    <w:rsid w:val="004E08B2"/>
    <w:rsid w:val="004E101B"/>
    <w:rsid w:val="004E186D"/>
    <w:rsid w:val="004E2874"/>
    <w:rsid w:val="004E3C85"/>
    <w:rsid w:val="004F0670"/>
    <w:rsid w:val="00500266"/>
    <w:rsid w:val="0050631F"/>
    <w:rsid w:val="00507564"/>
    <w:rsid w:val="00517301"/>
    <w:rsid w:val="00520758"/>
    <w:rsid w:val="00523581"/>
    <w:rsid w:val="005251FE"/>
    <w:rsid w:val="00530F05"/>
    <w:rsid w:val="00531EB6"/>
    <w:rsid w:val="00540E14"/>
    <w:rsid w:val="00542AC1"/>
    <w:rsid w:val="00546940"/>
    <w:rsid w:val="00551E2B"/>
    <w:rsid w:val="0055267B"/>
    <w:rsid w:val="0055337C"/>
    <w:rsid w:val="00560638"/>
    <w:rsid w:val="00567558"/>
    <w:rsid w:val="00567882"/>
    <w:rsid w:val="005706CA"/>
    <w:rsid w:val="0057085A"/>
    <w:rsid w:val="00571F96"/>
    <w:rsid w:val="005764C8"/>
    <w:rsid w:val="005773E3"/>
    <w:rsid w:val="00580283"/>
    <w:rsid w:val="0058029B"/>
    <w:rsid w:val="005874D7"/>
    <w:rsid w:val="0058766C"/>
    <w:rsid w:val="005878E9"/>
    <w:rsid w:val="00590DA7"/>
    <w:rsid w:val="00592324"/>
    <w:rsid w:val="005A05D7"/>
    <w:rsid w:val="005A415F"/>
    <w:rsid w:val="005A7359"/>
    <w:rsid w:val="005A7B7E"/>
    <w:rsid w:val="005B211B"/>
    <w:rsid w:val="005B7A26"/>
    <w:rsid w:val="005B7ABB"/>
    <w:rsid w:val="005C33FC"/>
    <w:rsid w:val="005C61FA"/>
    <w:rsid w:val="005C68A7"/>
    <w:rsid w:val="005D2615"/>
    <w:rsid w:val="005D4C51"/>
    <w:rsid w:val="005E1749"/>
    <w:rsid w:val="005E6B3D"/>
    <w:rsid w:val="005E7F21"/>
    <w:rsid w:val="005F0781"/>
    <w:rsid w:val="005F5976"/>
    <w:rsid w:val="00601E79"/>
    <w:rsid w:val="006138B8"/>
    <w:rsid w:val="0061593A"/>
    <w:rsid w:val="00616F2C"/>
    <w:rsid w:val="0061702D"/>
    <w:rsid w:val="006214A8"/>
    <w:rsid w:val="006228CB"/>
    <w:rsid w:val="00622D51"/>
    <w:rsid w:val="0062487D"/>
    <w:rsid w:val="006253FC"/>
    <w:rsid w:val="006307B2"/>
    <w:rsid w:val="00630AE0"/>
    <w:rsid w:val="0063199E"/>
    <w:rsid w:val="00631D14"/>
    <w:rsid w:val="00631D15"/>
    <w:rsid w:val="00633743"/>
    <w:rsid w:val="00634412"/>
    <w:rsid w:val="0063481B"/>
    <w:rsid w:val="00637819"/>
    <w:rsid w:val="0064128C"/>
    <w:rsid w:val="00644E8E"/>
    <w:rsid w:val="0064563D"/>
    <w:rsid w:val="00646C5A"/>
    <w:rsid w:val="00647071"/>
    <w:rsid w:val="00647E57"/>
    <w:rsid w:val="00652BC4"/>
    <w:rsid w:val="00655039"/>
    <w:rsid w:val="00655952"/>
    <w:rsid w:val="00655CB9"/>
    <w:rsid w:val="006574E6"/>
    <w:rsid w:val="006605EC"/>
    <w:rsid w:val="00660AE7"/>
    <w:rsid w:val="006613AA"/>
    <w:rsid w:val="00665930"/>
    <w:rsid w:val="0067211B"/>
    <w:rsid w:val="00675EF4"/>
    <w:rsid w:val="00680C4C"/>
    <w:rsid w:val="006836FA"/>
    <w:rsid w:val="006863F8"/>
    <w:rsid w:val="006868B0"/>
    <w:rsid w:val="0069595B"/>
    <w:rsid w:val="006A1707"/>
    <w:rsid w:val="006A3AE3"/>
    <w:rsid w:val="006A3D1C"/>
    <w:rsid w:val="006A6281"/>
    <w:rsid w:val="006B59E6"/>
    <w:rsid w:val="006B5CDB"/>
    <w:rsid w:val="006B5DE9"/>
    <w:rsid w:val="006B79EB"/>
    <w:rsid w:val="006C016A"/>
    <w:rsid w:val="006C2A78"/>
    <w:rsid w:val="006C5F73"/>
    <w:rsid w:val="006C761D"/>
    <w:rsid w:val="006D17EA"/>
    <w:rsid w:val="006D3CD6"/>
    <w:rsid w:val="006E230E"/>
    <w:rsid w:val="006E2C08"/>
    <w:rsid w:val="006F1BF3"/>
    <w:rsid w:val="006F3A30"/>
    <w:rsid w:val="006F4ACA"/>
    <w:rsid w:val="006F63E8"/>
    <w:rsid w:val="006F64CC"/>
    <w:rsid w:val="007003FD"/>
    <w:rsid w:val="00702441"/>
    <w:rsid w:val="00707C64"/>
    <w:rsid w:val="00712E2E"/>
    <w:rsid w:val="00717031"/>
    <w:rsid w:val="00722B67"/>
    <w:rsid w:val="0072331B"/>
    <w:rsid w:val="007307AB"/>
    <w:rsid w:val="00733E61"/>
    <w:rsid w:val="00734AB8"/>
    <w:rsid w:val="00742062"/>
    <w:rsid w:val="00742EE2"/>
    <w:rsid w:val="00743766"/>
    <w:rsid w:val="0074389F"/>
    <w:rsid w:val="00743EE2"/>
    <w:rsid w:val="0074477B"/>
    <w:rsid w:val="00751723"/>
    <w:rsid w:val="007519E9"/>
    <w:rsid w:val="00753FAD"/>
    <w:rsid w:val="00754361"/>
    <w:rsid w:val="007550DF"/>
    <w:rsid w:val="007623FC"/>
    <w:rsid w:val="007663EE"/>
    <w:rsid w:val="00772922"/>
    <w:rsid w:val="0077664C"/>
    <w:rsid w:val="00782433"/>
    <w:rsid w:val="00783340"/>
    <w:rsid w:val="00787D3D"/>
    <w:rsid w:val="00793A84"/>
    <w:rsid w:val="007A581E"/>
    <w:rsid w:val="007A7B5B"/>
    <w:rsid w:val="007B0312"/>
    <w:rsid w:val="007B13D1"/>
    <w:rsid w:val="007B50CE"/>
    <w:rsid w:val="007B595E"/>
    <w:rsid w:val="007B5D01"/>
    <w:rsid w:val="007B6727"/>
    <w:rsid w:val="007C46AD"/>
    <w:rsid w:val="007C67EC"/>
    <w:rsid w:val="007D00FB"/>
    <w:rsid w:val="007D1D23"/>
    <w:rsid w:val="007D2D5F"/>
    <w:rsid w:val="007D4E5D"/>
    <w:rsid w:val="007D71A2"/>
    <w:rsid w:val="007E01F5"/>
    <w:rsid w:val="007E0986"/>
    <w:rsid w:val="007E6405"/>
    <w:rsid w:val="007F00D5"/>
    <w:rsid w:val="007F10C3"/>
    <w:rsid w:val="007F1E21"/>
    <w:rsid w:val="007F2F88"/>
    <w:rsid w:val="007F5FBB"/>
    <w:rsid w:val="007F6429"/>
    <w:rsid w:val="007F6D55"/>
    <w:rsid w:val="007F771F"/>
    <w:rsid w:val="00802E9C"/>
    <w:rsid w:val="00803BFD"/>
    <w:rsid w:val="00803CC2"/>
    <w:rsid w:val="00805970"/>
    <w:rsid w:val="008059E7"/>
    <w:rsid w:val="00806165"/>
    <w:rsid w:val="008074AE"/>
    <w:rsid w:val="00807AAB"/>
    <w:rsid w:val="00813834"/>
    <w:rsid w:val="0081411E"/>
    <w:rsid w:val="0081769A"/>
    <w:rsid w:val="008218E4"/>
    <w:rsid w:val="00822A96"/>
    <w:rsid w:val="00823DC4"/>
    <w:rsid w:val="00834DF6"/>
    <w:rsid w:val="008365A8"/>
    <w:rsid w:val="0084034E"/>
    <w:rsid w:val="00841292"/>
    <w:rsid w:val="00841E83"/>
    <w:rsid w:val="00842303"/>
    <w:rsid w:val="00843EC2"/>
    <w:rsid w:val="00851BDC"/>
    <w:rsid w:val="008531E4"/>
    <w:rsid w:val="0086271F"/>
    <w:rsid w:val="008655BF"/>
    <w:rsid w:val="00871686"/>
    <w:rsid w:val="00872B27"/>
    <w:rsid w:val="008808E7"/>
    <w:rsid w:val="00880F1B"/>
    <w:rsid w:val="0088428E"/>
    <w:rsid w:val="0088429C"/>
    <w:rsid w:val="0088530E"/>
    <w:rsid w:val="008A152E"/>
    <w:rsid w:val="008A288C"/>
    <w:rsid w:val="008A29B8"/>
    <w:rsid w:val="008B0A0A"/>
    <w:rsid w:val="008B0EB1"/>
    <w:rsid w:val="008B2076"/>
    <w:rsid w:val="008B4AA6"/>
    <w:rsid w:val="008B7756"/>
    <w:rsid w:val="008C0DB6"/>
    <w:rsid w:val="008C3DE4"/>
    <w:rsid w:val="008C49E4"/>
    <w:rsid w:val="008C547B"/>
    <w:rsid w:val="008C5853"/>
    <w:rsid w:val="008D75DD"/>
    <w:rsid w:val="008E1054"/>
    <w:rsid w:val="008E2B8C"/>
    <w:rsid w:val="008E361D"/>
    <w:rsid w:val="008E51F4"/>
    <w:rsid w:val="008F2226"/>
    <w:rsid w:val="008F60C8"/>
    <w:rsid w:val="008F6362"/>
    <w:rsid w:val="00901D7D"/>
    <w:rsid w:val="0090249F"/>
    <w:rsid w:val="00902BE7"/>
    <w:rsid w:val="00903468"/>
    <w:rsid w:val="00905774"/>
    <w:rsid w:val="00905912"/>
    <w:rsid w:val="00910CC8"/>
    <w:rsid w:val="009144F1"/>
    <w:rsid w:val="009262F4"/>
    <w:rsid w:val="009312FD"/>
    <w:rsid w:val="00934A86"/>
    <w:rsid w:val="009416D5"/>
    <w:rsid w:val="00942719"/>
    <w:rsid w:val="00944EF6"/>
    <w:rsid w:val="009465BA"/>
    <w:rsid w:val="00946731"/>
    <w:rsid w:val="00946F6E"/>
    <w:rsid w:val="0094757E"/>
    <w:rsid w:val="009543FA"/>
    <w:rsid w:val="00955BEB"/>
    <w:rsid w:val="00957E15"/>
    <w:rsid w:val="00960D3F"/>
    <w:rsid w:val="00962C7E"/>
    <w:rsid w:val="00963BE4"/>
    <w:rsid w:val="009643DA"/>
    <w:rsid w:val="009746DF"/>
    <w:rsid w:val="00976446"/>
    <w:rsid w:val="00977DF8"/>
    <w:rsid w:val="00980077"/>
    <w:rsid w:val="009913AD"/>
    <w:rsid w:val="009925FD"/>
    <w:rsid w:val="00993521"/>
    <w:rsid w:val="00996695"/>
    <w:rsid w:val="00996CF4"/>
    <w:rsid w:val="009A4E8E"/>
    <w:rsid w:val="009A5282"/>
    <w:rsid w:val="009A7436"/>
    <w:rsid w:val="009B2FF9"/>
    <w:rsid w:val="009B77D0"/>
    <w:rsid w:val="009C1008"/>
    <w:rsid w:val="009C364F"/>
    <w:rsid w:val="009C3DF1"/>
    <w:rsid w:val="009C5E2B"/>
    <w:rsid w:val="009C762E"/>
    <w:rsid w:val="009C7D2C"/>
    <w:rsid w:val="009D104D"/>
    <w:rsid w:val="009D1D03"/>
    <w:rsid w:val="009D2FA5"/>
    <w:rsid w:val="009D300E"/>
    <w:rsid w:val="009D433F"/>
    <w:rsid w:val="009D5396"/>
    <w:rsid w:val="009D6E08"/>
    <w:rsid w:val="009E7BB1"/>
    <w:rsid w:val="009F0004"/>
    <w:rsid w:val="009F2BCF"/>
    <w:rsid w:val="009F31BD"/>
    <w:rsid w:val="009F39CD"/>
    <w:rsid w:val="009F4D18"/>
    <w:rsid w:val="009F5898"/>
    <w:rsid w:val="009F7A16"/>
    <w:rsid w:val="00A00B83"/>
    <w:rsid w:val="00A0129F"/>
    <w:rsid w:val="00A04C3C"/>
    <w:rsid w:val="00A0520D"/>
    <w:rsid w:val="00A10566"/>
    <w:rsid w:val="00A10A60"/>
    <w:rsid w:val="00A133BA"/>
    <w:rsid w:val="00A13FC3"/>
    <w:rsid w:val="00A15CCD"/>
    <w:rsid w:val="00A169C5"/>
    <w:rsid w:val="00A217AE"/>
    <w:rsid w:val="00A2386A"/>
    <w:rsid w:val="00A25059"/>
    <w:rsid w:val="00A2553F"/>
    <w:rsid w:val="00A25B9B"/>
    <w:rsid w:val="00A267D9"/>
    <w:rsid w:val="00A2778C"/>
    <w:rsid w:val="00A27E65"/>
    <w:rsid w:val="00A305EB"/>
    <w:rsid w:val="00A30C32"/>
    <w:rsid w:val="00A310FD"/>
    <w:rsid w:val="00A311DF"/>
    <w:rsid w:val="00A3706F"/>
    <w:rsid w:val="00A41128"/>
    <w:rsid w:val="00A47289"/>
    <w:rsid w:val="00A47CDF"/>
    <w:rsid w:val="00A501DA"/>
    <w:rsid w:val="00A54690"/>
    <w:rsid w:val="00A70DFB"/>
    <w:rsid w:val="00A729A3"/>
    <w:rsid w:val="00A735CC"/>
    <w:rsid w:val="00A750F6"/>
    <w:rsid w:val="00A8175C"/>
    <w:rsid w:val="00A82217"/>
    <w:rsid w:val="00A846E6"/>
    <w:rsid w:val="00A9193F"/>
    <w:rsid w:val="00AA0F27"/>
    <w:rsid w:val="00AA5698"/>
    <w:rsid w:val="00AA5DEB"/>
    <w:rsid w:val="00AB056F"/>
    <w:rsid w:val="00AB1890"/>
    <w:rsid w:val="00AB4624"/>
    <w:rsid w:val="00AB46B4"/>
    <w:rsid w:val="00AB69B5"/>
    <w:rsid w:val="00AB6E5B"/>
    <w:rsid w:val="00AC31C3"/>
    <w:rsid w:val="00AC3727"/>
    <w:rsid w:val="00AC38F0"/>
    <w:rsid w:val="00AC3CFD"/>
    <w:rsid w:val="00AC71FD"/>
    <w:rsid w:val="00AD25DF"/>
    <w:rsid w:val="00AD2F78"/>
    <w:rsid w:val="00AD4C3D"/>
    <w:rsid w:val="00AE0DEA"/>
    <w:rsid w:val="00AE2378"/>
    <w:rsid w:val="00AE551E"/>
    <w:rsid w:val="00AF2536"/>
    <w:rsid w:val="00AF3F5A"/>
    <w:rsid w:val="00AF4455"/>
    <w:rsid w:val="00AF75A5"/>
    <w:rsid w:val="00AF7CB3"/>
    <w:rsid w:val="00B031EF"/>
    <w:rsid w:val="00B12429"/>
    <w:rsid w:val="00B20507"/>
    <w:rsid w:val="00B22433"/>
    <w:rsid w:val="00B26E48"/>
    <w:rsid w:val="00B27C10"/>
    <w:rsid w:val="00B31C61"/>
    <w:rsid w:val="00B3325D"/>
    <w:rsid w:val="00B35B37"/>
    <w:rsid w:val="00B36A04"/>
    <w:rsid w:val="00B46670"/>
    <w:rsid w:val="00B47376"/>
    <w:rsid w:val="00B50A2F"/>
    <w:rsid w:val="00B50BA8"/>
    <w:rsid w:val="00B51410"/>
    <w:rsid w:val="00B52D92"/>
    <w:rsid w:val="00B53C7D"/>
    <w:rsid w:val="00B5480D"/>
    <w:rsid w:val="00B560D8"/>
    <w:rsid w:val="00B5720E"/>
    <w:rsid w:val="00B651C7"/>
    <w:rsid w:val="00B6612F"/>
    <w:rsid w:val="00B67833"/>
    <w:rsid w:val="00B67F2B"/>
    <w:rsid w:val="00B714C5"/>
    <w:rsid w:val="00B717F1"/>
    <w:rsid w:val="00B758DB"/>
    <w:rsid w:val="00B7768B"/>
    <w:rsid w:val="00B807D7"/>
    <w:rsid w:val="00B81D46"/>
    <w:rsid w:val="00B84731"/>
    <w:rsid w:val="00B914BA"/>
    <w:rsid w:val="00B9278B"/>
    <w:rsid w:val="00B969AE"/>
    <w:rsid w:val="00B9724A"/>
    <w:rsid w:val="00BA19B7"/>
    <w:rsid w:val="00BB2C02"/>
    <w:rsid w:val="00BB4BB4"/>
    <w:rsid w:val="00BB4BC8"/>
    <w:rsid w:val="00BB4E1F"/>
    <w:rsid w:val="00BC4664"/>
    <w:rsid w:val="00BC6557"/>
    <w:rsid w:val="00BD2185"/>
    <w:rsid w:val="00BD56F6"/>
    <w:rsid w:val="00BD7919"/>
    <w:rsid w:val="00BE236D"/>
    <w:rsid w:val="00BE4E89"/>
    <w:rsid w:val="00BE5300"/>
    <w:rsid w:val="00BF057C"/>
    <w:rsid w:val="00BF2B31"/>
    <w:rsid w:val="00BF3474"/>
    <w:rsid w:val="00BF3A32"/>
    <w:rsid w:val="00BF7119"/>
    <w:rsid w:val="00C05635"/>
    <w:rsid w:val="00C07AE9"/>
    <w:rsid w:val="00C07D7D"/>
    <w:rsid w:val="00C1023B"/>
    <w:rsid w:val="00C14C3B"/>
    <w:rsid w:val="00C15399"/>
    <w:rsid w:val="00C24D82"/>
    <w:rsid w:val="00C25842"/>
    <w:rsid w:val="00C26160"/>
    <w:rsid w:val="00C37F9C"/>
    <w:rsid w:val="00C41253"/>
    <w:rsid w:val="00C425C9"/>
    <w:rsid w:val="00C44CC1"/>
    <w:rsid w:val="00C529C3"/>
    <w:rsid w:val="00C536F3"/>
    <w:rsid w:val="00C56110"/>
    <w:rsid w:val="00C633FA"/>
    <w:rsid w:val="00C63C0B"/>
    <w:rsid w:val="00C64F24"/>
    <w:rsid w:val="00C665AB"/>
    <w:rsid w:val="00C672A4"/>
    <w:rsid w:val="00C71259"/>
    <w:rsid w:val="00C7158D"/>
    <w:rsid w:val="00C74434"/>
    <w:rsid w:val="00C751AD"/>
    <w:rsid w:val="00C752FB"/>
    <w:rsid w:val="00C767D2"/>
    <w:rsid w:val="00C82689"/>
    <w:rsid w:val="00C82F83"/>
    <w:rsid w:val="00C935AD"/>
    <w:rsid w:val="00C939B3"/>
    <w:rsid w:val="00C962E4"/>
    <w:rsid w:val="00CA1495"/>
    <w:rsid w:val="00CA1E80"/>
    <w:rsid w:val="00CA2985"/>
    <w:rsid w:val="00CA2E57"/>
    <w:rsid w:val="00CA4251"/>
    <w:rsid w:val="00CA45AA"/>
    <w:rsid w:val="00CA6B65"/>
    <w:rsid w:val="00CB1F74"/>
    <w:rsid w:val="00CB28D6"/>
    <w:rsid w:val="00CC00FF"/>
    <w:rsid w:val="00CC0831"/>
    <w:rsid w:val="00CC22EE"/>
    <w:rsid w:val="00CC38FE"/>
    <w:rsid w:val="00CC3DE7"/>
    <w:rsid w:val="00CD1D01"/>
    <w:rsid w:val="00CD24B5"/>
    <w:rsid w:val="00CD4E49"/>
    <w:rsid w:val="00CD532D"/>
    <w:rsid w:val="00CE4A51"/>
    <w:rsid w:val="00CE72E4"/>
    <w:rsid w:val="00CF09C1"/>
    <w:rsid w:val="00CF21A2"/>
    <w:rsid w:val="00CF69C6"/>
    <w:rsid w:val="00D02687"/>
    <w:rsid w:val="00D03E3C"/>
    <w:rsid w:val="00D04865"/>
    <w:rsid w:val="00D05967"/>
    <w:rsid w:val="00D06ADC"/>
    <w:rsid w:val="00D15C35"/>
    <w:rsid w:val="00D178A9"/>
    <w:rsid w:val="00D21E5B"/>
    <w:rsid w:val="00D265C2"/>
    <w:rsid w:val="00D327C6"/>
    <w:rsid w:val="00D32B4C"/>
    <w:rsid w:val="00D346AA"/>
    <w:rsid w:val="00D373E1"/>
    <w:rsid w:val="00D42089"/>
    <w:rsid w:val="00D42CBB"/>
    <w:rsid w:val="00D433D1"/>
    <w:rsid w:val="00D47CCE"/>
    <w:rsid w:val="00D50829"/>
    <w:rsid w:val="00D508B3"/>
    <w:rsid w:val="00D52423"/>
    <w:rsid w:val="00D53276"/>
    <w:rsid w:val="00D57B1D"/>
    <w:rsid w:val="00D57D47"/>
    <w:rsid w:val="00D6126D"/>
    <w:rsid w:val="00D61BBD"/>
    <w:rsid w:val="00D6461E"/>
    <w:rsid w:val="00D652C2"/>
    <w:rsid w:val="00D6725D"/>
    <w:rsid w:val="00D71C3A"/>
    <w:rsid w:val="00D7401B"/>
    <w:rsid w:val="00D74428"/>
    <w:rsid w:val="00D76E72"/>
    <w:rsid w:val="00D808F9"/>
    <w:rsid w:val="00D80FF0"/>
    <w:rsid w:val="00D82755"/>
    <w:rsid w:val="00DA01BE"/>
    <w:rsid w:val="00DA2112"/>
    <w:rsid w:val="00DA430A"/>
    <w:rsid w:val="00DB19ED"/>
    <w:rsid w:val="00DC050D"/>
    <w:rsid w:val="00DC0B82"/>
    <w:rsid w:val="00DC0FCD"/>
    <w:rsid w:val="00DC355C"/>
    <w:rsid w:val="00DC45FC"/>
    <w:rsid w:val="00DC4CE1"/>
    <w:rsid w:val="00DC5B53"/>
    <w:rsid w:val="00DC62B3"/>
    <w:rsid w:val="00DD0255"/>
    <w:rsid w:val="00DD5E8F"/>
    <w:rsid w:val="00DE31A0"/>
    <w:rsid w:val="00DE32BD"/>
    <w:rsid w:val="00DE5853"/>
    <w:rsid w:val="00DE67F3"/>
    <w:rsid w:val="00DE6B19"/>
    <w:rsid w:val="00DF2462"/>
    <w:rsid w:val="00DF3F2C"/>
    <w:rsid w:val="00DF72BB"/>
    <w:rsid w:val="00E063C2"/>
    <w:rsid w:val="00E07FCD"/>
    <w:rsid w:val="00E20213"/>
    <w:rsid w:val="00E26A73"/>
    <w:rsid w:val="00E30840"/>
    <w:rsid w:val="00E4019D"/>
    <w:rsid w:val="00E405A0"/>
    <w:rsid w:val="00E46C96"/>
    <w:rsid w:val="00E5022D"/>
    <w:rsid w:val="00E619FF"/>
    <w:rsid w:val="00E6375E"/>
    <w:rsid w:val="00E6386E"/>
    <w:rsid w:val="00E74236"/>
    <w:rsid w:val="00E8712C"/>
    <w:rsid w:val="00E87414"/>
    <w:rsid w:val="00E87A25"/>
    <w:rsid w:val="00E90E6A"/>
    <w:rsid w:val="00E915DA"/>
    <w:rsid w:val="00E92589"/>
    <w:rsid w:val="00E930B8"/>
    <w:rsid w:val="00E932A6"/>
    <w:rsid w:val="00E967ED"/>
    <w:rsid w:val="00E975D9"/>
    <w:rsid w:val="00E97641"/>
    <w:rsid w:val="00EA65D0"/>
    <w:rsid w:val="00EA7970"/>
    <w:rsid w:val="00EA7B07"/>
    <w:rsid w:val="00EB3879"/>
    <w:rsid w:val="00EB51B4"/>
    <w:rsid w:val="00EC09A3"/>
    <w:rsid w:val="00EC112D"/>
    <w:rsid w:val="00EC264F"/>
    <w:rsid w:val="00EC49FC"/>
    <w:rsid w:val="00EC4A18"/>
    <w:rsid w:val="00EC6C29"/>
    <w:rsid w:val="00EC7CD5"/>
    <w:rsid w:val="00ED6E86"/>
    <w:rsid w:val="00ED7587"/>
    <w:rsid w:val="00EE4A8B"/>
    <w:rsid w:val="00EE6DDC"/>
    <w:rsid w:val="00EE6F85"/>
    <w:rsid w:val="00EF1D69"/>
    <w:rsid w:val="00EF2733"/>
    <w:rsid w:val="00EF2BB7"/>
    <w:rsid w:val="00EF2DBE"/>
    <w:rsid w:val="00EF53E3"/>
    <w:rsid w:val="00EF7124"/>
    <w:rsid w:val="00F025CD"/>
    <w:rsid w:val="00F049C4"/>
    <w:rsid w:val="00F04E94"/>
    <w:rsid w:val="00F0783F"/>
    <w:rsid w:val="00F07D58"/>
    <w:rsid w:val="00F10377"/>
    <w:rsid w:val="00F15179"/>
    <w:rsid w:val="00F21B1F"/>
    <w:rsid w:val="00F23572"/>
    <w:rsid w:val="00F235CA"/>
    <w:rsid w:val="00F2465C"/>
    <w:rsid w:val="00F3078E"/>
    <w:rsid w:val="00F3602A"/>
    <w:rsid w:val="00F41D6E"/>
    <w:rsid w:val="00F43C5D"/>
    <w:rsid w:val="00F46710"/>
    <w:rsid w:val="00F5081F"/>
    <w:rsid w:val="00F52793"/>
    <w:rsid w:val="00F60760"/>
    <w:rsid w:val="00F611B6"/>
    <w:rsid w:val="00F62E0F"/>
    <w:rsid w:val="00F64372"/>
    <w:rsid w:val="00F652CD"/>
    <w:rsid w:val="00F707DB"/>
    <w:rsid w:val="00F8130D"/>
    <w:rsid w:val="00F819A7"/>
    <w:rsid w:val="00F82833"/>
    <w:rsid w:val="00F8737E"/>
    <w:rsid w:val="00F92A26"/>
    <w:rsid w:val="00F9407C"/>
    <w:rsid w:val="00F9729B"/>
    <w:rsid w:val="00FA26C2"/>
    <w:rsid w:val="00FA3E30"/>
    <w:rsid w:val="00FA51BF"/>
    <w:rsid w:val="00FA7224"/>
    <w:rsid w:val="00FB4FF3"/>
    <w:rsid w:val="00FB798C"/>
    <w:rsid w:val="00FC3EEF"/>
    <w:rsid w:val="00FD217C"/>
    <w:rsid w:val="00FD3188"/>
    <w:rsid w:val="00FD5821"/>
    <w:rsid w:val="00FE33C7"/>
    <w:rsid w:val="00FE424A"/>
    <w:rsid w:val="00FF047E"/>
    <w:rsid w:val="00FF30DD"/>
    <w:rsid w:val="00FF42DC"/>
    <w:rsid w:val="00FF4A29"/>
    <w:rsid w:val="00FF5A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E7"/>
    <w:pPr>
      <w:spacing w:after="0" w:line="288" w:lineRule="auto"/>
      <w:jc w:val="both"/>
    </w:pPr>
    <w:rPr>
      <w:rFonts w:ascii="Times New Roman" w:eastAsia="Times New Roman" w:hAnsi="Times New Roman" w:cs="Times New Roman"/>
      <w:lang w:val="en-GB"/>
    </w:rPr>
  </w:style>
  <w:style w:type="paragraph" w:styleId="Heading1">
    <w:name w:val="heading 1"/>
    <w:basedOn w:val="Normal"/>
    <w:next w:val="Normal"/>
    <w:link w:val="Heading1Char"/>
    <w:qFormat/>
    <w:rsid w:val="00442EED"/>
    <w:pPr>
      <w:numPr>
        <w:numId w:val="1"/>
      </w:numPr>
      <w:outlineLvl w:val="0"/>
    </w:pPr>
    <w:rPr>
      <w:kern w:val="28"/>
    </w:rPr>
  </w:style>
  <w:style w:type="paragraph" w:styleId="Heading2">
    <w:name w:val="heading 2"/>
    <w:basedOn w:val="Normal"/>
    <w:next w:val="Normal"/>
    <w:link w:val="Heading2Char"/>
    <w:qFormat/>
    <w:rsid w:val="00442EED"/>
    <w:pPr>
      <w:numPr>
        <w:ilvl w:val="1"/>
        <w:numId w:val="1"/>
      </w:numPr>
      <w:outlineLvl w:val="1"/>
    </w:pPr>
  </w:style>
  <w:style w:type="paragraph" w:styleId="Heading3">
    <w:name w:val="heading 3"/>
    <w:basedOn w:val="Normal"/>
    <w:next w:val="Normal"/>
    <w:link w:val="Heading3Char"/>
    <w:qFormat/>
    <w:rsid w:val="00442EED"/>
    <w:pPr>
      <w:numPr>
        <w:ilvl w:val="2"/>
        <w:numId w:val="1"/>
      </w:numPr>
      <w:outlineLvl w:val="2"/>
    </w:pPr>
  </w:style>
  <w:style w:type="paragraph" w:styleId="Heading4">
    <w:name w:val="heading 4"/>
    <w:basedOn w:val="Normal"/>
    <w:next w:val="Normal"/>
    <w:link w:val="Heading4Char"/>
    <w:qFormat/>
    <w:rsid w:val="00442EED"/>
    <w:pPr>
      <w:numPr>
        <w:ilvl w:val="3"/>
        <w:numId w:val="1"/>
      </w:numPr>
      <w:outlineLvl w:val="3"/>
    </w:pPr>
  </w:style>
  <w:style w:type="paragraph" w:styleId="Heading5">
    <w:name w:val="heading 5"/>
    <w:basedOn w:val="Normal"/>
    <w:next w:val="Normal"/>
    <w:link w:val="Heading5Char"/>
    <w:qFormat/>
    <w:rsid w:val="00442EED"/>
    <w:pPr>
      <w:numPr>
        <w:ilvl w:val="4"/>
        <w:numId w:val="1"/>
      </w:numPr>
      <w:outlineLvl w:val="4"/>
    </w:pPr>
  </w:style>
  <w:style w:type="paragraph" w:styleId="Heading6">
    <w:name w:val="heading 6"/>
    <w:basedOn w:val="Normal"/>
    <w:next w:val="Normal"/>
    <w:link w:val="Heading6Char"/>
    <w:qFormat/>
    <w:rsid w:val="00442EED"/>
    <w:pPr>
      <w:numPr>
        <w:ilvl w:val="5"/>
        <w:numId w:val="1"/>
      </w:numPr>
      <w:outlineLvl w:val="5"/>
    </w:pPr>
  </w:style>
  <w:style w:type="paragraph" w:styleId="Heading7">
    <w:name w:val="heading 7"/>
    <w:basedOn w:val="Normal"/>
    <w:next w:val="Normal"/>
    <w:link w:val="Heading7Char"/>
    <w:qFormat/>
    <w:rsid w:val="00442EED"/>
    <w:pPr>
      <w:numPr>
        <w:ilvl w:val="6"/>
        <w:numId w:val="1"/>
      </w:numPr>
      <w:outlineLvl w:val="6"/>
    </w:pPr>
  </w:style>
  <w:style w:type="paragraph" w:styleId="Heading8">
    <w:name w:val="heading 8"/>
    <w:basedOn w:val="Normal"/>
    <w:next w:val="Normal"/>
    <w:link w:val="Heading8Char"/>
    <w:qFormat/>
    <w:rsid w:val="00442EED"/>
    <w:pPr>
      <w:numPr>
        <w:ilvl w:val="7"/>
        <w:numId w:val="1"/>
      </w:numPr>
      <w:outlineLvl w:val="7"/>
    </w:pPr>
  </w:style>
  <w:style w:type="paragraph" w:styleId="Heading9">
    <w:name w:val="heading 9"/>
    <w:basedOn w:val="Normal"/>
    <w:next w:val="Normal"/>
    <w:link w:val="Heading9Char"/>
    <w:qFormat/>
    <w:rsid w:val="00442EE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BB7"/>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EF2BB7"/>
    <w:rPr>
      <w:rFonts w:ascii="Times New Roman" w:eastAsia="Times New Roman" w:hAnsi="Times New Roman" w:cs="Times New Roman"/>
      <w:lang w:val="en-US"/>
    </w:rPr>
  </w:style>
  <w:style w:type="character" w:customStyle="1" w:styleId="Heading3Char">
    <w:name w:val="Heading 3 Char"/>
    <w:basedOn w:val="DefaultParagraphFont"/>
    <w:link w:val="Heading3"/>
    <w:rsid w:val="00EF2BB7"/>
    <w:rPr>
      <w:rFonts w:ascii="Times New Roman" w:eastAsia="Times New Roman" w:hAnsi="Times New Roman" w:cs="Times New Roman"/>
      <w:lang w:val="en-US"/>
    </w:rPr>
  </w:style>
  <w:style w:type="character" w:customStyle="1" w:styleId="Heading4Char">
    <w:name w:val="Heading 4 Char"/>
    <w:basedOn w:val="DefaultParagraphFont"/>
    <w:link w:val="Heading4"/>
    <w:rsid w:val="00EF2BB7"/>
    <w:rPr>
      <w:rFonts w:ascii="Times New Roman" w:eastAsia="Times New Roman" w:hAnsi="Times New Roman" w:cs="Times New Roman"/>
      <w:lang w:val="en-US"/>
    </w:rPr>
  </w:style>
  <w:style w:type="character" w:customStyle="1" w:styleId="Heading5Char">
    <w:name w:val="Heading 5 Char"/>
    <w:basedOn w:val="DefaultParagraphFont"/>
    <w:link w:val="Heading5"/>
    <w:rsid w:val="00EF2BB7"/>
    <w:rPr>
      <w:rFonts w:ascii="Times New Roman" w:eastAsia="Times New Roman" w:hAnsi="Times New Roman" w:cs="Times New Roman"/>
      <w:lang w:val="en-US"/>
    </w:rPr>
  </w:style>
  <w:style w:type="character" w:customStyle="1" w:styleId="Heading6Char">
    <w:name w:val="Heading 6 Char"/>
    <w:basedOn w:val="DefaultParagraphFont"/>
    <w:link w:val="Heading6"/>
    <w:rsid w:val="00EF2BB7"/>
    <w:rPr>
      <w:rFonts w:ascii="Times New Roman" w:eastAsia="Times New Roman" w:hAnsi="Times New Roman" w:cs="Times New Roman"/>
      <w:lang w:val="en-US"/>
    </w:rPr>
  </w:style>
  <w:style w:type="character" w:customStyle="1" w:styleId="Heading7Char">
    <w:name w:val="Heading 7 Char"/>
    <w:basedOn w:val="DefaultParagraphFont"/>
    <w:link w:val="Heading7"/>
    <w:rsid w:val="00EF2BB7"/>
    <w:rPr>
      <w:rFonts w:ascii="Times New Roman" w:eastAsia="Times New Roman" w:hAnsi="Times New Roman" w:cs="Times New Roman"/>
      <w:lang w:val="en-US"/>
    </w:rPr>
  </w:style>
  <w:style w:type="character" w:customStyle="1" w:styleId="Heading8Char">
    <w:name w:val="Heading 8 Char"/>
    <w:basedOn w:val="DefaultParagraphFont"/>
    <w:link w:val="Heading8"/>
    <w:rsid w:val="00EF2BB7"/>
    <w:rPr>
      <w:rFonts w:ascii="Times New Roman" w:eastAsia="Times New Roman" w:hAnsi="Times New Roman" w:cs="Times New Roman"/>
      <w:lang w:val="en-US"/>
    </w:rPr>
  </w:style>
  <w:style w:type="character" w:customStyle="1" w:styleId="Heading9Char">
    <w:name w:val="Heading 9 Char"/>
    <w:basedOn w:val="DefaultParagraphFont"/>
    <w:link w:val="Heading9"/>
    <w:rsid w:val="00EF2BB7"/>
    <w:rPr>
      <w:rFonts w:ascii="Times New Roman" w:eastAsia="Times New Roman" w:hAnsi="Times New Roman" w:cs="Times New Roman"/>
      <w:lang w:val="en-US"/>
    </w:rPr>
  </w:style>
  <w:style w:type="paragraph" w:styleId="Footer">
    <w:name w:val="footer"/>
    <w:basedOn w:val="Normal"/>
    <w:link w:val="FooterChar"/>
    <w:qFormat/>
    <w:rsid w:val="00442EED"/>
  </w:style>
  <w:style w:type="character" w:customStyle="1" w:styleId="FooterChar">
    <w:name w:val="Footer Char"/>
    <w:basedOn w:val="DefaultParagraphFont"/>
    <w:link w:val="Footer"/>
    <w:rsid w:val="00EF2BB7"/>
    <w:rPr>
      <w:rFonts w:ascii="Times New Roman" w:eastAsia="Times New Roman" w:hAnsi="Times New Roman" w:cs="Times New Roman"/>
      <w:lang w:val="en-GB"/>
    </w:rPr>
  </w:style>
  <w:style w:type="paragraph" w:styleId="FootnoteText">
    <w:name w:val="footnote text"/>
    <w:basedOn w:val="Normal"/>
    <w:link w:val="FootnoteTextChar"/>
    <w:qFormat/>
    <w:rsid w:val="00442EED"/>
    <w:pPr>
      <w:keepLines/>
      <w:spacing w:after="60" w:line="240" w:lineRule="auto"/>
      <w:ind w:left="567" w:hanging="567"/>
    </w:pPr>
    <w:rPr>
      <w:sz w:val="16"/>
    </w:rPr>
  </w:style>
  <w:style w:type="character" w:customStyle="1" w:styleId="FootnoteTextChar">
    <w:name w:val="Footnote Text Char"/>
    <w:basedOn w:val="DefaultParagraphFont"/>
    <w:link w:val="FootnoteText"/>
    <w:rsid w:val="00EF2BB7"/>
    <w:rPr>
      <w:rFonts w:ascii="Times New Roman" w:eastAsia="Times New Roman" w:hAnsi="Times New Roman" w:cs="Times New Roman"/>
      <w:sz w:val="16"/>
      <w:lang w:val="en-US"/>
    </w:rPr>
  </w:style>
  <w:style w:type="paragraph" w:styleId="Header">
    <w:name w:val="header"/>
    <w:basedOn w:val="Normal"/>
    <w:link w:val="HeaderChar"/>
    <w:qFormat/>
    <w:rsid w:val="00442EED"/>
  </w:style>
  <w:style w:type="character" w:customStyle="1" w:styleId="HeaderChar">
    <w:name w:val="Header Char"/>
    <w:basedOn w:val="DefaultParagraphFont"/>
    <w:link w:val="Header"/>
    <w:rsid w:val="00EF2BB7"/>
    <w:rPr>
      <w:rFonts w:ascii="Times New Roman" w:eastAsia="Times New Roman" w:hAnsi="Times New Roman" w:cs="Times New Roman"/>
      <w:lang w:val="en-GB"/>
    </w:rPr>
  </w:style>
  <w:style w:type="paragraph" w:customStyle="1" w:styleId="quotes">
    <w:name w:val="quotes"/>
    <w:basedOn w:val="Normal"/>
    <w:next w:val="Normal"/>
    <w:rsid w:val="00442EED"/>
    <w:pPr>
      <w:ind w:left="720"/>
    </w:pPr>
    <w:rPr>
      <w:i/>
    </w:rPr>
  </w:style>
  <w:style w:type="character" w:styleId="FootnoteReference">
    <w:name w:val="footnote reference"/>
    <w:basedOn w:val="DefaultParagraphFont"/>
    <w:unhideWhenUsed/>
    <w:qFormat/>
    <w:rsid w:val="00442EED"/>
    <w:rPr>
      <w:sz w:val="24"/>
      <w:vertAlign w:val="superscript"/>
    </w:rPr>
  </w:style>
  <w:style w:type="paragraph" w:styleId="BalloonText">
    <w:name w:val="Balloon Text"/>
    <w:basedOn w:val="Normal"/>
    <w:link w:val="BalloonTextChar"/>
    <w:uiPriority w:val="99"/>
    <w:semiHidden/>
    <w:unhideWhenUsed/>
    <w:rsid w:val="00442E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EED"/>
    <w:rPr>
      <w:rFonts w:ascii="Tahoma" w:eastAsia="Times New Roman" w:hAnsi="Tahoma" w:cs="Tahoma"/>
      <w:sz w:val="16"/>
      <w:szCs w:val="16"/>
      <w:lang w:val="en-US"/>
    </w:rPr>
  </w:style>
  <w:style w:type="character" w:styleId="Hyperlink">
    <w:name w:val="Hyperlink"/>
    <w:basedOn w:val="DefaultParagraphFont"/>
    <w:uiPriority w:val="99"/>
    <w:unhideWhenUsed/>
    <w:rsid w:val="008A152E"/>
    <w:rPr>
      <w:color w:val="0000FF" w:themeColor="hyperlink"/>
      <w:u w:val="single"/>
    </w:rPr>
  </w:style>
  <w:style w:type="character" w:styleId="CommentReference">
    <w:name w:val="annotation reference"/>
    <w:basedOn w:val="DefaultParagraphFont"/>
    <w:uiPriority w:val="99"/>
    <w:semiHidden/>
    <w:unhideWhenUsed/>
    <w:rsid w:val="00C536F3"/>
    <w:rPr>
      <w:sz w:val="16"/>
      <w:szCs w:val="16"/>
    </w:rPr>
  </w:style>
  <w:style w:type="paragraph" w:styleId="CommentText">
    <w:name w:val="annotation text"/>
    <w:basedOn w:val="Normal"/>
    <w:link w:val="CommentTextChar"/>
    <w:uiPriority w:val="99"/>
    <w:unhideWhenUsed/>
    <w:rsid w:val="00C536F3"/>
    <w:pPr>
      <w:spacing w:line="240" w:lineRule="auto"/>
    </w:pPr>
    <w:rPr>
      <w:sz w:val="20"/>
      <w:szCs w:val="20"/>
    </w:rPr>
  </w:style>
  <w:style w:type="character" w:customStyle="1" w:styleId="CommentTextChar">
    <w:name w:val="Comment Text Char"/>
    <w:basedOn w:val="DefaultParagraphFont"/>
    <w:link w:val="CommentText"/>
    <w:uiPriority w:val="99"/>
    <w:rsid w:val="00C536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36F3"/>
    <w:rPr>
      <w:b/>
      <w:bCs/>
    </w:rPr>
  </w:style>
  <w:style w:type="character" w:customStyle="1" w:styleId="CommentSubjectChar">
    <w:name w:val="Comment Subject Char"/>
    <w:basedOn w:val="CommentTextChar"/>
    <w:link w:val="CommentSubject"/>
    <w:uiPriority w:val="99"/>
    <w:semiHidden/>
    <w:rsid w:val="00C536F3"/>
    <w:rPr>
      <w:rFonts w:ascii="Times New Roman" w:eastAsia="Times New Roman" w:hAnsi="Times New Roman" w:cs="Times New Roman"/>
      <w:b/>
      <w:bCs/>
      <w:sz w:val="20"/>
      <w:szCs w:val="20"/>
      <w:lang w:val="en-GB"/>
    </w:rPr>
  </w:style>
  <w:style w:type="paragraph" w:styleId="Revision">
    <w:name w:val="Revision"/>
    <w:hidden/>
    <w:uiPriority w:val="99"/>
    <w:semiHidden/>
    <w:rsid w:val="00806165"/>
    <w:pPr>
      <w:spacing w:after="0" w:line="240" w:lineRule="auto"/>
    </w:pPr>
    <w:rPr>
      <w:rFonts w:ascii="Times New Roman" w:eastAsia="Times New Roman" w:hAnsi="Times New Roman" w:cs="Times New Roman"/>
      <w:lang w:val="en-GB"/>
    </w:rPr>
  </w:style>
  <w:style w:type="paragraph" w:styleId="ListParagraph">
    <w:name w:val="List Paragraph"/>
    <w:basedOn w:val="Normal"/>
    <w:uiPriority w:val="34"/>
    <w:qFormat/>
    <w:rsid w:val="00DC62B3"/>
    <w:pPr>
      <w:ind w:left="720"/>
      <w:contextualSpacing/>
    </w:pPr>
    <w:rPr>
      <w:lang w:val="en-US"/>
    </w:rPr>
  </w:style>
  <w:style w:type="table" w:styleId="TableGrid">
    <w:name w:val="Table Grid"/>
    <w:basedOn w:val="TableNormal"/>
    <w:uiPriority w:val="59"/>
    <w:rsid w:val="0002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200">
      <w:bodyDiv w:val="1"/>
      <w:marLeft w:val="0"/>
      <w:marRight w:val="0"/>
      <w:marTop w:val="0"/>
      <w:marBottom w:val="0"/>
      <w:divBdr>
        <w:top w:val="none" w:sz="0" w:space="0" w:color="auto"/>
        <w:left w:val="none" w:sz="0" w:space="0" w:color="auto"/>
        <w:bottom w:val="none" w:sz="0" w:space="0" w:color="auto"/>
        <w:right w:val="none" w:sz="0" w:space="0" w:color="auto"/>
      </w:divBdr>
    </w:div>
    <w:div w:id="204635622">
      <w:bodyDiv w:val="1"/>
      <w:marLeft w:val="0"/>
      <w:marRight w:val="0"/>
      <w:marTop w:val="0"/>
      <w:marBottom w:val="0"/>
      <w:divBdr>
        <w:top w:val="none" w:sz="0" w:space="0" w:color="auto"/>
        <w:left w:val="none" w:sz="0" w:space="0" w:color="auto"/>
        <w:bottom w:val="none" w:sz="0" w:space="0" w:color="auto"/>
        <w:right w:val="none" w:sz="0" w:space="0" w:color="auto"/>
      </w:divBdr>
    </w:div>
    <w:div w:id="561332855">
      <w:bodyDiv w:val="1"/>
      <w:marLeft w:val="0"/>
      <w:marRight w:val="0"/>
      <w:marTop w:val="0"/>
      <w:marBottom w:val="0"/>
      <w:divBdr>
        <w:top w:val="none" w:sz="0" w:space="0" w:color="auto"/>
        <w:left w:val="none" w:sz="0" w:space="0" w:color="auto"/>
        <w:bottom w:val="none" w:sz="0" w:space="0" w:color="auto"/>
        <w:right w:val="none" w:sz="0" w:space="0" w:color="auto"/>
      </w:divBdr>
    </w:div>
    <w:div w:id="694231570">
      <w:bodyDiv w:val="1"/>
      <w:marLeft w:val="0"/>
      <w:marRight w:val="0"/>
      <w:marTop w:val="0"/>
      <w:marBottom w:val="0"/>
      <w:divBdr>
        <w:top w:val="none" w:sz="0" w:space="0" w:color="auto"/>
        <w:left w:val="none" w:sz="0" w:space="0" w:color="auto"/>
        <w:bottom w:val="none" w:sz="0" w:space="0" w:color="auto"/>
        <w:right w:val="none" w:sz="0" w:space="0" w:color="auto"/>
      </w:divBdr>
    </w:div>
    <w:div w:id="878594456">
      <w:bodyDiv w:val="1"/>
      <w:marLeft w:val="0"/>
      <w:marRight w:val="0"/>
      <w:marTop w:val="0"/>
      <w:marBottom w:val="0"/>
      <w:divBdr>
        <w:top w:val="none" w:sz="0" w:space="0" w:color="auto"/>
        <w:left w:val="none" w:sz="0" w:space="0" w:color="auto"/>
        <w:bottom w:val="none" w:sz="0" w:space="0" w:color="auto"/>
        <w:right w:val="none" w:sz="0" w:space="0" w:color="auto"/>
      </w:divBdr>
    </w:div>
    <w:div w:id="1161315640">
      <w:bodyDiv w:val="1"/>
      <w:marLeft w:val="0"/>
      <w:marRight w:val="0"/>
      <w:marTop w:val="0"/>
      <w:marBottom w:val="0"/>
      <w:divBdr>
        <w:top w:val="none" w:sz="0" w:space="0" w:color="auto"/>
        <w:left w:val="none" w:sz="0" w:space="0" w:color="auto"/>
        <w:bottom w:val="none" w:sz="0" w:space="0" w:color="auto"/>
        <w:right w:val="none" w:sz="0" w:space="0" w:color="auto"/>
      </w:divBdr>
    </w:div>
    <w:div w:id="1208879552">
      <w:bodyDiv w:val="1"/>
      <w:marLeft w:val="0"/>
      <w:marRight w:val="0"/>
      <w:marTop w:val="0"/>
      <w:marBottom w:val="0"/>
      <w:divBdr>
        <w:top w:val="none" w:sz="0" w:space="0" w:color="auto"/>
        <w:left w:val="none" w:sz="0" w:space="0" w:color="auto"/>
        <w:bottom w:val="none" w:sz="0" w:space="0" w:color="auto"/>
        <w:right w:val="none" w:sz="0" w:space="0" w:color="auto"/>
      </w:divBdr>
    </w:div>
    <w:div w:id="1212496282">
      <w:bodyDiv w:val="1"/>
      <w:marLeft w:val="0"/>
      <w:marRight w:val="0"/>
      <w:marTop w:val="0"/>
      <w:marBottom w:val="0"/>
      <w:divBdr>
        <w:top w:val="none" w:sz="0" w:space="0" w:color="auto"/>
        <w:left w:val="none" w:sz="0" w:space="0" w:color="auto"/>
        <w:bottom w:val="none" w:sz="0" w:space="0" w:color="auto"/>
        <w:right w:val="none" w:sz="0" w:space="0" w:color="auto"/>
      </w:divBdr>
    </w:div>
    <w:div w:id="1251617071">
      <w:bodyDiv w:val="1"/>
      <w:marLeft w:val="0"/>
      <w:marRight w:val="0"/>
      <w:marTop w:val="0"/>
      <w:marBottom w:val="0"/>
      <w:divBdr>
        <w:top w:val="none" w:sz="0" w:space="0" w:color="auto"/>
        <w:left w:val="none" w:sz="0" w:space="0" w:color="auto"/>
        <w:bottom w:val="none" w:sz="0" w:space="0" w:color="auto"/>
        <w:right w:val="none" w:sz="0" w:space="0" w:color="auto"/>
      </w:divBdr>
    </w:div>
    <w:div w:id="1357610739">
      <w:bodyDiv w:val="1"/>
      <w:marLeft w:val="0"/>
      <w:marRight w:val="0"/>
      <w:marTop w:val="0"/>
      <w:marBottom w:val="0"/>
      <w:divBdr>
        <w:top w:val="none" w:sz="0" w:space="0" w:color="auto"/>
        <w:left w:val="none" w:sz="0" w:space="0" w:color="auto"/>
        <w:bottom w:val="none" w:sz="0" w:space="0" w:color="auto"/>
        <w:right w:val="none" w:sz="0" w:space="0" w:color="auto"/>
      </w:divBdr>
    </w:div>
    <w:div w:id="1408189536">
      <w:bodyDiv w:val="1"/>
      <w:marLeft w:val="0"/>
      <w:marRight w:val="0"/>
      <w:marTop w:val="0"/>
      <w:marBottom w:val="0"/>
      <w:divBdr>
        <w:top w:val="none" w:sz="0" w:space="0" w:color="auto"/>
        <w:left w:val="none" w:sz="0" w:space="0" w:color="auto"/>
        <w:bottom w:val="none" w:sz="0" w:space="0" w:color="auto"/>
        <w:right w:val="none" w:sz="0" w:space="0" w:color="auto"/>
      </w:divBdr>
    </w:div>
    <w:div w:id="1446458942">
      <w:bodyDiv w:val="1"/>
      <w:marLeft w:val="0"/>
      <w:marRight w:val="0"/>
      <w:marTop w:val="0"/>
      <w:marBottom w:val="0"/>
      <w:divBdr>
        <w:top w:val="none" w:sz="0" w:space="0" w:color="auto"/>
        <w:left w:val="none" w:sz="0" w:space="0" w:color="auto"/>
        <w:bottom w:val="none" w:sz="0" w:space="0" w:color="auto"/>
        <w:right w:val="none" w:sz="0" w:space="0" w:color="auto"/>
      </w:divBdr>
    </w:div>
    <w:div w:id="1726834308">
      <w:bodyDiv w:val="1"/>
      <w:marLeft w:val="0"/>
      <w:marRight w:val="0"/>
      <w:marTop w:val="0"/>
      <w:marBottom w:val="0"/>
      <w:divBdr>
        <w:top w:val="none" w:sz="0" w:space="0" w:color="auto"/>
        <w:left w:val="none" w:sz="0" w:space="0" w:color="auto"/>
        <w:bottom w:val="none" w:sz="0" w:space="0" w:color="auto"/>
        <w:right w:val="none" w:sz="0" w:space="0" w:color="auto"/>
      </w:divBdr>
    </w:div>
    <w:div w:id="1994214512">
      <w:bodyDiv w:val="1"/>
      <w:marLeft w:val="0"/>
      <w:marRight w:val="0"/>
      <w:marTop w:val="0"/>
      <w:marBottom w:val="0"/>
      <w:divBdr>
        <w:top w:val="none" w:sz="0" w:space="0" w:color="auto"/>
        <w:left w:val="none" w:sz="0" w:space="0" w:color="auto"/>
        <w:bottom w:val="none" w:sz="0" w:space="0" w:color="auto"/>
        <w:right w:val="none" w:sz="0" w:space="0" w:color="auto"/>
      </w:divBdr>
    </w:div>
    <w:div w:id="20679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A6WAAD5KZT2Q-284857674-7138</_dlc_DocId>
    <_dlc_DocIdUrl xmlns="1a33af13-4045-4f88-9d7b-618e30f79918">
      <Url>http://dm/eesc/2025/_layouts/15/DocIdRedir.aspx?ID=A6WAAD5KZT2Q-284857674-7138</Url>
      <Description>A6WAAD5KZT2Q-284857674-7138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2026-01-19T12:00:00+00:00</ProductionDate>
    <FicheYear xmlns="1a33af13-4045-4f88-9d7b-618e30f79918" xsi:nil="true"/>
    <DocumentNumber xmlns="27994258-8564-426c-a7a1-d6286d62992e">3319</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298759</FicheNumber>
    <OriginalSender xmlns="1a33af13-4045-4f88-9d7b-618e30f79918">
      <UserInfo>
        <DisplayName>TDriveSVCUserProd</DisplayName>
        <AccountId>1358</AccountId>
        <AccountType/>
      </UserInfo>
    </OriginalSender>
    <DocumentPart xmlns="1a33af13-4045-4f88-9d7b-618e30f79918">2</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7EDADE-1CC7-4DB1-BF95-F67714D6C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00E94-2620-4F48-BC89-3B28D1F17F67}">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3.xml><?xml version="1.0" encoding="utf-8"?>
<ds:datastoreItem xmlns:ds="http://schemas.openxmlformats.org/officeDocument/2006/customXml" ds:itemID="{B564CF01-5048-4FEF-AA7A-9216130A77B1}">
  <ds:schemaRefs>
    <ds:schemaRef ds:uri="http://schemas.microsoft.com/sharepoint/v3/contenttype/forms"/>
  </ds:schemaRefs>
</ds:datastoreItem>
</file>

<file path=customXml/itemProps4.xml><?xml version="1.0" encoding="utf-8"?>
<ds:datastoreItem xmlns:ds="http://schemas.openxmlformats.org/officeDocument/2006/customXml" ds:itemID="{300A676D-1280-45F5-9240-58382C6A82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3564</Words>
  <Characters>20208</Characters>
  <Application>Microsoft Office Word</Application>
  <DocSecurity>0</DocSecurity>
  <Lines>309</Lines>
  <Paragraphs>50</Paragraphs>
  <ScaleCrop>false</ScaleCrop>
  <HeadingPairs>
    <vt:vector size="2" baseType="variant">
      <vt:variant>
        <vt:lpstr>Title</vt:lpstr>
      </vt:variant>
      <vt:variant>
        <vt:i4>1</vt:i4>
      </vt:variant>
    </vt:vector>
  </HeadingPairs>
  <TitlesOfParts>
    <vt:vector size="1" baseType="lpstr">
      <vt:lpstr>ECO priorities for 2023 and beyond</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 priorities for 2026 and beyond - final version</dc:title>
  <dc:subject>Information document</dc:subject>
  <dc:creator/>
  <cp:keywords>EESC-2025-03319-02-00-INFO-TRA-EN</cp:keywords>
  <dc:description>Rapporteur: -  Original language: - EN Date of document: - 19/01/2026 Date of meeting: -  External documents: -  Administrator responsible: - M. MARCHLEWITZ Gilbert</dc:description>
  <cp:lastModifiedBy/>
  <cp:revision>1</cp:revision>
  <cp:lastPrinted>2023-10-25T09:32:00Z</cp:lastPrinted>
  <dcterms:created xsi:type="dcterms:W3CDTF">2026-04-15T14:12:00Z</dcterms:created>
  <dcterms:modified xsi:type="dcterms:W3CDTF">2026-04-15T14:12:00Z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19/01/2026, 12/10/2023, 14/12/2020, 09/12/2020, 09/12/2020</vt:lpwstr>
  </property>
  <property fmtid="{D5CDD505-2E9C-101B-9397-08002B2CF9AE}" pid="4" name="Pref_Time">
    <vt:lpwstr>08:54:28, 12:23:29, 08:49:45, 09:39:07, 09:31:52</vt:lpwstr>
  </property>
  <property fmtid="{D5CDD505-2E9C-101B-9397-08002B2CF9AE}" pid="5" name="Pref_User">
    <vt:lpwstr>pacup, enied, enied, hnic, htoo</vt:lpwstr>
  </property>
  <property fmtid="{D5CDD505-2E9C-101B-9397-08002B2CF9AE}" pid="6" name="Pref_FileName">
    <vt:lpwstr>EESC-2025-03319-02-00-INFO-ORI.docx, EESC-2023-04567-00-00-TCD-TRA-EN-CRR.docx, EESC-2020-05479-00-01-TCD-ORI.docx, EESC-2020-05479-00-00-TCD-TRA-EN-CRR.docx, EESC-2020-05479-00-00-TCD-CRR-EN.docx</vt:lpwstr>
  </property>
  <property fmtid="{D5CDD505-2E9C-101B-9397-08002B2CF9AE}" pid="7" name="ContentTypeId">
    <vt:lpwstr>0x010100EA97B91038054C99906057A708A1480A00B192796EE9568A4C8E77C6EF5F22B614</vt:lpwstr>
  </property>
  <property fmtid="{D5CDD505-2E9C-101B-9397-08002B2CF9AE}" pid="8" name="_dlc_DocIdItemGuid">
    <vt:lpwstr>35718f6e-f57c-440e-adf9-022783594508</vt:lpwstr>
  </property>
  <property fmtid="{D5CDD505-2E9C-101B-9397-08002B2CF9AE}" pid="9" name="AvailableTranslations">
    <vt:lpwstr>5;#EN|f2175f21-25d7-44a3-96da-d6a61b075e1b;#12;#FR|d2afafd3-4c81-4f60-8f52-ee33f2f54ff3</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3319</vt:i4>
  </property>
  <property fmtid="{D5CDD505-2E9C-101B-9397-08002B2CF9AE}" pid="14" name="FicheYear">
    <vt:i4>2025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2</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Union économique et monétaire et cohésion économique et sociale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13;#TRA|150d2a88-1431-44e6-a8ca-0bb753ab8672;#9;#INFO|d9136e7c-93a9-4c42-9d28-92b61e85f80c;#8;#Final|ea5e6674-7b27-4bac-b091-73adbb394efe;#6;#Internal|2451815e-8241-4bbf-a22e-1ab710712bf2;#5;#EN|f2175f21-25d7-44a3-96da-d6a61b075e1b;#1;#EESC|422833ec-8d7e-4e65-8e4e-8bed07ffb729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565</vt:i4>
  </property>
  <property fmtid="{D5CDD505-2E9C-101B-9397-08002B2CF9AE}" pid="35" name="DocumentLanguage">
    <vt:lpwstr>5;#EN|f2175f21-25d7-44a3-96da-d6a61b075e1b</vt:lpwstr>
  </property>
  <property fmtid="{D5CDD505-2E9C-101B-9397-08002B2CF9AE}" pid="36" name="_docset_NoMedatataSyncRequired">
    <vt:lpwstr>False</vt:lpwstr>
  </property>
</Properties>
</file>