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442552" w14:paraId="7E6372DC" w14:textId="77777777" w:rsidTr="6A25BB69">
        <w:trPr>
          <w:jc w:val="center"/>
        </w:trPr>
        <w:tc>
          <w:tcPr>
            <w:tcW w:w="10243" w:type="dxa"/>
          </w:tcPr>
          <w:p w14:paraId="3A4EDC3A" w14:textId="1EE2DF99" w:rsidR="001C4138" w:rsidRPr="004F6117" w:rsidRDefault="006A1F99" w:rsidP="006A1F99">
            <w:pPr>
              <w:spacing w:before="120" w:after="120"/>
              <w:rPr>
                <w:rFonts w:ascii="Times New Roman" w:hAnsi="Times New Roman"/>
                <w:b/>
                <w:sz w:val="24"/>
                <w:szCs w:val="24"/>
              </w:rPr>
            </w:pPr>
            <w:r w:rsidRPr="006A1F99">
              <w:rPr>
                <w:rFonts w:ascii="Times New Roman" w:hAnsi="Times New Roman"/>
                <w:b/>
                <w:sz w:val="24"/>
                <w:szCs w:val="24"/>
              </w:rPr>
              <w:t>Proposal for a regulation on Erasmus+ (2028-2034)</w:t>
            </w:r>
            <w:r>
              <w:rPr>
                <w:rFonts w:ascii="Times New Roman" w:hAnsi="Times New Roman"/>
                <w:b/>
                <w:sz w:val="24"/>
                <w:szCs w:val="24"/>
              </w:rPr>
              <w:t xml:space="preserve"> </w:t>
            </w:r>
            <w:r w:rsidR="00554137">
              <w:rPr>
                <w:rFonts w:ascii="Times New Roman" w:hAnsi="Times New Roman"/>
                <w:b/>
                <w:sz w:val="24"/>
                <w:szCs w:val="24"/>
              </w:rPr>
              <w:br/>
            </w:r>
            <w:r w:rsidR="00944063">
              <w:rPr>
                <w:rFonts w:ascii="Times New Roman" w:hAnsi="Times New Roman"/>
                <w:b/>
                <w:sz w:val="24"/>
                <w:szCs w:val="24"/>
                <w:lang w:val="en-IE"/>
              </w:rPr>
              <w:t>(mandatory</w:t>
            </w:r>
            <w:r w:rsidR="00A062E5">
              <w:rPr>
                <w:rFonts w:ascii="Times New Roman" w:hAnsi="Times New Roman"/>
                <w:b/>
                <w:sz w:val="24"/>
                <w:szCs w:val="24"/>
                <w:lang w:val="en-IE"/>
              </w:rPr>
              <w:t xml:space="preserve"> opinion</w:t>
            </w:r>
            <w:r w:rsidR="00944063">
              <w:rPr>
                <w:rFonts w:ascii="Times New Roman" w:hAnsi="Times New Roman"/>
                <w:b/>
                <w:sz w:val="24"/>
                <w:szCs w:val="24"/>
                <w:lang w:val="en-IE"/>
              </w:rPr>
              <w:t>)</w:t>
            </w:r>
            <w:r w:rsidR="00A062E5">
              <w:rPr>
                <w:rFonts w:ascii="Times New Roman" w:hAnsi="Times New Roman"/>
                <w:b/>
                <w:sz w:val="24"/>
                <w:szCs w:val="24"/>
                <w:lang w:val="en-IE"/>
              </w:rPr>
              <w:br/>
            </w:r>
            <w:proofErr w:type="gramStart"/>
            <w:r w:rsidR="00A062E5" w:rsidRPr="00554137">
              <w:rPr>
                <w:rFonts w:ascii="Times New Roman" w:hAnsi="Times New Roman"/>
                <w:b/>
                <w:sz w:val="24"/>
                <w:szCs w:val="24"/>
                <w:lang w:val="en-IE"/>
              </w:rPr>
              <w:t>COM(</w:t>
            </w:r>
            <w:proofErr w:type="gramEnd"/>
            <w:r w:rsidR="00A062E5">
              <w:rPr>
                <w:rFonts w:ascii="Times New Roman" w:hAnsi="Times New Roman"/>
                <w:b/>
                <w:sz w:val="24"/>
                <w:szCs w:val="24"/>
                <w:lang w:val="en-IE"/>
              </w:rPr>
              <w:t>2025</w:t>
            </w:r>
            <w:r w:rsidR="00A062E5" w:rsidRPr="00554137">
              <w:rPr>
                <w:rFonts w:ascii="Times New Roman" w:hAnsi="Times New Roman"/>
                <w:b/>
                <w:sz w:val="24"/>
                <w:szCs w:val="24"/>
                <w:lang w:val="en-IE"/>
              </w:rPr>
              <w:t>)</w:t>
            </w:r>
            <w:r w:rsidR="00A062E5">
              <w:rPr>
                <w:rFonts w:ascii="Times New Roman" w:hAnsi="Times New Roman"/>
                <w:b/>
                <w:sz w:val="24"/>
                <w:szCs w:val="24"/>
                <w:lang w:val="en-IE"/>
              </w:rPr>
              <w:t>395 final</w:t>
            </w:r>
            <w:r w:rsidR="001C4138" w:rsidRPr="00554137">
              <w:rPr>
                <w:rFonts w:ascii="Times New Roman" w:hAnsi="Times New Roman"/>
                <w:b/>
                <w:sz w:val="24"/>
                <w:szCs w:val="24"/>
                <w:lang w:val="en-IE"/>
              </w:rPr>
              <w:br/>
              <w:t>COM(</w:t>
            </w:r>
            <w:r w:rsidR="00503902">
              <w:rPr>
                <w:rFonts w:ascii="Times New Roman" w:hAnsi="Times New Roman"/>
                <w:b/>
                <w:sz w:val="24"/>
                <w:szCs w:val="24"/>
                <w:lang w:val="en-IE"/>
              </w:rPr>
              <w:t>2025</w:t>
            </w:r>
            <w:r w:rsidR="001C4138" w:rsidRPr="00554137">
              <w:rPr>
                <w:rFonts w:ascii="Times New Roman" w:hAnsi="Times New Roman"/>
                <w:b/>
                <w:sz w:val="24"/>
                <w:szCs w:val="24"/>
                <w:lang w:val="en-IE"/>
              </w:rPr>
              <w:t xml:space="preserve">) </w:t>
            </w:r>
            <w:r w:rsidR="00503902">
              <w:rPr>
                <w:rFonts w:ascii="Times New Roman" w:hAnsi="Times New Roman"/>
                <w:b/>
                <w:sz w:val="24"/>
                <w:szCs w:val="24"/>
                <w:lang w:val="en-IE"/>
              </w:rPr>
              <w:t>549</w:t>
            </w:r>
            <w:r w:rsidR="001C4138" w:rsidRPr="00554137">
              <w:rPr>
                <w:rFonts w:ascii="Times New Roman" w:hAnsi="Times New Roman"/>
                <w:b/>
                <w:sz w:val="24"/>
                <w:szCs w:val="24"/>
                <w:lang w:val="en-IE"/>
              </w:rPr>
              <w:t xml:space="preserve"> final</w:t>
            </w:r>
            <w:r w:rsidR="001C4138" w:rsidRPr="00554137">
              <w:rPr>
                <w:rFonts w:ascii="Times New Roman" w:hAnsi="Times New Roman"/>
                <w:b/>
                <w:sz w:val="24"/>
                <w:szCs w:val="24"/>
                <w:lang w:val="en-IE"/>
              </w:rPr>
              <w:br/>
              <w:t>EESC-</w:t>
            </w:r>
            <w:r w:rsidR="001C4138" w:rsidRPr="0098690C">
              <w:rPr>
                <w:rFonts w:ascii="Times New Roman" w:hAnsi="Times New Roman"/>
                <w:b/>
                <w:sz w:val="24"/>
                <w:szCs w:val="24"/>
                <w:lang w:val="en-IE"/>
              </w:rPr>
              <w:t>202</w:t>
            </w:r>
            <w:r w:rsidR="00554137" w:rsidRPr="0098690C">
              <w:rPr>
                <w:rFonts w:ascii="Times New Roman" w:hAnsi="Times New Roman"/>
                <w:b/>
                <w:sz w:val="24"/>
                <w:szCs w:val="24"/>
                <w:lang w:val="en-IE"/>
              </w:rPr>
              <w:t>5</w:t>
            </w:r>
            <w:r w:rsidR="001C4138" w:rsidRPr="00554137">
              <w:rPr>
                <w:rFonts w:ascii="Times New Roman" w:hAnsi="Times New Roman"/>
                <w:b/>
                <w:sz w:val="24"/>
                <w:szCs w:val="24"/>
                <w:lang w:val="en-IE"/>
              </w:rPr>
              <w:t>-</w:t>
            </w:r>
            <w:r w:rsidR="008164CC" w:rsidRPr="008164CC">
              <w:rPr>
                <w:rFonts w:ascii="Times New Roman" w:hAnsi="Times New Roman"/>
                <w:b/>
                <w:sz w:val="24"/>
                <w:szCs w:val="24"/>
                <w:lang w:val="en-IE"/>
              </w:rPr>
              <w:t>02919</w:t>
            </w:r>
            <w:r w:rsidR="004A7932" w:rsidRPr="00554137">
              <w:rPr>
                <w:rFonts w:ascii="Times New Roman" w:hAnsi="Times New Roman"/>
                <w:b/>
                <w:sz w:val="24"/>
                <w:szCs w:val="24"/>
                <w:lang w:val="en-IE"/>
              </w:rPr>
              <w:t xml:space="preserve"> </w:t>
            </w:r>
            <w:r w:rsidR="001C4138" w:rsidRPr="00807B48">
              <w:rPr>
                <w:rFonts w:ascii="Times New Roman" w:hAnsi="Times New Roman"/>
                <w:b/>
                <w:sz w:val="24"/>
                <w:szCs w:val="24"/>
              </w:rPr>
              <w:t xml:space="preserve">‒ </w:t>
            </w:r>
            <w:r w:rsidR="00DB5888">
              <w:rPr>
                <w:rFonts w:ascii="Times New Roman" w:hAnsi="Times New Roman"/>
                <w:b/>
                <w:sz w:val="24"/>
                <w:szCs w:val="24"/>
              </w:rPr>
              <w:t>SOC</w:t>
            </w:r>
            <w:r w:rsidR="001C4138" w:rsidRPr="009175C1">
              <w:rPr>
                <w:rFonts w:ascii="Times New Roman" w:hAnsi="Times New Roman"/>
                <w:b/>
                <w:sz w:val="24"/>
                <w:szCs w:val="24"/>
              </w:rPr>
              <w:t>/</w:t>
            </w:r>
            <w:r w:rsidR="00DB5888">
              <w:rPr>
                <w:rFonts w:ascii="Times New Roman" w:hAnsi="Times New Roman"/>
                <w:b/>
                <w:sz w:val="24"/>
                <w:szCs w:val="24"/>
              </w:rPr>
              <w:t>842</w:t>
            </w:r>
            <w:r w:rsidR="001C4138" w:rsidRPr="00807B48">
              <w:rPr>
                <w:rFonts w:ascii="Times New Roman" w:hAnsi="Times New Roman"/>
                <w:b/>
                <w:sz w:val="24"/>
                <w:szCs w:val="24"/>
              </w:rPr>
              <w:br/>
            </w:r>
            <w:r w:rsidR="00AC6649" w:rsidRPr="00F330BA">
              <w:rPr>
                <w:rFonts w:ascii="Times New Roman" w:hAnsi="Times New Roman"/>
                <w:b/>
                <w:sz w:val="24"/>
                <w:szCs w:val="24"/>
              </w:rPr>
              <w:t>602</w:t>
            </w:r>
            <w:proofErr w:type="spellStart"/>
            <w:r w:rsidR="001C4138" w:rsidRPr="00F330BA">
              <w:rPr>
                <w:b/>
                <w:vertAlign w:val="superscript"/>
                <w:lang w:val="en-IE"/>
              </w:rPr>
              <w:t>nd</w:t>
            </w:r>
            <w:proofErr w:type="spellEnd"/>
            <w:r w:rsidR="001C4138" w:rsidRPr="00AC6649">
              <w:rPr>
                <w:b/>
                <w:lang w:val="en-IE"/>
              </w:rPr>
              <w:t xml:space="preserve"> </w:t>
            </w:r>
            <w:r w:rsidR="001C4138" w:rsidRPr="00AC6649">
              <w:rPr>
                <w:rFonts w:ascii="Times New Roman" w:hAnsi="Times New Roman"/>
                <w:b/>
                <w:sz w:val="24"/>
                <w:szCs w:val="24"/>
              </w:rPr>
              <w:t xml:space="preserve">Plenary Session – </w:t>
            </w:r>
            <w:r w:rsidR="00AC6649" w:rsidRPr="00AC6649">
              <w:rPr>
                <w:rFonts w:ascii="Times New Roman" w:hAnsi="Times New Roman"/>
                <w:b/>
                <w:sz w:val="24"/>
                <w:szCs w:val="24"/>
              </w:rPr>
              <w:t>January</w:t>
            </w:r>
            <w:r w:rsidR="001C4138" w:rsidRPr="00AC6649">
              <w:rPr>
                <w:rFonts w:ascii="Times New Roman" w:hAnsi="Times New Roman"/>
                <w:b/>
                <w:sz w:val="24"/>
                <w:szCs w:val="24"/>
              </w:rPr>
              <w:t xml:space="preserve"> </w:t>
            </w:r>
            <w:r w:rsidR="00AC6649">
              <w:rPr>
                <w:rFonts w:ascii="Times New Roman" w:hAnsi="Times New Roman"/>
                <w:b/>
                <w:sz w:val="24"/>
                <w:szCs w:val="24"/>
              </w:rPr>
              <w:t>2026</w:t>
            </w:r>
            <w:r w:rsidR="001C4138" w:rsidRPr="00807B48">
              <w:rPr>
                <w:rFonts w:ascii="Times New Roman" w:hAnsi="Times New Roman"/>
                <w:b/>
                <w:sz w:val="24"/>
                <w:szCs w:val="24"/>
              </w:rPr>
              <w:br/>
              <w:t xml:space="preserve">Rapporteur: </w:t>
            </w:r>
            <w:r w:rsidR="0087109C" w:rsidRPr="0087109C">
              <w:rPr>
                <w:rFonts w:ascii="Times New Roman" w:hAnsi="Times New Roman"/>
                <w:b/>
                <w:sz w:val="24"/>
                <w:szCs w:val="24"/>
              </w:rPr>
              <w:t>Nicoletta MERLO</w:t>
            </w:r>
            <w:r w:rsidR="001C4138">
              <w:rPr>
                <w:rFonts w:ascii="Times New Roman" w:hAnsi="Times New Roman"/>
                <w:b/>
                <w:sz w:val="24"/>
                <w:szCs w:val="24"/>
              </w:rPr>
              <w:t xml:space="preserve"> (</w:t>
            </w:r>
            <w:r w:rsidR="00FB1547">
              <w:rPr>
                <w:rFonts w:ascii="Times New Roman" w:hAnsi="Times New Roman"/>
                <w:b/>
                <w:sz w:val="24"/>
                <w:szCs w:val="24"/>
              </w:rPr>
              <w:t>IT</w:t>
            </w:r>
            <w:r w:rsidR="001C4138">
              <w:rPr>
                <w:rFonts w:ascii="Times New Roman" w:hAnsi="Times New Roman"/>
                <w:b/>
                <w:sz w:val="24"/>
                <w:szCs w:val="24"/>
              </w:rPr>
              <w:t>-</w:t>
            </w:r>
            <w:r w:rsidR="00FB1547">
              <w:rPr>
                <w:rFonts w:ascii="Times New Roman" w:hAnsi="Times New Roman"/>
                <w:b/>
                <w:sz w:val="24"/>
                <w:szCs w:val="24"/>
              </w:rPr>
              <w:t>II</w:t>
            </w:r>
            <w:r w:rsidR="001C4138">
              <w:rPr>
                <w:rFonts w:ascii="Times New Roman" w:hAnsi="Times New Roman"/>
                <w:b/>
                <w:sz w:val="24"/>
                <w:szCs w:val="24"/>
              </w:rPr>
              <w:t>)</w:t>
            </w:r>
            <w:r w:rsidR="00A062E5">
              <w:rPr>
                <w:rFonts w:ascii="Times New Roman" w:hAnsi="Times New Roman"/>
                <w:b/>
                <w:sz w:val="24"/>
                <w:szCs w:val="24"/>
              </w:rPr>
              <w:br/>
              <w:t>Co-rapporteur</w:t>
            </w:r>
            <w:r w:rsidR="00A711DB">
              <w:rPr>
                <w:rFonts w:ascii="Times New Roman" w:hAnsi="Times New Roman"/>
                <w:b/>
                <w:sz w:val="24"/>
                <w:szCs w:val="24"/>
              </w:rPr>
              <w:t>:</w:t>
            </w:r>
            <w:r w:rsidR="00282B2D">
              <w:rPr>
                <w:rFonts w:ascii="Times New Roman" w:hAnsi="Times New Roman"/>
                <w:b/>
                <w:sz w:val="24"/>
                <w:szCs w:val="24"/>
              </w:rPr>
              <w:t xml:space="preserve"> </w:t>
            </w:r>
            <w:r w:rsidR="00A66DB2" w:rsidRPr="00A66DB2">
              <w:rPr>
                <w:rFonts w:ascii="Times New Roman" w:hAnsi="Times New Roman"/>
                <w:b/>
                <w:sz w:val="24"/>
                <w:szCs w:val="24"/>
              </w:rPr>
              <w:t>Katrīna LEITĀNE</w:t>
            </w:r>
            <w:r w:rsidR="00A66DB2">
              <w:rPr>
                <w:rFonts w:ascii="Times New Roman" w:hAnsi="Times New Roman"/>
                <w:b/>
                <w:sz w:val="24"/>
                <w:szCs w:val="24"/>
              </w:rPr>
              <w:t xml:space="preserve"> (</w:t>
            </w:r>
            <w:r w:rsidR="005D5BA7">
              <w:rPr>
                <w:rFonts w:ascii="Times New Roman" w:hAnsi="Times New Roman"/>
                <w:b/>
                <w:sz w:val="24"/>
                <w:szCs w:val="24"/>
              </w:rPr>
              <w:t>LV</w:t>
            </w:r>
            <w:r w:rsidR="00A66DB2">
              <w:rPr>
                <w:rFonts w:ascii="Times New Roman" w:hAnsi="Times New Roman"/>
                <w:b/>
                <w:sz w:val="24"/>
                <w:szCs w:val="24"/>
              </w:rPr>
              <w:t>-</w:t>
            </w:r>
            <w:r w:rsidR="00FB1547">
              <w:rPr>
                <w:rFonts w:ascii="Times New Roman" w:hAnsi="Times New Roman"/>
                <w:b/>
                <w:sz w:val="24"/>
                <w:szCs w:val="24"/>
              </w:rPr>
              <w:t>III</w:t>
            </w:r>
            <w:r w:rsidR="00A66DB2">
              <w:rPr>
                <w:rFonts w:ascii="Times New Roman" w:hAnsi="Times New Roman"/>
                <w:b/>
                <w:sz w:val="24"/>
                <w:szCs w:val="24"/>
              </w:rPr>
              <w:t>)</w:t>
            </w:r>
            <w:r w:rsidR="001C4138" w:rsidRPr="00807B48">
              <w:rPr>
                <w:rFonts w:ascii="Times New Roman" w:hAnsi="Times New Roman"/>
                <w:b/>
                <w:sz w:val="24"/>
                <w:szCs w:val="24"/>
              </w:rPr>
              <w:br/>
              <w:t xml:space="preserve">DG </w:t>
            </w:r>
            <w:r w:rsidR="00A66DB2" w:rsidRPr="00944063">
              <w:rPr>
                <w:rFonts w:ascii="Times New Roman" w:hAnsi="Times New Roman"/>
                <w:b/>
                <w:sz w:val="24"/>
                <w:szCs w:val="24"/>
              </w:rPr>
              <w:t>EAC</w:t>
            </w:r>
            <w:r w:rsidR="001C4138" w:rsidRPr="00807B48">
              <w:rPr>
                <w:rFonts w:ascii="Times New Roman" w:hAnsi="Times New Roman"/>
                <w:b/>
                <w:sz w:val="24"/>
                <w:szCs w:val="24"/>
              </w:rPr>
              <w:t xml:space="preserve"> –</w:t>
            </w:r>
            <w:r w:rsidR="004A7932">
              <w:rPr>
                <w:rFonts w:ascii="Times New Roman" w:hAnsi="Times New Roman"/>
                <w:b/>
                <w:sz w:val="24"/>
                <w:szCs w:val="24"/>
              </w:rPr>
              <w:t xml:space="preserve"> </w:t>
            </w:r>
            <w:r w:rsidR="004A7932" w:rsidRPr="009C6EAD">
              <w:rPr>
                <w:rFonts w:ascii="Times New Roman" w:hAnsi="Times New Roman"/>
                <w:b/>
                <w:bCs/>
                <w:kern w:val="28"/>
                <w:sz w:val="24"/>
                <w:szCs w:val="24"/>
              </w:rPr>
              <w:t>Executive Vice-President</w:t>
            </w:r>
            <w:r w:rsidR="001C4138" w:rsidRPr="00807B48">
              <w:rPr>
                <w:rFonts w:ascii="Times New Roman" w:hAnsi="Times New Roman"/>
                <w:b/>
                <w:sz w:val="24"/>
                <w:szCs w:val="24"/>
              </w:rPr>
              <w:t xml:space="preserve"> </w:t>
            </w:r>
            <w:r w:rsidR="00A66DB2">
              <w:rPr>
                <w:rFonts w:ascii="Times New Roman" w:hAnsi="Times New Roman"/>
                <w:b/>
                <w:sz w:val="24"/>
                <w:szCs w:val="24"/>
              </w:rPr>
              <w:t>MÎNZATU</w:t>
            </w:r>
          </w:p>
        </w:tc>
      </w:tr>
      <w:tr w:rsidR="00734613" w:rsidRPr="00442552" w14:paraId="1937071F" w14:textId="77777777" w:rsidTr="6A25BB69">
        <w:trPr>
          <w:jc w:val="center"/>
        </w:trPr>
        <w:tc>
          <w:tcPr>
            <w:tcW w:w="10243" w:type="dxa"/>
          </w:tcPr>
          <w:p w14:paraId="1E50B4DB" w14:textId="6210B32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500A7D" w14:paraId="673DDC1B" w14:textId="77777777" w:rsidTr="6A25BB69">
        <w:trPr>
          <w:jc w:val="center"/>
        </w:trPr>
        <w:tc>
          <w:tcPr>
            <w:tcW w:w="10243" w:type="dxa"/>
          </w:tcPr>
          <w:p w14:paraId="50E342DF" w14:textId="77777777" w:rsidR="002F1B5C" w:rsidRPr="005F47AA" w:rsidRDefault="002F1B5C" w:rsidP="005F47AA">
            <w:pPr>
              <w:pStyle w:val="ListParagraph"/>
              <w:widowControl w:val="0"/>
              <w:spacing w:before="120" w:after="120" w:line="276" w:lineRule="auto"/>
              <w:ind w:left="0"/>
              <w:jc w:val="both"/>
              <w:rPr>
                <w:rFonts w:ascii="Times New Roman" w:hAnsi="Times New Roman"/>
                <w:sz w:val="2"/>
                <w:szCs w:val="2"/>
                <w:u w:val="single"/>
              </w:rPr>
            </w:pPr>
          </w:p>
          <w:p w14:paraId="26737C62" w14:textId="6EABD3A5" w:rsidR="00FC1A2A" w:rsidRPr="00DD72F8" w:rsidRDefault="00FC1A2A" w:rsidP="005F47AA">
            <w:pPr>
              <w:pStyle w:val="ListParagraph"/>
              <w:widowControl w:val="0"/>
              <w:spacing w:before="120" w:after="120" w:line="276" w:lineRule="auto"/>
              <w:ind w:left="0"/>
              <w:contextualSpacing w:val="0"/>
              <w:jc w:val="both"/>
              <w:rPr>
                <w:rFonts w:ascii="Times New Roman" w:hAnsi="Times New Roman"/>
                <w:u w:val="single"/>
              </w:rPr>
            </w:pPr>
            <w:r w:rsidRPr="00DD72F8">
              <w:rPr>
                <w:rFonts w:ascii="Times New Roman" w:hAnsi="Times New Roman"/>
                <w:u w:val="single"/>
              </w:rPr>
              <w:t>Recommendation</w:t>
            </w:r>
            <w:r w:rsidR="00DD72F8" w:rsidRPr="00DD72F8">
              <w:rPr>
                <w:rFonts w:ascii="Times New Roman" w:hAnsi="Times New Roman"/>
                <w:u w:val="single"/>
              </w:rPr>
              <w:t>s</w:t>
            </w:r>
            <w:r w:rsidRPr="00DD72F8">
              <w:rPr>
                <w:rFonts w:ascii="Times New Roman" w:hAnsi="Times New Roman"/>
                <w:u w:val="single"/>
              </w:rPr>
              <w:t xml:space="preserve"> 1.1</w:t>
            </w:r>
            <w:r w:rsidR="00A07AEE">
              <w:rPr>
                <w:rFonts w:ascii="Times New Roman" w:hAnsi="Times New Roman"/>
                <w:u w:val="single"/>
              </w:rPr>
              <w:t xml:space="preserve">, </w:t>
            </w:r>
            <w:r w:rsidR="00DD72F8" w:rsidRPr="00DD72F8">
              <w:rPr>
                <w:rFonts w:ascii="Times New Roman" w:hAnsi="Times New Roman"/>
                <w:u w:val="single"/>
              </w:rPr>
              <w:t>1.3</w:t>
            </w:r>
            <w:r w:rsidR="00A07AEE">
              <w:rPr>
                <w:rFonts w:ascii="Times New Roman" w:hAnsi="Times New Roman"/>
                <w:u w:val="single"/>
              </w:rPr>
              <w:t xml:space="preserve"> and 1.8</w:t>
            </w:r>
          </w:p>
          <w:p w14:paraId="6698FFB2" w14:textId="09BB7606" w:rsidR="00794134" w:rsidRPr="00500A7D" w:rsidRDefault="00794134" w:rsidP="005F47AA">
            <w:pPr>
              <w:pStyle w:val="ListParagraph"/>
              <w:widowControl w:val="0"/>
              <w:spacing w:before="120" w:after="120" w:line="276" w:lineRule="auto"/>
              <w:ind w:left="0"/>
              <w:contextualSpacing w:val="0"/>
              <w:jc w:val="both"/>
              <w:rPr>
                <w:rFonts w:ascii="Times New Roman" w:hAnsi="Times New Roman"/>
              </w:rPr>
            </w:pPr>
            <w:r w:rsidRPr="10439637">
              <w:rPr>
                <w:rFonts w:ascii="Times New Roman" w:hAnsi="Times New Roman"/>
              </w:rPr>
              <w:t xml:space="preserve">With its proposal, the Commission aims to offer a fully-fledged lifelong and life-wide learning </w:t>
            </w:r>
            <w:proofErr w:type="spellStart"/>
            <w:r w:rsidRPr="10439637">
              <w:rPr>
                <w:rFonts w:ascii="Times New Roman" w:hAnsi="Times New Roman"/>
              </w:rPr>
              <w:t>programme</w:t>
            </w:r>
            <w:proofErr w:type="spellEnd"/>
            <w:r w:rsidRPr="10439637">
              <w:rPr>
                <w:rFonts w:ascii="Times New Roman" w:hAnsi="Times New Roman"/>
              </w:rPr>
              <w:t xml:space="preserve"> encompassing all fields of education and training, youth and sport</w:t>
            </w:r>
            <w:r w:rsidR="0CD6520D" w:rsidRPr="10439637">
              <w:rPr>
                <w:rFonts w:ascii="Times New Roman" w:hAnsi="Times New Roman"/>
              </w:rPr>
              <w:t>.</w:t>
            </w:r>
            <w:r w:rsidR="00FC1A2A" w:rsidRPr="10439637">
              <w:rPr>
                <w:rFonts w:ascii="Times New Roman" w:hAnsi="Times New Roman"/>
              </w:rPr>
              <w:t xml:space="preserve"> </w:t>
            </w:r>
            <w:r w:rsidR="00C66D55">
              <w:rPr>
                <w:rFonts w:ascii="Times New Roman" w:hAnsi="Times New Roman"/>
              </w:rPr>
              <w:t xml:space="preserve">The </w:t>
            </w:r>
            <w:proofErr w:type="spellStart"/>
            <w:r w:rsidR="00FC1A2A" w:rsidRPr="10439637">
              <w:rPr>
                <w:rFonts w:ascii="Times New Roman" w:hAnsi="Times New Roman"/>
              </w:rPr>
              <w:t>programme</w:t>
            </w:r>
            <w:proofErr w:type="spellEnd"/>
            <w:r w:rsidR="00FC1A2A" w:rsidRPr="10439637">
              <w:rPr>
                <w:rFonts w:ascii="Times New Roman" w:hAnsi="Times New Roman"/>
              </w:rPr>
              <w:t xml:space="preserve"> </w:t>
            </w:r>
            <w:proofErr w:type="gramStart"/>
            <w:r w:rsidR="00C66D55">
              <w:rPr>
                <w:rFonts w:ascii="Times New Roman" w:hAnsi="Times New Roman"/>
              </w:rPr>
              <w:t>shall</w:t>
            </w:r>
            <w:proofErr w:type="gramEnd"/>
            <w:r w:rsidRPr="10439637">
              <w:rPr>
                <w:rFonts w:ascii="Times New Roman" w:hAnsi="Times New Roman"/>
              </w:rPr>
              <w:t xml:space="preserve"> </w:t>
            </w:r>
            <w:r w:rsidR="00500A7D" w:rsidRPr="10439637">
              <w:rPr>
                <w:rFonts w:ascii="Times New Roman" w:hAnsi="Times New Roman"/>
              </w:rPr>
              <w:t>also</w:t>
            </w:r>
            <w:r w:rsidR="00C66D55">
              <w:rPr>
                <w:rFonts w:ascii="Times New Roman" w:hAnsi="Times New Roman"/>
              </w:rPr>
              <w:t xml:space="preserve"> be</w:t>
            </w:r>
            <w:r w:rsidRPr="10439637">
              <w:rPr>
                <w:rFonts w:ascii="Times New Roman" w:hAnsi="Times New Roman"/>
              </w:rPr>
              <w:t xml:space="preserve"> easy to navigate and understand for stakeholders. </w:t>
            </w:r>
          </w:p>
          <w:p w14:paraId="5B166B6C" w14:textId="69E41A0F" w:rsidR="00FC1A2A" w:rsidRPr="00500A7D" w:rsidRDefault="00FC1A2A" w:rsidP="005F47AA">
            <w:pPr>
              <w:pStyle w:val="ListParagraph"/>
              <w:widowControl w:val="0"/>
              <w:spacing w:before="120" w:after="120" w:line="276" w:lineRule="auto"/>
              <w:ind w:left="0"/>
              <w:contextualSpacing w:val="0"/>
              <w:jc w:val="both"/>
              <w:rPr>
                <w:rFonts w:ascii="Times New Roman" w:hAnsi="Times New Roman"/>
              </w:rPr>
            </w:pPr>
            <w:r w:rsidRPr="00500A7D">
              <w:rPr>
                <w:rFonts w:ascii="Times New Roman" w:hAnsi="Times New Roman"/>
              </w:rPr>
              <w:t>T</w:t>
            </w:r>
            <w:r w:rsidRPr="00794134">
              <w:rPr>
                <w:rFonts w:ascii="Times New Roman" w:hAnsi="Times New Roman"/>
              </w:rPr>
              <w:t>he proposed structure strengthens the lifelong learning approach that underpins Erasmus+ by bringing together the full range of learning opportunities across sectors in a coherent and integrated manner</w:t>
            </w:r>
            <w:r w:rsidR="00080EDD">
              <w:rPr>
                <w:rFonts w:ascii="Times New Roman" w:hAnsi="Times New Roman"/>
              </w:rPr>
              <w:t>.</w:t>
            </w:r>
            <w:r w:rsidRPr="00794134">
              <w:rPr>
                <w:rFonts w:ascii="Times New Roman" w:hAnsi="Times New Roman"/>
              </w:rPr>
              <w:t xml:space="preserve"> </w:t>
            </w:r>
            <w:r w:rsidR="00080EDD">
              <w:rPr>
                <w:rFonts w:ascii="Times New Roman" w:hAnsi="Times New Roman"/>
              </w:rPr>
              <w:t>T</w:t>
            </w:r>
            <w:r w:rsidRPr="00794134">
              <w:rPr>
                <w:rFonts w:ascii="Times New Roman" w:hAnsi="Times New Roman"/>
              </w:rPr>
              <w:t>he Commission considers</w:t>
            </w:r>
            <w:r w:rsidR="00080EDD">
              <w:rPr>
                <w:rFonts w:ascii="Times New Roman" w:hAnsi="Times New Roman"/>
              </w:rPr>
              <w:t xml:space="preserve"> this</w:t>
            </w:r>
            <w:r w:rsidRPr="00794134">
              <w:rPr>
                <w:rFonts w:ascii="Times New Roman" w:hAnsi="Times New Roman"/>
              </w:rPr>
              <w:t xml:space="preserve"> essential to effectively address current and future societal challenges.</w:t>
            </w:r>
          </w:p>
          <w:p w14:paraId="12AFDAA4" w14:textId="23035038" w:rsidR="00794134" w:rsidRPr="00794134" w:rsidRDefault="00FC1A2A" w:rsidP="005F47AA">
            <w:pPr>
              <w:pStyle w:val="ListParagraph"/>
              <w:widowControl w:val="0"/>
              <w:spacing w:before="120" w:after="120" w:line="276" w:lineRule="auto"/>
              <w:ind w:left="0"/>
              <w:contextualSpacing w:val="0"/>
              <w:jc w:val="both"/>
              <w:rPr>
                <w:rFonts w:ascii="Times New Roman" w:hAnsi="Times New Roman"/>
              </w:rPr>
            </w:pPr>
            <w:r w:rsidRPr="10439637">
              <w:rPr>
                <w:rFonts w:ascii="Times New Roman" w:hAnsi="Times New Roman"/>
              </w:rPr>
              <w:t>At the same time, t</w:t>
            </w:r>
            <w:r w:rsidR="00794134" w:rsidRPr="10439637">
              <w:rPr>
                <w:rFonts w:ascii="Times New Roman" w:hAnsi="Times New Roman"/>
              </w:rPr>
              <w:t xml:space="preserve">he proposed structure simplifies and streamlines </w:t>
            </w:r>
            <w:r w:rsidRPr="10439637">
              <w:rPr>
                <w:rFonts w:ascii="Times New Roman" w:hAnsi="Times New Roman"/>
              </w:rPr>
              <w:t xml:space="preserve">the future </w:t>
            </w:r>
            <w:proofErr w:type="spellStart"/>
            <w:r w:rsidRPr="10439637">
              <w:rPr>
                <w:rFonts w:ascii="Times New Roman" w:hAnsi="Times New Roman"/>
              </w:rPr>
              <w:t>programme</w:t>
            </w:r>
            <w:proofErr w:type="spellEnd"/>
            <w:r w:rsidR="00794134" w:rsidRPr="10439637">
              <w:rPr>
                <w:rFonts w:ascii="Times New Roman" w:hAnsi="Times New Roman"/>
              </w:rPr>
              <w:t xml:space="preserve"> by bringing together actions in the fields of education and training, youth and sport under two overarching pillars. This approach aims to improve the accessibility, readability and user-friendliness of the </w:t>
            </w:r>
            <w:proofErr w:type="spellStart"/>
            <w:r w:rsidR="0C8F3CD9" w:rsidRPr="10439637">
              <w:rPr>
                <w:rFonts w:ascii="Times New Roman" w:hAnsi="Times New Roman"/>
              </w:rPr>
              <w:t>p</w:t>
            </w:r>
            <w:r w:rsidR="00794134" w:rsidRPr="10439637">
              <w:rPr>
                <w:rFonts w:ascii="Times New Roman" w:hAnsi="Times New Roman"/>
              </w:rPr>
              <w:t>rogramme</w:t>
            </w:r>
            <w:proofErr w:type="spellEnd"/>
            <w:r w:rsidR="00794134" w:rsidRPr="10439637">
              <w:rPr>
                <w:rFonts w:ascii="Times New Roman" w:hAnsi="Times New Roman"/>
              </w:rPr>
              <w:t xml:space="preserve">, </w:t>
            </w:r>
            <w:proofErr w:type="gramStart"/>
            <w:r w:rsidR="00794134" w:rsidRPr="10439637">
              <w:rPr>
                <w:rFonts w:ascii="Times New Roman" w:hAnsi="Times New Roman"/>
              </w:rPr>
              <w:t>in particular for</w:t>
            </w:r>
            <w:proofErr w:type="gramEnd"/>
            <w:r w:rsidR="00794134" w:rsidRPr="10439637">
              <w:rPr>
                <w:rFonts w:ascii="Times New Roman" w:hAnsi="Times New Roman"/>
              </w:rPr>
              <w:t xml:space="preserve"> </w:t>
            </w:r>
            <w:r w:rsidR="7B40B030" w:rsidRPr="10439637">
              <w:rPr>
                <w:rFonts w:ascii="Times New Roman" w:hAnsi="Times New Roman"/>
              </w:rPr>
              <w:t xml:space="preserve">applicants and </w:t>
            </w:r>
            <w:r w:rsidR="00794134" w:rsidRPr="10439637">
              <w:rPr>
                <w:rFonts w:ascii="Times New Roman" w:hAnsi="Times New Roman"/>
              </w:rPr>
              <w:t xml:space="preserve">beneficiaries, while fully preserving the specificities, identities and </w:t>
            </w:r>
            <w:r w:rsidR="0F4388E5" w:rsidRPr="10439637">
              <w:rPr>
                <w:rFonts w:ascii="Times New Roman" w:hAnsi="Times New Roman"/>
              </w:rPr>
              <w:t xml:space="preserve">funding </w:t>
            </w:r>
            <w:r w:rsidR="00794134" w:rsidRPr="10439637">
              <w:rPr>
                <w:rFonts w:ascii="Times New Roman" w:hAnsi="Times New Roman"/>
              </w:rPr>
              <w:t>opportunities of each sector.</w:t>
            </w:r>
          </w:p>
          <w:p w14:paraId="098466AA" w14:textId="06F59E49" w:rsidR="10439637" w:rsidRDefault="00794134" w:rsidP="005F47AA">
            <w:pPr>
              <w:pStyle w:val="ListParagraph"/>
              <w:widowControl w:val="0"/>
              <w:spacing w:before="120" w:after="120" w:line="276" w:lineRule="auto"/>
              <w:ind w:left="0"/>
              <w:contextualSpacing w:val="0"/>
              <w:jc w:val="both"/>
              <w:rPr>
                <w:rFonts w:ascii="Times New Roman" w:hAnsi="Times New Roman"/>
                <w:u w:val="single"/>
              </w:rPr>
            </w:pPr>
            <w:r w:rsidRPr="10439637">
              <w:rPr>
                <w:rFonts w:ascii="Times New Roman" w:hAnsi="Times New Roman"/>
              </w:rPr>
              <w:t xml:space="preserve">The Commission underlines that all sectors remain clearly identified and highly visible throughout the </w:t>
            </w:r>
            <w:r w:rsidR="29279F7A" w:rsidRPr="10439637">
              <w:rPr>
                <w:rFonts w:ascii="Times New Roman" w:hAnsi="Times New Roman"/>
              </w:rPr>
              <w:t>proposal</w:t>
            </w:r>
            <w:r w:rsidRPr="10439637">
              <w:rPr>
                <w:rFonts w:ascii="Times New Roman" w:hAnsi="Times New Roman"/>
              </w:rPr>
              <w:t>, with dedicated recitals, objectives</w:t>
            </w:r>
            <w:r w:rsidR="00FC1A2A" w:rsidRPr="10439637">
              <w:rPr>
                <w:rFonts w:ascii="Times New Roman" w:hAnsi="Times New Roman"/>
              </w:rPr>
              <w:t xml:space="preserve"> and </w:t>
            </w:r>
            <w:r w:rsidRPr="10439637">
              <w:rPr>
                <w:rFonts w:ascii="Times New Roman" w:hAnsi="Times New Roman"/>
              </w:rPr>
              <w:t xml:space="preserve">actions. </w:t>
            </w:r>
            <w:r w:rsidR="00DD72F8" w:rsidRPr="10439637">
              <w:rPr>
                <w:rFonts w:ascii="Times New Roman" w:hAnsi="Times New Roman"/>
              </w:rPr>
              <w:t>Similarly, t</w:t>
            </w:r>
            <w:r w:rsidR="00500A7D" w:rsidRPr="10439637">
              <w:rPr>
                <w:rFonts w:ascii="Times New Roman" w:hAnsi="Times New Roman"/>
              </w:rPr>
              <w:t>he</w:t>
            </w:r>
            <w:r w:rsidR="00DD72F8" w:rsidRPr="10439637">
              <w:rPr>
                <w:rFonts w:ascii="Times New Roman" w:hAnsi="Times New Roman"/>
              </w:rPr>
              <w:t xml:space="preserve"> </w:t>
            </w:r>
            <w:proofErr w:type="spellStart"/>
            <w:r w:rsidR="55CC5332" w:rsidRPr="10439637">
              <w:rPr>
                <w:rFonts w:ascii="Times New Roman" w:hAnsi="Times New Roman"/>
              </w:rPr>
              <w:t>programme</w:t>
            </w:r>
            <w:proofErr w:type="spellEnd"/>
            <w:r w:rsidR="55CC5332" w:rsidRPr="10439637">
              <w:rPr>
                <w:rFonts w:ascii="Times New Roman" w:hAnsi="Times New Roman"/>
              </w:rPr>
              <w:t xml:space="preserve"> </w:t>
            </w:r>
            <w:r w:rsidR="00BB0A33" w:rsidRPr="10439637">
              <w:rPr>
                <w:rFonts w:ascii="Times New Roman" w:hAnsi="Times New Roman"/>
              </w:rPr>
              <w:t xml:space="preserve">will </w:t>
            </w:r>
            <w:r w:rsidR="00500A7D" w:rsidRPr="10439637">
              <w:rPr>
                <w:rFonts w:ascii="Times New Roman" w:hAnsi="Times New Roman"/>
              </w:rPr>
              <w:t xml:space="preserve">continue providing </w:t>
            </w:r>
            <w:r w:rsidR="00A07AEE" w:rsidRPr="10439637">
              <w:rPr>
                <w:rFonts w:ascii="Times New Roman" w:hAnsi="Times New Roman"/>
              </w:rPr>
              <w:t>vital</w:t>
            </w:r>
            <w:r w:rsidR="00500A7D" w:rsidRPr="10439637">
              <w:rPr>
                <w:rFonts w:ascii="Times New Roman" w:hAnsi="Times New Roman"/>
              </w:rPr>
              <w:t xml:space="preserve"> </w:t>
            </w:r>
            <w:r w:rsidR="33237DC1" w:rsidRPr="10439637">
              <w:rPr>
                <w:rFonts w:ascii="Times New Roman" w:hAnsi="Times New Roman"/>
              </w:rPr>
              <w:t xml:space="preserve">dedicated </w:t>
            </w:r>
            <w:r w:rsidR="00500A7D" w:rsidRPr="10439637">
              <w:rPr>
                <w:rFonts w:ascii="Times New Roman" w:hAnsi="Times New Roman"/>
              </w:rPr>
              <w:t xml:space="preserve">support for policy cooperation and development in the fields of </w:t>
            </w:r>
            <w:r w:rsidR="00BB0A33" w:rsidRPr="10439637">
              <w:rPr>
                <w:rFonts w:ascii="Times New Roman" w:hAnsi="Times New Roman"/>
              </w:rPr>
              <w:t>education</w:t>
            </w:r>
            <w:r w:rsidR="00500A7D" w:rsidRPr="10439637">
              <w:rPr>
                <w:rFonts w:ascii="Times New Roman" w:hAnsi="Times New Roman"/>
              </w:rPr>
              <w:t xml:space="preserve"> and training, youth and sport</w:t>
            </w:r>
            <w:r w:rsidR="00BB0A33" w:rsidRPr="10439637">
              <w:rPr>
                <w:rFonts w:ascii="Times New Roman" w:hAnsi="Times New Roman"/>
              </w:rPr>
              <w:t xml:space="preserve"> under Pillar 2. </w:t>
            </w:r>
            <w:r w:rsidR="00DD72F8" w:rsidRPr="10439637">
              <w:rPr>
                <w:rFonts w:ascii="Times New Roman" w:hAnsi="Times New Roman"/>
                <w:lang w:val="en-GB"/>
              </w:rPr>
              <w:t>This includes, in the field of youth, support to the meaningful participation of young people and youth organisations in decision and policy making, youth mainstreaming across policy fields, the validation of non-formal and informal learning</w:t>
            </w:r>
            <w:r w:rsidR="787C51A8" w:rsidRPr="10439637">
              <w:rPr>
                <w:rFonts w:ascii="Times New Roman" w:hAnsi="Times New Roman"/>
                <w:lang w:val="en-GB"/>
              </w:rPr>
              <w:t xml:space="preserve"> and hi</w:t>
            </w:r>
            <w:r w:rsidR="00DD72F8" w:rsidRPr="10439637">
              <w:rPr>
                <w:rFonts w:ascii="Times New Roman" w:hAnsi="Times New Roman"/>
                <w:lang w:val="en-GB"/>
              </w:rPr>
              <w:t xml:space="preserve">gh-quality youth work. </w:t>
            </w:r>
            <w:r w:rsidR="00734B56" w:rsidRPr="10439637">
              <w:rPr>
                <w:rFonts w:ascii="Times New Roman" w:hAnsi="Times New Roman"/>
                <w:lang w:val="en-GB"/>
              </w:rPr>
              <w:t xml:space="preserve">Finally, learning mobility </w:t>
            </w:r>
            <w:r w:rsidR="00FE2E70" w:rsidRPr="10439637">
              <w:rPr>
                <w:rFonts w:ascii="Times New Roman" w:hAnsi="Times New Roman"/>
                <w:lang w:val="en-GB"/>
              </w:rPr>
              <w:t>of staff</w:t>
            </w:r>
            <w:r w:rsidR="15926F17" w:rsidRPr="10439637">
              <w:rPr>
                <w:rFonts w:ascii="Times New Roman" w:hAnsi="Times New Roman"/>
                <w:lang w:val="en-GB"/>
              </w:rPr>
              <w:t>,</w:t>
            </w:r>
            <w:r w:rsidR="00FE2E70" w:rsidRPr="10439637">
              <w:rPr>
                <w:rFonts w:ascii="Times New Roman" w:hAnsi="Times New Roman"/>
                <w:lang w:val="en-GB"/>
              </w:rPr>
              <w:t xml:space="preserve"> </w:t>
            </w:r>
            <w:r w:rsidR="7464178E" w:rsidRPr="10439637">
              <w:rPr>
                <w:rFonts w:ascii="Times New Roman" w:hAnsi="Times New Roman"/>
                <w:lang w:val="en-GB"/>
              </w:rPr>
              <w:t xml:space="preserve">such as </w:t>
            </w:r>
            <w:r w:rsidR="00FE2E70" w:rsidRPr="10439637">
              <w:rPr>
                <w:rFonts w:ascii="Times New Roman" w:hAnsi="Times New Roman"/>
                <w:lang w:val="en-GB"/>
              </w:rPr>
              <w:t xml:space="preserve">trainers, teachers, </w:t>
            </w:r>
            <w:r w:rsidR="00C66D55">
              <w:rPr>
                <w:rFonts w:ascii="Times New Roman" w:hAnsi="Times New Roman"/>
                <w:lang w:val="en-GB"/>
              </w:rPr>
              <w:t xml:space="preserve">and </w:t>
            </w:r>
            <w:r w:rsidR="00FE2E70" w:rsidRPr="10439637">
              <w:rPr>
                <w:rFonts w:ascii="Times New Roman" w:hAnsi="Times New Roman"/>
                <w:lang w:val="en-GB"/>
              </w:rPr>
              <w:t>youth workers</w:t>
            </w:r>
            <w:r w:rsidR="5008F435" w:rsidRPr="10439637">
              <w:rPr>
                <w:rFonts w:ascii="Times New Roman" w:hAnsi="Times New Roman"/>
                <w:lang w:val="en-GB"/>
              </w:rPr>
              <w:t>,</w:t>
            </w:r>
            <w:r w:rsidR="00FE2E70" w:rsidRPr="10439637">
              <w:rPr>
                <w:rFonts w:ascii="Times New Roman" w:hAnsi="Times New Roman"/>
                <w:lang w:val="en-GB"/>
              </w:rPr>
              <w:t xml:space="preserve"> brings strong benefits in terms of personal and professional development </w:t>
            </w:r>
            <w:r w:rsidR="4D334A6C" w:rsidRPr="10439637">
              <w:rPr>
                <w:rFonts w:ascii="Times New Roman" w:hAnsi="Times New Roman"/>
                <w:lang w:val="en-GB"/>
              </w:rPr>
              <w:t xml:space="preserve">of participants and </w:t>
            </w:r>
            <w:r w:rsidR="00FE2E70" w:rsidRPr="10439637">
              <w:rPr>
                <w:rFonts w:ascii="Times New Roman" w:hAnsi="Times New Roman"/>
                <w:lang w:val="en-GB"/>
              </w:rPr>
              <w:t xml:space="preserve">positively </w:t>
            </w:r>
            <w:r w:rsidR="06E40729" w:rsidRPr="10439637">
              <w:rPr>
                <w:rFonts w:ascii="Times New Roman" w:hAnsi="Times New Roman"/>
                <w:lang w:val="en-GB"/>
              </w:rPr>
              <w:t xml:space="preserve">impacts </w:t>
            </w:r>
            <w:r w:rsidR="00FE2E70" w:rsidRPr="10439637">
              <w:rPr>
                <w:rFonts w:ascii="Times New Roman" w:hAnsi="Times New Roman"/>
                <w:lang w:val="en-GB"/>
              </w:rPr>
              <w:t xml:space="preserve">organisational </w:t>
            </w:r>
            <w:r w:rsidR="52C8F57B" w:rsidRPr="10439637">
              <w:rPr>
                <w:rFonts w:ascii="Times New Roman" w:hAnsi="Times New Roman"/>
                <w:lang w:val="en-GB"/>
              </w:rPr>
              <w:t>capacity of</w:t>
            </w:r>
            <w:r w:rsidR="00FE2E70" w:rsidRPr="10439637">
              <w:rPr>
                <w:rFonts w:ascii="Times New Roman" w:hAnsi="Times New Roman"/>
                <w:lang w:val="en-GB"/>
              </w:rPr>
              <w:t xml:space="preserve"> organisations and institutions. Learning mobility, including of staff</w:t>
            </w:r>
            <w:r w:rsidR="00734B56" w:rsidRPr="10439637">
              <w:rPr>
                <w:rFonts w:ascii="Times New Roman" w:hAnsi="Times New Roman"/>
                <w:lang w:val="en-GB"/>
              </w:rPr>
              <w:t xml:space="preserve"> across all </w:t>
            </w:r>
            <w:r w:rsidR="287933DA" w:rsidRPr="10439637">
              <w:rPr>
                <w:rFonts w:ascii="Times New Roman" w:hAnsi="Times New Roman"/>
                <w:lang w:val="en-GB"/>
              </w:rPr>
              <w:t xml:space="preserve">programme </w:t>
            </w:r>
            <w:r w:rsidR="00734B56" w:rsidRPr="10439637">
              <w:rPr>
                <w:rFonts w:ascii="Times New Roman" w:hAnsi="Times New Roman"/>
                <w:lang w:val="en-GB"/>
              </w:rPr>
              <w:t>sectors</w:t>
            </w:r>
            <w:r w:rsidR="00B25240">
              <w:rPr>
                <w:rFonts w:ascii="Times New Roman" w:hAnsi="Times New Roman"/>
                <w:lang w:val="en-GB"/>
              </w:rPr>
              <w:t>,</w:t>
            </w:r>
            <w:r w:rsidR="00734B56" w:rsidRPr="10439637">
              <w:rPr>
                <w:rFonts w:ascii="Times New Roman" w:hAnsi="Times New Roman"/>
                <w:lang w:val="en-GB"/>
              </w:rPr>
              <w:t xml:space="preserve"> </w:t>
            </w:r>
            <w:r w:rsidR="00FE2E70" w:rsidRPr="10439637">
              <w:rPr>
                <w:rFonts w:ascii="Times New Roman" w:hAnsi="Times New Roman"/>
                <w:lang w:val="en-GB"/>
              </w:rPr>
              <w:t xml:space="preserve">will thus </w:t>
            </w:r>
            <w:r w:rsidR="00734B56" w:rsidRPr="10439637">
              <w:rPr>
                <w:rFonts w:ascii="Times New Roman" w:hAnsi="Times New Roman"/>
                <w:lang w:val="en-GB"/>
              </w:rPr>
              <w:t>remain at the core of the programme</w:t>
            </w:r>
            <w:r w:rsidR="00FE2E70" w:rsidRPr="10439637">
              <w:rPr>
                <w:rFonts w:ascii="Times New Roman" w:hAnsi="Times New Roman"/>
                <w:lang w:val="en-GB"/>
              </w:rPr>
              <w:t xml:space="preserve"> </w:t>
            </w:r>
            <w:r w:rsidR="00734B56" w:rsidRPr="10439637">
              <w:rPr>
                <w:rFonts w:ascii="Times New Roman" w:hAnsi="Times New Roman"/>
                <w:lang w:val="en-GB"/>
              </w:rPr>
              <w:t xml:space="preserve">and </w:t>
            </w:r>
            <w:r w:rsidR="00FE2E70" w:rsidRPr="10439637">
              <w:rPr>
                <w:rFonts w:ascii="Times New Roman" w:hAnsi="Times New Roman"/>
                <w:lang w:val="en-GB"/>
              </w:rPr>
              <w:t>its support is</w:t>
            </w:r>
            <w:r w:rsidR="00734B56" w:rsidRPr="10439637">
              <w:rPr>
                <w:rFonts w:ascii="Times New Roman" w:hAnsi="Times New Roman"/>
                <w:lang w:val="en-GB"/>
              </w:rPr>
              <w:t xml:space="preserve"> not impacted by the proposed structure. </w:t>
            </w:r>
          </w:p>
          <w:p w14:paraId="7956AD30" w14:textId="0A31AABC" w:rsidR="00DD72F8" w:rsidRPr="00DD72F8" w:rsidRDefault="61B53DC9" w:rsidP="005F47AA">
            <w:pPr>
              <w:pStyle w:val="ListParagraph"/>
              <w:widowControl w:val="0"/>
              <w:spacing w:before="120" w:after="120" w:line="276" w:lineRule="auto"/>
              <w:ind w:left="0"/>
              <w:contextualSpacing w:val="0"/>
              <w:jc w:val="both"/>
              <w:rPr>
                <w:rFonts w:ascii="Times New Roman" w:hAnsi="Times New Roman"/>
                <w:u w:val="single"/>
              </w:rPr>
            </w:pPr>
            <w:r w:rsidRPr="373756A4">
              <w:rPr>
                <w:rFonts w:ascii="Times New Roman" w:hAnsi="Times New Roman"/>
                <w:u w:val="single"/>
              </w:rPr>
              <w:t>Recommendation</w:t>
            </w:r>
            <w:r w:rsidR="55D4723C" w:rsidRPr="373756A4">
              <w:rPr>
                <w:rFonts w:ascii="Times New Roman" w:hAnsi="Times New Roman"/>
                <w:u w:val="single"/>
              </w:rPr>
              <w:t>s</w:t>
            </w:r>
            <w:r w:rsidRPr="373756A4">
              <w:rPr>
                <w:rFonts w:ascii="Times New Roman" w:hAnsi="Times New Roman"/>
                <w:u w:val="single"/>
              </w:rPr>
              <w:t xml:space="preserve"> 1.2</w:t>
            </w:r>
            <w:r w:rsidR="66CE77E7" w:rsidRPr="373756A4">
              <w:rPr>
                <w:rFonts w:ascii="Times New Roman" w:hAnsi="Times New Roman"/>
                <w:u w:val="single"/>
              </w:rPr>
              <w:t xml:space="preserve">, </w:t>
            </w:r>
            <w:r w:rsidR="71CD44A7" w:rsidRPr="373756A4">
              <w:rPr>
                <w:rFonts w:ascii="Times New Roman" w:hAnsi="Times New Roman"/>
                <w:u w:val="single"/>
              </w:rPr>
              <w:t>1.4</w:t>
            </w:r>
            <w:r w:rsidR="66CE77E7" w:rsidRPr="373756A4">
              <w:rPr>
                <w:rFonts w:ascii="Times New Roman" w:hAnsi="Times New Roman"/>
                <w:u w:val="single"/>
              </w:rPr>
              <w:t xml:space="preserve"> and 1.10</w:t>
            </w:r>
          </w:p>
          <w:p w14:paraId="179C944F" w14:textId="6F94AA07" w:rsidR="00930303" w:rsidRDefault="008A27C3" w:rsidP="005F47AA">
            <w:pPr>
              <w:pStyle w:val="ListParagraph"/>
              <w:widowControl w:val="0"/>
              <w:spacing w:before="120" w:after="120" w:line="276" w:lineRule="auto"/>
              <w:ind w:left="0"/>
              <w:contextualSpacing w:val="0"/>
              <w:jc w:val="both"/>
              <w:rPr>
                <w:rFonts w:ascii="Times New Roman" w:hAnsi="Times New Roman"/>
              </w:rPr>
            </w:pPr>
            <w:r w:rsidRPr="6A25BB69">
              <w:rPr>
                <w:rFonts w:ascii="Times New Roman" w:hAnsi="Times New Roman"/>
              </w:rPr>
              <w:t xml:space="preserve">Supporting vocational education and training (VET) through targeted funding is </w:t>
            </w:r>
            <w:r w:rsidR="00500A7D" w:rsidRPr="6A25BB69">
              <w:rPr>
                <w:rFonts w:ascii="Times New Roman" w:hAnsi="Times New Roman"/>
              </w:rPr>
              <w:t xml:space="preserve">indeed </w:t>
            </w:r>
            <w:r w:rsidRPr="6A25BB69">
              <w:rPr>
                <w:rFonts w:ascii="Times New Roman" w:hAnsi="Times New Roman"/>
              </w:rPr>
              <w:t xml:space="preserve">crucial for equipping learners with the practical skills and competences needed in today’s rapidly evolving </w:t>
            </w:r>
            <w:proofErr w:type="spellStart"/>
            <w:r w:rsidRPr="6A25BB69">
              <w:rPr>
                <w:rFonts w:ascii="Times New Roman" w:hAnsi="Times New Roman"/>
              </w:rPr>
              <w:t>labour</w:t>
            </w:r>
            <w:proofErr w:type="spellEnd"/>
            <w:r w:rsidRPr="6A25BB69">
              <w:rPr>
                <w:rFonts w:ascii="Times New Roman" w:hAnsi="Times New Roman"/>
              </w:rPr>
              <w:t xml:space="preserve"> market. VET plays a central role in fostering inclusion, promoting social cohesion, and responding </w:t>
            </w:r>
            <w:r w:rsidRPr="6A25BB69">
              <w:rPr>
                <w:rFonts w:ascii="Times New Roman" w:hAnsi="Times New Roman"/>
              </w:rPr>
              <w:lastRenderedPageBreak/>
              <w:t xml:space="preserve">effectively to emerging challenges such as the green and digital transitions. Similarly, </w:t>
            </w:r>
            <w:r w:rsidR="00500A7D" w:rsidRPr="6A25BB69">
              <w:rPr>
                <w:rFonts w:ascii="Times New Roman" w:hAnsi="Times New Roman"/>
              </w:rPr>
              <w:t xml:space="preserve">non-formal and informal learning is also of key importance. </w:t>
            </w:r>
            <w:r w:rsidR="3895E30D" w:rsidRPr="6A25BB69">
              <w:rPr>
                <w:rFonts w:ascii="Times New Roman" w:hAnsi="Times New Roman"/>
              </w:rPr>
              <w:t>There is a</w:t>
            </w:r>
            <w:r w:rsidR="00500A7D" w:rsidRPr="6A25BB69">
              <w:rPr>
                <w:rFonts w:ascii="Times New Roman" w:hAnsi="Times New Roman"/>
              </w:rPr>
              <w:t xml:space="preserve"> need to further empower young people with the right set of skills to drive positive change, engaging them more strongly, fostering a shared sense of European values and identity, and actively promoting democratic participation. The Commission has proposed a significant budgetary reinforcement </w:t>
            </w:r>
            <w:r w:rsidR="17C3BF85" w:rsidRPr="6A25BB69">
              <w:rPr>
                <w:rFonts w:ascii="Times New Roman" w:hAnsi="Times New Roman"/>
              </w:rPr>
              <w:t xml:space="preserve">of almost 50% </w:t>
            </w:r>
            <w:r w:rsidR="00500A7D" w:rsidRPr="6A25BB69">
              <w:rPr>
                <w:rFonts w:ascii="Times New Roman" w:hAnsi="Times New Roman"/>
              </w:rPr>
              <w:t xml:space="preserve">for the next </w:t>
            </w:r>
            <w:proofErr w:type="spellStart"/>
            <w:r w:rsidR="00500A7D" w:rsidRPr="6A25BB69">
              <w:rPr>
                <w:rFonts w:ascii="Times New Roman" w:hAnsi="Times New Roman"/>
              </w:rPr>
              <w:t>programme</w:t>
            </w:r>
            <w:proofErr w:type="spellEnd"/>
            <w:r w:rsidR="00500A7D" w:rsidRPr="6A25BB69">
              <w:rPr>
                <w:rFonts w:ascii="Times New Roman" w:hAnsi="Times New Roman"/>
              </w:rPr>
              <w:t xml:space="preserve"> to ensure</w:t>
            </w:r>
            <w:r w:rsidR="00E216A3" w:rsidRPr="6A25BB69">
              <w:rPr>
                <w:rFonts w:ascii="Times New Roman" w:hAnsi="Times New Roman"/>
              </w:rPr>
              <w:t xml:space="preserve"> that</w:t>
            </w:r>
            <w:r w:rsidR="00500A7D" w:rsidRPr="6A25BB69">
              <w:rPr>
                <w:rFonts w:ascii="Times New Roman" w:hAnsi="Times New Roman"/>
              </w:rPr>
              <w:t xml:space="preserve"> Erasmus+ has the means to deliver on these priorities</w:t>
            </w:r>
            <w:r w:rsidR="00AF0886" w:rsidRPr="6A25BB69">
              <w:rPr>
                <w:rFonts w:ascii="Times New Roman" w:hAnsi="Times New Roman"/>
              </w:rPr>
              <w:t>.</w:t>
            </w:r>
            <w:r w:rsidR="00500A7D" w:rsidRPr="6A25BB69">
              <w:rPr>
                <w:rFonts w:ascii="Times New Roman" w:hAnsi="Times New Roman"/>
              </w:rPr>
              <w:t xml:space="preserve"> </w:t>
            </w:r>
            <w:r w:rsidR="00AF0886" w:rsidRPr="6A25BB69">
              <w:rPr>
                <w:rFonts w:ascii="Times New Roman" w:hAnsi="Times New Roman"/>
              </w:rPr>
              <w:t>A</w:t>
            </w:r>
            <w:r w:rsidR="00500A7D" w:rsidRPr="6A25BB69">
              <w:rPr>
                <w:rFonts w:ascii="Times New Roman" w:hAnsi="Times New Roman"/>
              </w:rPr>
              <w:t>lthough the proposal does not establish a</w:t>
            </w:r>
            <w:r w:rsidR="008E6F63">
              <w:rPr>
                <w:rFonts w:ascii="Times New Roman" w:hAnsi="Times New Roman"/>
              </w:rPr>
              <w:t> </w:t>
            </w:r>
            <w:r w:rsidR="00500A7D" w:rsidRPr="6A25BB69">
              <w:rPr>
                <w:rFonts w:ascii="Times New Roman" w:hAnsi="Times New Roman"/>
              </w:rPr>
              <w:t>specific budget breakdown by sector, the Commission intends to preserve the budgetary ambition for the different sectors</w:t>
            </w:r>
            <w:r w:rsidR="00C121EB" w:rsidRPr="6A25BB69">
              <w:rPr>
                <w:rFonts w:ascii="Times New Roman" w:hAnsi="Times New Roman"/>
              </w:rPr>
              <w:t>.</w:t>
            </w:r>
            <w:r w:rsidR="00500A7D" w:rsidRPr="6A25BB69">
              <w:rPr>
                <w:rFonts w:ascii="Times New Roman" w:hAnsi="Times New Roman"/>
              </w:rPr>
              <w:t xml:space="preserve"> </w:t>
            </w:r>
          </w:p>
          <w:p w14:paraId="228F3300" w14:textId="2CD7A39C" w:rsidR="002F1B5C" w:rsidRDefault="16FA35A3" w:rsidP="005F47AA">
            <w:pPr>
              <w:pStyle w:val="ListParagraph"/>
              <w:widowControl w:val="0"/>
              <w:spacing w:before="120" w:after="120" w:line="276" w:lineRule="auto"/>
              <w:ind w:left="0"/>
              <w:contextualSpacing w:val="0"/>
              <w:jc w:val="both"/>
              <w:rPr>
                <w:rFonts w:ascii="Times New Roman" w:hAnsi="Times New Roman"/>
                <w:u w:val="single"/>
              </w:rPr>
            </w:pPr>
            <w:r w:rsidRPr="6A25BB69">
              <w:rPr>
                <w:rFonts w:ascii="Times New Roman" w:hAnsi="Times New Roman"/>
              </w:rPr>
              <w:t xml:space="preserve">The Commission also intends to preserve the successful implementation </w:t>
            </w:r>
            <w:r w:rsidR="49970F15" w:rsidRPr="6A25BB69">
              <w:rPr>
                <w:rFonts w:ascii="Times New Roman" w:hAnsi="Times New Roman"/>
              </w:rPr>
              <w:t xml:space="preserve">mechanisms </w:t>
            </w:r>
            <w:r w:rsidRPr="6A25BB69">
              <w:rPr>
                <w:rFonts w:ascii="Times New Roman" w:hAnsi="Times New Roman"/>
              </w:rPr>
              <w:t xml:space="preserve">of the </w:t>
            </w:r>
            <w:proofErr w:type="spellStart"/>
            <w:r w:rsidRPr="6A25BB69">
              <w:rPr>
                <w:rFonts w:ascii="Times New Roman" w:hAnsi="Times New Roman"/>
              </w:rPr>
              <w:t>programme</w:t>
            </w:r>
            <w:proofErr w:type="spellEnd"/>
            <w:r w:rsidRPr="6A25BB69">
              <w:rPr>
                <w:rFonts w:ascii="Times New Roman" w:hAnsi="Times New Roman"/>
              </w:rPr>
              <w:t xml:space="preserve">, combining indirect and direct management, at a similar level </w:t>
            </w:r>
            <w:r w:rsidR="79AC2CAB" w:rsidRPr="6A25BB69">
              <w:rPr>
                <w:rFonts w:ascii="Times New Roman" w:hAnsi="Times New Roman"/>
              </w:rPr>
              <w:t>to</w:t>
            </w:r>
            <w:r w:rsidRPr="6A25BB69">
              <w:rPr>
                <w:rFonts w:ascii="Times New Roman" w:hAnsi="Times New Roman"/>
              </w:rPr>
              <w:t xml:space="preserve"> the current programming period. </w:t>
            </w:r>
            <w:r w:rsidR="00FC1A2A" w:rsidRPr="6A25BB69">
              <w:rPr>
                <w:rFonts w:ascii="Times New Roman" w:hAnsi="Times New Roman"/>
              </w:rPr>
              <w:t xml:space="preserve">The Commission has tabled a proposal without specific provisions for budget allocations per field or management mode to allow for greater flexibility. Evaluations and stakeholder feedback have shown that the current </w:t>
            </w:r>
            <w:proofErr w:type="spellStart"/>
            <w:r w:rsidR="00FC1A2A" w:rsidRPr="6A25BB69">
              <w:rPr>
                <w:rFonts w:ascii="Times New Roman" w:hAnsi="Times New Roman"/>
              </w:rPr>
              <w:t>programme</w:t>
            </w:r>
            <w:proofErr w:type="spellEnd"/>
            <w:r w:rsidR="00FC1A2A" w:rsidRPr="6A25BB69">
              <w:rPr>
                <w:rFonts w:ascii="Times New Roman" w:hAnsi="Times New Roman"/>
              </w:rPr>
              <w:t xml:space="preserve"> has successfully demonstrated resilience and adaptability in responding to significant external challenges, such as the COVID-19 pandemic and Russia’s full-scale invasion of Ukraine. This adaptability has been highly appreciated</w:t>
            </w:r>
            <w:r w:rsidR="00BD023B" w:rsidRPr="6A25BB69">
              <w:rPr>
                <w:rFonts w:ascii="Times New Roman" w:hAnsi="Times New Roman"/>
              </w:rPr>
              <w:t>.</w:t>
            </w:r>
            <w:r w:rsidR="00FC1A2A" w:rsidRPr="6A25BB69">
              <w:rPr>
                <w:rFonts w:ascii="Times New Roman" w:hAnsi="Times New Roman"/>
              </w:rPr>
              <w:t xml:space="preserve"> </w:t>
            </w:r>
            <w:r w:rsidR="00BD023B" w:rsidRPr="6A25BB69">
              <w:rPr>
                <w:rFonts w:ascii="Times New Roman" w:hAnsi="Times New Roman"/>
              </w:rPr>
              <w:t>T</w:t>
            </w:r>
            <w:r w:rsidR="00FC1A2A" w:rsidRPr="6A25BB69">
              <w:rPr>
                <w:rFonts w:ascii="Times New Roman" w:hAnsi="Times New Roman"/>
              </w:rPr>
              <w:t xml:space="preserve">here is a </w:t>
            </w:r>
            <w:proofErr w:type="spellStart"/>
            <w:r w:rsidR="00FC1A2A" w:rsidRPr="6A25BB69">
              <w:rPr>
                <w:rFonts w:ascii="Times New Roman" w:hAnsi="Times New Roman"/>
              </w:rPr>
              <w:t>recognised</w:t>
            </w:r>
            <w:proofErr w:type="spellEnd"/>
            <w:r w:rsidR="00FC1A2A" w:rsidRPr="6A25BB69">
              <w:rPr>
                <w:rFonts w:ascii="Times New Roman" w:hAnsi="Times New Roman"/>
              </w:rPr>
              <w:t xml:space="preserve"> need to maintain and enhance this flexibility in the future </w:t>
            </w:r>
            <w:proofErr w:type="spellStart"/>
            <w:r w:rsidR="00FC1A2A" w:rsidRPr="6A25BB69">
              <w:rPr>
                <w:rFonts w:ascii="Times New Roman" w:hAnsi="Times New Roman"/>
              </w:rPr>
              <w:t>programme</w:t>
            </w:r>
            <w:proofErr w:type="spellEnd"/>
            <w:r w:rsidR="00FC1A2A" w:rsidRPr="6A25BB69">
              <w:rPr>
                <w:rFonts w:ascii="Times New Roman" w:hAnsi="Times New Roman"/>
              </w:rPr>
              <w:t xml:space="preserve">. By not specifying budget shares at regulation level, the proposal allows for adjustments at the annual level and in the work </w:t>
            </w:r>
            <w:proofErr w:type="spellStart"/>
            <w:r w:rsidR="00FC1A2A" w:rsidRPr="6A25BB69">
              <w:rPr>
                <w:rFonts w:ascii="Times New Roman" w:hAnsi="Times New Roman"/>
              </w:rPr>
              <w:t>programme</w:t>
            </w:r>
            <w:proofErr w:type="spellEnd"/>
            <w:r w:rsidR="00FC1A2A" w:rsidRPr="6A25BB69">
              <w:rPr>
                <w:rFonts w:ascii="Times New Roman" w:hAnsi="Times New Roman"/>
              </w:rPr>
              <w:t xml:space="preserve">, enabling the </w:t>
            </w:r>
            <w:proofErr w:type="spellStart"/>
            <w:r w:rsidR="00FC1A2A" w:rsidRPr="6A25BB69">
              <w:rPr>
                <w:rFonts w:ascii="Times New Roman" w:hAnsi="Times New Roman"/>
              </w:rPr>
              <w:t>programme</w:t>
            </w:r>
            <w:proofErr w:type="spellEnd"/>
            <w:r w:rsidR="00FC1A2A" w:rsidRPr="6A25BB69">
              <w:rPr>
                <w:rFonts w:ascii="Times New Roman" w:hAnsi="Times New Roman"/>
              </w:rPr>
              <w:t xml:space="preserve"> to better adapt and align with </w:t>
            </w:r>
            <w:r w:rsidR="4D5061E9" w:rsidRPr="6A25BB69">
              <w:rPr>
                <w:rFonts w:ascii="Times New Roman" w:hAnsi="Times New Roman"/>
              </w:rPr>
              <w:t xml:space="preserve">newly </w:t>
            </w:r>
            <w:r w:rsidR="00FC1A2A" w:rsidRPr="6A25BB69">
              <w:rPr>
                <w:rFonts w:ascii="Times New Roman" w:hAnsi="Times New Roman"/>
              </w:rPr>
              <w:t>emerging priorities.</w:t>
            </w:r>
            <w:r w:rsidR="008A27C3" w:rsidRPr="6A25BB69">
              <w:rPr>
                <w:rFonts w:ascii="Times New Roman" w:hAnsi="Times New Roman"/>
              </w:rPr>
              <w:t xml:space="preserve"> </w:t>
            </w:r>
          </w:p>
          <w:p w14:paraId="4E98F3A5" w14:textId="7F63610D" w:rsidR="00DD72F8" w:rsidRPr="00DD72F8" w:rsidRDefault="00DD72F8" w:rsidP="005F47AA">
            <w:pPr>
              <w:pStyle w:val="ListParagraph"/>
              <w:widowControl w:val="0"/>
              <w:spacing w:before="120" w:after="120" w:line="276" w:lineRule="auto"/>
              <w:ind w:left="0"/>
              <w:contextualSpacing w:val="0"/>
              <w:jc w:val="both"/>
              <w:rPr>
                <w:rFonts w:ascii="Times New Roman" w:hAnsi="Times New Roman"/>
                <w:u w:val="single"/>
              </w:rPr>
            </w:pPr>
            <w:r w:rsidRPr="00DD72F8">
              <w:rPr>
                <w:rFonts w:ascii="Times New Roman" w:hAnsi="Times New Roman"/>
                <w:u w:val="single"/>
              </w:rPr>
              <w:t>Recommendation 1.4</w:t>
            </w:r>
          </w:p>
          <w:p w14:paraId="0A734A8D" w14:textId="6BD75EFD" w:rsidR="10439637" w:rsidRDefault="00DD72F8" w:rsidP="005F47AA">
            <w:pPr>
              <w:pStyle w:val="ListParagraph"/>
              <w:widowControl w:val="0"/>
              <w:spacing w:before="120" w:after="120" w:line="276" w:lineRule="auto"/>
              <w:ind w:left="0"/>
              <w:contextualSpacing w:val="0"/>
              <w:jc w:val="both"/>
              <w:rPr>
                <w:rFonts w:ascii="Times New Roman" w:hAnsi="Times New Roman"/>
                <w:u w:val="single"/>
                <w:lang w:val="en-GB"/>
              </w:rPr>
            </w:pPr>
            <w:r w:rsidRPr="6A25BB69">
              <w:rPr>
                <w:rFonts w:ascii="Times New Roman" w:hAnsi="Times New Roman"/>
                <w:lang w:val="en-GB"/>
              </w:rPr>
              <w:t xml:space="preserve">Monitoring the implementation and the performance of the EU budget is indeed </w:t>
            </w:r>
            <w:r w:rsidR="00F7356B" w:rsidRPr="6A25BB69">
              <w:rPr>
                <w:rFonts w:ascii="Times New Roman" w:hAnsi="Times New Roman"/>
                <w:lang w:val="en-GB"/>
              </w:rPr>
              <w:t xml:space="preserve">essential. </w:t>
            </w:r>
            <w:r w:rsidRPr="6A25BB69">
              <w:rPr>
                <w:rFonts w:ascii="Times New Roman" w:hAnsi="Times New Roman"/>
                <w:lang w:val="en-GB"/>
              </w:rPr>
              <w:t>For the next Multiannual Financial Framework</w:t>
            </w:r>
            <w:r w:rsidR="00570188" w:rsidRPr="6A25BB69">
              <w:rPr>
                <w:rFonts w:ascii="Times New Roman" w:hAnsi="Times New Roman"/>
                <w:lang w:val="en-GB"/>
              </w:rPr>
              <w:t xml:space="preserve"> (MFF)</w:t>
            </w:r>
            <w:r w:rsidRPr="6A25BB69">
              <w:rPr>
                <w:rFonts w:ascii="Times New Roman" w:hAnsi="Times New Roman"/>
                <w:lang w:val="en-GB"/>
              </w:rPr>
              <w:t>, the Commission proposed a horizontal framework for performance and expenditure tracking</w:t>
            </w:r>
            <w:r w:rsidR="007C0EEF">
              <w:rPr>
                <w:rStyle w:val="FootnoteReference"/>
                <w:rFonts w:ascii="Times New Roman" w:hAnsi="Times New Roman"/>
                <w:lang w:val="en-GB"/>
              </w:rPr>
              <w:footnoteReference w:id="1"/>
            </w:r>
            <w:r w:rsidRPr="6A25BB69">
              <w:rPr>
                <w:rFonts w:ascii="Times New Roman" w:hAnsi="Times New Roman"/>
                <w:lang w:val="en-GB"/>
              </w:rPr>
              <w:t xml:space="preserve">. This framework aims to replace the current </w:t>
            </w:r>
            <w:r w:rsidR="00F31153">
              <w:rPr>
                <w:rFonts w:ascii="Times New Roman" w:hAnsi="Times New Roman"/>
                <w:lang w:val="en-GB"/>
              </w:rPr>
              <w:t>system</w:t>
            </w:r>
            <w:r w:rsidRPr="6A25BB69">
              <w:rPr>
                <w:rFonts w:ascii="Times New Roman" w:hAnsi="Times New Roman"/>
                <w:lang w:val="en-GB"/>
              </w:rPr>
              <w:t xml:space="preserve"> of programme indicators with a streamlined, comparable and strategic performance architecture that aligns EU budgetary spending with broader policy goals. </w:t>
            </w:r>
            <w:r w:rsidR="00F7356B" w:rsidRPr="6A25BB69">
              <w:rPr>
                <w:rFonts w:ascii="Times New Roman" w:hAnsi="Times New Roman"/>
                <w:lang w:val="en-GB"/>
              </w:rPr>
              <w:t>The Commission also acknowledges the importance of engaging key stakeholders to ensure the programme responds to real needs and is fully grounded in the realities of those it serves. To this end, the Commission maintains</w:t>
            </w:r>
            <w:r w:rsidR="00C66D55">
              <w:rPr>
                <w:rFonts w:ascii="Times New Roman" w:hAnsi="Times New Roman"/>
                <w:lang w:val="en-GB"/>
              </w:rPr>
              <w:t>,</w:t>
            </w:r>
            <w:r w:rsidR="00F7356B" w:rsidRPr="6A25BB69">
              <w:rPr>
                <w:rFonts w:ascii="Times New Roman" w:hAnsi="Times New Roman"/>
                <w:lang w:val="en-GB"/>
              </w:rPr>
              <w:t xml:space="preserve"> </w:t>
            </w:r>
            <w:r w:rsidR="4DC988AF" w:rsidRPr="6A25BB69">
              <w:rPr>
                <w:rFonts w:ascii="Times New Roman" w:hAnsi="Times New Roman"/>
                <w:lang w:val="en-GB"/>
              </w:rPr>
              <w:t>and will continue to maintain</w:t>
            </w:r>
            <w:r w:rsidR="00C66D55">
              <w:rPr>
                <w:rFonts w:ascii="Times New Roman" w:hAnsi="Times New Roman"/>
                <w:lang w:val="en-GB"/>
              </w:rPr>
              <w:t>,</w:t>
            </w:r>
            <w:r w:rsidR="4DC988AF" w:rsidRPr="6A25BB69">
              <w:rPr>
                <w:rFonts w:ascii="Times New Roman" w:hAnsi="Times New Roman"/>
                <w:lang w:val="en-GB"/>
              </w:rPr>
              <w:t xml:space="preserve"> </w:t>
            </w:r>
            <w:r w:rsidR="00F7356B" w:rsidRPr="6A25BB69">
              <w:rPr>
                <w:rFonts w:ascii="Times New Roman" w:hAnsi="Times New Roman"/>
                <w:lang w:val="en-GB"/>
              </w:rPr>
              <w:t xml:space="preserve">regular dialogue with stakeholders. </w:t>
            </w:r>
          </w:p>
          <w:p w14:paraId="35883047" w14:textId="0B4A7DC6" w:rsidR="00F7356B" w:rsidRDefault="00F7356B" w:rsidP="005F47AA">
            <w:pPr>
              <w:pStyle w:val="ListParagraph"/>
              <w:widowControl w:val="0"/>
              <w:spacing w:before="120" w:after="120" w:line="276" w:lineRule="auto"/>
              <w:ind w:left="0"/>
              <w:contextualSpacing w:val="0"/>
              <w:jc w:val="both"/>
              <w:rPr>
                <w:rFonts w:ascii="Times New Roman" w:hAnsi="Times New Roman"/>
                <w:u w:val="single"/>
                <w:lang w:val="en-GB"/>
              </w:rPr>
            </w:pPr>
            <w:r w:rsidRPr="00F7356B">
              <w:rPr>
                <w:rFonts w:ascii="Times New Roman" w:hAnsi="Times New Roman"/>
                <w:u w:val="single"/>
                <w:lang w:val="en-GB"/>
              </w:rPr>
              <w:t>Recommendation 1.5</w:t>
            </w:r>
          </w:p>
          <w:p w14:paraId="1A8A19DF" w14:textId="651FCC51" w:rsidR="10439637" w:rsidRDefault="00F7356B" w:rsidP="005F47AA">
            <w:pPr>
              <w:pStyle w:val="ListParagraph"/>
              <w:widowControl w:val="0"/>
              <w:spacing w:before="120" w:after="120" w:line="276" w:lineRule="auto"/>
              <w:ind w:left="0"/>
              <w:contextualSpacing w:val="0"/>
              <w:jc w:val="both"/>
              <w:rPr>
                <w:rFonts w:ascii="Times New Roman" w:hAnsi="Times New Roman"/>
                <w:u w:val="single"/>
                <w:lang w:val="en-GB"/>
              </w:rPr>
            </w:pPr>
            <w:r w:rsidRPr="10439637">
              <w:rPr>
                <w:rFonts w:ascii="Times New Roman" w:hAnsi="Times New Roman"/>
                <w:lang w:val="en-GB"/>
              </w:rPr>
              <w:t>Volunteering</w:t>
            </w:r>
            <w:r w:rsidR="00531527" w:rsidRPr="10439637">
              <w:rPr>
                <w:rFonts w:ascii="Times New Roman" w:hAnsi="Times New Roman"/>
                <w:lang w:val="en-GB"/>
              </w:rPr>
              <w:t xml:space="preserve"> and the current European Solidarity Corps actions </w:t>
            </w:r>
            <w:r w:rsidRPr="10439637">
              <w:rPr>
                <w:rFonts w:ascii="Times New Roman" w:hAnsi="Times New Roman"/>
                <w:lang w:val="en-GB"/>
              </w:rPr>
              <w:t xml:space="preserve">constitute </w:t>
            </w:r>
            <w:r w:rsidR="00531527" w:rsidRPr="10439637">
              <w:rPr>
                <w:rFonts w:ascii="Times New Roman" w:hAnsi="Times New Roman"/>
                <w:lang w:val="en-GB"/>
              </w:rPr>
              <w:t xml:space="preserve">indeed </w:t>
            </w:r>
            <w:r w:rsidRPr="10439637">
              <w:rPr>
                <w:rFonts w:ascii="Times New Roman" w:hAnsi="Times New Roman"/>
                <w:lang w:val="en-GB"/>
              </w:rPr>
              <w:t>a rich experience in a</w:t>
            </w:r>
            <w:r w:rsidR="008E6F63">
              <w:rPr>
                <w:rFonts w:ascii="Times New Roman" w:hAnsi="Times New Roman"/>
                <w:lang w:val="en-GB"/>
              </w:rPr>
              <w:t> </w:t>
            </w:r>
            <w:r w:rsidRPr="10439637">
              <w:rPr>
                <w:rFonts w:ascii="Times New Roman" w:hAnsi="Times New Roman"/>
                <w:lang w:val="en-GB"/>
              </w:rPr>
              <w:t xml:space="preserve">non-formal and informal learning context, enabling young people to show solidarity and engage in activities contributing to address societal and humanitarian challenges while enhancing their personal, socio-educational and professional development, active citizenship, civic participation and employability. </w:t>
            </w:r>
            <w:r>
              <w:tab/>
            </w:r>
            <w:r w:rsidR="00531527" w:rsidRPr="10439637">
              <w:rPr>
                <w:rFonts w:ascii="Times New Roman" w:hAnsi="Times New Roman"/>
                <w:lang w:val="en-GB"/>
              </w:rPr>
              <w:t>The Commission intends to preserve these valuable opportunities in the next programming period, as laid down in the proposed Regulation.</w:t>
            </w:r>
            <w:r w:rsidR="0FF298A9" w:rsidRPr="10439637">
              <w:rPr>
                <w:rFonts w:ascii="Times New Roman" w:hAnsi="Times New Roman"/>
                <w:lang w:val="en-GB"/>
              </w:rPr>
              <w:t xml:space="preserve"> </w:t>
            </w:r>
            <w:r w:rsidR="008E32D7">
              <w:rPr>
                <w:rFonts w:ascii="Times New Roman" w:hAnsi="Times New Roman"/>
                <w:lang w:val="en-GB"/>
              </w:rPr>
              <w:t>T</w:t>
            </w:r>
            <w:r w:rsidR="0FF298A9" w:rsidRPr="10439637">
              <w:rPr>
                <w:rFonts w:ascii="Times New Roman" w:hAnsi="Times New Roman"/>
                <w:lang w:val="en-GB"/>
              </w:rPr>
              <w:t xml:space="preserve">he European Solidarity Corps </w:t>
            </w:r>
            <w:r w:rsidR="008E6F63" w:rsidRPr="10439637">
              <w:rPr>
                <w:rFonts w:ascii="Times New Roman" w:hAnsi="Times New Roman"/>
                <w:lang w:val="en-GB"/>
              </w:rPr>
              <w:t>actions</w:t>
            </w:r>
            <w:r w:rsidR="008E6F63">
              <w:rPr>
                <w:rFonts w:ascii="Times New Roman" w:hAnsi="Times New Roman"/>
                <w:lang w:val="en-GB"/>
              </w:rPr>
              <w:t>’</w:t>
            </w:r>
            <w:r w:rsidR="008E32D7">
              <w:rPr>
                <w:rFonts w:ascii="Times New Roman" w:hAnsi="Times New Roman"/>
                <w:lang w:val="en-GB"/>
              </w:rPr>
              <w:t xml:space="preserve"> integration</w:t>
            </w:r>
            <w:r w:rsidR="0FF298A9" w:rsidRPr="10439637">
              <w:rPr>
                <w:rFonts w:ascii="Times New Roman" w:hAnsi="Times New Roman"/>
                <w:lang w:val="en-GB"/>
              </w:rPr>
              <w:t xml:space="preserve"> in the Erasmus+ programme will create a one-stop-shop for youth opportunities.</w:t>
            </w:r>
            <w:r w:rsidR="00531527" w:rsidRPr="10439637">
              <w:rPr>
                <w:rFonts w:ascii="Times New Roman" w:hAnsi="Times New Roman"/>
                <w:lang w:val="en-GB"/>
              </w:rPr>
              <w:t xml:space="preserve"> </w:t>
            </w:r>
          </w:p>
          <w:p w14:paraId="42B5C3CC" w14:textId="77777777" w:rsidR="00531527" w:rsidRDefault="00531527" w:rsidP="005F47AA">
            <w:pPr>
              <w:pStyle w:val="ListParagraph"/>
              <w:widowControl w:val="0"/>
              <w:spacing w:before="120" w:after="120" w:line="276" w:lineRule="auto"/>
              <w:ind w:left="0"/>
              <w:contextualSpacing w:val="0"/>
              <w:jc w:val="both"/>
              <w:rPr>
                <w:rFonts w:ascii="Times New Roman" w:hAnsi="Times New Roman"/>
                <w:u w:val="single"/>
                <w:lang w:val="en-GB"/>
              </w:rPr>
            </w:pPr>
            <w:r w:rsidRPr="10439637">
              <w:rPr>
                <w:rFonts w:ascii="Times New Roman" w:hAnsi="Times New Roman"/>
                <w:u w:val="single"/>
                <w:lang w:val="en-GB"/>
              </w:rPr>
              <w:t>Recommendation 1.6</w:t>
            </w:r>
          </w:p>
          <w:p w14:paraId="2631B899" w14:textId="7C566FE4" w:rsidR="00531527" w:rsidRDefault="00531527" w:rsidP="005F47AA">
            <w:pPr>
              <w:pStyle w:val="ListParagraph"/>
              <w:widowControl w:val="0"/>
              <w:spacing w:before="120" w:after="120" w:line="276" w:lineRule="auto"/>
              <w:ind w:left="0"/>
              <w:contextualSpacing w:val="0"/>
              <w:jc w:val="both"/>
              <w:rPr>
                <w:rFonts w:ascii="Times New Roman" w:hAnsi="Times New Roman"/>
                <w:lang w:val="en-GB"/>
              </w:rPr>
            </w:pPr>
            <w:r w:rsidRPr="6A25BB69">
              <w:rPr>
                <w:rFonts w:ascii="Times New Roman" w:hAnsi="Times New Roman"/>
                <w:lang w:val="en-GB"/>
              </w:rPr>
              <w:t>The proposal for the next</w:t>
            </w:r>
            <w:r w:rsidR="00E405E4" w:rsidRPr="6A25BB69">
              <w:rPr>
                <w:rFonts w:ascii="Times New Roman" w:hAnsi="Times New Roman"/>
                <w:lang w:val="en-GB"/>
              </w:rPr>
              <w:t xml:space="preserve"> generation of the</w:t>
            </w:r>
            <w:r w:rsidRPr="6A25BB69">
              <w:rPr>
                <w:rFonts w:ascii="Times New Roman" w:hAnsi="Times New Roman"/>
                <w:lang w:val="en-GB"/>
              </w:rPr>
              <w:t xml:space="preserve"> Erasmus+</w:t>
            </w:r>
            <w:r w:rsidR="00E405E4" w:rsidRPr="6A25BB69">
              <w:rPr>
                <w:rFonts w:ascii="Times New Roman" w:hAnsi="Times New Roman"/>
                <w:lang w:val="en-GB"/>
              </w:rPr>
              <w:t xml:space="preserve"> programme</w:t>
            </w:r>
            <w:r w:rsidRPr="6A25BB69">
              <w:rPr>
                <w:rFonts w:ascii="Times New Roman" w:hAnsi="Times New Roman"/>
                <w:lang w:val="en-GB"/>
              </w:rPr>
              <w:t xml:space="preserve"> will</w:t>
            </w:r>
            <w:r w:rsidR="358C7ACC" w:rsidRPr="6A25BB69">
              <w:rPr>
                <w:rFonts w:ascii="Times New Roman" w:hAnsi="Times New Roman"/>
                <w:lang w:val="en-GB"/>
              </w:rPr>
              <w:t xml:space="preserve"> aim to offer opportunities for learning mobility, cooperation and policy dialogue with third countries not associated to the </w:t>
            </w:r>
            <w:r w:rsidR="358C7ACC" w:rsidRPr="6A25BB69">
              <w:rPr>
                <w:rFonts w:ascii="Times New Roman" w:hAnsi="Times New Roman"/>
                <w:lang w:val="en-GB"/>
              </w:rPr>
              <w:lastRenderedPageBreak/>
              <w:t xml:space="preserve">Programme. To </w:t>
            </w:r>
            <w:r w:rsidR="0131AB9E" w:rsidRPr="6A25BB69">
              <w:rPr>
                <w:rFonts w:ascii="Times New Roman" w:hAnsi="Times New Roman"/>
                <w:lang w:val="en-GB"/>
              </w:rPr>
              <w:t>strengt</w:t>
            </w:r>
            <w:r w:rsidR="003D606D">
              <w:rPr>
                <w:rFonts w:ascii="Times New Roman" w:hAnsi="Times New Roman"/>
                <w:lang w:val="en-GB"/>
              </w:rPr>
              <w:t>h</w:t>
            </w:r>
            <w:r w:rsidR="0131AB9E" w:rsidRPr="6A25BB69">
              <w:rPr>
                <w:rFonts w:ascii="Times New Roman" w:hAnsi="Times New Roman"/>
                <w:lang w:val="en-GB"/>
              </w:rPr>
              <w:t>en</w:t>
            </w:r>
            <w:r w:rsidR="358C7ACC" w:rsidRPr="6A25BB69">
              <w:rPr>
                <w:rFonts w:ascii="Times New Roman" w:hAnsi="Times New Roman"/>
                <w:lang w:val="en-GB"/>
              </w:rPr>
              <w:t xml:space="preserve"> the impact of th</w:t>
            </w:r>
            <w:r w:rsidR="001F1DC0" w:rsidRPr="6A25BB69">
              <w:rPr>
                <w:rFonts w:ascii="Times New Roman" w:hAnsi="Times New Roman"/>
                <w:lang w:val="en-GB"/>
              </w:rPr>
              <w:t>e</w:t>
            </w:r>
            <w:r w:rsidR="358C7ACC" w:rsidRPr="6A25BB69">
              <w:rPr>
                <w:rFonts w:ascii="Times New Roman" w:hAnsi="Times New Roman"/>
                <w:lang w:val="en-GB"/>
              </w:rPr>
              <w:t xml:space="preserve">se activities, it is important to enhance synergies between the Programme and Global Europe, </w:t>
            </w:r>
            <w:proofErr w:type="gramStart"/>
            <w:r w:rsidR="358C7ACC" w:rsidRPr="6A25BB69">
              <w:rPr>
                <w:rFonts w:ascii="Times New Roman" w:hAnsi="Times New Roman"/>
                <w:lang w:val="en-GB"/>
              </w:rPr>
              <w:t>taking into account</w:t>
            </w:r>
            <w:proofErr w:type="gramEnd"/>
            <w:r w:rsidR="358C7ACC" w:rsidRPr="6A25BB69">
              <w:rPr>
                <w:rFonts w:ascii="Times New Roman" w:hAnsi="Times New Roman"/>
                <w:lang w:val="en-GB"/>
              </w:rPr>
              <w:t xml:space="preserve"> the enlargement of the Union, the Global Gateway Strategy and the education and training, youth and sport policy frameworks.  </w:t>
            </w:r>
          </w:p>
          <w:p w14:paraId="4A7159E0" w14:textId="5A1828F7" w:rsidR="00531527" w:rsidRDefault="358C7ACC" w:rsidP="005F47AA">
            <w:pPr>
              <w:pStyle w:val="ListParagraph"/>
              <w:widowControl w:val="0"/>
              <w:spacing w:before="120" w:after="120" w:line="276" w:lineRule="auto"/>
              <w:ind w:left="0"/>
              <w:contextualSpacing w:val="0"/>
              <w:jc w:val="both"/>
              <w:rPr>
                <w:rFonts w:ascii="Times New Roman" w:hAnsi="Times New Roman"/>
                <w:lang w:val="en-GB"/>
              </w:rPr>
            </w:pPr>
            <w:r w:rsidRPr="10439637">
              <w:rPr>
                <w:rFonts w:ascii="Times New Roman" w:hAnsi="Times New Roman"/>
                <w:lang w:val="en-GB"/>
              </w:rPr>
              <w:t xml:space="preserve">The Programme will bring candidate countries and potential candidates closer to their goal of acceding to the Union. </w:t>
            </w:r>
            <w:r w:rsidR="00C77364">
              <w:rPr>
                <w:rFonts w:ascii="Times New Roman" w:hAnsi="Times New Roman"/>
                <w:lang w:val="en-GB"/>
              </w:rPr>
              <w:t>M</w:t>
            </w:r>
            <w:r w:rsidR="00C77364" w:rsidRPr="10439637">
              <w:rPr>
                <w:rFonts w:ascii="Times New Roman" w:hAnsi="Times New Roman"/>
                <w:lang w:val="en-GB"/>
              </w:rPr>
              <w:t>oreover</w:t>
            </w:r>
            <w:r w:rsidR="00C77364">
              <w:rPr>
                <w:rFonts w:ascii="Times New Roman" w:hAnsi="Times New Roman"/>
                <w:lang w:val="en-GB"/>
              </w:rPr>
              <w:t>, it</w:t>
            </w:r>
            <w:r w:rsidRPr="10439637">
              <w:rPr>
                <w:rFonts w:ascii="Times New Roman" w:hAnsi="Times New Roman"/>
                <w:lang w:val="en-GB"/>
              </w:rPr>
              <w:t xml:space="preserve"> will promote stability, partnerships and skills development, with countries in the wider neighbourhood including by enhancing ties with the Mediterranean region. Through cooperation with other countries across the globe, the Programme should as well attract talents worldwide, and shape partnerships notably to promote competitiveness of the Union. The Programme should support countries in modernising their institutions and organisations and, more generally, enhancing the quality and inclusiveness of education, training, youth and sport through international partnerships.</w:t>
            </w:r>
          </w:p>
          <w:p w14:paraId="75317CC9" w14:textId="77777777" w:rsidR="00531527" w:rsidRDefault="00734B56" w:rsidP="005F47AA">
            <w:pPr>
              <w:pStyle w:val="ListParagraph"/>
              <w:widowControl w:val="0"/>
              <w:spacing w:before="120" w:after="120" w:line="276" w:lineRule="auto"/>
              <w:ind w:left="0"/>
              <w:contextualSpacing w:val="0"/>
              <w:jc w:val="both"/>
              <w:rPr>
                <w:rFonts w:ascii="Times New Roman" w:hAnsi="Times New Roman"/>
                <w:u w:val="single"/>
                <w:lang w:val="en-GB"/>
              </w:rPr>
            </w:pPr>
            <w:r w:rsidRPr="00734B56">
              <w:rPr>
                <w:rFonts w:ascii="Times New Roman" w:hAnsi="Times New Roman"/>
                <w:u w:val="single"/>
                <w:lang w:val="en-GB"/>
              </w:rPr>
              <w:t>Recommendation 1.7</w:t>
            </w:r>
          </w:p>
          <w:p w14:paraId="5A340733" w14:textId="08FBF6A6" w:rsidR="002F1B5C" w:rsidRDefault="00734B56" w:rsidP="005F47AA">
            <w:pPr>
              <w:pStyle w:val="ListParagraph"/>
              <w:widowControl w:val="0"/>
              <w:spacing w:before="120" w:after="120" w:line="276" w:lineRule="auto"/>
              <w:ind w:left="0"/>
              <w:contextualSpacing w:val="0"/>
              <w:jc w:val="both"/>
              <w:rPr>
                <w:rFonts w:ascii="Times New Roman" w:hAnsi="Times New Roman"/>
                <w:lang w:val="en-GB"/>
              </w:rPr>
            </w:pPr>
            <w:r w:rsidRPr="10439637">
              <w:rPr>
                <w:rFonts w:ascii="Times New Roman" w:hAnsi="Times New Roman"/>
                <w:lang w:val="en-GB"/>
              </w:rPr>
              <w:t xml:space="preserve">Volunteering must not replace paid employment or traineeship opportunities that already exist or could be created. This is one key principle which is currently </w:t>
            </w:r>
            <w:r w:rsidR="3A2AC501" w:rsidRPr="10439637">
              <w:rPr>
                <w:rFonts w:ascii="Times New Roman" w:hAnsi="Times New Roman"/>
                <w:lang w:val="en-GB"/>
              </w:rPr>
              <w:t xml:space="preserve">closely assessed and monitored </w:t>
            </w:r>
            <w:r w:rsidRPr="10439637">
              <w:rPr>
                <w:rFonts w:ascii="Times New Roman" w:hAnsi="Times New Roman"/>
                <w:lang w:val="en-GB"/>
              </w:rPr>
              <w:t>by</w:t>
            </w:r>
            <w:r w:rsidR="005F47AA">
              <w:rPr>
                <w:rFonts w:ascii="Times New Roman" w:hAnsi="Times New Roman"/>
                <w:lang w:val="en-GB"/>
              </w:rPr>
              <w:t xml:space="preserve"> the programme’s</w:t>
            </w:r>
            <w:r w:rsidRPr="10439637">
              <w:rPr>
                <w:rFonts w:ascii="Times New Roman" w:hAnsi="Times New Roman"/>
                <w:lang w:val="en-GB"/>
              </w:rPr>
              <w:t xml:space="preserve"> implementing bodies when enabling organisations to host </w:t>
            </w:r>
            <w:r w:rsidR="6012461C" w:rsidRPr="10439637">
              <w:rPr>
                <w:rFonts w:ascii="Times New Roman" w:hAnsi="Times New Roman"/>
                <w:lang w:val="en-GB"/>
              </w:rPr>
              <w:t xml:space="preserve">and engage with </w:t>
            </w:r>
            <w:r w:rsidRPr="10439637">
              <w:rPr>
                <w:rFonts w:ascii="Times New Roman" w:hAnsi="Times New Roman"/>
                <w:lang w:val="en-GB"/>
              </w:rPr>
              <w:t xml:space="preserve">volunteers. Such essential </w:t>
            </w:r>
            <w:r w:rsidR="6F9A3B04" w:rsidRPr="10439637">
              <w:rPr>
                <w:rFonts w:ascii="Times New Roman" w:hAnsi="Times New Roman"/>
                <w:lang w:val="en-GB"/>
              </w:rPr>
              <w:t xml:space="preserve">quality </w:t>
            </w:r>
            <w:r w:rsidRPr="10439637">
              <w:rPr>
                <w:rFonts w:ascii="Times New Roman" w:hAnsi="Times New Roman"/>
                <w:lang w:val="en-GB"/>
              </w:rPr>
              <w:t xml:space="preserve">measures will be maintained in the next programming period. </w:t>
            </w:r>
          </w:p>
          <w:p w14:paraId="6232183E" w14:textId="1E48E1B5" w:rsidR="00734B56" w:rsidRPr="00734B56" w:rsidRDefault="00734B56" w:rsidP="005F47AA">
            <w:pPr>
              <w:pStyle w:val="ListParagraph"/>
              <w:widowControl w:val="0"/>
              <w:spacing w:before="120" w:after="120" w:line="276" w:lineRule="auto"/>
              <w:ind w:left="0"/>
              <w:contextualSpacing w:val="0"/>
              <w:jc w:val="both"/>
              <w:rPr>
                <w:rFonts w:ascii="Times New Roman" w:hAnsi="Times New Roman"/>
                <w:u w:val="single"/>
                <w:lang w:val="en-GB"/>
              </w:rPr>
            </w:pPr>
            <w:r w:rsidRPr="00734B56">
              <w:rPr>
                <w:rFonts w:ascii="Times New Roman" w:hAnsi="Times New Roman"/>
                <w:u w:val="single"/>
                <w:lang w:val="en-GB"/>
              </w:rPr>
              <w:t>Recommendation 1.8</w:t>
            </w:r>
          </w:p>
          <w:p w14:paraId="30D14481" w14:textId="665998CD" w:rsidR="002F1B5C" w:rsidRPr="00734B56" w:rsidRDefault="00734B56" w:rsidP="005F47AA">
            <w:pPr>
              <w:pStyle w:val="ListParagraph"/>
              <w:widowControl w:val="0"/>
              <w:spacing w:before="120" w:after="120" w:line="276" w:lineRule="auto"/>
              <w:ind w:left="0"/>
              <w:contextualSpacing w:val="0"/>
              <w:jc w:val="both"/>
              <w:rPr>
                <w:rFonts w:ascii="Times New Roman" w:hAnsi="Times New Roman"/>
                <w:lang w:val="en-GB"/>
              </w:rPr>
            </w:pPr>
            <w:r w:rsidRPr="10439637">
              <w:rPr>
                <w:rFonts w:ascii="Times New Roman" w:hAnsi="Times New Roman"/>
                <w:lang w:val="en-GB"/>
              </w:rPr>
              <w:t>Under the current programming period, Erasmus+ has significantly strengthened its inclusion and diversity dimension, while the European Solidarity Corps has succeeded in reaching a very important share of participants with fewer opportunities. In the next MFF, the Commission aims to</w:t>
            </w:r>
            <w:r w:rsidR="007809DA">
              <w:rPr>
                <w:rFonts w:ascii="Times New Roman" w:hAnsi="Times New Roman"/>
                <w:lang w:val="en-GB"/>
              </w:rPr>
              <w:t xml:space="preserve"> (i)</w:t>
            </w:r>
            <w:r w:rsidRPr="10439637">
              <w:rPr>
                <w:rFonts w:ascii="Times New Roman" w:hAnsi="Times New Roman"/>
                <w:lang w:val="en-GB"/>
              </w:rPr>
              <w:t xml:space="preserve"> continue addressing the challenges and obstacles that still limit access and participation for people with fewer opportunities, </w:t>
            </w:r>
            <w:r w:rsidR="007809DA">
              <w:rPr>
                <w:rFonts w:ascii="Times New Roman" w:hAnsi="Times New Roman"/>
                <w:lang w:val="en-GB"/>
              </w:rPr>
              <w:t>(i</w:t>
            </w:r>
            <w:r w:rsidR="006A6AD6">
              <w:rPr>
                <w:rFonts w:ascii="Times New Roman" w:hAnsi="Times New Roman"/>
                <w:lang w:val="en-GB"/>
              </w:rPr>
              <w:t>i</w:t>
            </w:r>
            <w:r w:rsidR="007809DA">
              <w:rPr>
                <w:rFonts w:ascii="Times New Roman" w:hAnsi="Times New Roman"/>
                <w:lang w:val="en-GB"/>
              </w:rPr>
              <w:t>)</w:t>
            </w:r>
            <w:r w:rsidR="008160B7">
              <w:rPr>
                <w:rFonts w:ascii="Times New Roman" w:hAnsi="Times New Roman"/>
                <w:lang w:val="en-GB"/>
              </w:rPr>
              <w:t xml:space="preserve"> </w:t>
            </w:r>
            <w:r w:rsidRPr="10439637">
              <w:rPr>
                <w:rFonts w:ascii="Times New Roman" w:hAnsi="Times New Roman"/>
                <w:lang w:val="en-GB"/>
              </w:rPr>
              <w:t xml:space="preserve">increase investment to reach them throughout all programme actions, </w:t>
            </w:r>
            <w:r w:rsidR="006A6AD6">
              <w:rPr>
                <w:rFonts w:ascii="Times New Roman" w:hAnsi="Times New Roman"/>
                <w:lang w:val="en-GB"/>
              </w:rPr>
              <w:t>(iii)</w:t>
            </w:r>
            <w:r w:rsidR="00104439">
              <w:rPr>
                <w:rFonts w:ascii="Times New Roman" w:hAnsi="Times New Roman"/>
                <w:lang w:val="en-GB"/>
              </w:rPr>
              <w:t xml:space="preserve"> </w:t>
            </w:r>
            <w:r w:rsidRPr="10439637">
              <w:rPr>
                <w:rFonts w:ascii="Times New Roman" w:hAnsi="Times New Roman"/>
                <w:lang w:val="en-GB"/>
              </w:rPr>
              <w:t xml:space="preserve">provide further easier access for small and community-based grassroots organisations and </w:t>
            </w:r>
            <w:r w:rsidR="006A6AD6">
              <w:rPr>
                <w:rFonts w:ascii="Times New Roman" w:hAnsi="Times New Roman"/>
                <w:lang w:val="en-GB"/>
              </w:rPr>
              <w:t>(iv)</w:t>
            </w:r>
            <w:r w:rsidR="00104439">
              <w:rPr>
                <w:rFonts w:ascii="Times New Roman" w:hAnsi="Times New Roman"/>
                <w:lang w:val="en-GB"/>
              </w:rPr>
              <w:t xml:space="preserve"> </w:t>
            </w:r>
            <w:r w:rsidRPr="10439637">
              <w:rPr>
                <w:rFonts w:ascii="Times New Roman" w:hAnsi="Times New Roman"/>
                <w:lang w:val="en-GB"/>
              </w:rPr>
              <w:t>support the development of activities</w:t>
            </w:r>
            <w:r w:rsidR="00E6397C">
              <w:rPr>
                <w:rFonts w:ascii="Times New Roman" w:hAnsi="Times New Roman"/>
                <w:lang w:val="en-GB"/>
              </w:rPr>
              <w:t xml:space="preserve"> that are</w:t>
            </w:r>
            <w:r w:rsidRPr="10439637">
              <w:rPr>
                <w:rFonts w:ascii="Times New Roman" w:hAnsi="Times New Roman"/>
                <w:lang w:val="en-GB"/>
              </w:rPr>
              <w:t xml:space="preserve"> inclusive </w:t>
            </w:r>
            <w:r w:rsidR="00EE5D7F">
              <w:rPr>
                <w:rFonts w:ascii="Times New Roman" w:hAnsi="Times New Roman"/>
                <w:lang w:val="en-GB"/>
              </w:rPr>
              <w:t>‘</w:t>
            </w:r>
            <w:r w:rsidRPr="10439637">
              <w:rPr>
                <w:rFonts w:ascii="Times New Roman" w:hAnsi="Times New Roman"/>
                <w:lang w:val="en-GB"/>
              </w:rPr>
              <w:t>by design</w:t>
            </w:r>
            <w:r w:rsidR="00EE5D7F">
              <w:rPr>
                <w:rFonts w:ascii="Times New Roman" w:hAnsi="Times New Roman"/>
                <w:lang w:val="en-GB"/>
              </w:rPr>
              <w:t>’</w:t>
            </w:r>
            <w:r w:rsidRPr="10439637">
              <w:rPr>
                <w:rFonts w:ascii="Times New Roman" w:hAnsi="Times New Roman"/>
                <w:lang w:val="en-GB"/>
              </w:rPr>
              <w:t xml:space="preserve">. The proposed </w:t>
            </w:r>
            <w:r w:rsidR="00840ED6">
              <w:rPr>
                <w:rFonts w:ascii="Times New Roman" w:hAnsi="Times New Roman"/>
                <w:lang w:val="en-GB"/>
              </w:rPr>
              <w:t xml:space="preserve">Erasmus+ </w:t>
            </w:r>
            <w:r w:rsidRPr="10439637">
              <w:rPr>
                <w:rFonts w:ascii="Times New Roman" w:hAnsi="Times New Roman"/>
                <w:lang w:val="en-GB"/>
              </w:rPr>
              <w:t xml:space="preserve">Regulation </w:t>
            </w:r>
            <w:r w:rsidR="00512A55">
              <w:rPr>
                <w:rFonts w:ascii="Times New Roman" w:hAnsi="Times New Roman"/>
                <w:lang w:val="en-GB"/>
              </w:rPr>
              <w:t>makes</w:t>
            </w:r>
            <w:r w:rsidR="00512A55" w:rsidRPr="10439637">
              <w:rPr>
                <w:rFonts w:ascii="Times New Roman" w:hAnsi="Times New Roman"/>
                <w:lang w:val="en-GB"/>
              </w:rPr>
              <w:t xml:space="preserve"> </w:t>
            </w:r>
            <w:r w:rsidRPr="10439637">
              <w:rPr>
                <w:rFonts w:ascii="Times New Roman" w:hAnsi="Times New Roman"/>
                <w:lang w:val="en-GB"/>
              </w:rPr>
              <w:t>fostering inclusion one of the programme’s specific objectives and contains a dedicated chapter on inclusion and diversity. This chapter contains reinforced provisions that go beyond financial support, setting out measures to assist participants with fewer opportunities and ensure comprehensive support for their participation and learning experience. It will serve as a basis for further implementation guidance.</w:t>
            </w:r>
          </w:p>
        </w:tc>
      </w:tr>
    </w:tbl>
    <w:p w14:paraId="41D86A3C" w14:textId="77777777" w:rsidR="00554137" w:rsidRPr="008E6F63" w:rsidRDefault="00554137" w:rsidP="00500A7D">
      <w:pPr>
        <w:pStyle w:val="ListParagraph"/>
        <w:spacing w:line="240" w:lineRule="auto"/>
        <w:ind w:left="0"/>
        <w:jc w:val="both"/>
        <w:rPr>
          <w:rFonts w:ascii="Times New Roman" w:hAnsi="Times New Roman"/>
          <w:sz w:val="2"/>
          <w:szCs w:val="2"/>
        </w:rPr>
      </w:pPr>
    </w:p>
    <w:sectPr w:rsidR="00554137" w:rsidRPr="008E6F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1B46" w14:textId="77777777" w:rsidR="0043522D" w:rsidRDefault="0043522D" w:rsidP="00FF63EA">
      <w:pPr>
        <w:spacing w:after="0" w:line="240" w:lineRule="auto"/>
      </w:pPr>
      <w:r>
        <w:separator/>
      </w:r>
    </w:p>
  </w:endnote>
  <w:endnote w:type="continuationSeparator" w:id="0">
    <w:p w14:paraId="4BC19572" w14:textId="77777777" w:rsidR="0043522D" w:rsidRDefault="0043522D"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09E2" w14:textId="77777777" w:rsidR="0043522D" w:rsidRDefault="0043522D" w:rsidP="00FF63EA">
      <w:pPr>
        <w:spacing w:after="0" w:line="240" w:lineRule="auto"/>
      </w:pPr>
      <w:r>
        <w:separator/>
      </w:r>
    </w:p>
  </w:footnote>
  <w:footnote w:type="continuationSeparator" w:id="0">
    <w:p w14:paraId="226F8DF6" w14:textId="77777777" w:rsidR="0043522D" w:rsidRDefault="0043522D" w:rsidP="00FF63EA">
      <w:pPr>
        <w:spacing w:after="0" w:line="240" w:lineRule="auto"/>
      </w:pPr>
      <w:r>
        <w:continuationSeparator/>
      </w:r>
    </w:p>
  </w:footnote>
  <w:footnote w:id="1">
    <w:p w14:paraId="66692AD0" w14:textId="3482937F" w:rsidR="007C0EEF" w:rsidRPr="008E6F63" w:rsidRDefault="007C0EEF" w:rsidP="005F47AA">
      <w:pPr>
        <w:pStyle w:val="FootnoteText"/>
        <w:widowControl w:val="0"/>
        <w:spacing w:after="0" w:line="240" w:lineRule="auto"/>
        <w:ind w:left="-141" w:right="-425" w:hanging="284"/>
        <w:jc w:val="both"/>
        <w:rPr>
          <w:rFonts w:ascii="Times New Roman" w:hAnsi="Times New Roman"/>
        </w:rPr>
      </w:pPr>
      <w:r w:rsidRPr="008E6F63">
        <w:rPr>
          <w:rStyle w:val="FootnoteReference"/>
          <w:rFonts w:ascii="Times New Roman" w:hAnsi="Times New Roman"/>
        </w:rPr>
        <w:footnoteRef/>
      </w:r>
      <w:r w:rsidRPr="008E6F63">
        <w:rPr>
          <w:rFonts w:ascii="Times New Roman" w:hAnsi="Times New Roman"/>
        </w:rPr>
        <w:t xml:space="preserve"> </w:t>
      </w:r>
      <w:r w:rsidR="008E6F63" w:rsidRPr="008E6F63">
        <w:rPr>
          <w:rFonts w:ascii="Times New Roman" w:hAnsi="Times New Roman"/>
        </w:rPr>
        <w:tab/>
      </w:r>
      <w:r w:rsidRPr="008E6F63">
        <w:rPr>
          <w:rFonts w:ascii="Times New Roman" w:hAnsi="Times New Roman"/>
        </w:rPr>
        <w:t>Proposal for a REGULATION OF THE EUROPEAN PARLIAMENT AND OF THE COUNCIL establishing a budget expenditure tracking and performance framework and other horizontal rules for the Union programmes and activities</w:t>
      </w:r>
      <w:r w:rsidR="00B33D86" w:rsidRPr="008E6F63">
        <w:rPr>
          <w:rFonts w:ascii="Times New Roman" w:hAnsi="Times New Roman"/>
        </w:rPr>
        <w:t>,</w:t>
      </w:r>
      <w:r w:rsidRPr="008E6F63">
        <w:rPr>
          <w:rFonts w:ascii="Times New Roman" w:hAnsi="Times New Roman"/>
        </w:rPr>
        <w:t xml:space="preserve"> COM/2025/545 final</w:t>
      </w:r>
      <w:r w:rsidR="00B33D86" w:rsidRPr="008E6F63">
        <w:rPr>
          <w:rFonts w:ascii="Times New Roman" w:hAnsi="Times New Roman"/>
        </w:rPr>
        <w:t xml:space="preserve"> (</w:t>
      </w:r>
      <w:hyperlink r:id="rId1" w:history="1">
        <w:r w:rsidRPr="008E6F63">
          <w:rPr>
            <w:rStyle w:val="Hyperlink"/>
            <w:rFonts w:ascii="Times New Roman" w:hAnsi="Times New Roman"/>
          </w:rPr>
          <w:t>https://eur-lex.europa.eu/legal-content/EN/TXT/?uri=celex:52025PC0545</w:t>
        </w:r>
      </w:hyperlink>
      <w:r w:rsidRPr="008E6F63">
        <w:rPr>
          <w:rFonts w:ascii="Times New Roman" w:hAnsi="Times New Roman"/>
        </w:rPr>
        <w:t>)</w:t>
      </w:r>
      <w:r w:rsidR="008E6F63">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3048C"/>
    <w:multiLevelType w:val="multilevel"/>
    <w:tmpl w:val="43D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673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6B15"/>
    <w:rsid w:val="00050DC7"/>
    <w:rsid w:val="00075D87"/>
    <w:rsid w:val="00076109"/>
    <w:rsid w:val="00077C4F"/>
    <w:rsid w:val="00080EDD"/>
    <w:rsid w:val="000866B5"/>
    <w:rsid w:val="000C6DF2"/>
    <w:rsid w:val="000F0274"/>
    <w:rsid w:val="000F5FD8"/>
    <w:rsid w:val="00104439"/>
    <w:rsid w:val="00111810"/>
    <w:rsid w:val="001167C0"/>
    <w:rsid w:val="00124D14"/>
    <w:rsid w:val="00135C2A"/>
    <w:rsid w:val="001963E5"/>
    <w:rsid w:val="001A56C9"/>
    <w:rsid w:val="001B0E0B"/>
    <w:rsid w:val="001C1255"/>
    <w:rsid w:val="001C4138"/>
    <w:rsid w:val="001F1DC0"/>
    <w:rsid w:val="001F2EC6"/>
    <w:rsid w:val="001F65D0"/>
    <w:rsid w:val="00217E59"/>
    <w:rsid w:val="00245C19"/>
    <w:rsid w:val="002808FE"/>
    <w:rsid w:val="00282B2D"/>
    <w:rsid w:val="002835A5"/>
    <w:rsid w:val="0029461A"/>
    <w:rsid w:val="002A6078"/>
    <w:rsid w:val="002F03FA"/>
    <w:rsid w:val="002F1B5C"/>
    <w:rsid w:val="003004D2"/>
    <w:rsid w:val="003134AD"/>
    <w:rsid w:val="003220E7"/>
    <w:rsid w:val="003349A3"/>
    <w:rsid w:val="00377967"/>
    <w:rsid w:val="00386143"/>
    <w:rsid w:val="003B58DC"/>
    <w:rsid w:val="003D229A"/>
    <w:rsid w:val="003D606D"/>
    <w:rsid w:val="003F686E"/>
    <w:rsid w:val="004174FA"/>
    <w:rsid w:val="0043522D"/>
    <w:rsid w:val="00442552"/>
    <w:rsid w:val="00455A1C"/>
    <w:rsid w:val="00461418"/>
    <w:rsid w:val="004666B3"/>
    <w:rsid w:val="004675B5"/>
    <w:rsid w:val="00474BE4"/>
    <w:rsid w:val="004770D6"/>
    <w:rsid w:val="0049246C"/>
    <w:rsid w:val="004934EB"/>
    <w:rsid w:val="004A7932"/>
    <w:rsid w:val="004B4123"/>
    <w:rsid w:val="004C7604"/>
    <w:rsid w:val="004C7FE6"/>
    <w:rsid w:val="004F6117"/>
    <w:rsid w:val="004F63F1"/>
    <w:rsid w:val="004F651E"/>
    <w:rsid w:val="00500855"/>
    <w:rsid w:val="00500A7D"/>
    <w:rsid w:val="00503902"/>
    <w:rsid w:val="00512A55"/>
    <w:rsid w:val="0052596B"/>
    <w:rsid w:val="00531527"/>
    <w:rsid w:val="00537535"/>
    <w:rsid w:val="00554137"/>
    <w:rsid w:val="00554D8D"/>
    <w:rsid w:val="00570188"/>
    <w:rsid w:val="00573835"/>
    <w:rsid w:val="005764AB"/>
    <w:rsid w:val="00581306"/>
    <w:rsid w:val="005C3105"/>
    <w:rsid w:val="005C6093"/>
    <w:rsid w:val="005D5BA7"/>
    <w:rsid w:val="005F47AA"/>
    <w:rsid w:val="00600D52"/>
    <w:rsid w:val="006249A0"/>
    <w:rsid w:val="00692C2F"/>
    <w:rsid w:val="00695797"/>
    <w:rsid w:val="00696A5E"/>
    <w:rsid w:val="006A1F99"/>
    <w:rsid w:val="006A6AD6"/>
    <w:rsid w:val="006B3B69"/>
    <w:rsid w:val="006B465A"/>
    <w:rsid w:val="006D26DD"/>
    <w:rsid w:val="006E5F30"/>
    <w:rsid w:val="006F04F4"/>
    <w:rsid w:val="00704E6D"/>
    <w:rsid w:val="00716D3D"/>
    <w:rsid w:val="00734613"/>
    <w:rsid w:val="00734B56"/>
    <w:rsid w:val="007357B8"/>
    <w:rsid w:val="00751910"/>
    <w:rsid w:val="00751E60"/>
    <w:rsid w:val="007547B5"/>
    <w:rsid w:val="007809DA"/>
    <w:rsid w:val="00794134"/>
    <w:rsid w:val="00795A9E"/>
    <w:rsid w:val="007A606D"/>
    <w:rsid w:val="007C0EEF"/>
    <w:rsid w:val="007C2214"/>
    <w:rsid w:val="00807B48"/>
    <w:rsid w:val="008135CA"/>
    <w:rsid w:val="00813C2C"/>
    <w:rsid w:val="0081584F"/>
    <w:rsid w:val="008160B7"/>
    <w:rsid w:val="008164CC"/>
    <w:rsid w:val="00817940"/>
    <w:rsid w:val="0082340E"/>
    <w:rsid w:val="00830E29"/>
    <w:rsid w:val="00840ED6"/>
    <w:rsid w:val="008460B4"/>
    <w:rsid w:val="008703BF"/>
    <w:rsid w:val="0087109C"/>
    <w:rsid w:val="008750B3"/>
    <w:rsid w:val="008925CE"/>
    <w:rsid w:val="008A27C3"/>
    <w:rsid w:val="008A2935"/>
    <w:rsid w:val="008C4D41"/>
    <w:rsid w:val="008E32D7"/>
    <w:rsid w:val="008E554E"/>
    <w:rsid w:val="008E6F63"/>
    <w:rsid w:val="008F4D8E"/>
    <w:rsid w:val="009175C1"/>
    <w:rsid w:val="00922474"/>
    <w:rsid w:val="00930303"/>
    <w:rsid w:val="00933B99"/>
    <w:rsid w:val="0094076E"/>
    <w:rsid w:val="00944063"/>
    <w:rsid w:val="00960D19"/>
    <w:rsid w:val="00962084"/>
    <w:rsid w:val="00976EAD"/>
    <w:rsid w:val="00981F45"/>
    <w:rsid w:val="0098690C"/>
    <w:rsid w:val="00994D12"/>
    <w:rsid w:val="009A3524"/>
    <w:rsid w:val="009B128B"/>
    <w:rsid w:val="00A062E5"/>
    <w:rsid w:val="00A07AEE"/>
    <w:rsid w:val="00A16F07"/>
    <w:rsid w:val="00A31167"/>
    <w:rsid w:val="00A54C2C"/>
    <w:rsid w:val="00A62C7B"/>
    <w:rsid w:val="00A66DB2"/>
    <w:rsid w:val="00A67207"/>
    <w:rsid w:val="00A711DB"/>
    <w:rsid w:val="00A72A72"/>
    <w:rsid w:val="00A7709A"/>
    <w:rsid w:val="00A919D0"/>
    <w:rsid w:val="00AA0D0B"/>
    <w:rsid w:val="00AC6649"/>
    <w:rsid w:val="00AE1842"/>
    <w:rsid w:val="00AE1CE1"/>
    <w:rsid w:val="00AE3C7C"/>
    <w:rsid w:val="00AF0886"/>
    <w:rsid w:val="00B25240"/>
    <w:rsid w:val="00B31306"/>
    <w:rsid w:val="00B33D86"/>
    <w:rsid w:val="00B42692"/>
    <w:rsid w:val="00B42814"/>
    <w:rsid w:val="00B83936"/>
    <w:rsid w:val="00BB0A33"/>
    <w:rsid w:val="00BD023B"/>
    <w:rsid w:val="00BD6EB7"/>
    <w:rsid w:val="00BE756A"/>
    <w:rsid w:val="00C04B9E"/>
    <w:rsid w:val="00C059A2"/>
    <w:rsid w:val="00C121EB"/>
    <w:rsid w:val="00C37BDD"/>
    <w:rsid w:val="00C5290F"/>
    <w:rsid w:val="00C54D27"/>
    <w:rsid w:val="00C66D55"/>
    <w:rsid w:val="00C76EEB"/>
    <w:rsid w:val="00C77364"/>
    <w:rsid w:val="00CA38DB"/>
    <w:rsid w:val="00D01F5A"/>
    <w:rsid w:val="00D1323B"/>
    <w:rsid w:val="00D1716E"/>
    <w:rsid w:val="00D64E05"/>
    <w:rsid w:val="00D8193F"/>
    <w:rsid w:val="00D92FD3"/>
    <w:rsid w:val="00DA3B6E"/>
    <w:rsid w:val="00DA478E"/>
    <w:rsid w:val="00DA51F1"/>
    <w:rsid w:val="00DB3ADE"/>
    <w:rsid w:val="00DB5888"/>
    <w:rsid w:val="00DB7581"/>
    <w:rsid w:val="00DC70C1"/>
    <w:rsid w:val="00DD3F3F"/>
    <w:rsid w:val="00DD72F8"/>
    <w:rsid w:val="00E17F93"/>
    <w:rsid w:val="00E216A3"/>
    <w:rsid w:val="00E25D00"/>
    <w:rsid w:val="00E30AB4"/>
    <w:rsid w:val="00E405E4"/>
    <w:rsid w:val="00E6397C"/>
    <w:rsid w:val="00E755D8"/>
    <w:rsid w:val="00E76416"/>
    <w:rsid w:val="00E83C12"/>
    <w:rsid w:val="00E904C8"/>
    <w:rsid w:val="00EA1BBF"/>
    <w:rsid w:val="00EB29A9"/>
    <w:rsid w:val="00EB77D2"/>
    <w:rsid w:val="00ED1E75"/>
    <w:rsid w:val="00ED37C4"/>
    <w:rsid w:val="00EE5D7F"/>
    <w:rsid w:val="00F03C57"/>
    <w:rsid w:val="00F31153"/>
    <w:rsid w:val="00F316C8"/>
    <w:rsid w:val="00F330BA"/>
    <w:rsid w:val="00F35738"/>
    <w:rsid w:val="00F52F7D"/>
    <w:rsid w:val="00F632DE"/>
    <w:rsid w:val="00F7356B"/>
    <w:rsid w:val="00F735E4"/>
    <w:rsid w:val="00F8173D"/>
    <w:rsid w:val="00FB1547"/>
    <w:rsid w:val="00FB7834"/>
    <w:rsid w:val="00FC1A2A"/>
    <w:rsid w:val="00FC63D7"/>
    <w:rsid w:val="00FD13CC"/>
    <w:rsid w:val="00FD31EB"/>
    <w:rsid w:val="00FD4B6A"/>
    <w:rsid w:val="00FE2E70"/>
    <w:rsid w:val="00FE7D28"/>
    <w:rsid w:val="00FF03A8"/>
    <w:rsid w:val="00FF63EA"/>
    <w:rsid w:val="00FF7456"/>
    <w:rsid w:val="012F4BE2"/>
    <w:rsid w:val="0131AB9E"/>
    <w:rsid w:val="0559FC10"/>
    <w:rsid w:val="0582CE91"/>
    <w:rsid w:val="06E40729"/>
    <w:rsid w:val="0813D4CC"/>
    <w:rsid w:val="08AF241C"/>
    <w:rsid w:val="0C8F3CD9"/>
    <w:rsid w:val="0CD6520D"/>
    <w:rsid w:val="0DFF71D8"/>
    <w:rsid w:val="0EE2B406"/>
    <w:rsid w:val="0F4388E5"/>
    <w:rsid w:val="0FF298A9"/>
    <w:rsid w:val="10061E9E"/>
    <w:rsid w:val="102D0A63"/>
    <w:rsid w:val="10439637"/>
    <w:rsid w:val="15926F17"/>
    <w:rsid w:val="16FA35A3"/>
    <w:rsid w:val="17C3BF85"/>
    <w:rsid w:val="1A189375"/>
    <w:rsid w:val="1A7DFE18"/>
    <w:rsid w:val="1FBAA44D"/>
    <w:rsid w:val="207DD40D"/>
    <w:rsid w:val="2652B958"/>
    <w:rsid w:val="287933DA"/>
    <w:rsid w:val="29279F7A"/>
    <w:rsid w:val="2936566E"/>
    <w:rsid w:val="2ADB8031"/>
    <w:rsid w:val="2D4575A6"/>
    <w:rsid w:val="2EA2A9C0"/>
    <w:rsid w:val="31F2301F"/>
    <w:rsid w:val="33237DC1"/>
    <w:rsid w:val="358C7ACC"/>
    <w:rsid w:val="373756A4"/>
    <w:rsid w:val="3895E30D"/>
    <w:rsid w:val="395212F6"/>
    <w:rsid w:val="3A2AC501"/>
    <w:rsid w:val="403FBCED"/>
    <w:rsid w:val="40BAC260"/>
    <w:rsid w:val="42A114C6"/>
    <w:rsid w:val="42A95F47"/>
    <w:rsid w:val="49970F15"/>
    <w:rsid w:val="4C85B94F"/>
    <w:rsid w:val="4D334A6C"/>
    <w:rsid w:val="4D5061E9"/>
    <w:rsid w:val="4DC988AF"/>
    <w:rsid w:val="4FA8975E"/>
    <w:rsid w:val="5008F435"/>
    <w:rsid w:val="52C8F57B"/>
    <w:rsid w:val="5364ECD8"/>
    <w:rsid w:val="53A160FD"/>
    <w:rsid w:val="53A7203F"/>
    <w:rsid w:val="55CC5332"/>
    <w:rsid w:val="55D4723C"/>
    <w:rsid w:val="584E0AAE"/>
    <w:rsid w:val="5DB82407"/>
    <w:rsid w:val="5EC3F84E"/>
    <w:rsid w:val="6012461C"/>
    <w:rsid w:val="61B53DC9"/>
    <w:rsid w:val="6505E568"/>
    <w:rsid w:val="66CE77E7"/>
    <w:rsid w:val="6A25BB69"/>
    <w:rsid w:val="6F679B30"/>
    <w:rsid w:val="6F9A3B04"/>
    <w:rsid w:val="7082149C"/>
    <w:rsid w:val="71CD44A7"/>
    <w:rsid w:val="730716F6"/>
    <w:rsid w:val="7464178E"/>
    <w:rsid w:val="781441B1"/>
    <w:rsid w:val="787C51A8"/>
    <w:rsid w:val="79AC2CAB"/>
    <w:rsid w:val="7B40B030"/>
    <w:rsid w:val="7B79A556"/>
    <w:rsid w:val="7C50EF2D"/>
    <w:rsid w:val="7ED2F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1866B263-3952-48B0-B54B-2F6012F3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7C3"/>
    <w:pPr>
      <w:spacing w:after="160" w:line="278" w:lineRule="auto"/>
      <w:ind w:left="720"/>
      <w:contextualSpacing/>
    </w:pPr>
    <w:rPr>
      <w:rFonts w:ascii="Aptos" w:eastAsia="Aptos" w:hAnsi="Aptos" w:cs="Arial"/>
      <w:kern w:val="2"/>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C059A2"/>
    <w:rPr>
      <w:sz w:val="22"/>
      <w:szCs w:val="22"/>
      <w:lang w:val="en-GB" w:eastAsia="en-US"/>
    </w:rPr>
  </w:style>
  <w:style w:type="paragraph" w:styleId="Header">
    <w:name w:val="header"/>
    <w:basedOn w:val="Normal"/>
    <w:link w:val="HeaderChar"/>
    <w:uiPriority w:val="99"/>
    <w:semiHidden/>
    <w:unhideWhenUsed/>
    <w:rsid w:val="0082340E"/>
    <w:pPr>
      <w:tabs>
        <w:tab w:val="center" w:pos="4513"/>
        <w:tab w:val="right" w:pos="9026"/>
      </w:tabs>
    </w:pPr>
  </w:style>
  <w:style w:type="character" w:customStyle="1" w:styleId="HeaderChar">
    <w:name w:val="Header Char"/>
    <w:link w:val="Header"/>
    <w:uiPriority w:val="99"/>
    <w:semiHidden/>
    <w:rsid w:val="0082340E"/>
    <w:rPr>
      <w:sz w:val="22"/>
      <w:szCs w:val="22"/>
      <w:lang w:val="en-GB" w:eastAsia="en-US"/>
    </w:rPr>
  </w:style>
  <w:style w:type="paragraph" w:styleId="Footer">
    <w:name w:val="footer"/>
    <w:basedOn w:val="Normal"/>
    <w:link w:val="FooterChar"/>
    <w:uiPriority w:val="99"/>
    <w:semiHidden/>
    <w:unhideWhenUsed/>
    <w:rsid w:val="0082340E"/>
    <w:pPr>
      <w:tabs>
        <w:tab w:val="center" w:pos="4513"/>
        <w:tab w:val="right" w:pos="9026"/>
      </w:tabs>
    </w:pPr>
  </w:style>
  <w:style w:type="character" w:customStyle="1" w:styleId="FooterChar">
    <w:name w:val="Footer Char"/>
    <w:link w:val="Footer"/>
    <w:uiPriority w:val="99"/>
    <w:semiHidden/>
    <w:rsid w:val="0082340E"/>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840ED6"/>
    <w:rPr>
      <w:b/>
      <w:bCs/>
    </w:rPr>
  </w:style>
  <w:style w:type="character" w:customStyle="1" w:styleId="CommentSubjectChar">
    <w:name w:val="Comment Subject Char"/>
    <w:link w:val="CommentSubject"/>
    <w:uiPriority w:val="99"/>
    <w:semiHidden/>
    <w:rsid w:val="00840ED6"/>
    <w:rPr>
      <w:b/>
      <w:bCs/>
      <w:lang w:val="en-GB" w:eastAsia="en-US"/>
    </w:rPr>
  </w:style>
  <w:style w:type="paragraph" w:styleId="FootnoteText">
    <w:name w:val="footnote text"/>
    <w:basedOn w:val="Normal"/>
    <w:link w:val="FootnoteTextChar"/>
    <w:uiPriority w:val="99"/>
    <w:semiHidden/>
    <w:unhideWhenUsed/>
    <w:rsid w:val="00840ED6"/>
    <w:rPr>
      <w:sz w:val="20"/>
      <w:szCs w:val="20"/>
    </w:rPr>
  </w:style>
  <w:style w:type="character" w:customStyle="1" w:styleId="FootnoteTextChar">
    <w:name w:val="Footnote Text Char"/>
    <w:link w:val="FootnoteText"/>
    <w:uiPriority w:val="99"/>
    <w:semiHidden/>
    <w:rsid w:val="00840ED6"/>
    <w:rPr>
      <w:lang w:val="en-GB" w:eastAsia="en-US"/>
    </w:rPr>
  </w:style>
  <w:style w:type="character" w:styleId="FootnoteReference">
    <w:name w:val="footnote reference"/>
    <w:uiPriority w:val="99"/>
    <w:semiHidden/>
    <w:unhideWhenUsed/>
    <w:rsid w:val="00840ED6"/>
    <w:rPr>
      <w:vertAlign w:val="superscript"/>
    </w:rPr>
  </w:style>
  <w:style w:type="character" w:styleId="Hyperlink">
    <w:name w:val="Hyperlink"/>
    <w:uiPriority w:val="99"/>
    <w:unhideWhenUsed/>
    <w:rsid w:val="007C0EEF"/>
    <w:rPr>
      <w:color w:val="0563C1"/>
      <w:u w:val="single"/>
    </w:rPr>
  </w:style>
  <w:style w:type="character" w:styleId="UnresolvedMention">
    <w:name w:val="Unresolved Mention"/>
    <w:uiPriority w:val="99"/>
    <w:semiHidden/>
    <w:unhideWhenUsed/>
    <w:rsid w:val="007C0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49278">
      <w:bodyDiv w:val="1"/>
      <w:marLeft w:val="0"/>
      <w:marRight w:val="0"/>
      <w:marTop w:val="0"/>
      <w:marBottom w:val="0"/>
      <w:divBdr>
        <w:top w:val="none" w:sz="0" w:space="0" w:color="auto"/>
        <w:left w:val="none" w:sz="0" w:space="0" w:color="auto"/>
        <w:bottom w:val="none" w:sz="0" w:space="0" w:color="auto"/>
        <w:right w:val="none" w:sz="0" w:space="0" w:color="auto"/>
      </w:divBdr>
    </w:div>
    <w:div w:id="146422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5PC0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C_ARES_NUMBER xmlns="278287c8-5be4-4613-8138-480f9be48247">
      <Url xsi:nil="true"/>
      <Description xsi:nil="true"/>
    </EC_ARES_NUMBER>
    <EC_ARES_TRANSFERRED_BY xmlns="278287c8-5be4-4613-8138-480f9be48247" xsi:nil="true"/>
    <IconOverlay xmlns="http://schemas.microsoft.com/sharepoint/v4" xsi:nil="true"/>
    <TaxCatchAll xmlns="278287c8-5be4-4613-8138-480f9be48247" xsi:nil="true"/>
    <EC_ARES_DATE_TRANSFERRED xmlns="278287c8-5be4-4613-8138-480f9be48247" xsi:nil="true"/>
    <lcf76f155ced4ddcb4097134ff3c332f xmlns="a280f3ed-f921-4226-9525-27fa6d5775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24" ma:contentTypeDescription="Create a new document." ma:contentTypeScope="" ma:versionID="45797bca835a01d1b0ded9ea95451c34">
  <xsd:schema xmlns:xsd="http://www.w3.org/2001/XMLSchema" xmlns:xs="http://www.w3.org/2001/XMLSchema" xmlns:p="http://schemas.microsoft.com/office/2006/metadata/properties" xmlns:ns1="http://schemas.microsoft.com/sharepoint/v3" xmlns:ns2="a280f3ed-f921-4226-9525-27fa6d577539" xmlns:ns3="278287c8-5be4-4613-8138-480f9be48247" xmlns:ns4="http://schemas.microsoft.com/sharepoint/v4" targetNamespace="http://schemas.microsoft.com/office/2006/metadata/properties" ma:root="true" ma:fieldsID="ae514d215b8372b616209097eb4e6517" ns1:_="" ns2:_="" ns3:_="" ns4:_="">
    <xsd:import namespace="http://schemas.microsoft.com/sharepoint/v3"/>
    <xsd:import namespace="a280f3ed-f921-4226-9525-27fa6d577539"/>
    <xsd:import namespace="278287c8-5be4-4613-8138-480f9be4824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03ac72e2-97ce-4cc7-a917-47074297667e}"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element name="EC_ARES_NUMBER" ma:index="2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5" nillable="true" ma:displayName="Transferred to Ares" ma:format="DateTime" ma:hidden="true" ma:internalName="EC_ARES_DATE_TRANSFERRED">
      <xsd:simpleType>
        <xsd:restriction base="dms:DateTime"/>
      </xsd:simpleType>
    </xsd:element>
    <xsd:element name="EC_ARES_TRANSFERRED_BY" ma:index="2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C652C-31C1-44C7-88B6-40A1917E04A1}">
  <ds:schemaRefs>
    <ds:schemaRef ds:uri="http://schemas.openxmlformats.org/officeDocument/2006/bibliography"/>
  </ds:schemaRefs>
</ds:datastoreItem>
</file>

<file path=customXml/itemProps2.xml><?xml version="1.0" encoding="utf-8"?>
<ds:datastoreItem xmlns:ds="http://schemas.openxmlformats.org/officeDocument/2006/customXml" ds:itemID="{CA7B29A2-2705-4173-8F7F-01ADB6FCC8CB}">
  <ds:schemaRefs>
    <ds:schemaRef ds:uri="http://schemas.microsoft.com/office/2006/metadata/properties"/>
    <ds:schemaRef ds:uri="http://schemas.microsoft.com/office/infopath/2007/PartnerControls"/>
    <ds:schemaRef ds:uri="278287c8-5be4-4613-8138-480f9be48247"/>
    <ds:schemaRef ds:uri="http://schemas.microsoft.com/sharepoint/v4"/>
    <ds:schemaRef ds:uri="a280f3ed-f921-4226-9525-27fa6d577539"/>
  </ds:schemaRefs>
</ds:datastoreItem>
</file>

<file path=customXml/itemProps3.xml><?xml version="1.0" encoding="utf-8"?>
<ds:datastoreItem xmlns:ds="http://schemas.openxmlformats.org/officeDocument/2006/customXml" ds:itemID="{7E068A21-4A1E-4C11-AB46-AD7AAE822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0f3ed-f921-4226-9525-27fa6d577539"/>
    <ds:schemaRef ds:uri="278287c8-5be4-4613-8138-480f9be4824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0CDF6-5463-4DDC-B30F-B9002E29F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1212</Words>
  <Characters>7497</Characters>
  <Application>Microsoft Office Word</Application>
  <DocSecurity>0</DocSecurity>
  <Lines>108</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2013-02-28T03:02:00Z</cp:lastPrinted>
  <dcterms:created xsi:type="dcterms:W3CDTF">2026-03-31T07:28:00Z</dcterms:created>
  <dcterms:modified xsi:type="dcterms:W3CDTF">2026-03-31T07:28:00Z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0x010100F099A588E0F14746BFAC081FD6A566B8</vt:lpwstr>
  </property>
  <property fmtid="{D5CDD505-2E9C-101B-9397-08002B2CF9AE}" pid="10" name="MediaServiceImageTags">
    <vt:lpwstr/>
  </property>
</Properties>
</file>