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777" w:tblpY="58"/>
        <w:tblW w:w="1088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881"/>
      </w:tblGrid>
      <w:tr w:rsidR="00842F1F" w:rsidRPr="006831D2" w14:paraId="0CCAEFEF" w14:textId="77777777" w:rsidTr="00CB54AC">
        <w:tc>
          <w:tcPr>
            <w:tcW w:w="10881" w:type="dxa"/>
          </w:tcPr>
          <w:p w14:paraId="6C3D7553" w14:textId="7B8CCE12" w:rsidR="00842F1F" w:rsidRPr="006831D2" w:rsidRDefault="00842F1F" w:rsidP="00CB54AC">
            <w:pPr>
              <w:widowControl w:val="0"/>
              <w:spacing w:before="120" w:after="120"/>
              <w:rPr>
                <w:rFonts w:ascii="Times New Roman" w:hAnsi="Times New Roman"/>
                <w:b/>
                <w:sz w:val="24"/>
                <w:szCs w:val="24"/>
              </w:rPr>
            </w:pPr>
            <w:r w:rsidRPr="006831D2">
              <w:rPr>
                <w:rFonts w:ascii="Times New Roman" w:hAnsi="Times New Roman"/>
                <w:b/>
                <w:sz w:val="24"/>
                <w:szCs w:val="24"/>
              </w:rPr>
              <w:t>Union of Skills</w:t>
            </w:r>
            <w:r w:rsidR="000F463F">
              <w:rPr>
                <w:rFonts w:ascii="Times New Roman" w:hAnsi="Times New Roman"/>
                <w:b/>
                <w:sz w:val="24"/>
                <w:szCs w:val="24"/>
              </w:rPr>
              <w:br/>
              <w:t>(optional opinion)</w:t>
            </w:r>
            <w:r w:rsidRPr="006831D2">
              <w:rPr>
                <w:rFonts w:ascii="Times New Roman" w:hAnsi="Times New Roman"/>
                <w:b/>
                <w:sz w:val="24"/>
                <w:szCs w:val="24"/>
              </w:rPr>
              <w:br/>
            </w:r>
            <w:proofErr w:type="gramStart"/>
            <w:r w:rsidRPr="006831D2">
              <w:rPr>
                <w:rFonts w:ascii="Times New Roman" w:hAnsi="Times New Roman"/>
                <w:b/>
                <w:sz w:val="24"/>
                <w:szCs w:val="24"/>
              </w:rPr>
              <w:t>COM(</w:t>
            </w:r>
            <w:proofErr w:type="gramEnd"/>
            <w:r w:rsidRPr="006831D2">
              <w:rPr>
                <w:rFonts w:ascii="Times New Roman" w:hAnsi="Times New Roman"/>
                <w:b/>
                <w:sz w:val="24"/>
                <w:szCs w:val="24"/>
              </w:rPr>
              <w:t>2025) 90 final</w:t>
            </w:r>
            <w:r w:rsidR="006831D2">
              <w:rPr>
                <w:rFonts w:ascii="Times New Roman" w:hAnsi="Times New Roman"/>
                <w:b/>
                <w:sz w:val="24"/>
                <w:szCs w:val="24"/>
              </w:rPr>
              <w:br/>
            </w:r>
            <w:r w:rsidRPr="006831D2">
              <w:rPr>
                <w:rFonts w:ascii="Times New Roman" w:hAnsi="Times New Roman"/>
                <w:b/>
                <w:sz w:val="24"/>
                <w:szCs w:val="24"/>
              </w:rPr>
              <w:t>COM(2025) 88 final</w:t>
            </w:r>
            <w:r w:rsidR="006831D2">
              <w:rPr>
                <w:rFonts w:ascii="Times New Roman" w:hAnsi="Times New Roman"/>
                <w:b/>
                <w:sz w:val="24"/>
                <w:szCs w:val="24"/>
              </w:rPr>
              <w:br/>
            </w:r>
            <w:r w:rsidRPr="006831D2">
              <w:rPr>
                <w:rFonts w:ascii="Times New Roman" w:hAnsi="Times New Roman"/>
                <w:b/>
                <w:sz w:val="24"/>
                <w:szCs w:val="24"/>
              </w:rPr>
              <w:t>COM(2025) 89 final</w:t>
            </w:r>
            <w:r w:rsidRPr="006831D2">
              <w:rPr>
                <w:rFonts w:ascii="Times New Roman" w:hAnsi="Times New Roman"/>
                <w:b/>
                <w:sz w:val="24"/>
                <w:szCs w:val="24"/>
              </w:rPr>
              <w:br/>
              <w:t>EESC-2025-01308 ‒ SOC/837</w:t>
            </w:r>
            <w:r w:rsidRPr="006831D2">
              <w:rPr>
                <w:rFonts w:ascii="Times New Roman" w:hAnsi="Times New Roman"/>
                <w:b/>
                <w:sz w:val="24"/>
                <w:szCs w:val="24"/>
              </w:rPr>
              <w:br/>
              <w:t>598</w:t>
            </w:r>
            <w:r w:rsidRPr="006831D2">
              <w:rPr>
                <w:rFonts w:ascii="Times New Roman" w:hAnsi="Times New Roman"/>
                <w:b/>
                <w:sz w:val="24"/>
                <w:szCs w:val="24"/>
                <w:vertAlign w:val="superscript"/>
              </w:rPr>
              <w:t>th</w:t>
            </w:r>
            <w:r w:rsidRPr="006831D2">
              <w:rPr>
                <w:rFonts w:ascii="Times New Roman" w:hAnsi="Times New Roman"/>
                <w:b/>
                <w:sz w:val="24"/>
                <w:szCs w:val="24"/>
              </w:rPr>
              <w:t xml:space="preserve"> Plenary Session – July 2025</w:t>
            </w:r>
            <w:r w:rsidRPr="006831D2">
              <w:rPr>
                <w:rFonts w:ascii="Times New Roman" w:hAnsi="Times New Roman"/>
                <w:b/>
                <w:sz w:val="24"/>
                <w:szCs w:val="24"/>
              </w:rPr>
              <w:br/>
              <w:t>Rapporteur: Tatjana BABRAUSKIENĖ (LT-II)</w:t>
            </w:r>
            <w:r w:rsidR="009319FD" w:rsidRPr="006831D2">
              <w:rPr>
                <w:rFonts w:ascii="Times New Roman" w:hAnsi="Times New Roman"/>
                <w:b/>
                <w:sz w:val="24"/>
                <w:szCs w:val="24"/>
              </w:rPr>
              <w:t xml:space="preserve">; </w:t>
            </w:r>
            <w:r w:rsidRPr="006831D2">
              <w:rPr>
                <w:rFonts w:ascii="Times New Roman" w:hAnsi="Times New Roman"/>
                <w:b/>
                <w:sz w:val="24"/>
                <w:szCs w:val="24"/>
              </w:rPr>
              <w:t>Mariya MINCHEVA (BG-I)</w:t>
            </w:r>
            <w:r w:rsidR="009319FD" w:rsidRPr="006831D2">
              <w:rPr>
                <w:rFonts w:ascii="Times New Roman" w:hAnsi="Times New Roman"/>
                <w:b/>
                <w:sz w:val="24"/>
                <w:szCs w:val="24"/>
              </w:rPr>
              <w:t xml:space="preserve">; </w:t>
            </w:r>
            <w:r w:rsidRPr="006831D2">
              <w:rPr>
                <w:rFonts w:ascii="Times New Roman" w:hAnsi="Times New Roman"/>
                <w:b/>
                <w:sz w:val="24"/>
                <w:szCs w:val="24"/>
              </w:rPr>
              <w:t>Justyna Kalina OCHĘDZAN (PL-III)</w:t>
            </w:r>
            <w:r w:rsidRPr="006831D2">
              <w:rPr>
                <w:rFonts w:ascii="Times New Roman" w:hAnsi="Times New Roman"/>
                <w:b/>
                <w:sz w:val="24"/>
                <w:szCs w:val="24"/>
              </w:rPr>
              <w:br/>
              <w:t>DG EAC – Executive Vice-President MÎNZATU</w:t>
            </w:r>
          </w:p>
        </w:tc>
      </w:tr>
      <w:tr w:rsidR="00842F1F" w:rsidRPr="006831D2" w14:paraId="60076066" w14:textId="77777777" w:rsidTr="00CB54AC">
        <w:tc>
          <w:tcPr>
            <w:tcW w:w="10881" w:type="dxa"/>
          </w:tcPr>
          <w:p w14:paraId="60636430" w14:textId="0B919092" w:rsidR="00842F1F" w:rsidRPr="006831D2" w:rsidRDefault="00842F1F" w:rsidP="00CB54AC">
            <w:pPr>
              <w:widowControl w:val="0"/>
              <w:spacing w:before="120" w:after="120"/>
              <w:jc w:val="center"/>
              <w:rPr>
                <w:rFonts w:ascii="Times New Roman" w:hAnsi="Times New Roman"/>
                <w:b/>
                <w:sz w:val="24"/>
                <w:szCs w:val="24"/>
              </w:rPr>
            </w:pPr>
            <w:r w:rsidRPr="006831D2">
              <w:rPr>
                <w:rFonts w:ascii="Times New Roman" w:hAnsi="Times New Roman"/>
                <w:b/>
                <w:sz w:val="24"/>
                <w:szCs w:val="24"/>
              </w:rPr>
              <w:t>European Commission position on points</w:t>
            </w:r>
            <w:r w:rsidRPr="006831D2">
              <w:rPr>
                <w:rFonts w:ascii="Times New Roman" w:hAnsi="Times New Roman"/>
                <w:b/>
                <w:sz w:val="24"/>
                <w:szCs w:val="24"/>
              </w:rPr>
              <w:br/>
              <w:t>of the European Economic and Social Committee opinion considered as essential</w:t>
            </w:r>
          </w:p>
        </w:tc>
      </w:tr>
      <w:tr w:rsidR="00842F1F" w:rsidRPr="006831D2" w14:paraId="367B632E" w14:textId="77777777" w:rsidTr="00CB54AC">
        <w:tc>
          <w:tcPr>
            <w:tcW w:w="10881" w:type="dxa"/>
          </w:tcPr>
          <w:p w14:paraId="3EE45E9A" w14:textId="65DA3E60" w:rsidR="10B5C1DF" w:rsidRPr="006831D2" w:rsidRDefault="6345B9FD" w:rsidP="00CB54AC">
            <w:pPr>
              <w:widowControl w:val="0"/>
              <w:spacing w:before="120" w:after="120"/>
              <w:jc w:val="both"/>
              <w:rPr>
                <w:rFonts w:ascii="Times New Roman" w:eastAsia="Times New Roman" w:hAnsi="Times New Roman"/>
                <w:sz w:val="24"/>
                <w:szCs w:val="24"/>
              </w:rPr>
            </w:pPr>
            <w:r w:rsidRPr="006831D2">
              <w:rPr>
                <w:rFonts w:ascii="Times New Roman" w:hAnsi="Times New Roman"/>
                <w:sz w:val="24"/>
                <w:szCs w:val="24"/>
              </w:rPr>
              <w:t>The Commission welcomes the C</w:t>
            </w:r>
            <w:r w:rsidR="006831D2" w:rsidRPr="006831D2">
              <w:rPr>
                <w:rFonts w:ascii="Times New Roman" w:hAnsi="Times New Roman"/>
                <w:sz w:val="24"/>
                <w:szCs w:val="24"/>
              </w:rPr>
              <w:t>o</w:t>
            </w:r>
            <w:r w:rsidR="006831D2" w:rsidRPr="00FB7C19">
              <w:rPr>
                <w:rFonts w:ascii="Times New Roman" w:hAnsi="Times New Roman"/>
                <w:sz w:val="24"/>
                <w:szCs w:val="24"/>
              </w:rPr>
              <w:t>mmittee</w:t>
            </w:r>
            <w:r w:rsidRPr="006831D2">
              <w:rPr>
                <w:rFonts w:ascii="Times New Roman" w:hAnsi="Times New Roman"/>
                <w:sz w:val="24"/>
                <w:szCs w:val="24"/>
              </w:rPr>
              <w:t>’s overall support for the Union of Skills, including the importance of a skilled workforce as a</w:t>
            </w:r>
            <w:r w:rsidR="009B3C5C">
              <w:rPr>
                <w:rFonts w:ascii="Times New Roman" w:hAnsi="Times New Roman"/>
                <w:sz w:val="24"/>
                <w:szCs w:val="24"/>
              </w:rPr>
              <w:t xml:space="preserve"> prerequisite</w:t>
            </w:r>
            <w:r w:rsidRPr="006831D2">
              <w:rPr>
                <w:rFonts w:ascii="Times New Roman" w:hAnsi="Times New Roman"/>
                <w:sz w:val="24"/>
                <w:szCs w:val="24"/>
              </w:rPr>
              <w:t xml:space="preserve"> for competitiveness, social cohesion and sustainable development</w:t>
            </w:r>
            <w:r w:rsidR="009B3C5C">
              <w:rPr>
                <w:rFonts w:ascii="Times New Roman" w:hAnsi="Times New Roman"/>
                <w:sz w:val="24"/>
                <w:szCs w:val="24"/>
              </w:rPr>
              <w:t>,</w:t>
            </w:r>
            <w:r w:rsidRPr="006831D2">
              <w:rPr>
                <w:rFonts w:ascii="Times New Roman" w:hAnsi="Times New Roman"/>
                <w:sz w:val="24"/>
                <w:szCs w:val="24"/>
              </w:rPr>
              <w:t xml:space="preserve"> and recognition of the need to address persistent skills gaps and mismatches and labour shortages</w:t>
            </w:r>
            <w:r w:rsidR="00C87CE7">
              <w:rPr>
                <w:rFonts w:ascii="Times New Roman" w:hAnsi="Times New Roman"/>
                <w:sz w:val="24"/>
                <w:szCs w:val="24"/>
              </w:rPr>
              <w:t xml:space="preserve"> (</w:t>
            </w:r>
            <w:r w:rsidR="00C87CE7" w:rsidRPr="00CB222C">
              <w:rPr>
                <w:rFonts w:ascii="Times New Roman" w:hAnsi="Times New Roman"/>
                <w:sz w:val="24"/>
                <w:szCs w:val="24"/>
                <w:u w:val="single"/>
              </w:rPr>
              <w:t>paragraph 1.1</w:t>
            </w:r>
            <w:r w:rsidR="00C87CE7">
              <w:rPr>
                <w:rFonts w:ascii="Times New Roman" w:hAnsi="Times New Roman"/>
                <w:sz w:val="24"/>
                <w:szCs w:val="24"/>
              </w:rPr>
              <w:t>)</w:t>
            </w:r>
            <w:r w:rsidRPr="006831D2">
              <w:rPr>
                <w:rFonts w:ascii="Times New Roman" w:hAnsi="Times New Roman"/>
                <w:sz w:val="24"/>
                <w:szCs w:val="24"/>
              </w:rPr>
              <w:t>.</w:t>
            </w:r>
          </w:p>
          <w:p w14:paraId="160A1687" w14:textId="4BE10A1E" w:rsidR="00842F1F" w:rsidRPr="006831D2" w:rsidRDefault="00842F1F" w:rsidP="00CB54AC">
            <w:pPr>
              <w:widowControl w:val="0"/>
              <w:spacing w:before="120" w:after="120"/>
              <w:jc w:val="both"/>
              <w:rPr>
                <w:rFonts w:ascii="Times New Roman" w:hAnsi="Times New Roman"/>
                <w:b/>
                <w:bCs/>
                <w:sz w:val="24"/>
                <w:szCs w:val="24"/>
              </w:rPr>
            </w:pPr>
            <w:r w:rsidRPr="00FB7C19">
              <w:rPr>
                <w:rFonts w:ascii="Times New Roman" w:hAnsi="Times New Roman"/>
                <w:b/>
                <w:bCs/>
                <w:sz w:val="24"/>
                <w:szCs w:val="24"/>
                <w:u w:val="single"/>
              </w:rPr>
              <w:t>Governance, funding, and synergies</w:t>
            </w:r>
            <w:r w:rsidR="006831D2">
              <w:rPr>
                <w:rFonts w:ascii="Times New Roman" w:hAnsi="Times New Roman"/>
                <w:b/>
                <w:bCs/>
                <w:sz w:val="24"/>
                <w:szCs w:val="24"/>
              </w:rPr>
              <w:t>:</w:t>
            </w:r>
          </w:p>
          <w:p w14:paraId="51F7B073" w14:textId="5113F293" w:rsidR="00842F1F" w:rsidRPr="006831D2" w:rsidRDefault="00842F1F" w:rsidP="00CB54AC">
            <w:pPr>
              <w:widowControl w:val="0"/>
              <w:spacing w:before="120" w:after="120"/>
              <w:jc w:val="both"/>
              <w:rPr>
                <w:rFonts w:ascii="Times New Roman" w:hAnsi="Times New Roman"/>
                <w:sz w:val="24"/>
                <w:szCs w:val="24"/>
              </w:rPr>
            </w:pPr>
            <w:r w:rsidRPr="006831D2">
              <w:rPr>
                <w:rFonts w:ascii="Times New Roman" w:hAnsi="Times New Roman"/>
                <w:sz w:val="24"/>
                <w:szCs w:val="24"/>
              </w:rPr>
              <w:t xml:space="preserve">The Union of Skills aims to elevate education and skills to the highest political level to place them at the forefront of </w:t>
            </w:r>
            <w:r w:rsidR="00334F44" w:rsidRPr="006831D2">
              <w:rPr>
                <w:rFonts w:ascii="Times New Roman" w:hAnsi="Times New Roman"/>
                <w:sz w:val="24"/>
                <w:szCs w:val="24"/>
              </w:rPr>
              <w:t xml:space="preserve">EU </w:t>
            </w:r>
            <w:r w:rsidRPr="006831D2">
              <w:rPr>
                <w:rFonts w:ascii="Times New Roman" w:hAnsi="Times New Roman"/>
                <w:sz w:val="24"/>
                <w:szCs w:val="24"/>
              </w:rPr>
              <w:t xml:space="preserve">policymaking. The Commission agrees that there is a need </w:t>
            </w:r>
            <w:r w:rsidR="399BCD09" w:rsidRPr="006831D2">
              <w:rPr>
                <w:rFonts w:ascii="Times New Roman" w:hAnsi="Times New Roman"/>
                <w:sz w:val="24"/>
                <w:szCs w:val="24"/>
              </w:rPr>
              <w:t xml:space="preserve">for </w:t>
            </w:r>
            <w:r w:rsidR="00287E33" w:rsidRPr="006831D2">
              <w:rPr>
                <w:rFonts w:ascii="Times New Roman" w:hAnsi="Times New Roman"/>
                <w:sz w:val="24"/>
                <w:szCs w:val="24"/>
              </w:rPr>
              <w:t xml:space="preserve">more </w:t>
            </w:r>
            <w:r w:rsidR="399BCD09" w:rsidRPr="006831D2">
              <w:rPr>
                <w:rFonts w:ascii="Times New Roman" w:hAnsi="Times New Roman"/>
                <w:sz w:val="24"/>
                <w:szCs w:val="24"/>
              </w:rPr>
              <w:t>effective governance and inclusive representation</w:t>
            </w:r>
            <w:r w:rsidR="00334F44" w:rsidRPr="006831D2">
              <w:rPr>
                <w:rFonts w:ascii="Times New Roman" w:hAnsi="Times New Roman"/>
                <w:sz w:val="24"/>
                <w:szCs w:val="24"/>
              </w:rPr>
              <w:t xml:space="preserve">, including in view of better addressing </w:t>
            </w:r>
            <w:r w:rsidR="6C7AF5FF" w:rsidRPr="006831D2">
              <w:rPr>
                <w:rFonts w:ascii="Times New Roman" w:hAnsi="Times New Roman"/>
                <w:sz w:val="24"/>
                <w:szCs w:val="24"/>
              </w:rPr>
              <w:t xml:space="preserve">fragmented </w:t>
            </w:r>
            <w:r w:rsidR="00FF3844" w:rsidRPr="006831D2">
              <w:rPr>
                <w:rFonts w:ascii="Times New Roman" w:hAnsi="Times New Roman"/>
                <w:sz w:val="24"/>
                <w:szCs w:val="24"/>
              </w:rPr>
              <w:t>policymaking</w:t>
            </w:r>
            <w:r w:rsidR="6C7AF5FF" w:rsidRPr="006831D2">
              <w:rPr>
                <w:rFonts w:ascii="Times New Roman" w:hAnsi="Times New Roman"/>
                <w:sz w:val="24"/>
                <w:szCs w:val="24"/>
              </w:rPr>
              <w:t xml:space="preserve"> </w:t>
            </w:r>
            <w:r w:rsidRPr="006831D2">
              <w:rPr>
                <w:rFonts w:ascii="Times New Roman" w:hAnsi="Times New Roman"/>
                <w:sz w:val="24"/>
                <w:szCs w:val="24"/>
              </w:rPr>
              <w:t xml:space="preserve">between education and training, employment, and the economic and financial </w:t>
            </w:r>
            <w:r w:rsidR="007A4995">
              <w:rPr>
                <w:rFonts w:ascii="Times New Roman" w:hAnsi="Times New Roman"/>
                <w:sz w:val="24"/>
                <w:szCs w:val="24"/>
              </w:rPr>
              <w:t>domain</w:t>
            </w:r>
            <w:r w:rsidR="00995579">
              <w:rPr>
                <w:rFonts w:ascii="Times New Roman" w:hAnsi="Times New Roman"/>
                <w:sz w:val="24"/>
                <w:szCs w:val="24"/>
              </w:rPr>
              <w:t xml:space="preserve"> </w:t>
            </w:r>
            <w:r w:rsidR="00995579">
              <w:rPr>
                <w:rFonts w:ascii="Times New Roman" w:eastAsia="Times New Roman" w:hAnsi="Times New Roman"/>
                <w:sz w:val="24"/>
                <w:szCs w:val="24"/>
              </w:rPr>
              <w:t>(</w:t>
            </w:r>
            <w:r w:rsidR="00995579" w:rsidRPr="00CB222C">
              <w:rPr>
                <w:rFonts w:ascii="Times New Roman" w:eastAsia="Times New Roman" w:hAnsi="Times New Roman"/>
                <w:sz w:val="24"/>
                <w:szCs w:val="24"/>
                <w:u w:val="single"/>
              </w:rPr>
              <w:t>paragraph 1.2</w:t>
            </w:r>
            <w:r w:rsidR="00995579">
              <w:rPr>
                <w:rFonts w:ascii="Times New Roman" w:eastAsia="Times New Roman" w:hAnsi="Times New Roman"/>
                <w:sz w:val="24"/>
                <w:szCs w:val="24"/>
              </w:rPr>
              <w:t>)</w:t>
            </w:r>
            <w:r w:rsidRPr="006831D2">
              <w:rPr>
                <w:rFonts w:ascii="Times New Roman" w:hAnsi="Times New Roman"/>
                <w:sz w:val="24"/>
                <w:szCs w:val="24"/>
              </w:rPr>
              <w:t xml:space="preserve">. The </w:t>
            </w:r>
            <w:r w:rsidR="00334F44" w:rsidRPr="006831D2">
              <w:rPr>
                <w:rFonts w:ascii="Times New Roman" w:hAnsi="Times New Roman"/>
                <w:sz w:val="24"/>
                <w:szCs w:val="24"/>
              </w:rPr>
              <w:t xml:space="preserve">future </w:t>
            </w:r>
            <w:r w:rsidRPr="006831D2">
              <w:rPr>
                <w:rFonts w:ascii="Times New Roman" w:hAnsi="Times New Roman"/>
                <w:sz w:val="24"/>
                <w:szCs w:val="24"/>
              </w:rPr>
              <w:t xml:space="preserve">European Skills High-Level Board </w:t>
            </w:r>
            <w:r w:rsidR="6D6FE284" w:rsidRPr="006831D2">
              <w:rPr>
                <w:rFonts w:ascii="Times New Roman" w:hAnsi="Times New Roman"/>
                <w:sz w:val="24"/>
                <w:szCs w:val="24"/>
              </w:rPr>
              <w:t>will</w:t>
            </w:r>
            <w:r w:rsidRPr="006831D2">
              <w:rPr>
                <w:rFonts w:ascii="Times New Roman" w:hAnsi="Times New Roman"/>
                <w:sz w:val="24"/>
                <w:szCs w:val="24"/>
              </w:rPr>
              <w:t xml:space="preserve"> </w:t>
            </w:r>
            <w:r w:rsidR="00A12277" w:rsidRPr="006831D2">
              <w:rPr>
                <w:rFonts w:ascii="Times New Roman" w:hAnsi="Times New Roman"/>
                <w:sz w:val="24"/>
                <w:szCs w:val="24"/>
              </w:rPr>
              <w:t>contribute to</w:t>
            </w:r>
            <w:r w:rsidR="00737A7F" w:rsidRPr="006831D2">
              <w:rPr>
                <w:rFonts w:ascii="Times New Roman" w:hAnsi="Times New Roman"/>
                <w:sz w:val="24"/>
                <w:szCs w:val="24"/>
              </w:rPr>
              <w:t xml:space="preserve"> this by </w:t>
            </w:r>
            <w:r w:rsidRPr="006831D2">
              <w:rPr>
                <w:rFonts w:ascii="Times New Roman" w:hAnsi="Times New Roman"/>
                <w:sz w:val="24"/>
                <w:szCs w:val="24"/>
              </w:rPr>
              <w:t>bring</w:t>
            </w:r>
            <w:r w:rsidR="00737A7F" w:rsidRPr="006831D2">
              <w:rPr>
                <w:rFonts w:ascii="Times New Roman" w:hAnsi="Times New Roman"/>
                <w:sz w:val="24"/>
                <w:szCs w:val="24"/>
              </w:rPr>
              <w:t>ing</w:t>
            </w:r>
            <w:r w:rsidRPr="006831D2">
              <w:rPr>
                <w:rFonts w:ascii="Times New Roman" w:hAnsi="Times New Roman"/>
                <w:sz w:val="24"/>
                <w:szCs w:val="24"/>
              </w:rPr>
              <w:t xml:space="preserve"> together </w:t>
            </w:r>
            <w:r w:rsidR="2F332A0B" w:rsidRPr="006831D2">
              <w:rPr>
                <w:rFonts w:ascii="Times New Roman" w:eastAsia="Times New Roman" w:hAnsi="Times New Roman"/>
                <w:sz w:val="24"/>
                <w:szCs w:val="24"/>
              </w:rPr>
              <w:t>key stakeholders, including business leaders, education and training providers</w:t>
            </w:r>
            <w:r w:rsidR="009B3C5C">
              <w:rPr>
                <w:rFonts w:ascii="Times New Roman" w:eastAsia="Times New Roman" w:hAnsi="Times New Roman"/>
                <w:sz w:val="24"/>
                <w:szCs w:val="24"/>
              </w:rPr>
              <w:t>,</w:t>
            </w:r>
            <w:r w:rsidR="2F332A0B" w:rsidRPr="006831D2">
              <w:rPr>
                <w:rFonts w:ascii="Times New Roman" w:eastAsia="Times New Roman" w:hAnsi="Times New Roman"/>
                <w:sz w:val="24"/>
                <w:szCs w:val="24"/>
              </w:rPr>
              <w:t xml:space="preserve"> and social partners</w:t>
            </w:r>
            <w:r w:rsidRPr="006831D2">
              <w:rPr>
                <w:rFonts w:ascii="Times New Roman" w:hAnsi="Times New Roman"/>
                <w:sz w:val="24"/>
                <w:szCs w:val="24"/>
              </w:rPr>
              <w:t>.</w:t>
            </w:r>
          </w:p>
          <w:p w14:paraId="1DEB582D" w14:textId="4EE8424A" w:rsidR="10B5C1DF" w:rsidRPr="006831D2" w:rsidRDefault="57466A6D" w:rsidP="00CB54AC">
            <w:pPr>
              <w:widowControl w:val="0"/>
              <w:spacing w:before="120" w:after="120"/>
              <w:jc w:val="both"/>
              <w:rPr>
                <w:rFonts w:ascii="Times New Roman" w:eastAsia="Times New Roman" w:hAnsi="Times New Roman"/>
                <w:sz w:val="24"/>
                <w:szCs w:val="24"/>
              </w:rPr>
            </w:pPr>
            <w:r w:rsidRPr="006831D2">
              <w:rPr>
                <w:rFonts w:ascii="Times New Roman" w:hAnsi="Times New Roman"/>
                <w:sz w:val="24"/>
                <w:szCs w:val="24"/>
              </w:rPr>
              <w:t>The Board</w:t>
            </w:r>
            <w:r w:rsidR="1B6ADC20" w:rsidRPr="006831D2">
              <w:rPr>
                <w:rFonts w:ascii="Times New Roman" w:hAnsi="Times New Roman"/>
                <w:sz w:val="24"/>
                <w:szCs w:val="24"/>
              </w:rPr>
              <w:t xml:space="preserve"> will be informed by the European Skills Intelligence Observatory</w:t>
            </w:r>
            <w:r w:rsidR="1BB3F766" w:rsidRPr="006831D2">
              <w:rPr>
                <w:rFonts w:ascii="Times New Roman" w:hAnsi="Times New Roman"/>
                <w:sz w:val="24"/>
                <w:szCs w:val="24"/>
              </w:rPr>
              <w:t xml:space="preserve">. </w:t>
            </w:r>
            <w:r w:rsidR="7ECDA9D8" w:rsidRPr="006831D2">
              <w:rPr>
                <w:rFonts w:ascii="Times New Roman" w:eastAsia="Times New Roman" w:hAnsi="Times New Roman"/>
                <w:sz w:val="24"/>
                <w:szCs w:val="24"/>
              </w:rPr>
              <w:t xml:space="preserve">The Observatory will centralise available data </w:t>
            </w:r>
            <w:r w:rsidR="7B7BCF53" w:rsidRPr="006831D2">
              <w:rPr>
                <w:rFonts w:ascii="Times New Roman" w:eastAsia="Times New Roman" w:hAnsi="Times New Roman"/>
                <w:sz w:val="24"/>
                <w:szCs w:val="24"/>
              </w:rPr>
              <w:t xml:space="preserve">from multiple sources </w:t>
            </w:r>
            <w:r w:rsidR="7ECDA9D8" w:rsidRPr="006831D2">
              <w:rPr>
                <w:rFonts w:ascii="Times New Roman" w:eastAsia="Times New Roman" w:hAnsi="Times New Roman"/>
                <w:sz w:val="24"/>
                <w:szCs w:val="24"/>
              </w:rPr>
              <w:t>to allow early warning alerts in critical or strategic sectors. It will do so in close cooperation with Eurostat and relevant EU Observatories and agencies, including</w:t>
            </w:r>
            <w:r w:rsidR="007A4995">
              <w:rPr>
                <w:rFonts w:ascii="Times New Roman" w:eastAsia="Times New Roman" w:hAnsi="Times New Roman"/>
                <w:sz w:val="24"/>
                <w:szCs w:val="24"/>
              </w:rPr>
              <w:t xml:space="preserve"> the European Centre for the Development of Vocational Training (CEDEFOP),</w:t>
            </w:r>
            <w:r w:rsidR="7ECDA9D8" w:rsidRPr="006831D2">
              <w:rPr>
                <w:rFonts w:ascii="Times New Roman" w:eastAsia="Times New Roman" w:hAnsi="Times New Roman"/>
                <w:sz w:val="24"/>
                <w:szCs w:val="24"/>
              </w:rPr>
              <w:t xml:space="preserve"> wh</w:t>
            </w:r>
            <w:r w:rsidR="007A4995">
              <w:rPr>
                <w:rFonts w:ascii="Times New Roman" w:eastAsia="Times New Roman" w:hAnsi="Times New Roman"/>
                <w:sz w:val="24"/>
                <w:szCs w:val="24"/>
              </w:rPr>
              <w:t>ich</w:t>
            </w:r>
            <w:r w:rsidR="7ECDA9D8" w:rsidRPr="006831D2">
              <w:rPr>
                <w:rFonts w:ascii="Times New Roman" w:eastAsia="Times New Roman" w:hAnsi="Times New Roman"/>
                <w:sz w:val="24"/>
                <w:szCs w:val="24"/>
              </w:rPr>
              <w:t xml:space="preserve"> is an important partner in the European skills intelligence landscape.</w:t>
            </w:r>
            <w:r w:rsidR="74DCBCD4" w:rsidRPr="006831D2">
              <w:rPr>
                <w:rFonts w:ascii="Times New Roman" w:eastAsia="Times New Roman" w:hAnsi="Times New Roman"/>
                <w:sz w:val="24"/>
                <w:szCs w:val="24"/>
              </w:rPr>
              <w:t xml:space="preserve"> </w:t>
            </w:r>
            <w:r w:rsidR="38557EBF" w:rsidRPr="006831D2">
              <w:rPr>
                <w:rFonts w:ascii="Times New Roman" w:eastAsia="Times New Roman" w:hAnsi="Times New Roman"/>
                <w:sz w:val="24"/>
                <w:szCs w:val="24"/>
              </w:rPr>
              <w:t xml:space="preserve">The Observatory will </w:t>
            </w:r>
            <w:r w:rsidR="74DCBCD4" w:rsidRPr="006831D2">
              <w:rPr>
                <w:rFonts w:ascii="Times New Roman" w:eastAsia="Times New Roman" w:hAnsi="Times New Roman"/>
                <w:sz w:val="24"/>
                <w:szCs w:val="24"/>
              </w:rPr>
              <w:t xml:space="preserve">complement other ongoing work and </w:t>
            </w:r>
            <w:r w:rsidR="4EE734FF" w:rsidRPr="006831D2">
              <w:rPr>
                <w:rFonts w:ascii="Times New Roman" w:eastAsia="Times New Roman" w:hAnsi="Times New Roman"/>
                <w:sz w:val="24"/>
                <w:szCs w:val="24"/>
              </w:rPr>
              <w:t xml:space="preserve">various </w:t>
            </w:r>
            <w:r w:rsidR="74DCBCD4" w:rsidRPr="006831D2">
              <w:rPr>
                <w:rFonts w:ascii="Times New Roman" w:eastAsia="Times New Roman" w:hAnsi="Times New Roman"/>
                <w:sz w:val="24"/>
                <w:szCs w:val="24"/>
              </w:rPr>
              <w:t>sources of skills intelligence.</w:t>
            </w:r>
          </w:p>
          <w:p w14:paraId="1BDE4514" w14:textId="3E37B8E3" w:rsidR="00417C16" w:rsidRPr="006831D2" w:rsidRDefault="00842F1F" w:rsidP="00CB54AC">
            <w:pPr>
              <w:widowControl w:val="0"/>
              <w:spacing w:before="120" w:after="120"/>
              <w:jc w:val="both"/>
              <w:rPr>
                <w:rFonts w:ascii="Times New Roman" w:hAnsi="Times New Roman"/>
                <w:sz w:val="24"/>
                <w:szCs w:val="24"/>
              </w:rPr>
            </w:pPr>
            <w:r w:rsidRPr="006831D2">
              <w:rPr>
                <w:rFonts w:ascii="Times New Roman" w:hAnsi="Times New Roman"/>
                <w:sz w:val="24"/>
                <w:szCs w:val="24"/>
              </w:rPr>
              <w:t>The Union of Skills offers a strategic opportunity to strengthen the European Education Area</w:t>
            </w:r>
            <w:r w:rsidR="00602995">
              <w:rPr>
                <w:rFonts w:ascii="Times New Roman" w:hAnsi="Times New Roman"/>
                <w:sz w:val="24"/>
                <w:szCs w:val="24"/>
              </w:rPr>
              <w:t xml:space="preserve"> (EEA)</w:t>
            </w:r>
            <w:r w:rsidRPr="006831D2">
              <w:rPr>
                <w:rStyle w:val="FootnoteReference"/>
                <w:rFonts w:ascii="Times New Roman" w:hAnsi="Times New Roman"/>
                <w:sz w:val="24"/>
                <w:szCs w:val="24"/>
              </w:rPr>
              <w:footnoteReference w:id="2"/>
            </w:r>
            <w:r w:rsidR="00287E33" w:rsidRPr="006831D2">
              <w:rPr>
                <w:rFonts w:ascii="Times New Roman" w:hAnsi="Times New Roman"/>
                <w:sz w:val="24"/>
                <w:szCs w:val="24"/>
              </w:rPr>
              <w:t>.</w:t>
            </w:r>
            <w:r w:rsidR="00406253" w:rsidRPr="006831D2">
              <w:rPr>
                <w:rFonts w:ascii="Times New Roman" w:hAnsi="Times New Roman"/>
                <w:sz w:val="24"/>
                <w:szCs w:val="24"/>
              </w:rPr>
              <w:t xml:space="preserve"> </w:t>
            </w:r>
            <w:r w:rsidR="00287E33" w:rsidRPr="006831D2">
              <w:rPr>
                <w:rFonts w:ascii="Times New Roman" w:hAnsi="Times New Roman"/>
                <w:sz w:val="24"/>
                <w:szCs w:val="24"/>
              </w:rPr>
              <w:t>T</w:t>
            </w:r>
            <w:r w:rsidRPr="006831D2">
              <w:rPr>
                <w:rFonts w:ascii="Times New Roman" w:hAnsi="Times New Roman"/>
                <w:sz w:val="24"/>
                <w:szCs w:val="24"/>
              </w:rPr>
              <w:t>he EEA strategic framework, following the recent report on its interim evaluation</w:t>
            </w:r>
            <w:r w:rsidRPr="006831D2">
              <w:rPr>
                <w:rStyle w:val="FootnoteReference"/>
                <w:rFonts w:ascii="Times New Roman" w:hAnsi="Times New Roman"/>
                <w:sz w:val="24"/>
                <w:szCs w:val="24"/>
              </w:rPr>
              <w:footnoteReference w:id="3"/>
            </w:r>
            <w:r w:rsidRPr="006831D2">
              <w:rPr>
                <w:rFonts w:ascii="Times New Roman" w:hAnsi="Times New Roman"/>
                <w:sz w:val="24"/>
                <w:szCs w:val="24"/>
              </w:rPr>
              <w:t xml:space="preserve">, </w:t>
            </w:r>
            <w:r w:rsidR="00714D4E" w:rsidRPr="006831D2">
              <w:rPr>
                <w:rFonts w:ascii="Times New Roman" w:hAnsi="Times New Roman"/>
                <w:sz w:val="24"/>
                <w:szCs w:val="24"/>
              </w:rPr>
              <w:t>is</w:t>
            </w:r>
            <w:r w:rsidRPr="006831D2">
              <w:rPr>
                <w:rFonts w:ascii="Times New Roman" w:hAnsi="Times New Roman"/>
                <w:sz w:val="24"/>
                <w:szCs w:val="24"/>
              </w:rPr>
              <w:t xml:space="preserve"> undergo</w:t>
            </w:r>
            <w:r w:rsidR="00714D4E" w:rsidRPr="006831D2">
              <w:rPr>
                <w:rFonts w:ascii="Times New Roman" w:hAnsi="Times New Roman"/>
                <w:sz w:val="24"/>
                <w:szCs w:val="24"/>
              </w:rPr>
              <w:t>ing</w:t>
            </w:r>
            <w:r w:rsidRPr="006831D2">
              <w:rPr>
                <w:rFonts w:ascii="Times New Roman" w:hAnsi="Times New Roman"/>
                <w:sz w:val="24"/>
                <w:szCs w:val="24"/>
              </w:rPr>
              <w:t xml:space="preserve"> a review </w:t>
            </w:r>
            <w:r w:rsidR="00FF3844" w:rsidRPr="006831D2">
              <w:rPr>
                <w:rFonts w:ascii="Times New Roman" w:hAnsi="Times New Roman"/>
                <w:sz w:val="24"/>
                <w:szCs w:val="24"/>
              </w:rPr>
              <w:t xml:space="preserve">by the </w:t>
            </w:r>
            <w:r w:rsidRPr="006831D2">
              <w:rPr>
                <w:rFonts w:ascii="Times New Roman" w:hAnsi="Times New Roman"/>
                <w:sz w:val="24"/>
                <w:szCs w:val="24"/>
              </w:rPr>
              <w:t>Council</w:t>
            </w:r>
            <w:r w:rsidR="00FF3844" w:rsidRPr="006831D2">
              <w:rPr>
                <w:rStyle w:val="FootnoteReference"/>
                <w:rFonts w:ascii="Times New Roman" w:hAnsi="Times New Roman"/>
                <w:sz w:val="24"/>
                <w:szCs w:val="24"/>
              </w:rPr>
              <w:footnoteReference w:id="4"/>
            </w:r>
            <w:r w:rsidRPr="006831D2">
              <w:rPr>
                <w:rFonts w:ascii="Times New Roman" w:hAnsi="Times New Roman"/>
                <w:sz w:val="24"/>
                <w:szCs w:val="24"/>
              </w:rPr>
              <w:t xml:space="preserve"> </w:t>
            </w:r>
            <w:r w:rsidR="0017725E">
              <w:rPr>
                <w:rFonts w:ascii="Times New Roman" w:hAnsi="Times New Roman"/>
                <w:sz w:val="24"/>
                <w:szCs w:val="24"/>
              </w:rPr>
              <w:t>with the objective to align</w:t>
            </w:r>
            <w:r w:rsidRPr="006831D2">
              <w:rPr>
                <w:rFonts w:ascii="Times New Roman" w:hAnsi="Times New Roman"/>
                <w:sz w:val="24"/>
                <w:szCs w:val="24"/>
              </w:rPr>
              <w:t xml:space="preserve"> its next cycle (2026-2030) with evolving priorities and Member States’ </w:t>
            </w:r>
            <w:r w:rsidRPr="006831D2">
              <w:rPr>
                <w:rFonts w:ascii="Times New Roman" w:hAnsi="Times New Roman"/>
                <w:sz w:val="24"/>
                <w:szCs w:val="24"/>
              </w:rPr>
              <w:lastRenderedPageBreak/>
              <w:t>needs, including EU-level targets, strategic priorities and governance.</w:t>
            </w:r>
          </w:p>
          <w:p w14:paraId="06710E89" w14:textId="7ABCAD4F" w:rsidR="00842F1F" w:rsidRPr="006831D2" w:rsidRDefault="08058D7B" w:rsidP="00CB54AC">
            <w:pPr>
              <w:widowControl w:val="0"/>
              <w:spacing w:before="120" w:after="120"/>
              <w:jc w:val="both"/>
              <w:rPr>
                <w:rFonts w:ascii="Times New Roman" w:eastAsia="Aptos" w:hAnsi="Times New Roman"/>
                <w:sz w:val="24"/>
                <w:szCs w:val="24"/>
              </w:rPr>
            </w:pPr>
            <w:r w:rsidRPr="006831D2">
              <w:rPr>
                <w:rFonts w:ascii="Times New Roman" w:eastAsia="Times New Roman" w:hAnsi="Times New Roman"/>
                <w:sz w:val="24"/>
                <w:szCs w:val="24"/>
              </w:rPr>
              <w:t>The Union of Skills build</w:t>
            </w:r>
            <w:r w:rsidR="00015F37">
              <w:rPr>
                <w:rFonts w:ascii="Times New Roman" w:eastAsia="Times New Roman" w:hAnsi="Times New Roman"/>
                <w:sz w:val="24"/>
                <w:szCs w:val="24"/>
              </w:rPr>
              <w:t>s</w:t>
            </w:r>
            <w:r w:rsidRPr="006831D2">
              <w:rPr>
                <w:rFonts w:ascii="Times New Roman" w:eastAsia="Times New Roman" w:hAnsi="Times New Roman"/>
                <w:sz w:val="24"/>
                <w:szCs w:val="24"/>
              </w:rPr>
              <w:t xml:space="preserve"> on </w:t>
            </w:r>
            <w:r w:rsidR="00015F37">
              <w:rPr>
                <w:rFonts w:ascii="Times New Roman" w:eastAsia="Times New Roman" w:hAnsi="Times New Roman"/>
                <w:sz w:val="24"/>
                <w:szCs w:val="24"/>
              </w:rPr>
              <w:t xml:space="preserve">relevant </w:t>
            </w:r>
            <w:r w:rsidRPr="006831D2">
              <w:rPr>
                <w:rFonts w:ascii="Times New Roman" w:eastAsia="Times New Roman" w:hAnsi="Times New Roman"/>
                <w:sz w:val="24"/>
                <w:szCs w:val="24"/>
              </w:rPr>
              <w:t xml:space="preserve">actions taken under the European Education Area, </w:t>
            </w:r>
            <w:r w:rsidR="1C97E192" w:rsidRPr="006831D2">
              <w:rPr>
                <w:rFonts w:ascii="Times New Roman" w:eastAsia="Times New Roman" w:hAnsi="Times New Roman"/>
                <w:sz w:val="24"/>
                <w:szCs w:val="24"/>
              </w:rPr>
              <w:t>the European Skills Agenda and the European Research Area</w:t>
            </w:r>
            <w:r w:rsidR="147A5670" w:rsidRPr="006831D2">
              <w:rPr>
                <w:rFonts w:ascii="Times New Roman" w:eastAsia="Times New Roman" w:hAnsi="Times New Roman"/>
                <w:sz w:val="24"/>
                <w:szCs w:val="24"/>
              </w:rPr>
              <w:t>.</w:t>
            </w:r>
            <w:r w:rsidR="00FF3844" w:rsidRPr="006831D2">
              <w:rPr>
                <w:rFonts w:ascii="Times New Roman" w:eastAsia="Times New Roman" w:hAnsi="Times New Roman"/>
                <w:sz w:val="24"/>
                <w:szCs w:val="24"/>
              </w:rPr>
              <w:t xml:space="preserve"> </w:t>
            </w:r>
            <w:r w:rsidR="46D336E3" w:rsidRPr="006831D2">
              <w:rPr>
                <w:rFonts w:ascii="Times New Roman" w:eastAsia="Times New Roman" w:hAnsi="Times New Roman"/>
                <w:sz w:val="24"/>
                <w:szCs w:val="24"/>
              </w:rPr>
              <w:t>The Union of Skills aims to ensure that everyone in Europe, no matter where they are, is empowered to build solid skills foundations and engage in lifelong upskilling and reskilling, in line with the European Pillar of Social Rights</w:t>
            </w:r>
            <w:r w:rsidR="00F30946">
              <w:rPr>
                <w:rFonts w:ascii="Times New Roman" w:eastAsia="Times New Roman" w:hAnsi="Times New Roman"/>
                <w:sz w:val="24"/>
                <w:szCs w:val="24"/>
              </w:rPr>
              <w:t xml:space="preserve"> </w:t>
            </w:r>
            <w:r w:rsidR="00F30946">
              <w:rPr>
                <w:rFonts w:ascii="Times New Roman" w:hAnsi="Times New Roman"/>
                <w:sz w:val="24"/>
                <w:szCs w:val="24"/>
              </w:rPr>
              <w:t>(</w:t>
            </w:r>
            <w:r w:rsidR="00F30946" w:rsidRPr="00CB222C">
              <w:rPr>
                <w:rFonts w:ascii="Times New Roman" w:hAnsi="Times New Roman"/>
                <w:sz w:val="24"/>
                <w:szCs w:val="24"/>
                <w:u w:val="single"/>
              </w:rPr>
              <w:t>paragraph 1.5</w:t>
            </w:r>
            <w:r w:rsidR="00F30946">
              <w:rPr>
                <w:rFonts w:ascii="Times New Roman" w:hAnsi="Times New Roman"/>
                <w:sz w:val="24"/>
                <w:szCs w:val="24"/>
              </w:rPr>
              <w:t>)</w:t>
            </w:r>
            <w:r w:rsidR="46D336E3" w:rsidRPr="006831D2">
              <w:rPr>
                <w:rFonts w:ascii="Times New Roman" w:eastAsia="Times New Roman" w:hAnsi="Times New Roman"/>
                <w:sz w:val="24"/>
                <w:szCs w:val="24"/>
              </w:rPr>
              <w:t>.</w:t>
            </w:r>
          </w:p>
          <w:p w14:paraId="344DB175" w14:textId="5FC7A362" w:rsidR="00842F1F" w:rsidRPr="006831D2" w:rsidRDefault="00842F1F" w:rsidP="00CB54AC">
            <w:pPr>
              <w:widowControl w:val="0"/>
              <w:spacing w:before="120" w:after="120"/>
              <w:jc w:val="both"/>
              <w:rPr>
                <w:rFonts w:ascii="Times New Roman" w:eastAsia="Times New Roman" w:hAnsi="Times New Roman"/>
                <w:sz w:val="24"/>
                <w:szCs w:val="24"/>
              </w:rPr>
            </w:pPr>
            <w:r w:rsidRPr="006831D2">
              <w:rPr>
                <w:rFonts w:ascii="Times New Roman" w:hAnsi="Times New Roman"/>
                <w:sz w:val="24"/>
                <w:szCs w:val="24"/>
              </w:rPr>
              <w:t>The EU</w:t>
            </w:r>
            <w:r w:rsidR="008E29D3" w:rsidRPr="006831D2">
              <w:rPr>
                <w:rFonts w:ascii="Times New Roman" w:hAnsi="Times New Roman"/>
                <w:sz w:val="24"/>
                <w:szCs w:val="24"/>
              </w:rPr>
              <w:t>-</w:t>
            </w:r>
            <w:r w:rsidRPr="006831D2">
              <w:rPr>
                <w:rFonts w:ascii="Times New Roman" w:hAnsi="Times New Roman"/>
                <w:sz w:val="24"/>
                <w:szCs w:val="24"/>
              </w:rPr>
              <w:t xml:space="preserve">27 Recommendation on </w:t>
            </w:r>
            <w:r w:rsidR="003807D1">
              <w:rPr>
                <w:rFonts w:ascii="Times New Roman" w:hAnsi="Times New Roman"/>
                <w:sz w:val="24"/>
                <w:szCs w:val="24"/>
              </w:rPr>
              <w:t>E</w:t>
            </w:r>
            <w:r w:rsidRPr="006831D2">
              <w:rPr>
                <w:rFonts w:ascii="Times New Roman" w:hAnsi="Times New Roman"/>
                <w:sz w:val="24"/>
                <w:szCs w:val="24"/>
              </w:rPr>
              <w:t xml:space="preserve">ducation and </w:t>
            </w:r>
            <w:r w:rsidR="003807D1">
              <w:rPr>
                <w:rFonts w:ascii="Times New Roman" w:hAnsi="Times New Roman"/>
                <w:sz w:val="24"/>
                <w:szCs w:val="24"/>
              </w:rPr>
              <w:t>S</w:t>
            </w:r>
            <w:r w:rsidRPr="006831D2">
              <w:rPr>
                <w:rFonts w:ascii="Times New Roman" w:hAnsi="Times New Roman"/>
                <w:sz w:val="24"/>
                <w:szCs w:val="24"/>
              </w:rPr>
              <w:t>kills</w:t>
            </w:r>
            <w:r w:rsidR="009275A7" w:rsidRPr="006831D2">
              <w:rPr>
                <w:rFonts w:ascii="Times New Roman" w:hAnsi="Times New Roman"/>
                <w:sz w:val="24"/>
                <w:szCs w:val="24"/>
              </w:rPr>
              <w:t xml:space="preserve">, as proposed </w:t>
            </w:r>
            <w:r w:rsidR="002B1169">
              <w:rPr>
                <w:rFonts w:ascii="Times New Roman" w:hAnsi="Times New Roman"/>
                <w:sz w:val="24"/>
                <w:szCs w:val="24"/>
              </w:rPr>
              <w:t>in</w:t>
            </w:r>
            <w:r w:rsidR="002B1169" w:rsidRPr="006831D2">
              <w:rPr>
                <w:rFonts w:ascii="Times New Roman" w:hAnsi="Times New Roman"/>
                <w:sz w:val="24"/>
                <w:szCs w:val="24"/>
              </w:rPr>
              <w:t xml:space="preserve"> </w:t>
            </w:r>
            <w:r w:rsidR="009275A7" w:rsidRPr="006831D2">
              <w:rPr>
                <w:rFonts w:ascii="Times New Roman" w:hAnsi="Times New Roman"/>
                <w:sz w:val="24"/>
                <w:szCs w:val="24"/>
              </w:rPr>
              <w:t>the Union of Skills,</w:t>
            </w:r>
            <w:r w:rsidRPr="006831D2">
              <w:rPr>
                <w:rFonts w:ascii="Times New Roman" w:hAnsi="Times New Roman"/>
                <w:sz w:val="24"/>
                <w:szCs w:val="24"/>
              </w:rPr>
              <w:t xml:space="preserve"> aims to make education and skills policies more prominent and relevant in the European Semester process, providing orientations to Member States on </w:t>
            </w:r>
            <w:r w:rsidR="00530493" w:rsidRPr="006831D2">
              <w:rPr>
                <w:rFonts w:ascii="Times New Roman" w:hAnsi="Times New Roman"/>
                <w:sz w:val="24"/>
                <w:szCs w:val="24"/>
              </w:rPr>
              <w:t>common issues</w:t>
            </w:r>
            <w:r w:rsidR="00476121">
              <w:rPr>
                <w:rFonts w:ascii="Times New Roman" w:hAnsi="Times New Roman"/>
                <w:sz w:val="24"/>
                <w:szCs w:val="24"/>
              </w:rPr>
              <w:t xml:space="preserve"> (</w:t>
            </w:r>
            <w:r w:rsidR="00476121" w:rsidRPr="00CB222C">
              <w:rPr>
                <w:rFonts w:ascii="Times New Roman" w:hAnsi="Times New Roman"/>
                <w:sz w:val="24"/>
                <w:szCs w:val="24"/>
                <w:u w:val="single"/>
              </w:rPr>
              <w:t>paragraph 1.15</w:t>
            </w:r>
            <w:r w:rsidR="00476121">
              <w:rPr>
                <w:rFonts w:ascii="Times New Roman" w:hAnsi="Times New Roman"/>
                <w:sz w:val="24"/>
                <w:szCs w:val="24"/>
              </w:rPr>
              <w:t>)</w:t>
            </w:r>
            <w:r w:rsidRPr="006831D2">
              <w:rPr>
                <w:rFonts w:ascii="Times New Roman" w:hAnsi="Times New Roman"/>
                <w:sz w:val="24"/>
                <w:szCs w:val="24"/>
              </w:rPr>
              <w:t>.</w:t>
            </w:r>
            <w:r w:rsidR="3F66CD82" w:rsidRPr="006831D2">
              <w:rPr>
                <w:rFonts w:ascii="Times New Roman" w:hAnsi="Times New Roman"/>
                <w:sz w:val="24"/>
                <w:szCs w:val="24"/>
              </w:rPr>
              <w:t xml:space="preserve"> </w:t>
            </w:r>
            <w:r w:rsidR="218DE1AF" w:rsidRPr="006831D2">
              <w:rPr>
                <w:rFonts w:ascii="Times New Roman" w:eastAsia="Times New Roman" w:hAnsi="Times New Roman"/>
                <w:sz w:val="24"/>
                <w:szCs w:val="24"/>
              </w:rPr>
              <w:t xml:space="preserve">Its aim is to provide a contribution to the agenda setting for issues related to </w:t>
            </w:r>
            <w:r w:rsidR="00287E33" w:rsidRPr="006831D2">
              <w:rPr>
                <w:rFonts w:ascii="Times New Roman" w:eastAsia="Times New Roman" w:hAnsi="Times New Roman"/>
                <w:sz w:val="24"/>
                <w:szCs w:val="24"/>
              </w:rPr>
              <w:t xml:space="preserve">education and skills </w:t>
            </w:r>
            <w:r w:rsidR="218DE1AF" w:rsidRPr="006831D2">
              <w:rPr>
                <w:rFonts w:ascii="Times New Roman" w:eastAsia="Times New Roman" w:hAnsi="Times New Roman"/>
                <w:sz w:val="24"/>
                <w:szCs w:val="24"/>
              </w:rPr>
              <w:t xml:space="preserve">for the </w:t>
            </w:r>
            <w:proofErr w:type="gramStart"/>
            <w:r w:rsidR="218DE1AF" w:rsidRPr="006831D2">
              <w:rPr>
                <w:rFonts w:ascii="Times New Roman" w:eastAsia="Times New Roman" w:hAnsi="Times New Roman"/>
                <w:sz w:val="24"/>
                <w:szCs w:val="24"/>
              </w:rPr>
              <w:t>EU as a whole, as well as</w:t>
            </w:r>
            <w:proofErr w:type="gramEnd"/>
            <w:r w:rsidR="218DE1AF" w:rsidRPr="006831D2">
              <w:rPr>
                <w:rFonts w:ascii="Times New Roman" w:eastAsia="Times New Roman" w:hAnsi="Times New Roman"/>
                <w:sz w:val="24"/>
                <w:szCs w:val="24"/>
              </w:rPr>
              <w:t xml:space="preserve"> input for the relevant policy debates in the Council</w:t>
            </w:r>
            <w:r w:rsidR="00287E33" w:rsidRPr="006831D2">
              <w:rPr>
                <w:rFonts w:ascii="Times New Roman" w:eastAsia="Times New Roman" w:hAnsi="Times New Roman"/>
                <w:sz w:val="24"/>
                <w:szCs w:val="24"/>
              </w:rPr>
              <w:t>.</w:t>
            </w:r>
            <w:r w:rsidR="218DE1AF" w:rsidRPr="006831D2">
              <w:rPr>
                <w:rFonts w:ascii="Times New Roman" w:eastAsia="Times New Roman" w:hAnsi="Times New Roman"/>
                <w:sz w:val="24"/>
                <w:szCs w:val="24"/>
              </w:rPr>
              <w:t xml:space="preserve"> This should be complementary to the other elements of the European Semester, including notably the Joint Employment Report, the Employment Guidelines, and will feed into the country reports and the country-specific recommendations.</w:t>
            </w:r>
          </w:p>
          <w:p w14:paraId="35673955" w14:textId="08D3E289" w:rsidR="00842F1F" w:rsidRPr="006831D2" w:rsidRDefault="00842F1F" w:rsidP="00CB54AC">
            <w:pPr>
              <w:widowControl w:val="0"/>
              <w:spacing w:before="120" w:after="120"/>
              <w:jc w:val="both"/>
              <w:rPr>
                <w:rFonts w:ascii="Times New Roman" w:hAnsi="Times New Roman"/>
                <w:sz w:val="24"/>
                <w:szCs w:val="24"/>
              </w:rPr>
            </w:pPr>
            <w:r w:rsidRPr="006831D2">
              <w:rPr>
                <w:rFonts w:ascii="Times New Roman" w:hAnsi="Times New Roman"/>
                <w:sz w:val="24"/>
                <w:szCs w:val="24"/>
              </w:rPr>
              <w:t xml:space="preserve">The Commission also takes note of the call for </w:t>
            </w:r>
            <w:r w:rsidR="5902AFA4" w:rsidRPr="006831D2">
              <w:rPr>
                <w:rFonts w:ascii="Times New Roman" w:hAnsi="Times New Roman"/>
                <w:sz w:val="24"/>
                <w:szCs w:val="24"/>
              </w:rPr>
              <w:t>a strong and targeted budget for education, training, and skills development</w:t>
            </w:r>
            <w:r w:rsidR="00476121">
              <w:rPr>
                <w:rFonts w:ascii="Times New Roman" w:hAnsi="Times New Roman"/>
                <w:sz w:val="24"/>
                <w:szCs w:val="24"/>
              </w:rPr>
              <w:t xml:space="preserve"> (</w:t>
            </w:r>
            <w:r w:rsidR="00476121" w:rsidRPr="00CB222C">
              <w:rPr>
                <w:rFonts w:ascii="Times New Roman" w:hAnsi="Times New Roman"/>
                <w:sz w:val="24"/>
                <w:szCs w:val="24"/>
                <w:u w:val="single"/>
              </w:rPr>
              <w:t>paragraph 1.4</w:t>
            </w:r>
            <w:r w:rsidR="00476121">
              <w:rPr>
                <w:rFonts w:ascii="Times New Roman" w:hAnsi="Times New Roman"/>
                <w:sz w:val="24"/>
                <w:szCs w:val="24"/>
              </w:rPr>
              <w:t>)</w:t>
            </w:r>
            <w:r w:rsidRPr="006831D2">
              <w:rPr>
                <w:rFonts w:ascii="Times New Roman" w:hAnsi="Times New Roman"/>
                <w:sz w:val="24"/>
                <w:szCs w:val="24"/>
              </w:rPr>
              <w:t>. The current EU budget invests</w:t>
            </w:r>
            <w:r w:rsidR="009E6AEC">
              <w:rPr>
                <w:rFonts w:ascii="Times New Roman" w:hAnsi="Times New Roman"/>
                <w:sz w:val="24"/>
                <w:szCs w:val="24"/>
              </w:rPr>
              <w:t xml:space="preserve"> </w:t>
            </w:r>
            <w:r w:rsidRPr="006831D2">
              <w:rPr>
                <w:rFonts w:ascii="Times New Roman" w:hAnsi="Times New Roman"/>
                <w:sz w:val="24"/>
                <w:szCs w:val="24"/>
              </w:rPr>
              <w:t>EUR</w:t>
            </w:r>
            <w:r w:rsidR="009E6AEC">
              <w:rPr>
                <w:rFonts w:ascii="Times New Roman" w:hAnsi="Times New Roman"/>
                <w:sz w:val="24"/>
                <w:szCs w:val="24"/>
              </w:rPr>
              <w:t> </w:t>
            </w:r>
            <w:r w:rsidRPr="006831D2">
              <w:rPr>
                <w:rFonts w:ascii="Times New Roman" w:hAnsi="Times New Roman"/>
                <w:sz w:val="24"/>
                <w:szCs w:val="24"/>
              </w:rPr>
              <w:t>150</w:t>
            </w:r>
            <w:r w:rsidR="009E6AEC">
              <w:rPr>
                <w:rFonts w:ascii="Times New Roman" w:hAnsi="Times New Roman"/>
                <w:sz w:val="24"/>
                <w:szCs w:val="24"/>
              </w:rPr>
              <w:t> </w:t>
            </w:r>
            <w:r w:rsidRPr="006831D2">
              <w:rPr>
                <w:rFonts w:ascii="Times New Roman" w:hAnsi="Times New Roman"/>
                <w:sz w:val="24"/>
                <w:szCs w:val="24"/>
              </w:rPr>
              <w:t xml:space="preserve">billion in skills, complemented by national and private funding. The Commission proposal for the </w:t>
            </w:r>
            <w:r w:rsidR="00D817C4">
              <w:rPr>
                <w:rFonts w:ascii="Times New Roman" w:hAnsi="Times New Roman"/>
                <w:sz w:val="24"/>
                <w:szCs w:val="24"/>
              </w:rPr>
              <w:t>m</w:t>
            </w:r>
            <w:r w:rsidRPr="006831D2">
              <w:rPr>
                <w:rFonts w:ascii="Times New Roman" w:hAnsi="Times New Roman"/>
                <w:sz w:val="24"/>
                <w:szCs w:val="24"/>
              </w:rPr>
              <w:t xml:space="preserve">ultiannual </w:t>
            </w:r>
            <w:r w:rsidR="00D817C4">
              <w:rPr>
                <w:rFonts w:ascii="Times New Roman" w:hAnsi="Times New Roman"/>
                <w:sz w:val="24"/>
                <w:szCs w:val="24"/>
              </w:rPr>
              <w:t>f</w:t>
            </w:r>
            <w:r w:rsidRPr="006831D2">
              <w:rPr>
                <w:rFonts w:ascii="Times New Roman" w:hAnsi="Times New Roman"/>
                <w:sz w:val="24"/>
                <w:szCs w:val="24"/>
              </w:rPr>
              <w:t xml:space="preserve">inancial </w:t>
            </w:r>
            <w:r w:rsidR="00D817C4">
              <w:rPr>
                <w:rFonts w:ascii="Times New Roman" w:hAnsi="Times New Roman"/>
                <w:sz w:val="24"/>
                <w:szCs w:val="24"/>
              </w:rPr>
              <w:t>f</w:t>
            </w:r>
            <w:r w:rsidRPr="006831D2">
              <w:rPr>
                <w:rFonts w:ascii="Times New Roman" w:hAnsi="Times New Roman"/>
                <w:sz w:val="24"/>
                <w:szCs w:val="24"/>
              </w:rPr>
              <w:t xml:space="preserve">ramework 2028-2034, </w:t>
            </w:r>
            <w:r w:rsidR="004907CA" w:rsidRPr="006831D2">
              <w:rPr>
                <w:rFonts w:ascii="Times New Roman" w:hAnsi="Times New Roman"/>
                <w:sz w:val="24"/>
                <w:szCs w:val="24"/>
              </w:rPr>
              <w:t xml:space="preserve">presented </w:t>
            </w:r>
            <w:r w:rsidRPr="006831D2">
              <w:rPr>
                <w:rFonts w:ascii="Times New Roman" w:hAnsi="Times New Roman"/>
                <w:sz w:val="24"/>
                <w:szCs w:val="24"/>
              </w:rPr>
              <w:t xml:space="preserve">on 16 July 2025, reinforces the focus on education and skills. </w:t>
            </w:r>
            <w:r w:rsidR="00334F44" w:rsidRPr="006831D2">
              <w:rPr>
                <w:rFonts w:ascii="Times New Roman" w:hAnsi="Times New Roman"/>
                <w:sz w:val="24"/>
                <w:szCs w:val="24"/>
              </w:rPr>
              <w:t xml:space="preserve">Specifically, the Commission has proposed that at least 14% of National and Regional Partnership Plans should be dedicated to investments and reforms that support social objectives, including to enhance skills, fight poverty, and promote social inclusion. Additionally, the Commission has proposed to increase </w:t>
            </w:r>
            <w:r w:rsidR="001B624E">
              <w:rPr>
                <w:rFonts w:ascii="Times New Roman" w:hAnsi="Times New Roman"/>
                <w:sz w:val="24"/>
                <w:szCs w:val="24"/>
              </w:rPr>
              <w:t xml:space="preserve">by 50% </w:t>
            </w:r>
            <w:r w:rsidR="00334F44" w:rsidRPr="006831D2">
              <w:rPr>
                <w:rFonts w:ascii="Times New Roman" w:hAnsi="Times New Roman"/>
                <w:sz w:val="24"/>
                <w:szCs w:val="24"/>
              </w:rPr>
              <w:t xml:space="preserve">the budget of the future Erasmus+ </w:t>
            </w:r>
            <w:r w:rsidR="00C0078D" w:rsidRPr="006831D2">
              <w:rPr>
                <w:rFonts w:ascii="Times New Roman" w:hAnsi="Times New Roman"/>
                <w:sz w:val="24"/>
                <w:szCs w:val="24"/>
              </w:rPr>
              <w:t>programme</w:t>
            </w:r>
            <w:r w:rsidR="00334F44" w:rsidRPr="006831D2">
              <w:rPr>
                <w:rFonts w:ascii="Times New Roman" w:hAnsi="Times New Roman"/>
                <w:sz w:val="24"/>
                <w:szCs w:val="24"/>
              </w:rPr>
              <w:t>.</w:t>
            </w:r>
          </w:p>
          <w:p w14:paraId="0B7E9A98" w14:textId="5846580A" w:rsidR="5695D671" w:rsidRPr="006831D2" w:rsidRDefault="5695D671" w:rsidP="00CB54AC">
            <w:pPr>
              <w:widowControl w:val="0"/>
              <w:spacing w:before="120" w:after="120"/>
              <w:jc w:val="both"/>
              <w:rPr>
                <w:rFonts w:ascii="Times New Roman" w:hAnsi="Times New Roman"/>
                <w:b/>
                <w:bCs/>
                <w:sz w:val="24"/>
                <w:szCs w:val="24"/>
              </w:rPr>
            </w:pPr>
            <w:r w:rsidRPr="00FB7C19">
              <w:rPr>
                <w:rFonts w:ascii="Times New Roman" w:hAnsi="Times New Roman"/>
                <w:b/>
                <w:bCs/>
                <w:sz w:val="24"/>
                <w:szCs w:val="24"/>
                <w:u w:val="single"/>
              </w:rPr>
              <w:t>Adult learning</w:t>
            </w:r>
            <w:r w:rsidR="00D817C4">
              <w:rPr>
                <w:rFonts w:ascii="Times New Roman" w:hAnsi="Times New Roman"/>
                <w:b/>
                <w:bCs/>
                <w:sz w:val="24"/>
                <w:szCs w:val="24"/>
              </w:rPr>
              <w:t>:</w:t>
            </w:r>
          </w:p>
          <w:p w14:paraId="0C0E05EC" w14:textId="709C790B" w:rsidR="10B5C1DF" w:rsidRPr="006831D2" w:rsidRDefault="3CE36D7C" w:rsidP="00CB54AC">
            <w:pPr>
              <w:widowControl w:val="0"/>
              <w:spacing w:before="120" w:after="120"/>
              <w:jc w:val="both"/>
              <w:rPr>
                <w:rFonts w:ascii="Times New Roman" w:eastAsia="Times New Roman" w:hAnsi="Times New Roman"/>
                <w:sz w:val="24"/>
                <w:szCs w:val="24"/>
              </w:rPr>
            </w:pPr>
            <w:r w:rsidRPr="006831D2">
              <w:rPr>
                <w:rFonts w:ascii="Times New Roman" w:eastAsia="Times New Roman" w:hAnsi="Times New Roman"/>
                <w:sz w:val="24"/>
                <w:szCs w:val="24"/>
              </w:rPr>
              <w:t>A</w:t>
            </w:r>
            <w:r w:rsidR="5695D671" w:rsidRPr="006831D2">
              <w:rPr>
                <w:rFonts w:ascii="Times New Roman" w:eastAsia="Times New Roman" w:hAnsi="Times New Roman"/>
                <w:sz w:val="24"/>
                <w:szCs w:val="24"/>
              </w:rPr>
              <w:t>dult learning is a wide-ranging concept that encompasses diverse learning activities delivered by public institutions, private training providers, and employers. For statistical definitions and reliable data, the Commission refers to EU-level definitions provided by Eurostat</w:t>
            </w:r>
            <w:r w:rsidR="00EB3E60">
              <w:rPr>
                <w:rFonts w:ascii="Times New Roman" w:eastAsia="Times New Roman" w:hAnsi="Times New Roman"/>
                <w:sz w:val="24"/>
                <w:szCs w:val="24"/>
              </w:rPr>
              <w:t xml:space="preserve"> (</w:t>
            </w:r>
            <w:r w:rsidR="00EB3E60" w:rsidRPr="00CB222C">
              <w:rPr>
                <w:rFonts w:ascii="Times New Roman" w:eastAsia="Times New Roman" w:hAnsi="Times New Roman"/>
                <w:sz w:val="24"/>
                <w:szCs w:val="24"/>
                <w:u w:val="single"/>
              </w:rPr>
              <w:t>paragraph 1.</w:t>
            </w:r>
            <w:r w:rsidR="007D29E4" w:rsidRPr="00CB222C">
              <w:rPr>
                <w:rFonts w:ascii="Times New Roman" w:eastAsia="Times New Roman" w:hAnsi="Times New Roman"/>
                <w:sz w:val="24"/>
                <w:szCs w:val="24"/>
                <w:u w:val="single"/>
              </w:rPr>
              <w:t>14</w:t>
            </w:r>
            <w:r w:rsidR="00EB3E60">
              <w:rPr>
                <w:rFonts w:ascii="Times New Roman" w:eastAsia="Times New Roman" w:hAnsi="Times New Roman"/>
                <w:sz w:val="24"/>
                <w:szCs w:val="24"/>
              </w:rPr>
              <w:t>)</w:t>
            </w:r>
            <w:r w:rsidR="5695D671" w:rsidRPr="006831D2">
              <w:rPr>
                <w:rFonts w:ascii="Times New Roman" w:eastAsia="Times New Roman" w:hAnsi="Times New Roman"/>
                <w:sz w:val="24"/>
                <w:szCs w:val="24"/>
              </w:rPr>
              <w:t>.</w:t>
            </w:r>
          </w:p>
          <w:p w14:paraId="540F487F" w14:textId="60A312ED" w:rsidR="00842F1F" w:rsidRPr="006831D2" w:rsidRDefault="00A05F8C" w:rsidP="00CB54AC">
            <w:pPr>
              <w:widowControl w:val="0"/>
              <w:spacing w:before="120" w:after="120"/>
              <w:jc w:val="both"/>
              <w:rPr>
                <w:rFonts w:ascii="Times New Roman" w:hAnsi="Times New Roman"/>
                <w:b/>
                <w:bCs/>
                <w:sz w:val="24"/>
                <w:szCs w:val="24"/>
              </w:rPr>
            </w:pPr>
            <w:r w:rsidRPr="00FB7C19">
              <w:rPr>
                <w:rFonts w:ascii="Times New Roman" w:hAnsi="Times New Roman"/>
                <w:b/>
                <w:bCs/>
                <w:sz w:val="24"/>
                <w:szCs w:val="24"/>
                <w:u w:val="single"/>
              </w:rPr>
              <w:t>Science, technology, engineering and mathematics (</w:t>
            </w:r>
            <w:r w:rsidR="00842F1F" w:rsidRPr="00FB7C19">
              <w:rPr>
                <w:rFonts w:ascii="Times New Roman" w:hAnsi="Times New Roman"/>
                <w:b/>
                <w:bCs/>
                <w:sz w:val="24"/>
                <w:szCs w:val="24"/>
                <w:u w:val="single"/>
              </w:rPr>
              <w:t>STEM</w:t>
            </w:r>
            <w:r w:rsidRPr="00FB7C19">
              <w:rPr>
                <w:rFonts w:ascii="Times New Roman" w:hAnsi="Times New Roman"/>
                <w:b/>
                <w:bCs/>
                <w:sz w:val="24"/>
                <w:szCs w:val="24"/>
                <w:u w:val="single"/>
              </w:rPr>
              <w:t>)</w:t>
            </w:r>
            <w:r w:rsidR="00842F1F" w:rsidRPr="00FB7C19">
              <w:rPr>
                <w:rFonts w:ascii="Times New Roman" w:hAnsi="Times New Roman"/>
                <w:b/>
                <w:bCs/>
                <w:sz w:val="24"/>
                <w:szCs w:val="24"/>
                <w:u w:val="single"/>
              </w:rPr>
              <w:t xml:space="preserve"> education</w:t>
            </w:r>
            <w:r w:rsidR="00D817C4">
              <w:rPr>
                <w:rFonts w:ascii="Times New Roman" w:hAnsi="Times New Roman"/>
                <w:b/>
                <w:bCs/>
                <w:sz w:val="24"/>
                <w:szCs w:val="24"/>
              </w:rPr>
              <w:t>:</w:t>
            </w:r>
          </w:p>
          <w:p w14:paraId="695D0913" w14:textId="738DB944" w:rsidR="00842F1F" w:rsidRPr="006831D2" w:rsidRDefault="00842F1F" w:rsidP="00CB54AC">
            <w:pPr>
              <w:widowControl w:val="0"/>
              <w:spacing w:before="120" w:after="120"/>
              <w:jc w:val="both"/>
              <w:rPr>
                <w:rFonts w:ascii="Times New Roman" w:eastAsia="Times New Roman" w:hAnsi="Times New Roman"/>
                <w:sz w:val="24"/>
                <w:szCs w:val="24"/>
              </w:rPr>
            </w:pPr>
            <w:r w:rsidRPr="006831D2">
              <w:rPr>
                <w:rFonts w:ascii="Times New Roman" w:eastAsia="Times New Roman" w:hAnsi="Times New Roman"/>
                <w:sz w:val="24"/>
                <w:szCs w:val="24"/>
              </w:rPr>
              <w:t>The Commission welcomes the points raised</w:t>
            </w:r>
            <w:r w:rsidR="00AA3559" w:rsidRPr="006831D2">
              <w:rPr>
                <w:rFonts w:ascii="Times New Roman" w:eastAsia="Times New Roman" w:hAnsi="Times New Roman"/>
                <w:sz w:val="24"/>
                <w:szCs w:val="24"/>
              </w:rPr>
              <w:t xml:space="preserve"> in relation to STEM </w:t>
            </w:r>
            <w:r w:rsidR="00B85381" w:rsidRPr="006831D2">
              <w:rPr>
                <w:rFonts w:ascii="Times New Roman" w:eastAsia="Times New Roman" w:hAnsi="Times New Roman"/>
                <w:sz w:val="24"/>
                <w:szCs w:val="24"/>
              </w:rPr>
              <w:t>e</w:t>
            </w:r>
            <w:r w:rsidR="00AA3559" w:rsidRPr="006831D2">
              <w:rPr>
                <w:rFonts w:ascii="Times New Roman" w:eastAsia="Times New Roman" w:hAnsi="Times New Roman"/>
                <w:sz w:val="24"/>
                <w:szCs w:val="24"/>
              </w:rPr>
              <w:t xml:space="preserve">ducation </w:t>
            </w:r>
            <w:r w:rsidR="00B85381" w:rsidRPr="006831D2">
              <w:rPr>
                <w:rFonts w:ascii="Times New Roman" w:eastAsia="Times New Roman" w:hAnsi="Times New Roman"/>
                <w:sz w:val="24"/>
                <w:szCs w:val="24"/>
              </w:rPr>
              <w:t>and talent</w:t>
            </w:r>
            <w:r w:rsidR="00B90BE7">
              <w:rPr>
                <w:rFonts w:ascii="Times New Roman" w:eastAsia="Times New Roman" w:hAnsi="Times New Roman"/>
                <w:sz w:val="24"/>
                <w:szCs w:val="24"/>
              </w:rPr>
              <w:t xml:space="preserve"> (</w:t>
            </w:r>
            <w:r w:rsidR="00B90BE7" w:rsidRPr="00CB222C">
              <w:rPr>
                <w:rFonts w:ascii="Times New Roman" w:eastAsia="Times New Roman" w:hAnsi="Times New Roman"/>
                <w:sz w:val="24"/>
                <w:szCs w:val="24"/>
                <w:u w:val="single"/>
              </w:rPr>
              <w:t>paragraph 1.</w:t>
            </w:r>
            <w:r w:rsidR="007109B3" w:rsidRPr="00CB222C">
              <w:rPr>
                <w:rFonts w:ascii="Times New Roman" w:eastAsia="Times New Roman" w:hAnsi="Times New Roman"/>
                <w:sz w:val="24"/>
                <w:szCs w:val="24"/>
                <w:u w:val="single"/>
              </w:rPr>
              <w:t>3</w:t>
            </w:r>
            <w:r w:rsidR="007109B3">
              <w:rPr>
                <w:rFonts w:ascii="Times New Roman" w:eastAsia="Times New Roman" w:hAnsi="Times New Roman"/>
                <w:sz w:val="24"/>
                <w:szCs w:val="24"/>
              </w:rPr>
              <w:t>)</w:t>
            </w:r>
            <w:r w:rsidRPr="006831D2">
              <w:rPr>
                <w:rFonts w:ascii="Times New Roman" w:eastAsia="Times New Roman" w:hAnsi="Times New Roman"/>
                <w:sz w:val="24"/>
                <w:szCs w:val="24"/>
              </w:rPr>
              <w:t xml:space="preserve">. </w:t>
            </w:r>
            <w:r w:rsidR="00456F57" w:rsidRPr="006831D2">
              <w:rPr>
                <w:rFonts w:ascii="Times New Roman" w:eastAsia="Times New Roman" w:hAnsi="Times New Roman"/>
                <w:sz w:val="24"/>
                <w:szCs w:val="24"/>
              </w:rPr>
              <w:t>‘</w:t>
            </w:r>
            <w:r w:rsidRPr="006831D2">
              <w:rPr>
                <w:rFonts w:ascii="Times New Roman" w:eastAsia="Times New Roman" w:hAnsi="Times New Roman"/>
                <w:sz w:val="24"/>
                <w:szCs w:val="24"/>
              </w:rPr>
              <w:t>Lift barriers</w:t>
            </w:r>
            <w:r w:rsidR="00456F57" w:rsidRPr="006831D2">
              <w:rPr>
                <w:rFonts w:ascii="Times New Roman" w:eastAsia="Times New Roman" w:hAnsi="Times New Roman"/>
                <w:sz w:val="24"/>
                <w:szCs w:val="24"/>
              </w:rPr>
              <w:t>’</w:t>
            </w:r>
            <w:r w:rsidRPr="006831D2">
              <w:rPr>
                <w:rFonts w:ascii="Times New Roman" w:eastAsia="Times New Roman" w:hAnsi="Times New Roman"/>
                <w:sz w:val="24"/>
                <w:szCs w:val="24"/>
              </w:rPr>
              <w:t>, one of the three strategic priorities of the STEM Education Strategic Plan</w:t>
            </w:r>
            <w:r w:rsidRPr="006831D2">
              <w:rPr>
                <w:rStyle w:val="FootnoteReference"/>
                <w:rFonts w:ascii="Times New Roman" w:hAnsi="Times New Roman"/>
                <w:color w:val="000000"/>
                <w:sz w:val="24"/>
                <w:szCs w:val="24"/>
              </w:rPr>
              <w:footnoteReference w:id="5"/>
            </w:r>
            <w:r w:rsidRPr="006831D2">
              <w:rPr>
                <w:rFonts w:ascii="Times New Roman" w:eastAsia="Times New Roman" w:hAnsi="Times New Roman"/>
                <w:sz w:val="24"/>
                <w:szCs w:val="24"/>
              </w:rPr>
              <w:t xml:space="preserve">, directly targets inclusiveness by addressing gender stereotypes and underrepresentation of girls and women in STEM studies and careers. A flagship action under this priority is the </w:t>
            </w:r>
            <w:r w:rsidR="00456F57" w:rsidRPr="006831D2">
              <w:rPr>
                <w:rFonts w:ascii="Times New Roman" w:eastAsia="Times New Roman" w:hAnsi="Times New Roman"/>
                <w:b/>
                <w:bCs/>
                <w:sz w:val="24"/>
                <w:szCs w:val="24"/>
              </w:rPr>
              <w:t>‘</w:t>
            </w:r>
            <w:r w:rsidRPr="006831D2">
              <w:rPr>
                <w:rFonts w:ascii="Times New Roman" w:eastAsia="Times New Roman" w:hAnsi="Times New Roman"/>
                <w:sz w:val="24"/>
                <w:szCs w:val="24"/>
              </w:rPr>
              <w:t>Girls Go STEM</w:t>
            </w:r>
            <w:r w:rsidR="00456F57" w:rsidRPr="006831D2">
              <w:rPr>
                <w:rFonts w:ascii="Times New Roman" w:eastAsia="Times New Roman" w:hAnsi="Times New Roman"/>
                <w:sz w:val="24"/>
                <w:szCs w:val="24"/>
              </w:rPr>
              <w:t>’</w:t>
            </w:r>
            <w:r w:rsidRPr="006831D2">
              <w:rPr>
                <w:rFonts w:ascii="Times New Roman" w:eastAsia="Times New Roman" w:hAnsi="Times New Roman"/>
                <w:sz w:val="24"/>
                <w:szCs w:val="24"/>
              </w:rPr>
              <w:t xml:space="preserve"> initiative, which will develop girls’ technical and entrepreneurial skills in STEM domains, including through actions such as induction periods and mentorship. The overall goal is to train 1</w:t>
            </w:r>
            <w:r w:rsidR="00265931">
              <w:rPr>
                <w:rFonts w:ascii="Times New Roman" w:eastAsia="Times New Roman" w:hAnsi="Times New Roman"/>
                <w:sz w:val="24"/>
                <w:szCs w:val="24"/>
              </w:rPr>
              <w:t xml:space="preserve"> </w:t>
            </w:r>
            <w:r w:rsidRPr="006831D2">
              <w:rPr>
                <w:rFonts w:ascii="Times New Roman" w:eastAsia="Times New Roman" w:hAnsi="Times New Roman"/>
                <w:sz w:val="24"/>
                <w:szCs w:val="24"/>
              </w:rPr>
              <w:t>million girls by 2028 through Erasmus+, the European Universities Alliances, European Alliance for Apprenticeships, digital skills academies</w:t>
            </w:r>
            <w:r w:rsidR="007A4995">
              <w:rPr>
                <w:rFonts w:ascii="Times New Roman" w:eastAsia="Times New Roman" w:hAnsi="Times New Roman"/>
                <w:sz w:val="24"/>
                <w:szCs w:val="24"/>
              </w:rPr>
              <w:t>,</w:t>
            </w:r>
            <w:r w:rsidRPr="006831D2">
              <w:rPr>
                <w:rFonts w:ascii="Times New Roman" w:eastAsia="Times New Roman" w:hAnsi="Times New Roman"/>
                <w:sz w:val="24"/>
                <w:szCs w:val="24"/>
              </w:rPr>
              <w:t xml:space="preserve"> and the </w:t>
            </w:r>
            <w:r w:rsidR="00E125F9" w:rsidRPr="006831D2">
              <w:rPr>
                <w:rFonts w:ascii="Times New Roman" w:eastAsia="Times New Roman" w:hAnsi="Times New Roman"/>
                <w:b/>
                <w:bCs/>
                <w:i/>
                <w:iCs/>
                <w:sz w:val="24"/>
                <w:szCs w:val="24"/>
                <w:lang w:eastAsia="en-IE"/>
              </w:rPr>
              <w:t xml:space="preserve"> </w:t>
            </w:r>
            <w:hyperlink r:id="rId11" w:tgtFrame="_blank" w:history="1">
              <w:r w:rsidR="00E125F9" w:rsidRPr="006831D2">
                <w:rPr>
                  <w:rStyle w:val="Hyperlink"/>
                  <w:rFonts w:ascii="Times New Roman" w:eastAsia="Times New Roman" w:hAnsi="Times New Roman"/>
                  <w:color w:val="auto"/>
                  <w:sz w:val="24"/>
                  <w:szCs w:val="24"/>
                  <w:u w:val="none"/>
                </w:rPr>
                <w:t xml:space="preserve">European Institute of Innovation </w:t>
              </w:r>
              <w:r w:rsidR="007A1384">
                <w:rPr>
                  <w:rStyle w:val="Hyperlink"/>
                  <w:rFonts w:ascii="Times New Roman" w:eastAsia="Times New Roman" w:hAnsi="Times New Roman"/>
                  <w:color w:val="auto"/>
                  <w:sz w:val="24"/>
                  <w:szCs w:val="24"/>
                  <w:u w:val="none"/>
                </w:rPr>
                <w:t>and</w:t>
              </w:r>
              <w:r w:rsidR="00E125F9" w:rsidRPr="006831D2">
                <w:rPr>
                  <w:rStyle w:val="Hyperlink"/>
                  <w:rFonts w:ascii="Times New Roman" w:eastAsia="Times New Roman" w:hAnsi="Times New Roman"/>
                  <w:color w:val="auto"/>
                  <w:sz w:val="24"/>
                  <w:szCs w:val="24"/>
                  <w:u w:val="none"/>
                </w:rPr>
                <w:t xml:space="preserve"> Technology</w:t>
              </w:r>
            </w:hyperlink>
            <w:r w:rsidRPr="006831D2">
              <w:rPr>
                <w:rFonts w:ascii="Times New Roman" w:eastAsia="Times New Roman" w:hAnsi="Times New Roman"/>
                <w:sz w:val="24"/>
                <w:szCs w:val="24"/>
              </w:rPr>
              <w:t>.</w:t>
            </w:r>
          </w:p>
          <w:p w14:paraId="31320F0C" w14:textId="65C61295" w:rsidR="00842F1F" w:rsidRPr="006831D2" w:rsidRDefault="00842F1F" w:rsidP="00CB54AC">
            <w:pPr>
              <w:widowControl w:val="0"/>
              <w:spacing w:before="120" w:after="120"/>
              <w:jc w:val="both"/>
              <w:rPr>
                <w:rFonts w:ascii="Times New Roman" w:eastAsia="Times New Roman" w:hAnsi="Times New Roman"/>
                <w:sz w:val="24"/>
                <w:szCs w:val="24"/>
                <w:lang w:val="en-GB"/>
              </w:rPr>
            </w:pPr>
            <w:r w:rsidRPr="006831D2">
              <w:rPr>
                <w:rFonts w:ascii="Times New Roman" w:eastAsia="Times New Roman" w:hAnsi="Times New Roman"/>
                <w:sz w:val="24"/>
                <w:szCs w:val="24"/>
              </w:rPr>
              <w:t xml:space="preserve">Furthermore, the focus on </w:t>
            </w:r>
            <w:r w:rsidR="00005FB4" w:rsidRPr="006831D2">
              <w:rPr>
                <w:rFonts w:ascii="Times New Roman" w:eastAsia="Times New Roman" w:hAnsi="Times New Roman"/>
                <w:sz w:val="24"/>
                <w:szCs w:val="24"/>
              </w:rPr>
              <w:t>i</w:t>
            </w:r>
            <w:r w:rsidR="00683047" w:rsidRPr="006831D2">
              <w:rPr>
                <w:rFonts w:ascii="Times New Roman" w:eastAsia="Times New Roman" w:hAnsi="Times New Roman"/>
                <w:sz w:val="24"/>
                <w:szCs w:val="24"/>
              </w:rPr>
              <w:t xml:space="preserve">nformation and </w:t>
            </w:r>
            <w:r w:rsidR="00005FB4" w:rsidRPr="006831D2">
              <w:rPr>
                <w:rFonts w:ascii="Times New Roman" w:eastAsia="Times New Roman" w:hAnsi="Times New Roman"/>
                <w:sz w:val="24"/>
                <w:szCs w:val="24"/>
              </w:rPr>
              <w:t>c</w:t>
            </w:r>
            <w:r w:rsidR="00683047" w:rsidRPr="006831D2">
              <w:rPr>
                <w:rFonts w:ascii="Times New Roman" w:eastAsia="Times New Roman" w:hAnsi="Times New Roman"/>
                <w:sz w:val="24"/>
                <w:szCs w:val="24"/>
              </w:rPr>
              <w:t xml:space="preserve">ommunication </w:t>
            </w:r>
            <w:r w:rsidR="00005FB4" w:rsidRPr="006831D2">
              <w:rPr>
                <w:rFonts w:ascii="Times New Roman" w:eastAsia="Times New Roman" w:hAnsi="Times New Roman"/>
                <w:sz w:val="24"/>
                <w:szCs w:val="24"/>
              </w:rPr>
              <w:t>t</w:t>
            </w:r>
            <w:r w:rsidR="00683047" w:rsidRPr="006831D2">
              <w:rPr>
                <w:rFonts w:ascii="Times New Roman" w:eastAsia="Times New Roman" w:hAnsi="Times New Roman"/>
                <w:sz w:val="24"/>
                <w:szCs w:val="24"/>
              </w:rPr>
              <w:t>echnolog</w:t>
            </w:r>
            <w:r w:rsidR="00005FB4" w:rsidRPr="006831D2">
              <w:rPr>
                <w:rFonts w:ascii="Times New Roman" w:eastAsia="Times New Roman" w:hAnsi="Times New Roman"/>
                <w:sz w:val="24"/>
                <w:szCs w:val="24"/>
              </w:rPr>
              <w:t>ies</w:t>
            </w:r>
            <w:r w:rsidRPr="006831D2">
              <w:rPr>
                <w:rFonts w:ascii="Times New Roman" w:eastAsia="Times New Roman" w:hAnsi="Times New Roman"/>
                <w:sz w:val="24"/>
                <w:szCs w:val="24"/>
              </w:rPr>
              <w:t xml:space="preserve"> will contribute to further fostering </w:t>
            </w:r>
            <w:r w:rsidR="007A1384">
              <w:rPr>
                <w:rFonts w:ascii="Times New Roman" w:eastAsia="Times New Roman" w:hAnsi="Times New Roman"/>
                <w:sz w:val="24"/>
                <w:szCs w:val="24"/>
              </w:rPr>
              <w:t xml:space="preserve">artificial </w:t>
            </w:r>
            <w:r w:rsidR="00D06A46">
              <w:rPr>
                <w:rFonts w:ascii="Times New Roman" w:eastAsia="Times New Roman" w:hAnsi="Times New Roman"/>
                <w:sz w:val="24"/>
                <w:szCs w:val="24"/>
              </w:rPr>
              <w:t>intelligence</w:t>
            </w:r>
            <w:r w:rsidR="00B00E2C">
              <w:rPr>
                <w:rFonts w:ascii="Times New Roman" w:eastAsia="Times New Roman" w:hAnsi="Times New Roman"/>
                <w:sz w:val="24"/>
                <w:szCs w:val="24"/>
              </w:rPr>
              <w:t> </w:t>
            </w:r>
            <w:r w:rsidR="007A1384">
              <w:rPr>
                <w:rFonts w:ascii="Times New Roman" w:eastAsia="Times New Roman" w:hAnsi="Times New Roman"/>
                <w:sz w:val="24"/>
                <w:szCs w:val="24"/>
              </w:rPr>
              <w:t>(</w:t>
            </w:r>
            <w:r w:rsidRPr="006831D2">
              <w:rPr>
                <w:rFonts w:ascii="Times New Roman" w:eastAsia="Times New Roman" w:hAnsi="Times New Roman"/>
                <w:sz w:val="24"/>
                <w:szCs w:val="24"/>
              </w:rPr>
              <w:t>AI</w:t>
            </w:r>
            <w:r w:rsidR="007A1384">
              <w:rPr>
                <w:rFonts w:ascii="Times New Roman" w:eastAsia="Times New Roman" w:hAnsi="Times New Roman"/>
                <w:sz w:val="24"/>
                <w:szCs w:val="24"/>
              </w:rPr>
              <w:t>)</w:t>
            </w:r>
            <w:r w:rsidRPr="006831D2">
              <w:rPr>
                <w:rFonts w:ascii="Times New Roman" w:eastAsia="Times New Roman" w:hAnsi="Times New Roman"/>
                <w:sz w:val="24"/>
                <w:szCs w:val="24"/>
              </w:rPr>
              <w:t xml:space="preserve"> talent in the EU, and the STEM Plan will also support the increase in the educational offer of joint degrees and future European degrees in digital technologies, including AI</w:t>
            </w:r>
            <w:r w:rsidR="00FA0495">
              <w:rPr>
                <w:rFonts w:ascii="Times New Roman" w:eastAsia="Times New Roman" w:hAnsi="Times New Roman"/>
                <w:sz w:val="24"/>
                <w:szCs w:val="24"/>
              </w:rPr>
              <w:t xml:space="preserve"> (</w:t>
            </w:r>
            <w:r w:rsidR="00FA0495" w:rsidRPr="00CB222C">
              <w:rPr>
                <w:rFonts w:ascii="Times New Roman" w:eastAsia="Times New Roman" w:hAnsi="Times New Roman"/>
                <w:sz w:val="24"/>
                <w:szCs w:val="24"/>
                <w:u w:val="single"/>
              </w:rPr>
              <w:t>paragraph</w:t>
            </w:r>
            <w:r w:rsidR="000F463F" w:rsidRPr="00CB222C">
              <w:rPr>
                <w:rFonts w:ascii="Times New Roman" w:eastAsia="Times New Roman" w:hAnsi="Times New Roman"/>
                <w:sz w:val="24"/>
                <w:szCs w:val="24"/>
                <w:u w:val="single"/>
              </w:rPr>
              <w:t>s</w:t>
            </w:r>
            <w:r w:rsidR="00FA0495" w:rsidRPr="00CB222C">
              <w:rPr>
                <w:rFonts w:ascii="Times New Roman" w:eastAsia="Times New Roman" w:hAnsi="Times New Roman"/>
                <w:sz w:val="24"/>
                <w:szCs w:val="24"/>
                <w:u w:val="single"/>
              </w:rPr>
              <w:t xml:space="preserve"> 1.</w:t>
            </w:r>
            <w:r w:rsidR="00E912AA" w:rsidRPr="00CB222C">
              <w:rPr>
                <w:rFonts w:ascii="Times New Roman" w:eastAsia="Times New Roman" w:hAnsi="Times New Roman"/>
                <w:sz w:val="24"/>
                <w:szCs w:val="24"/>
                <w:u w:val="single"/>
              </w:rPr>
              <w:t>3, 1.17</w:t>
            </w:r>
            <w:r w:rsidR="00E912AA">
              <w:rPr>
                <w:rFonts w:ascii="Times New Roman" w:eastAsia="Times New Roman" w:hAnsi="Times New Roman"/>
                <w:sz w:val="24"/>
                <w:szCs w:val="24"/>
              </w:rPr>
              <w:t>)</w:t>
            </w:r>
            <w:r w:rsidRPr="006831D2">
              <w:rPr>
                <w:rFonts w:ascii="Times New Roman" w:eastAsia="Times New Roman" w:hAnsi="Times New Roman"/>
                <w:sz w:val="24"/>
                <w:szCs w:val="24"/>
              </w:rPr>
              <w:t xml:space="preserve">. </w:t>
            </w:r>
            <w:r w:rsidRPr="006831D2">
              <w:rPr>
                <w:rFonts w:ascii="Times New Roman" w:eastAsia="Times New Roman" w:hAnsi="Times New Roman"/>
                <w:sz w:val="24"/>
                <w:szCs w:val="24"/>
                <w:lang w:val="en-GB"/>
              </w:rPr>
              <w:t xml:space="preserve">In addition, the European STEM Week will promote the value of STEM education and careers to attract underrepresented groups by raising awareness and challenging social stereotypes and cultural </w:t>
            </w:r>
            <w:r w:rsidRPr="006831D2">
              <w:rPr>
                <w:rFonts w:ascii="Times New Roman" w:eastAsia="Times New Roman" w:hAnsi="Times New Roman"/>
                <w:sz w:val="24"/>
                <w:szCs w:val="24"/>
                <w:lang w:val="en-GB"/>
              </w:rPr>
              <w:lastRenderedPageBreak/>
              <w:t>biases.</w:t>
            </w:r>
          </w:p>
          <w:p w14:paraId="7272B346" w14:textId="2B0E0C90" w:rsidR="0012162B" w:rsidRPr="006831D2" w:rsidRDefault="0012162B" w:rsidP="00CB54AC">
            <w:pPr>
              <w:widowControl w:val="0"/>
              <w:spacing w:before="120" w:after="120"/>
              <w:jc w:val="both"/>
              <w:rPr>
                <w:rFonts w:ascii="Times New Roman" w:eastAsia="Aptos" w:hAnsi="Times New Roman"/>
                <w:sz w:val="24"/>
                <w:szCs w:val="24"/>
                <w:lang w:val="en-GB"/>
              </w:rPr>
            </w:pPr>
            <w:r w:rsidRPr="006831D2">
              <w:rPr>
                <w:rFonts w:ascii="Times New Roman" w:eastAsia="Times New Roman" w:hAnsi="Times New Roman"/>
                <w:sz w:val="24"/>
                <w:szCs w:val="24"/>
                <w:lang w:val="en-GB"/>
              </w:rPr>
              <w:t>The</w:t>
            </w:r>
            <w:r w:rsidR="00CB0753" w:rsidRPr="006831D2">
              <w:rPr>
                <w:rFonts w:ascii="Times New Roman" w:eastAsia="Times New Roman" w:hAnsi="Times New Roman"/>
                <w:sz w:val="24"/>
                <w:szCs w:val="24"/>
                <w:lang w:val="en-GB"/>
              </w:rPr>
              <w:t xml:space="preserve"> Commission will</w:t>
            </w:r>
            <w:r w:rsidRPr="006831D2">
              <w:rPr>
                <w:rFonts w:ascii="Times New Roman" w:eastAsia="Times New Roman" w:hAnsi="Times New Roman"/>
                <w:sz w:val="24"/>
                <w:szCs w:val="24"/>
                <w:lang w:val="en-GB"/>
              </w:rPr>
              <w:t xml:space="preserve"> pilot STEM education centres for school education </w:t>
            </w:r>
            <w:r w:rsidR="00BE4380" w:rsidRPr="006831D2">
              <w:rPr>
                <w:rFonts w:ascii="Times New Roman" w:eastAsia="Times New Roman" w:hAnsi="Times New Roman"/>
                <w:sz w:val="24"/>
                <w:szCs w:val="24"/>
                <w:lang w:val="en-GB"/>
              </w:rPr>
              <w:t>under Erasmus+</w:t>
            </w:r>
            <w:r w:rsidR="004F76C6" w:rsidRPr="006831D2">
              <w:rPr>
                <w:rFonts w:ascii="Times New Roman" w:eastAsia="Times New Roman" w:hAnsi="Times New Roman"/>
                <w:sz w:val="24"/>
                <w:szCs w:val="24"/>
                <w:lang w:val="en-GB"/>
              </w:rPr>
              <w:t xml:space="preserve">. They </w:t>
            </w:r>
            <w:r w:rsidR="00A61C05" w:rsidRPr="006831D2">
              <w:rPr>
                <w:rFonts w:ascii="Times New Roman" w:eastAsia="Times New Roman" w:hAnsi="Times New Roman"/>
                <w:sz w:val="24"/>
                <w:szCs w:val="24"/>
                <w:lang w:val="en-GB"/>
              </w:rPr>
              <w:t>will</w:t>
            </w:r>
            <w:r w:rsidR="00BE4380" w:rsidRPr="006831D2">
              <w:rPr>
                <w:rFonts w:ascii="Times New Roman" w:eastAsia="Times New Roman" w:hAnsi="Times New Roman"/>
                <w:sz w:val="24"/>
                <w:szCs w:val="24"/>
                <w:lang w:val="en-GB"/>
              </w:rPr>
              <w:t xml:space="preserve"> </w:t>
            </w:r>
            <w:r w:rsidRPr="006831D2">
              <w:rPr>
                <w:rFonts w:ascii="Times New Roman" w:eastAsia="Times New Roman" w:hAnsi="Times New Roman"/>
                <w:sz w:val="24"/>
                <w:szCs w:val="24"/>
                <w:lang w:val="en-GB"/>
              </w:rPr>
              <w:t>aim to foster educational innovation and social inclusion by combining formal, non-formal</w:t>
            </w:r>
            <w:r w:rsidR="00FC7A9C">
              <w:rPr>
                <w:rFonts w:ascii="Times New Roman" w:eastAsia="Times New Roman" w:hAnsi="Times New Roman"/>
                <w:sz w:val="24"/>
                <w:szCs w:val="24"/>
                <w:lang w:val="en-GB"/>
              </w:rPr>
              <w:t>,</w:t>
            </w:r>
            <w:r w:rsidRPr="006831D2">
              <w:rPr>
                <w:rFonts w:ascii="Times New Roman" w:eastAsia="Times New Roman" w:hAnsi="Times New Roman"/>
                <w:sz w:val="24"/>
                <w:szCs w:val="24"/>
                <w:lang w:val="en-GB"/>
              </w:rPr>
              <w:t xml:space="preserve"> and informal learning environments</w:t>
            </w:r>
            <w:r w:rsidR="00D0212B">
              <w:rPr>
                <w:rFonts w:ascii="Times New Roman" w:eastAsia="Times New Roman" w:hAnsi="Times New Roman"/>
                <w:sz w:val="24"/>
                <w:szCs w:val="24"/>
                <w:lang w:val="en-GB"/>
              </w:rPr>
              <w:t xml:space="preserve"> (</w:t>
            </w:r>
            <w:r w:rsidR="00D0212B" w:rsidRPr="00CB222C">
              <w:rPr>
                <w:rFonts w:ascii="Times New Roman" w:eastAsia="Times New Roman" w:hAnsi="Times New Roman"/>
                <w:sz w:val="24"/>
                <w:szCs w:val="24"/>
                <w:u w:val="single"/>
                <w:lang w:val="en-GB"/>
              </w:rPr>
              <w:t>paragraph 1.11</w:t>
            </w:r>
            <w:r w:rsidR="00D0212B">
              <w:rPr>
                <w:rFonts w:ascii="Times New Roman" w:eastAsia="Times New Roman" w:hAnsi="Times New Roman"/>
                <w:sz w:val="24"/>
                <w:szCs w:val="24"/>
                <w:lang w:val="en-GB"/>
              </w:rPr>
              <w:t>)</w:t>
            </w:r>
            <w:r w:rsidRPr="006831D2">
              <w:rPr>
                <w:rFonts w:ascii="Times New Roman" w:eastAsia="Times New Roman" w:hAnsi="Times New Roman"/>
                <w:sz w:val="24"/>
                <w:szCs w:val="24"/>
                <w:lang w:val="en-GB"/>
              </w:rPr>
              <w:t>. This will bring together schools and diverse local community actors in STEM learning ecosystems. The EU STEM competence framework will consolidate concepts and define learning outcomes in STEM</w:t>
            </w:r>
            <w:r w:rsidR="009F2B94">
              <w:rPr>
                <w:rFonts w:ascii="Times New Roman" w:eastAsia="Times New Roman" w:hAnsi="Times New Roman"/>
                <w:sz w:val="24"/>
                <w:szCs w:val="24"/>
                <w:lang w:val="en-GB"/>
              </w:rPr>
              <w:t>, with a</w:t>
            </w:r>
            <w:r w:rsidRPr="006831D2">
              <w:rPr>
                <w:rFonts w:ascii="Times New Roman" w:eastAsia="Times New Roman" w:hAnsi="Times New Roman"/>
                <w:sz w:val="24"/>
                <w:szCs w:val="24"/>
                <w:lang w:val="en-GB"/>
              </w:rPr>
              <w:t xml:space="preserve"> STEAM</w:t>
            </w:r>
            <w:r w:rsidR="00E04292" w:rsidRPr="006831D2">
              <w:rPr>
                <w:rFonts w:ascii="Times New Roman" w:eastAsia="Times New Roman" w:hAnsi="Times New Roman"/>
                <w:sz w:val="24"/>
                <w:szCs w:val="24"/>
                <w:lang w:val="en-GB"/>
              </w:rPr>
              <w:t xml:space="preserve"> (Science, technology, engineering, arts and mathematics)</w:t>
            </w:r>
            <w:r w:rsidRPr="006831D2">
              <w:rPr>
                <w:rFonts w:ascii="Times New Roman" w:eastAsia="Times New Roman" w:hAnsi="Times New Roman"/>
                <w:sz w:val="24"/>
                <w:szCs w:val="24"/>
                <w:lang w:val="en-GB"/>
              </w:rPr>
              <w:t xml:space="preserve"> teaching and learning</w:t>
            </w:r>
            <w:r w:rsidR="009F2B94">
              <w:rPr>
                <w:rFonts w:ascii="Times New Roman" w:eastAsia="Times New Roman" w:hAnsi="Times New Roman"/>
                <w:sz w:val="24"/>
                <w:szCs w:val="24"/>
                <w:lang w:val="en-GB"/>
              </w:rPr>
              <w:t xml:space="preserve"> approach</w:t>
            </w:r>
            <w:r w:rsidRPr="006831D2">
              <w:rPr>
                <w:rFonts w:ascii="Times New Roman" w:eastAsia="Times New Roman" w:hAnsi="Times New Roman"/>
                <w:sz w:val="24"/>
                <w:szCs w:val="24"/>
                <w:lang w:val="en-GB"/>
              </w:rPr>
              <w:t>. This is expected to guide curricula design, teacher training</w:t>
            </w:r>
            <w:r w:rsidR="00FC7A9C">
              <w:rPr>
                <w:rFonts w:ascii="Times New Roman" w:eastAsia="Times New Roman" w:hAnsi="Times New Roman"/>
                <w:sz w:val="24"/>
                <w:szCs w:val="24"/>
                <w:lang w:val="en-GB"/>
              </w:rPr>
              <w:t>,</w:t>
            </w:r>
            <w:r w:rsidRPr="006831D2">
              <w:rPr>
                <w:rFonts w:ascii="Times New Roman" w:eastAsia="Times New Roman" w:hAnsi="Times New Roman"/>
                <w:sz w:val="24"/>
                <w:szCs w:val="24"/>
                <w:lang w:val="en-GB"/>
              </w:rPr>
              <w:t xml:space="preserve"> and policy development</w:t>
            </w:r>
            <w:r w:rsidRPr="006831D2">
              <w:rPr>
                <w:rFonts w:ascii="Times New Roman" w:eastAsia="Aptos" w:hAnsi="Times New Roman"/>
                <w:sz w:val="24"/>
                <w:szCs w:val="24"/>
                <w:lang w:val="en-GB"/>
              </w:rPr>
              <w:t>.</w:t>
            </w:r>
          </w:p>
          <w:p w14:paraId="6877FD79" w14:textId="1AEDBC53" w:rsidR="00842F1F" w:rsidRPr="006831D2" w:rsidRDefault="00335626" w:rsidP="00CB54AC">
            <w:pPr>
              <w:widowControl w:val="0"/>
              <w:spacing w:before="120" w:after="120"/>
              <w:jc w:val="both"/>
              <w:rPr>
                <w:rFonts w:ascii="Times New Roman" w:eastAsia="Times New Roman" w:hAnsi="Times New Roman"/>
                <w:b/>
                <w:bCs/>
                <w:sz w:val="24"/>
                <w:szCs w:val="24"/>
                <w:lang w:val="en-GB"/>
              </w:rPr>
            </w:pPr>
            <w:r w:rsidRPr="00FB7C19">
              <w:rPr>
                <w:rFonts w:ascii="Times New Roman" w:eastAsia="Times New Roman" w:hAnsi="Times New Roman"/>
                <w:b/>
                <w:bCs/>
                <w:sz w:val="24"/>
                <w:szCs w:val="24"/>
                <w:u w:val="single"/>
                <w:lang w:val="en-GB"/>
              </w:rPr>
              <w:t>Artificial intelligence (</w:t>
            </w:r>
            <w:r w:rsidR="00842F1F" w:rsidRPr="00FB7C19">
              <w:rPr>
                <w:rFonts w:ascii="Times New Roman" w:eastAsia="Times New Roman" w:hAnsi="Times New Roman"/>
                <w:b/>
                <w:bCs/>
                <w:sz w:val="24"/>
                <w:szCs w:val="24"/>
                <w:u w:val="single"/>
                <w:lang w:val="en-GB"/>
              </w:rPr>
              <w:t>AI</w:t>
            </w:r>
            <w:r w:rsidRPr="00FB7C19">
              <w:rPr>
                <w:rFonts w:ascii="Times New Roman" w:eastAsia="Times New Roman" w:hAnsi="Times New Roman"/>
                <w:b/>
                <w:bCs/>
                <w:sz w:val="24"/>
                <w:szCs w:val="24"/>
                <w:u w:val="single"/>
                <w:lang w:val="en-GB"/>
              </w:rPr>
              <w:t>)</w:t>
            </w:r>
            <w:r w:rsidR="00842F1F" w:rsidRPr="00FB7C19">
              <w:rPr>
                <w:rFonts w:ascii="Times New Roman" w:eastAsia="Times New Roman" w:hAnsi="Times New Roman"/>
                <w:b/>
                <w:bCs/>
                <w:sz w:val="24"/>
                <w:szCs w:val="24"/>
                <w:u w:val="single"/>
                <w:lang w:val="en-GB"/>
              </w:rPr>
              <w:t xml:space="preserve"> literacy</w:t>
            </w:r>
            <w:r w:rsidR="00D817C4">
              <w:rPr>
                <w:rFonts w:ascii="Times New Roman" w:eastAsia="Times New Roman" w:hAnsi="Times New Roman"/>
                <w:b/>
                <w:bCs/>
                <w:sz w:val="24"/>
                <w:szCs w:val="24"/>
                <w:lang w:val="en-GB"/>
              </w:rPr>
              <w:t>:</w:t>
            </w:r>
          </w:p>
          <w:p w14:paraId="5E43FB0C" w14:textId="28052E8D" w:rsidR="00842F1F" w:rsidRPr="006831D2" w:rsidRDefault="00842F1F" w:rsidP="00CB54AC">
            <w:pPr>
              <w:widowControl w:val="0"/>
              <w:spacing w:before="120" w:after="120"/>
              <w:jc w:val="both"/>
              <w:rPr>
                <w:rFonts w:ascii="Times New Roman" w:hAnsi="Times New Roman"/>
                <w:sz w:val="24"/>
                <w:szCs w:val="24"/>
              </w:rPr>
            </w:pPr>
            <w:r w:rsidRPr="006831D2">
              <w:rPr>
                <w:rFonts w:ascii="Times New Roman" w:hAnsi="Times New Roman"/>
                <w:sz w:val="24"/>
                <w:szCs w:val="24"/>
              </w:rPr>
              <w:t>The Commission welcomes the call to raise the importance of AI literacy skills</w:t>
            </w:r>
            <w:r w:rsidR="00D0212B">
              <w:rPr>
                <w:rFonts w:ascii="Times New Roman" w:hAnsi="Times New Roman"/>
                <w:sz w:val="24"/>
                <w:szCs w:val="24"/>
              </w:rPr>
              <w:t xml:space="preserve"> (</w:t>
            </w:r>
            <w:r w:rsidR="00D0212B" w:rsidRPr="00CB222C">
              <w:rPr>
                <w:rFonts w:ascii="Times New Roman" w:hAnsi="Times New Roman"/>
                <w:sz w:val="24"/>
                <w:szCs w:val="24"/>
                <w:u w:val="single"/>
              </w:rPr>
              <w:t>paragraph 1.17</w:t>
            </w:r>
            <w:r w:rsidR="00D0212B">
              <w:rPr>
                <w:rFonts w:ascii="Times New Roman" w:hAnsi="Times New Roman"/>
                <w:sz w:val="24"/>
                <w:szCs w:val="24"/>
              </w:rPr>
              <w:t>)</w:t>
            </w:r>
            <w:r w:rsidRPr="006831D2">
              <w:rPr>
                <w:rFonts w:ascii="Times New Roman" w:hAnsi="Times New Roman"/>
                <w:sz w:val="24"/>
                <w:szCs w:val="24"/>
              </w:rPr>
              <w:t xml:space="preserve">. The Commission is currently developing an AI literacy framework, in cooperation with the </w:t>
            </w:r>
            <w:r w:rsidR="005B0821" w:rsidRPr="006831D2">
              <w:rPr>
                <w:rFonts w:ascii="Times New Roman" w:hAnsi="Times New Roman"/>
                <w:sz w:val="24"/>
                <w:szCs w:val="24"/>
              </w:rPr>
              <w:t>Organisation for Economic Co-operation and Development (</w:t>
            </w:r>
            <w:r w:rsidRPr="006831D2">
              <w:rPr>
                <w:rFonts w:ascii="Times New Roman" w:hAnsi="Times New Roman"/>
                <w:sz w:val="24"/>
                <w:szCs w:val="24"/>
              </w:rPr>
              <w:t>OECD</w:t>
            </w:r>
            <w:r w:rsidR="005B0821" w:rsidRPr="006831D2">
              <w:rPr>
                <w:rFonts w:ascii="Times New Roman" w:hAnsi="Times New Roman"/>
                <w:sz w:val="24"/>
                <w:szCs w:val="24"/>
              </w:rPr>
              <w:t>)</w:t>
            </w:r>
            <w:r w:rsidRPr="006831D2">
              <w:rPr>
                <w:rFonts w:ascii="Times New Roman" w:hAnsi="Times New Roman"/>
                <w:sz w:val="24"/>
                <w:szCs w:val="24"/>
              </w:rPr>
              <w:t xml:space="preserve"> and with the support of Code.org</w:t>
            </w:r>
            <w:r w:rsidR="00713901" w:rsidRPr="006831D2">
              <w:rPr>
                <w:rFonts w:ascii="Times New Roman" w:hAnsi="Times New Roman"/>
                <w:sz w:val="24"/>
                <w:szCs w:val="24"/>
              </w:rPr>
              <w:t>.</w:t>
            </w:r>
            <w:r w:rsidRPr="006831D2">
              <w:rPr>
                <w:rFonts w:ascii="Times New Roman" w:hAnsi="Times New Roman"/>
                <w:sz w:val="24"/>
                <w:szCs w:val="24"/>
              </w:rPr>
              <w:t xml:space="preserve"> </w:t>
            </w:r>
            <w:r w:rsidR="00713901" w:rsidRPr="006831D2">
              <w:rPr>
                <w:rFonts w:ascii="Times New Roman" w:hAnsi="Times New Roman"/>
                <w:sz w:val="24"/>
                <w:szCs w:val="24"/>
              </w:rPr>
              <w:t xml:space="preserve">This initiative anticipates </w:t>
            </w:r>
            <w:r w:rsidR="000D7759" w:rsidRPr="006831D2">
              <w:rPr>
                <w:rFonts w:ascii="Times New Roman" w:hAnsi="Times New Roman"/>
                <w:sz w:val="24"/>
                <w:szCs w:val="24"/>
              </w:rPr>
              <w:t>the</w:t>
            </w:r>
            <w:r w:rsidR="00C66377" w:rsidRPr="006831D2">
              <w:rPr>
                <w:rFonts w:ascii="Times New Roman" w:hAnsi="Times New Roman"/>
                <w:sz w:val="24"/>
                <w:szCs w:val="24"/>
              </w:rPr>
              <w:t xml:space="preserve"> Programme for International Student Assessment (</w:t>
            </w:r>
            <w:r w:rsidRPr="006831D2">
              <w:rPr>
                <w:rFonts w:ascii="Times New Roman" w:hAnsi="Times New Roman"/>
                <w:sz w:val="24"/>
                <w:szCs w:val="24"/>
              </w:rPr>
              <w:t>PISA</w:t>
            </w:r>
            <w:r w:rsidR="00C66377" w:rsidRPr="006831D2">
              <w:rPr>
                <w:rFonts w:ascii="Times New Roman" w:hAnsi="Times New Roman"/>
                <w:sz w:val="24"/>
                <w:szCs w:val="24"/>
              </w:rPr>
              <w:t>)</w:t>
            </w:r>
            <w:r w:rsidRPr="006831D2">
              <w:rPr>
                <w:rFonts w:ascii="Times New Roman" w:hAnsi="Times New Roman"/>
                <w:sz w:val="24"/>
                <w:szCs w:val="24"/>
              </w:rPr>
              <w:t xml:space="preserve"> 2029</w:t>
            </w:r>
            <w:r w:rsidR="00AD6A2B" w:rsidRPr="006831D2">
              <w:rPr>
                <w:rFonts w:ascii="Times New Roman" w:hAnsi="Times New Roman"/>
                <w:sz w:val="24"/>
                <w:szCs w:val="24"/>
              </w:rPr>
              <w:t>,</w:t>
            </w:r>
            <w:r w:rsidRPr="006831D2">
              <w:rPr>
                <w:rFonts w:ascii="Times New Roman" w:hAnsi="Times New Roman"/>
                <w:sz w:val="24"/>
                <w:szCs w:val="24"/>
              </w:rPr>
              <w:t xml:space="preserve"> which will</w:t>
            </w:r>
            <w:r w:rsidR="00AD6A2B" w:rsidRPr="006831D2">
              <w:rPr>
                <w:rFonts w:ascii="Times New Roman" w:hAnsi="Times New Roman"/>
                <w:sz w:val="24"/>
                <w:szCs w:val="24"/>
              </w:rPr>
              <w:t>, for the first time,</w:t>
            </w:r>
            <w:r w:rsidRPr="006831D2">
              <w:rPr>
                <w:rFonts w:ascii="Times New Roman" w:hAnsi="Times New Roman"/>
                <w:sz w:val="24"/>
                <w:szCs w:val="24"/>
              </w:rPr>
              <w:t xml:space="preserve"> </w:t>
            </w:r>
            <w:r w:rsidR="00AD6A2B" w:rsidRPr="006831D2">
              <w:rPr>
                <w:rFonts w:ascii="Times New Roman" w:hAnsi="Times New Roman"/>
                <w:sz w:val="24"/>
                <w:szCs w:val="24"/>
              </w:rPr>
              <w:t xml:space="preserve">evaluate </w:t>
            </w:r>
            <w:r w:rsidRPr="006831D2">
              <w:rPr>
                <w:rFonts w:ascii="Times New Roman" w:hAnsi="Times New Roman"/>
                <w:sz w:val="24"/>
                <w:szCs w:val="24"/>
              </w:rPr>
              <w:t>AI</w:t>
            </w:r>
            <w:r w:rsidR="00AD6A2B" w:rsidRPr="006831D2">
              <w:rPr>
                <w:rFonts w:ascii="Times New Roman" w:hAnsi="Times New Roman"/>
                <w:sz w:val="24"/>
                <w:szCs w:val="24"/>
              </w:rPr>
              <w:t>-related</w:t>
            </w:r>
            <w:r w:rsidR="00EE0D80" w:rsidRPr="006831D2">
              <w:rPr>
                <w:rFonts w:ascii="Times New Roman" w:hAnsi="Times New Roman"/>
                <w:sz w:val="24"/>
                <w:szCs w:val="24"/>
              </w:rPr>
              <w:t xml:space="preserve"> competencies</w:t>
            </w:r>
            <w:r w:rsidRPr="006831D2">
              <w:rPr>
                <w:rFonts w:ascii="Times New Roman" w:hAnsi="Times New Roman"/>
                <w:sz w:val="24"/>
                <w:szCs w:val="24"/>
              </w:rPr>
              <w:t xml:space="preserve">. The framework </w:t>
            </w:r>
            <w:r w:rsidR="00EE0D80" w:rsidRPr="006831D2">
              <w:rPr>
                <w:rFonts w:ascii="Times New Roman" w:hAnsi="Times New Roman"/>
                <w:sz w:val="24"/>
                <w:szCs w:val="24"/>
              </w:rPr>
              <w:t xml:space="preserve">is designed to enhance </w:t>
            </w:r>
            <w:r w:rsidRPr="006831D2">
              <w:rPr>
                <w:rFonts w:ascii="Times New Roman" w:hAnsi="Times New Roman"/>
                <w:sz w:val="24"/>
                <w:szCs w:val="24"/>
              </w:rPr>
              <w:t>AI literacy in primary and secondary education. It aims to create a common global understanding of what being AI literate means and to foster a</w:t>
            </w:r>
            <w:r w:rsidR="000F463F">
              <w:rPr>
                <w:rFonts w:ascii="Times New Roman" w:hAnsi="Times New Roman"/>
                <w:sz w:val="24"/>
                <w:szCs w:val="24"/>
              </w:rPr>
              <w:t> </w:t>
            </w:r>
            <w:r w:rsidRPr="006831D2">
              <w:rPr>
                <w:rFonts w:ascii="Times New Roman" w:hAnsi="Times New Roman"/>
                <w:sz w:val="24"/>
                <w:szCs w:val="24"/>
              </w:rPr>
              <w:t>coherent approach to AI literacy development in education.</w:t>
            </w:r>
          </w:p>
          <w:p w14:paraId="2FED1FF5" w14:textId="2BBCFA5D" w:rsidR="00842F1F" w:rsidRPr="006831D2" w:rsidRDefault="00334F44" w:rsidP="00CB54AC">
            <w:pPr>
              <w:widowControl w:val="0"/>
              <w:spacing w:before="120" w:after="120"/>
              <w:jc w:val="both"/>
              <w:rPr>
                <w:rFonts w:ascii="Times New Roman" w:hAnsi="Times New Roman"/>
                <w:b/>
                <w:bCs/>
                <w:sz w:val="24"/>
                <w:szCs w:val="24"/>
              </w:rPr>
            </w:pPr>
            <w:r w:rsidRPr="00FB7C19">
              <w:rPr>
                <w:rFonts w:ascii="Times New Roman" w:hAnsi="Times New Roman"/>
                <w:b/>
                <w:bCs/>
                <w:sz w:val="24"/>
                <w:szCs w:val="24"/>
                <w:u w:val="single"/>
              </w:rPr>
              <w:t>Vocational Education and Training (VET)</w:t>
            </w:r>
            <w:r w:rsidR="00D817C4">
              <w:rPr>
                <w:rFonts w:ascii="Times New Roman" w:hAnsi="Times New Roman"/>
                <w:b/>
                <w:bCs/>
                <w:sz w:val="24"/>
                <w:szCs w:val="24"/>
              </w:rPr>
              <w:t>:</w:t>
            </w:r>
          </w:p>
          <w:p w14:paraId="36EFC994" w14:textId="69D7A093" w:rsidR="00842F1F" w:rsidRPr="006831D2" w:rsidRDefault="00842F1F" w:rsidP="00CB54AC">
            <w:pPr>
              <w:widowControl w:val="0"/>
              <w:spacing w:before="120" w:after="120"/>
              <w:jc w:val="both"/>
              <w:rPr>
                <w:rFonts w:ascii="Times New Roman" w:hAnsi="Times New Roman"/>
                <w:color w:val="000000"/>
                <w:sz w:val="24"/>
                <w:szCs w:val="24"/>
              </w:rPr>
            </w:pPr>
            <w:r w:rsidRPr="006831D2">
              <w:rPr>
                <w:rFonts w:ascii="Times New Roman" w:hAnsi="Times New Roman"/>
                <w:color w:val="000000"/>
                <w:sz w:val="24"/>
                <w:szCs w:val="24"/>
              </w:rPr>
              <w:t>The Commission shares the EESC’s view that boosting the prestige and societal value of VET is vital for strengthening Europe’s industrial base and ensuring competitiveness</w:t>
            </w:r>
            <w:r w:rsidR="007D29E4">
              <w:rPr>
                <w:rFonts w:ascii="Times New Roman" w:hAnsi="Times New Roman"/>
                <w:color w:val="000000"/>
                <w:sz w:val="24"/>
                <w:szCs w:val="24"/>
              </w:rPr>
              <w:t xml:space="preserve"> (</w:t>
            </w:r>
            <w:r w:rsidR="007D29E4" w:rsidRPr="00CB222C">
              <w:rPr>
                <w:rFonts w:ascii="Times New Roman" w:hAnsi="Times New Roman"/>
                <w:color w:val="000000"/>
                <w:sz w:val="24"/>
                <w:szCs w:val="24"/>
                <w:u w:val="single"/>
              </w:rPr>
              <w:t>paragraph 1.7</w:t>
            </w:r>
            <w:r w:rsidR="007D29E4">
              <w:rPr>
                <w:rFonts w:ascii="Times New Roman" w:hAnsi="Times New Roman"/>
                <w:color w:val="000000"/>
                <w:sz w:val="24"/>
                <w:szCs w:val="24"/>
              </w:rPr>
              <w:t>)</w:t>
            </w:r>
            <w:r w:rsidRPr="006831D2">
              <w:rPr>
                <w:rFonts w:ascii="Times New Roman" w:hAnsi="Times New Roman"/>
                <w:color w:val="000000"/>
                <w:sz w:val="24"/>
                <w:szCs w:val="24"/>
              </w:rPr>
              <w:t xml:space="preserve">. The Commission continues to promote the attractiveness and excellence of VET through the Centres of Vocational Excellence, the European Alliance for Apprenticeships, </w:t>
            </w:r>
            <w:r w:rsidR="00D06A46">
              <w:rPr>
                <w:rFonts w:ascii="Times New Roman" w:hAnsi="Times New Roman"/>
                <w:color w:val="000000"/>
                <w:sz w:val="24"/>
                <w:szCs w:val="24"/>
              </w:rPr>
              <w:t xml:space="preserve">and </w:t>
            </w:r>
            <w:r w:rsidRPr="006831D2">
              <w:rPr>
                <w:rFonts w:ascii="Times New Roman" w:hAnsi="Times New Roman"/>
                <w:color w:val="000000"/>
                <w:sz w:val="24"/>
                <w:szCs w:val="24"/>
              </w:rPr>
              <w:t>the European Reference Framework for Quality assurance</w:t>
            </w:r>
            <w:r w:rsidR="000F463F">
              <w:rPr>
                <w:rFonts w:ascii="Times New Roman" w:hAnsi="Times New Roman"/>
                <w:color w:val="000000"/>
                <w:sz w:val="24"/>
                <w:szCs w:val="24"/>
              </w:rPr>
              <w:t> </w:t>
            </w:r>
            <w:r w:rsidRPr="006831D2">
              <w:rPr>
                <w:rFonts w:ascii="Times New Roman" w:hAnsi="Times New Roman"/>
                <w:color w:val="000000"/>
                <w:sz w:val="24"/>
                <w:szCs w:val="24"/>
              </w:rPr>
              <w:t>(EQAVET)</w:t>
            </w:r>
            <w:r w:rsidRPr="006831D2">
              <w:rPr>
                <w:rStyle w:val="FootnoteReference"/>
                <w:rFonts w:ascii="Times New Roman" w:hAnsi="Times New Roman"/>
                <w:color w:val="000000"/>
                <w:sz w:val="24"/>
                <w:szCs w:val="24"/>
              </w:rPr>
              <w:footnoteReference w:id="6"/>
            </w:r>
            <w:r w:rsidRPr="006831D2">
              <w:rPr>
                <w:rFonts w:ascii="Times New Roman" w:hAnsi="Times New Roman"/>
                <w:color w:val="000000"/>
                <w:sz w:val="24"/>
                <w:szCs w:val="24"/>
              </w:rPr>
              <w:t xml:space="preserve">. </w:t>
            </w:r>
            <w:r w:rsidR="706DB30F" w:rsidRPr="006831D2">
              <w:rPr>
                <w:rFonts w:ascii="Times New Roman" w:hAnsi="Times New Roman"/>
                <w:color w:val="000000"/>
                <w:sz w:val="24"/>
                <w:szCs w:val="24"/>
              </w:rPr>
              <w:t>T</w:t>
            </w:r>
            <w:r w:rsidRPr="006831D2">
              <w:rPr>
                <w:rFonts w:ascii="Times New Roman" w:hAnsi="Times New Roman"/>
                <w:color w:val="000000"/>
                <w:sz w:val="24"/>
                <w:szCs w:val="24"/>
              </w:rPr>
              <w:t>he implementation of the Council Recommendation on VET</w:t>
            </w:r>
            <w:r w:rsidRPr="006831D2">
              <w:rPr>
                <w:rStyle w:val="FootnoteReference"/>
                <w:rFonts w:ascii="Times New Roman" w:hAnsi="Times New Roman"/>
                <w:color w:val="000000"/>
                <w:sz w:val="24"/>
                <w:szCs w:val="24"/>
              </w:rPr>
              <w:footnoteReference w:id="7"/>
            </w:r>
            <w:r w:rsidRPr="006831D2">
              <w:rPr>
                <w:rFonts w:ascii="Times New Roman" w:hAnsi="Times New Roman"/>
                <w:color w:val="000000"/>
                <w:sz w:val="24"/>
                <w:szCs w:val="24"/>
              </w:rPr>
              <w:t xml:space="preserve"> supports the development of key skills within VET programmes as well as the recently adopted Action Plan on Basic Skills</w:t>
            </w:r>
            <w:r w:rsidRPr="006831D2">
              <w:rPr>
                <w:rStyle w:val="FootnoteReference"/>
                <w:rFonts w:ascii="Times New Roman" w:hAnsi="Times New Roman"/>
                <w:color w:val="000000"/>
                <w:sz w:val="24"/>
                <w:szCs w:val="24"/>
              </w:rPr>
              <w:footnoteReference w:id="8"/>
            </w:r>
            <w:r w:rsidRPr="006831D2">
              <w:rPr>
                <w:rFonts w:ascii="Times New Roman" w:hAnsi="Times New Roman"/>
                <w:color w:val="000000"/>
                <w:sz w:val="24"/>
                <w:szCs w:val="24"/>
              </w:rPr>
              <w:t xml:space="preserve"> as part of the Union of Skills.</w:t>
            </w:r>
          </w:p>
          <w:p w14:paraId="281508DC" w14:textId="6AAAAFAD" w:rsidR="00842F1F" w:rsidRPr="006831D2" w:rsidRDefault="00842F1F" w:rsidP="00CB54AC">
            <w:pPr>
              <w:widowControl w:val="0"/>
              <w:spacing w:before="120" w:after="120"/>
              <w:jc w:val="both"/>
              <w:outlineLvl w:val="1"/>
              <w:rPr>
                <w:rFonts w:ascii="Times New Roman" w:eastAsia="Times New Roman" w:hAnsi="Times New Roman"/>
                <w:color w:val="000000"/>
                <w:sz w:val="24"/>
                <w:szCs w:val="24"/>
                <w:lang w:eastAsia="en-IE"/>
              </w:rPr>
            </w:pPr>
            <w:r w:rsidRPr="006831D2">
              <w:rPr>
                <w:rFonts w:ascii="Times New Roman" w:eastAsia="Times New Roman" w:hAnsi="Times New Roman"/>
                <w:color w:val="000000"/>
                <w:sz w:val="24"/>
                <w:szCs w:val="24"/>
                <w:lang w:eastAsia="en-IE"/>
              </w:rPr>
              <w:t xml:space="preserve">As announced in the Union of Skills, the Commission </w:t>
            </w:r>
            <w:r w:rsidR="00F26322" w:rsidRPr="006831D2">
              <w:rPr>
                <w:rFonts w:ascii="Times New Roman" w:eastAsia="Times New Roman" w:hAnsi="Times New Roman"/>
                <w:color w:val="000000"/>
                <w:sz w:val="24"/>
                <w:szCs w:val="24"/>
                <w:lang w:eastAsia="en-IE"/>
              </w:rPr>
              <w:t xml:space="preserve">plans to </w:t>
            </w:r>
            <w:r w:rsidRPr="006831D2">
              <w:rPr>
                <w:rFonts w:ascii="Times New Roman" w:eastAsia="Times New Roman" w:hAnsi="Times New Roman"/>
                <w:color w:val="000000"/>
                <w:sz w:val="24"/>
                <w:szCs w:val="24"/>
                <w:lang w:eastAsia="en-IE"/>
              </w:rPr>
              <w:t xml:space="preserve">present a European Strategy for Vocational Education and Training in 2026. The Strategy will </w:t>
            </w:r>
            <w:r w:rsidR="52027633" w:rsidRPr="006831D2">
              <w:rPr>
                <w:rFonts w:ascii="Times New Roman" w:eastAsia="Times New Roman" w:hAnsi="Times New Roman"/>
                <w:color w:val="000000"/>
                <w:sz w:val="24"/>
                <w:szCs w:val="24"/>
                <w:lang w:eastAsia="en-IE"/>
              </w:rPr>
              <w:t xml:space="preserve">build on an implementation report of the 2020 Council Recommendation on VET and </w:t>
            </w:r>
            <w:proofErr w:type="gramStart"/>
            <w:r w:rsidR="2C363019" w:rsidRPr="006831D2">
              <w:rPr>
                <w:rFonts w:ascii="Times New Roman" w:eastAsia="Times New Roman" w:hAnsi="Times New Roman"/>
                <w:color w:val="000000"/>
                <w:sz w:val="24"/>
                <w:szCs w:val="24"/>
                <w:lang w:eastAsia="en-IE"/>
              </w:rPr>
              <w:t>take into account</w:t>
            </w:r>
            <w:proofErr w:type="gramEnd"/>
            <w:r w:rsidR="2C363019" w:rsidRPr="006831D2">
              <w:rPr>
                <w:rFonts w:ascii="Times New Roman" w:eastAsia="Times New Roman" w:hAnsi="Times New Roman"/>
                <w:color w:val="000000"/>
                <w:sz w:val="24"/>
                <w:szCs w:val="24"/>
                <w:lang w:eastAsia="en-IE"/>
              </w:rPr>
              <w:t xml:space="preserve"> the Herning Declaration</w:t>
            </w:r>
            <w:r w:rsidR="008C623F" w:rsidRPr="006831D2">
              <w:rPr>
                <w:rStyle w:val="FootnoteReference"/>
                <w:rFonts w:ascii="Times New Roman" w:eastAsia="Times New Roman" w:hAnsi="Times New Roman"/>
                <w:color w:val="000000"/>
                <w:sz w:val="24"/>
                <w:szCs w:val="24"/>
                <w:lang w:eastAsia="en-IE"/>
              </w:rPr>
              <w:footnoteReference w:id="9"/>
            </w:r>
            <w:r w:rsidR="2C363019" w:rsidRPr="006831D2">
              <w:rPr>
                <w:rFonts w:ascii="Times New Roman" w:eastAsia="Times New Roman" w:hAnsi="Times New Roman"/>
                <w:color w:val="000000"/>
                <w:sz w:val="24"/>
                <w:szCs w:val="24"/>
                <w:lang w:eastAsia="en-IE"/>
              </w:rPr>
              <w:t>, endorsed at the Informal Ministerial meeting on 11-12</w:t>
            </w:r>
            <w:r w:rsidR="007A1384">
              <w:rPr>
                <w:rFonts w:ascii="Times New Roman" w:eastAsia="Times New Roman" w:hAnsi="Times New Roman"/>
                <w:color w:val="000000"/>
                <w:sz w:val="24"/>
                <w:szCs w:val="24"/>
                <w:lang w:eastAsia="en-IE"/>
              </w:rPr>
              <w:t> </w:t>
            </w:r>
            <w:r w:rsidR="2C363019" w:rsidRPr="006831D2">
              <w:rPr>
                <w:rFonts w:ascii="Times New Roman" w:eastAsia="Times New Roman" w:hAnsi="Times New Roman"/>
                <w:color w:val="000000"/>
                <w:sz w:val="24"/>
                <w:szCs w:val="24"/>
                <w:lang w:eastAsia="en-IE"/>
              </w:rPr>
              <w:t xml:space="preserve">September </w:t>
            </w:r>
            <w:r w:rsidR="007A1384">
              <w:rPr>
                <w:rFonts w:ascii="Times New Roman" w:eastAsia="Times New Roman" w:hAnsi="Times New Roman"/>
                <w:color w:val="000000"/>
                <w:sz w:val="24"/>
                <w:szCs w:val="24"/>
                <w:lang w:eastAsia="en-IE"/>
              </w:rPr>
              <w:t xml:space="preserve">2025 </w:t>
            </w:r>
            <w:r w:rsidR="2C363019" w:rsidRPr="006831D2">
              <w:rPr>
                <w:rFonts w:ascii="Times New Roman" w:eastAsia="Times New Roman" w:hAnsi="Times New Roman"/>
                <w:color w:val="000000"/>
                <w:sz w:val="24"/>
                <w:szCs w:val="24"/>
                <w:lang w:eastAsia="en-IE"/>
              </w:rPr>
              <w:t xml:space="preserve">in Denmark. It will </w:t>
            </w:r>
            <w:r w:rsidRPr="006831D2">
              <w:rPr>
                <w:rFonts w:ascii="Times New Roman" w:eastAsia="Times New Roman" w:hAnsi="Times New Roman"/>
                <w:color w:val="000000"/>
                <w:sz w:val="24"/>
                <w:szCs w:val="24"/>
                <w:lang w:eastAsia="en-IE"/>
              </w:rPr>
              <w:t xml:space="preserve">focus on the role of VET in supporting EU competitiveness and innovation, economic, territorial and social cohesion, and generational renewal by addressing skills shortages and mismatches, enhancing the attractiveness, quality and labour market relevance of VET, and supporting mobility and internationalisation. It will also address gender and other stereotypes in study </w:t>
            </w:r>
            <w:proofErr w:type="gramStart"/>
            <w:r w:rsidRPr="006831D2">
              <w:rPr>
                <w:rFonts w:ascii="Times New Roman" w:eastAsia="Times New Roman" w:hAnsi="Times New Roman"/>
                <w:color w:val="000000"/>
                <w:sz w:val="24"/>
                <w:szCs w:val="24"/>
                <w:lang w:eastAsia="en-IE"/>
              </w:rPr>
              <w:t>choices</w:t>
            </w:r>
            <w:r w:rsidR="00D06A46">
              <w:rPr>
                <w:rFonts w:ascii="Times New Roman" w:eastAsia="Times New Roman" w:hAnsi="Times New Roman"/>
                <w:color w:val="000000"/>
                <w:sz w:val="24"/>
                <w:szCs w:val="24"/>
                <w:lang w:eastAsia="en-IE"/>
              </w:rPr>
              <w:t>,</w:t>
            </w:r>
            <w:r w:rsidRPr="006831D2">
              <w:rPr>
                <w:rFonts w:ascii="Times New Roman" w:eastAsia="Times New Roman" w:hAnsi="Times New Roman"/>
                <w:color w:val="000000"/>
                <w:sz w:val="24"/>
                <w:szCs w:val="24"/>
                <w:lang w:eastAsia="en-IE"/>
              </w:rPr>
              <w:t xml:space="preserve"> and</w:t>
            </w:r>
            <w:proofErr w:type="gramEnd"/>
            <w:r w:rsidRPr="006831D2">
              <w:rPr>
                <w:rFonts w:ascii="Times New Roman" w:eastAsia="Times New Roman" w:hAnsi="Times New Roman"/>
                <w:color w:val="000000"/>
                <w:sz w:val="24"/>
                <w:szCs w:val="24"/>
                <w:lang w:eastAsia="en-IE"/>
              </w:rPr>
              <w:t xml:space="preserve"> build on the benefits and labour market outcomes of VET</w:t>
            </w:r>
            <w:r w:rsidR="00D06A46">
              <w:rPr>
                <w:rFonts w:ascii="Times New Roman" w:eastAsia="Times New Roman" w:hAnsi="Times New Roman"/>
                <w:color w:val="000000"/>
                <w:sz w:val="24"/>
                <w:szCs w:val="24"/>
                <w:lang w:eastAsia="en-IE"/>
              </w:rPr>
              <w:t>,</w:t>
            </w:r>
            <w:r w:rsidRPr="006831D2">
              <w:rPr>
                <w:rFonts w:ascii="Times New Roman" w:eastAsia="Times New Roman" w:hAnsi="Times New Roman"/>
                <w:color w:val="000000"/>
                <w:sz w:val="24"/>
                <w:szCs w:val="24"/>
                <w:lang w:eastAsia="en-IE"/>
              </w:rPr>
              <w:t xml:space="preserve"> so that VET becomes an equally valued learning pathway as higher education, including for women.</w:t>
            </w:r>
          </w:p>
          <w:p w14:paraId="4A01AE72" w14:textId="2DC58914" w:rsidR="00842F1F" w:rsidRPr="006831D2" w:rsidRDefault="0031772E" w:rsidP="00CB54AC">
            <w:pPr>
              <w:widowControl w:val="0"/>
              <w:spacing w:before="120" w:after="120"/>
              <w:jc w:val="both"/>
              <w:rPr>
                <w:rFonts w:ascii="Times New Roman" w:hAnsi="Times New Roman"/>
                <w:color w:val="000000"/>
                <w:sz w:val="24"/>
                <w:szCs w:val="24"/>
              </w:rPr>
            </w:pPr>
            <w:r w:rsidRPr="006831D2">
              <w:rPr>
                <w:rFonts w:ascii="Times New Roman" w:hAnsi="Times New Roman"/>
                <w:color w:val="000000"/>
                <w:sz w:val="24"/>
                <w:szCs w:val="24"/>
              </w:rPr>
              <w:t xml:space="preserve">Given </w:t>
            </w:r>
            <w:r w:rsidR="00842F1F" w:rsidRPr="006831D2">
              <w:rPr>
                <w:rFonts w:ascii="Times New Roman" w:hAnsi="Times New Roman"/>
                <w:color w:val="000000"/>
                <w:sz w:val="24"/>
                <w:szCs w:val="24"/>
              </w:rPr>
              <w:t>the advancements in AI, renewable energy, biotech</w:t>
            </w:r>
            <w:r w:rsidRPr="006831D2">
              <w:rPr>
                <w:rFonts w:ascii="Times New Roman" w:hAnsi="Times New Roman"/>
                <w:color w:val="000000"/>
                <w:sz w:val="24"/>
                <w:szCs w:val="24"/>
              </w:rPr>
              <w:t>nology</w:t>
            </w:r>
            <w:r w:rsidR="00842F1F" w:rsidRPr="006831D2">
              <w:rPr>
                <w:rFonts w:ascii="Times New Roman" w:hAnsi="Times New Roman"/>
                <w:color w:val="000000"/>
                <w:sz w:val="24"/>
                <w:szCs w:val="24"/>
              </w:rPr>
              <w:t>, defence and data analytics</w:t>
            </w:r>
            <w:r w:rsidR="005D277B">
              <w:rPr>
                <w:rFonts w:ascii="Times New Roman" w:hAnsi="Times New Roman"/>
                <w:color w:val="000000"/>
                <w:sz w:val="24"/>
                <w:szCs w:val="24"/>
              </w:rPr>
              <w:t xml:space="preserve"> (</w:t>
            </w:r>
            <w:r w:rsidR="00F65988" w:rsidRPr="00CB54AC">
              <w:rPr>
                <w:rFonts w:ascii="Times New Roman" w:hAnsi="Times New Roman"/>
                <w:color w:val="000000"/>
                <w:sz w:val="24"/>
                <w:szCs w:val="24"/>
                <w:u w:val="single"/>
              </w:rPr>
              <w:t>paragraph 1.6</w:t>
            </w:r>
            <w:r w:rsidR="00F65988">
              <w:rPr>
                <w:rFonts w:ascii="Times New Roman" w:hAnsi="Times New Roman"/>
                <w:color w:val="000000"/>
                <w:sz w:val="24"/>
                <w:szCs w:val="24"/>
              </w:rPr>
              <w:t>)</w:t>
            </w:r>
            <w:r w:rsidR="00842F1F" w:rsidRPr="006831D2">
              <w:rPr>
                <w:rFonts w:ascii="Times New Roman" w:hAnsi="Times New Roman"/>
                <w:color w:val="000000"/>
                <w:sz w:val="24"/>
                <w:szCs w:val="24"/>
              </w:rPr>
              <w:t xml:space="preserve">, </w:t>
            </w:r>
            <w:r w:rsidR="0005454F" w:rsidRPr="006831D2">
              <w:rPr>
                <w:rFonts w:ascii="Times New Roman" w:hAnsi="Times New Roman"/>
                <w:color w:val="000000"/>
                <w:sz w:val="24"/>
                <w:szCs w:val="24"/>
              </w:rPr>
              <w:lastRenderedPageBreak/>
              <w:t>maintaining a strong</w:t>
            </w:r>
            <w:r w:rsidR="00842F1F" w:rsidRPr="006831D2">
              <w:rPr>
                <w:rFonts w:ascii="Times New Roman" w:hAnsi="Times New Roman"/>
                <w:color w:val="000000"/>
                <w:sz w:val="24"/>
                <w:szCs w:val="24"/>
              </w:rPr>
              <w:t xml:space="preserve"> STEM pipeline </w:t>
            </w:r>
            <w:r w:rsidR="00334F44" w:rsidRPr="006831D2">
              <w:rPr>
                <w:rFonts w:ascii="Times New Roman" w:hAnsi="Times New Roman"/>
                <w:color w:val="000000"/>
                <w:sz w:val="24"/>
                <w:szCs w:val="24"/>
              </w:rPr>
              <w:t xml:space="preserve">in VET </w:t>
            </w:r>
            <w:r w:rsidR="00842F1F" w:rsidRPr="006831D2">
              <w:rPr>
                <w:rFonts w:ascii="Times New Roman" w:hAnsi="Times New Roman"/>
                <w:color w:val="000000"/>
                <w:sz w:val="24"/>
                <w:szCs w:val="24"/>
              </w:rPr>
              <w:t>is key</w:t>
            </w:r>
            <w:r w:rsidR="00E37A79">
              <w:rPr>
                <w:rFonts w:ascii="Times New Roman" w:hAnsi="Times New Roman"/>
                <w:color w:val="000000"/>
                <w:sz w:val="24"/>
                <w:szCs w:val="24"/>
              </w:rPr>
              <w:t xml:space="preserve"> (</w:t>
            </w:r>
            <w:r w:rsidR="00E37A79" w:rsidRPr="00CB54AC">
              <w:rPr>
                <w:rFonts w:ascii="Times New Roman" w:hAnsi="Times New Roman"/>
                <w:color w:val="000000"/>
                <w:sz w:val="24"/>
                <w:szCs w:val="24"/>
                <w:u w:val="single"/>
              </w:rPr>
              <w:t xml:space="preserve">paragraph </w:t>
            </w:r>
            <w:r w:rsidR="00E34492" w:rsidRPr="00CB54AC">
              <w:rPr>
                <w:rFonts w:ascii="Times New Roman" w:hAnsi="Times New Roman"/>
                <w:color w:val="000000"/>
                <w:sz w:val="24"/>
                <w:szCs w:val="24"/>
                <w:u w:val="single"/>
              </w:rPr>
              <w:t>1.3, 1.7</w:t>
            </w:r>
            <w:r w:rsidR="00E34492">
              <w:rPr>
                <w:rFonts w:ascii="Times New Roman" w:hAnsi="Times New Roman"/>
                <w:color w:val="000000"/>
                <w:sz w:val="24"/>
                <w:szCs w:val="24"/>
              </w:rPr>
              <w:t>)</w:t>
            </w:r>
            <w:r w:rsidR="00842F1F" w:rsidRPr="006831D2">
              <w:rPr>
                <w:rFonts w:ascii="Times New Roman" w:hAnsi="Times New Roman"/>
                <w:color w:val="000000"/>
                <w:sz w:val="24"/>
                <w:szCs w:val="24"/>
              </w:rPr>
              <w:t xml:space="preserve">. Europe must </w:t>
            </w:r>
            <w:r w:rsidR="0005454F" w:rsidRPr="006831D2">
              <w:rPr>
                <w:rFonts w:ascii="Times New Roman" w:hAnsi="Times New Roman"/>
                <w:color w:val="000000"/>
                <w:sz w:val="24"/>
                <w:szCs w:val="24"/>
              </w:rPr>
              <w:t xml:space="preserve">harness the potential of </w:t>
            </w:r>
            <w:r w:rsidR="00842F1F" w:rsidRPr="006831D2">
              <w:rPr>
                <w:rFonts w:ascii="Times New Roman" w:hAnsi="Times New Roman"/>
                <w:color w:val="000000"/>
                <w:sz w:val="24"/>
                <w:szCs w:val="24"/>
              </w:rPr>
              <w:t xml:space="preserve">all </w:t>
            </w:r>
            <w:r w:rsidR="0005454F" w:rsidRPr="006831D2">
              <w:rPr>
                <w:rFonts w:ascii="Times New Roman" w:hAnsi="Times New Roman"/>
                <w:color w:val="000000"/>
                <w:sz w:val="24"/>
                <w:szCs w:val="24"/>
              </w:rPr>
              <w:t xml:space="preserve">its </w:t>
            </w:r>
            <w:r w:rsidR="00842F1F" w:rsidRPr="006831D2">
              <w:rPr>
                <w:rFonts w:ascii="Times New Roman" w:hAnsi="Times New Roman"/>
                <w:color w:val="000000"/>
                <w:sz w:val="24"/>
                <w:szCs w:val="24"/>
              </w:rPr>
              <w:t xml:space="preserve">talent, </w:t>
            </w:r>
            <w:r w:rsidR="005F0045" w:rsidRPr="006831D2">
              <w:rPr>
                <w:rFonts w:ascii="Times New Roman" w:hAnsi="Times New Roman"/>
                <w:color w:val="000000"/>
                <w:sz w:val="24"/>
                <w:szCs w:val="24"/>
              </w:rPr>
              <w:t xml:space="preserve">particularly focusing on the inclusion of </w:t>
            </w:r>
            <w:r w:rsidR="00842F1F" w:rsidRPr="006831D2">
              <w:rPr>
                <w:rFonts w:ascii="Times New Roman" w:hAnsi="Times New Roman"/>
                <w:color w:val="000000"/>
                <w:sz w:val="24"/>
                <w:szCs w:val="24"/>
              </w:rPr>
              <w:t>women and girls. Investments in STEM should be complemented by comprehensive policy efforts to increase VET attractiveness. To attract more girls and women in</w:t>
            </w:r>
            <w:r w:rsidR="00D06A46">
              <w:rPr>
                <w:rFonts w:ascii="Times New Roman" w:hAnsi="Times New Roman"/>
                <w:color w:val="000000"/>
                <w:sz w:val="24"/>
                <w:szCs w:val="24"/>
              </w:rPr>
              <w:t>to</w:t>
            </w:r>
            <w:r w:rsidR="00842F1F" w:rsidRPr="006831D2">
              <w:rPr>
                <w:rFonts w:ascii="Times New Roman" w:hAnsi="Times New Roman"/>
                <w:color w:val="000000"/>
                <w:sz w:val="24"/>
                <w:szCs w:val="24"/>
              </w:rPr>
              <w:t xml:space="preserve"> STEM </w:t>
            </w:r>
            <w:r w:rsidR="001A2DBC" w:rsidRPr="006831D2">
              <w:rPr>
                <w:rFonts w:ascii="Times New Roman" w:hAnsi="Times New Roman"/>
                <w:color w:val="000000"/>
                <w:sz w:val="24"/>
                <w:szCs w:val="24"/>
              </w:rPr>
              <w:t>within</w:t>
            </w:r>
            <w:r w:rsidR="00842F1F" w:rsidRPr="006831D2">
              <w:rPr>
                <w:rFonts w:ascii="Times New Roman" w:hAnsi="Times New Roman"/>
                <w:color w:val="000000"/>
                <w:sz w:val="24"/>
                <w:szCs w:val="24"/>
              </w:rPr>
              <w:t xml:space="preserve"> VET, the STEM Education Strategic Plan </w:t>
            </w:r>
            <w:r w:rsidR="00A86B11" w:rsidRPr="006831D2">
              <w:rPr>
                <w:rFonts w:ascii="Times New Roman" w:hAnsi="Times New Roman"/>
                <w:color w:val="000000"/>
                <w:sz w:val="24"/>
                <w:szCs w:val="24"/>
              </w:rPr>
              <w:t>includes</w:t>
            </w:r>
            <w:r w:rsidR="00842F1F" w:rsidRPr="006831D2">
              <w:rPr>
                <w:rFonts w:ascii="Times New Roman" w:hAnsi="Times New Roman"/>
                <w:color w:val="000000"/>
                <w:sz w:val="24"/>
                <w:szCs w:val="24"/>
              </w:rPr>
              <w:t xml:space="preserve"> </w:t>
            </w:r>
            <w:r w:rsidR="00A86B11" w:rsidRPr="006831D2">
              <w:rPr>
                <w:rFonts w:ascii="Times New Roman" w:hAnsi="Times New Roman"/>
                <w:color w:val="000000"/>
                <w:sz w:val="24"/>
                <w:szCs w:val="24"/>
              </w:rPr>
              <w:t xml:space="preserve">targeted </w:t>
            </w:r>
            <w:r w:rsidR="00842F1F" w:rsidRPr="006831D2">
              <w:rPr>
                <w:rFonts w:ascii="Times New Roman" w:hAnsi="Times New Roman"/>
                <w:color w:val="000000"/>
                <w:sz w:val="24"/>
                <w:szCs w:val="24"/>
              </w:rPr>
              <w:t>measure</w:t>
            </w:r>
            <w:r w:rsidR="00A86B11" w:rsidRPr="006831D2">
              <w:rPr>
                <w:rFonts w:ascii="Times New Roman" w:hAnsi="Times New Roman"/>
                <w:color w:val="000000"/>
                <w:sz w:val="24"/>
                <w:szCs w:val="24"/>
              </w:rPr>
              <w:t>s</w:t>
            </w:r>
            <w:r w:rsidR="00842F1F" w:rsidRPr="006831D2">
              <w:rPr>
                <w:rFonts w:ascii="Times New Roman" w:hAnsi="Times New Roman"/>
                <w:color w:val="000000"/>
                <w:sz w:val="24"/>
                <w:szCs w:val="24"/>
              </w:rPr>
              <w:t xml:space="preserve"> to exchange good practices and foster mutual learning on attracting and supporting girls and women in STEM apprenticeships</w:t>
            </w:r>
            <w:r w:rsidR="00265542" w:rsidRPr="006831D2">
              <w:rPr>
                <w:rFonts w:ascii="Times New Roman" w:hAnsi="Times New Roman"/>
                <w:color w:val="000000"/>
                <w:sz w:val="24"/>
                <w:szCs w:val="24"/>
              </w:rPr>
              <w:t xml:space="preserve">. This initiative is part of the broader efforts of the </w:t>
            </w:r>
            <w:r w:rsidR="00842F1F" w:rsidRPr="006831D2">
              <w:rPr>
                <w:rFonts w:ascii="Times New Roman" w:hAnsi="Times New Roman"/>
                <w:color w:val="000000"/>
                <w:sz w:val="24"/>
                <w:szCs w:val="24"/>
              </w:rPr>
              <w:t>European Alliance for Apprenticeships</w:t>
            </w:r>
            <w:r w:rsidR="00A7178D">
              <w:rPr>
                <w:rStyle w:val="FootnoteReference"/>
                <w:rFonts w:ascii="Times New Roman" w:hAnsi="Times New Roman"/>
                <w:color w:val="000000"/>
                <w:sz w:val="24"/>
                <w:szCs w:val="24"/>
              </w:rPr>
              <w:footnoteReference w:id="10"/>
            </w:r>
            <w:r w:rsidR="00A7178D">
              <w:rPr>
                <w:rFonts w:ascii="Times New Roman" w:hAnsi="Times New Roman"/>
                <w:color w:val="000000"/>
                <w:sz w:val="24"/>
                <w:szCs w:val="24"/>
              </w:rPr>
              <w:t>.</w:t>
            </w:r>
          </w:p>
          <w:p w14:paraId="06BCC279" w14:textId="15115139" w:rsidR="00334F44" w:rsidRPr="006831D2" w:rsidRDefault="00334F44" w:rsidP="00CB54AC">
            <w:pPr>
              <w:widowControl w:val="0"/>
              <w:spacing w:before="120" w:after="120"/>
              <w:jc w:val="both"/>
              <w:rPr>
                <w:rFonts w:ascii="Times New Roman" w:hAnsi="Times New Roman"/>
                <w:b/>
                <w:bCs/>
                <w:sz w:val="24"/>
                <w:szCs w:val="24"/>
              </w:rPr>
            </w:pPr>
            <w:r w:rsidRPr="00FB7C19">
              <w:rPr>
                <w:rFonts w:ascii="Times New Roman" w:hAnsi="Times New Roman"/>
                <w:b/>
                <w:bCs/>
                <w:color w:val="000000"/>
                <w:sz w:val="24"/>
                <w:szCs w:val="24"/>
                <w:u w:val="single"/>
              </w:rPr>
              <w:t>Skills Portability Initiative</w:t>
            </w:r>
            <w:r w:rsidR="00D817C4">
              <w:rPr>
                <w:rFonts w:ascii="Times New Roman" w:hAnsi="Times New Roman"/>
                <w:b/>
                <w:bCs/>
                <w:color w:val="000000"/>
                <w:sz w:val="24"/>
                <w:szCs w:val="24"/>
              </w:rPr>
              <w:t>:</w:t>
            </w:r>
          </w:p>
          <w:p w14:paraId="3D8E330A" w14:textId="5504BFE3" w:rsidR="00842F1F" w:rsidRPr="006831D2" w:rsidRDefault="00842F1F" w:rsidP="00CB54AC">
            <w:pPr>
              <w:pStyle w:val="ListParagraph"/>
              <w:widowControl w:val="0"/>
              <w:spacing w:before="120" w:after="120"/>
              <w:ind w:left="0"/>
              <w:contextualSpacing w:val="0"/>
              <w:jc w:val="both"/>
              <w:rPr>
                <w:rFonts w:ascii="Times New Roman" w:eastAsia="Times New Roman" w:hAnsi="Times New Roman"/>
                <w:color w:val="000000"/>
                <w:sz w:val="24"/>
                <w:szCs w:val="24"/>
                <w:lang w:val="en-GB"/>
              </w:rPr>
            </w:pPr>
            <w:r w:rsidRPr="006831D2">
              <w:rPr>
                <w:rFonts w:ascii="Times New Roman" w:eastAsia="Times New Roman" w:hAnsi="Times New Roman"/>
                <w:color w:val="000000"/>
                <w:sz w:val="24"/>
                <w:szCs w:val="24"/>
                <w:lang w:val="en-GB"/>
              </w:rPr>
              <w:t>To facilitate the circulation of people with their skills</w:t>
            </w:r>
            <w:r w:rsidR="00F65988">
              <w:rPr>
                <w:rFonts w:ascii="Times New Roman" w:eastAsia="Times New Roman" w:hAnsi="Times New Roman"/>
                <w:color w:val="000000"/>
                <w:sz w:val="24"/>
                <w:szCs w:val="24"/>
                <w:lang w:val="en-GB"/>
              </w:rPr>
              <w:t xml:space="preserve"> (</w:t>
            </w:r>
            <w:r w:rsidR="00F65988" w:rsidRPr="00CB54AC">
              <w:rPr>
                <w:rFonts w:ascii="Times New Roman" w:eastAsia="Times New Roman" w:hAnsi="Times New Roman"/>
                <w:color w:val="000000"/>
                <w:sz w:val="24"/>
                <w:szCs w:val="24"/>
                <w:u w:val="single"/>
                <w:lang w:val="en-GB"/>
              </w:rPr>
              <w:t>paragraph 1.8</w:t>
            </w:r>
            <w:r w:rsidR="00F65988">
              <w:rPr>
                <w:rFonts w:ascii="Times New Roman" w:eastAsia="Times New Roman" w:hAnsi="Times New Roman"/>
                <w:color w:val="000000"/>
                <w:sz w:val="24"/>
                <w:szCs w:val="24"/>
                <w:lang w:val="en-GB"/>
              </w:rPr>
              <w:t>)</w:t>
            </w:r>
            <w:r w:rsidRPr="006831D2">
              <w:rPr>
                <w:rFonts w:ascii="Times New Roman" w:eastAsia="Times New Roman" w:hAnsi="Times New Roman"/>
                <w:color w:val="000000"/>
                <w:sz w:val="24"/>
                <w:szCs w:val="24"/>
                <w:lang w:val="en-GB"/>
              </w:rPr>
              <w:t xml:space="preserve">, the Skills Portability Initiative aims </w:t>
            </w:r>
            <w:r w:rsidR="0049303F" w:rsidRPr="006831D2">
              <w:rPr>
                <w:rFonts w:ascii="Times New Roman" w:eastAsia="Times New Roman" w:hAnsi="Times New Roman"/>
                <w:color w:val="000000"/>
                <w:sz w:val="24"/>
                <w:szCs w:val="24"/>
                <w:lang w:val="en-GB"/>
              </w:rPr>
              <w:t>to give</w:t>
            </w:r>
            <w:r w:rsidR="1CD45DBE" w:rsidRPr="006831D2">
              <w:rPr>
                <w:rFonts w:ascii="Times New Roman" w:eastAsia="Times New Roman" w:hAnsi="Times New Roman"/>
                <w:color w:val="000000"/>
                <w:sz w:val="24"/>
                <w:szCs w:val="24"/>
                <w:lang w:val="en-GB"/>
              </w:rPr>
              <w:t xml:space="preserve"> </w:t>
            </w:r>
            <w:r w:rsidRPr="006831D2">
              <w:rPr>
                <w:rFonts w:ascii="Times New Roman" w:eastAsia="Times New Roman" w:hAnsi="Times New Roman"/>
                <w:color w:val="000000"/>
                <w:sz w:val="24"/>
                <w:szCs w:val="24"/>
                <w:lang w:val="en-GB"/>
              </w:rPr>
              <w:t>more opportunities for workers and businesses to fully capture the potential of the single market</w:t>
            </w:r>
            <w:r w:rsidR="00287E33" w:rsidRPr="006831D2">
              <w:rPr>
                <w:rFonts w:ascii="Times New Roman" w:eastAsia="Times New Roman" w:hAnsi="Times New Roman"/>
                <w:color w:val="000000"/>
                <w:sz w:val="24"/>
                <w:szCs w:val="24"/>
                <w:lang w:val="en-GB"/>
              </w:rPr>
              <w:t xml:space="preserve">. </w:t>
            </w:r>
            <w:r w:rsidR="5BE4B3C1" w:rsidRPr="006831D2">
              <w:rPr>
                <w:rFonts w:ascii="Times New Roman" w:eastAsia="Times New Roman" w:hAnsi="Times New Roman"/>
                <w:color w:val="000000"/>
                <w:sz w:val="24"/>
                <w:szCs w:val="24"/>
                <w:lang w:val="en-GB"/>
              </w:rPr>
              <w:t xml:space="preserve">The initiative could </w:t>
            </w:r>
            <w:r w:rsidR="756B75EE" w:rsidRPr="006831D2">
              <w:rPr>
                <w:rFonts w:ascii="Times New Roman" w:eastAsia="Times New Roman" w:hAnsi="Times New Roman"/>
                <w:color w:val="000000"/>
                <w:sz w:val="24"/>
                <w:szCs w:val="24"/>
                <w:lang w:val="en-GB"/>
              </w:rPr>
              <w:t>b</w:t>
            </w:r>
            <w:r w:rsidR="0C1CA99D" w:rsidRPr="006831D2">
              <w:rPr>
                <w:rFonts w:ascii="Times New Roman" w:eastAsia="Times New Roman" w:hAnsi="Times New Roman"/>
                <w:color w:val="000000"/>
                <w:sz w:val="24"/>
                <w:szCs w:val="24"/>
                <w:lang w:val="en-GB"/>
              </w:rPr>
              <w:t xml:space="preserve">uild on existing transparency tools that seek to </w:t>
            </w:r>
            <w:r w:rsidR="0C1CA99D" w:rsidRPr="006831D2">
              <w:rPr>
                <w:rFonts w:ascii="Times New Roman" w:eastAsia="Times New Roman" w:hAnsi="Times New Roman"/>
                <w:sz w:val="24"/>
                <w:szCs w:val="24"/>
                <w:lang w:val="en-GB"/>
              </w:rPr>
              <w:t>ensure understanding, comparability, trust, acceptance of skills and qualifications across Member States</w:t>
            </w:r>
            <w:r w:rsidR="3C228CED" w:rsidRPr="006831D2">
              <w:rPr>
                <w:rFonts w:ascii="Times New Roman" w:eastAsia="Times New Roman" w:hAnsi="Times New Roman"/>
                <w:sz w:val="24"/>
                <w:szCs w:val="24"/>
                <w:lang w:val="en-GB"/>
              </w:rPr>
              <w:t xml:space="preserve"> and</w:t>
            </w:r>
            <w:r w:rsidR="0C1CA99D" w:rsidRPr="006831D2">
              <w:rPr>
                <w:rFonts w:ascii="Times New Roman" w:eastAsia="Times New Roman" w:hAnsi="Times New Roman"/>
                <w:sz w:val="24"/>
                <w:szCs w:val="24"/>
                <w:lang w:val="en-GB"/>
              </w:rPr>
              <w:t xml:space="preserve"> promote common European formats for interoperable digital credentials.</w:t>
            </w:r>
            <w:r w:rsidR="231FAFDA" w:rsidRPr="006831D2">
              <w:rPr>
                <w:rFonts w:ascii="Times New Roman" w:eastAsia="Times New Roman" w:hAnsi="Times New Roman"/>
                <w:sz w:val="24"/>
                <w:szCs w:val="24"/>
                <w:lang w:val="en-GB"/>
              </w:rPr>
              <w:t xml:space="preserve"> </w:t>
            </w:r>
            <w:r w:rsidR="00F76A76" w:rsidRPr="006831D2">
              <w:rPr>
                <w:rFonts w:ascii="Times New Roman" w:eastAsia="Times New Roman" w:hAnsi="Times New Roman"/>
                <w:sz w:val="24"/>
                <w:szCs w:val="24"/>
                <w:lang w:val="en-GB"/>
              </w:rPr>
              <w:t>B</w:t>
            </w:r>
            <w:r w:rsidR="231FAFDA" w:rsidRPr="006831D2">
              <w:rPr>
                <w:rFonts w:ascii="Times New Roman" w:eastAsia="Times New Roman" w:hAnsi="Times New Roman"/>
                <w:sz w:val="24"/>
                <w:szCs w:val="24"/>
                <w:lang w:val="en-GB"/>
              </w:rPr>
              <w:t xml:space="preserve">uilding on the Implementation Report of the Professional Qualifications Directive, the Commission will consider actions to further facilitate, expand and modernise recognition processes for regulated professions, </w:t>
            </w:r>
            <w:r w:rsidR="0036028B">
              <w:rPr>
                <w:rFonts w:ascii="Times New Roman" w:eastAsia="Times New Roman" w:hAnsi="Times New Roman"/>
                <w:sz w:val="24"/>
                <w:szCs w:val="24"/>
                <w:lang w:val="en-GB"/>
              </w:rPr>
              <w:t>including</w:t>
            </w:r>
            <w:r w:rsidR="231FAFDA" w:rsidRPr="006831D2">
              <w:rPr>
                <w:rFonts w:ascii="Times New Roman" w:eastAsia="Times New Roman" w:hAnsi="Times New Roman"/>
                <w:sz w:val="24"/>
                <w:szCs w:val="24"/>
                <w:lang w:val="en-GB"/>
              </w:rPr>
              <w:t xml:space="preserve"> by leveraging digital tools. </w:t>
            </w:r>
            <w:r w:rsidR="00F76A76" w:rsidRPr="006831D2">
              <w:rPr>
                <w:rFonts w:ascii="Times New Roman" w:eastAsia="Times New Roman" w:hAnsi="Times New Roman"/>
                <w:sz w:val="24"/>
                <w:szCs w:val="24"/>
                <w:lang w:val="en-GB"/>
              </w:rPr>
              <w:t>T</w:t>
            </w:r>
            <w:r w:rsidR="231FAFDA" w:rsidRPr="006831D2">
              <w:rPr>
                <w:rFonts w:ascii="Times New Roman" w:eastAsia="Times New Roman" w:hAnsi="Times New Roman"/>
                <w:sz w:val="24"/>
                <w:szCs w:val="24"/>
                <w:lang w:val="en-GB"/>
              </w:rPr>
              <w:t xml:space="preserve">he Commission will </w:t>
            </w:r>
            <w:r w:rsidR="00F76A76" w:rsidRPr="006831D2">
              <w:rPr>
                <w:rFonts w:ascii="Times New Roman" w:eastAsia="Times New Roman" w:hAnsi="Times New Roman"/>
                <w:sz w:val="24"/>
                <w:szCs w:val="24"/>
                <w:lang w:val="en-GB"/>
              </w:rPr>
              <w:t xml:space="preserve">also </w:t>
            </w:r>
            <w:r w:rsidR="231FAFDA" w:rsidRPr="006831D2">
              <w:rPr>
                <w:rFonts w:ascii="Times New Roman" w:eastAsia="Times New Roman" w:hAnsi="Times New Roman"/>
                <w:sz w:val="24"/>
                <w:szCs w:val="24"/>
                <w:lang w:val="en-GB"/>
              </w:rPr>
              <w:t>explore whether to propose common rules for simpler procedures for handling the recognition and validation of qualifications and skills of third country nationals</w:t>
            </w:r>
            <w:r w:rsidR="000A064C">
              <w:rPr>
                <w:rFonts w:ascii="Times New Roman" w:eastAsia="Times New Roman" w:hAnsi="Times New Roman"/>
                <w:sz w:val="24"/>
                <w:szCs w:val="24"/>
                <w:lang w:val="en-GB"/>
              </w:rPr>
              <w:t xml:space="preserve"> (</w:t>
            </w:r>
            <w:r w:rsidR="000A064C" w:rsidRPr="00CB54AC">
              <w:rPr>
                <w:rFonts w:ascii="Times New Roman" w:eastAsia="Times New Roman" w:hAnsi="Times New Roman"/>
                <w:sz w:val="24"/>
                <w:szCs w:val="24"/>
                <w:u w:val="single"/>
                <w:lang w:val="en-GB"/>
              </w:rPr>
              <w:t>paragraph 1.9</w:t>
            </w:r>
            <w:r w:rsidR="000A064C">
              <w:rPr>
                <w:rFonts w:ascii="Times New Roman" w:eastAsia="Times New Roman" w:hAnsi="Times New Roman"/>
                <w:sz w:val="24"/>
                <w:szCs w:val="24"/>
                <w:lang w:val="en-GB"/>
              </w:rPr>
              <w:t>)</w:t>
            </w:r>
            <w:r w:rsidR="231FAFDA" w:rsidRPr="006831D2">
              <w:rPr>
                <w:rFonts w:ascii="Times New Roman" w:eastAsia="Times New Roman" w:hAnsi="Times New Roman"/>
                <w:sz w:val="24"/>
                <w:szCs w:val="24"/>
                <w:lang w:val="en-GB"/>
              </w:rPr>
              <w:t>.</w:t>
            </w:r>
          </w:p>
          <w:p w14:paraId="1348E87E" w14:textId="52E3CDDE" w:rsidR="00842F1F" w:rsidRPr="006831D2" w:rsidRDefault="00842F1F" w:rsidP="00CB54AC">
            <w:pPr>
              <w:widowControl w:val="0"/>
              <w:spacing w:before="120" w:after="120"/>
              <w:jc w:val="both"/>
              <w:rPr>
                <w:rFonts w:ascii="Times New Roman" w:hAnsi="Times New Roman"/>
                <w:b/>
                <w:bCs/>
                <w:sz w:val="24"/>
                <w:szCs w:val="24"/>
              </w:rPr>
            </w:pPr>
            <w:r w:rsidRPr="00FB7C19">
              <w:rPr>
                <w:rFonts w:ascii="Times New Roman" w:hAnsi="Times New Roman"/>
                <w:b/>
                <w:bCs/>
                <w:sz w:val="24"/>
                <w:szCs w:val="24"/>
                <w:u w:val="single"/>
              </w:rPr>
              <w:t>Enhancing the attractiveness of the teaching profession</w:t>
            </w:r>
            <w:r w:rsidR="00D817C4">
              <w:rPr>
                <w:rFonts w:ascii="Times New Roman" w:hAnsi="Times New Roman"/>
                <w:b/>
                <w:bCs/>
                <w:sz w:val="24"/>
                <w:szCs w:val="24"/>
              </w:rPr>
              <w:t>:</w:t>
            </w:r>
          </w:p>
          <w:p w14:paraId="6F0BE5CA" w14:textId="2607F114" w:rsidR="00842F1F" w:rsidRPr="006831D2" w:rsidRDefault="00842F1F" w:rsidP="00CB54AC">
            <w:pPr>
              <w:widowControl w:val="0"/>
              <w:spacing w:before="120" w:after="120"/>
              <w:jc w:val="both"/>
              <w:rPr>
                <w:rFonts w:ascii="Times New Roman" w:hAnsi="Times New Roman"/>
                <w:color w:val="000000"/>
                <w:sz w:val="24"/>
                <w:szCs w:val="24"/>
              </w:rPr>
            </w:pPr>
            <w:r w:rsidRPr="006831D2">
              <w:rPr>
                <w:rFonts w:ascii="Times New Roman" w:hAnsi="Times New Roman"/>
                <w:sz w:val="24"/>
                <w:szCs w:val="24"/>
              </w:rPr>
              <w:t xml:space="preserve">The Commission welcomes the </w:t>
            </w:r>
            <w:r w:rsidR="648349EA" w:rsidRPr="006831D2">
              <w:rPr>
                <w:rFonts w:ascii="Times New Roman" w:hAnsi="Times New Roman"/>
                <w:sz w:val="24"/>
                <w:szCs w:val="24"/>
              </w:rPr>
              <w:t xml:space="preserve">EESC’s </w:t>
            </w:r>
            <w:r w:rsidRPr="006831D2">
              <w:rPr>
                <w:rFonts w:ascii="Times New Roman" w:hAnsi="Times New Roman"/>
                <w:sz w:val="24"/>
                <w:szCs w:val="24"/>
              </w:rPr>
              <w:t>support to the EU Teachers and Trainers Agenda</w:t>
            </w:r>
            <w:r w:rsidR="00716945">
              <w:rPr>
                <w:rFonts w:ascii="Times New Roman" w:hAnsi="Times New Roman"/>
                <w:sz w:val="24"/>
                <w:szCs w:val="24"/>
              </w:rPr>
              <w:t xml:space="preserve"> (</w:t>
            </w:r>
            <w:r w:rsidR="00C213FB" w:rsidRPr="00CB54AC">
              <w:rPr>
                <w:rFonts w:ascii="Times New Roman" w:hAnsi="Times New Roman"/>
                <w:sz w:val="24"/>
                <w:szCs w:val="24"/>
                <w:u w:val="single"/>
              </w:rPr>
              <w:t xml:space="preserve">paragraph </w:t>
            </w:r>
            <w:r w:rsidR="00E51421" w:rsidRPr="00CB54AC">
              <w:rPr>
                <w:rFonts w:ascii="Times New Roman" w:hAnsi="Times New Roman"/>
                <w:sz w:val="24"/>
                <w:szCs w:val="24"/>
                <w:u w:val="single"/>
              </w:rPr>
              <w:t>1.12</w:t>
            </w:r>
            <w:r w:rsidR="00E51421">
              <w:rPr>
                <w:rFonts w:ascii="Times New Roman" w:hAnsi="Times New Roman"/>
                <w:sz w:val="24"/>
                <w:szCs w:val="24"/>
              </w:rPr>
              <w:t>)</w:t>
            </w:r>
            <w:r w:rsidRPr="006831D2">
              <w:rPr>
                <w:rFonts w:ascii="Times New Roman" w:hAnsi="Times New Roman"/>
                <w:sz w:val="24"/>
                <w:szCs w:val="24"/>
              </w:rPr>
              <w:t>, which will</w:t>
            </w:r>
            <w:r w:rsidR="00D018CD" w:rsidRPr="006831D2">
              <w:rPr>
                <w:rFonts w:ascii="Times New Roman" w:hAnsi="Times New Roman"/>
                <w:sz w:val="24"/>
                <w:szCs w:val="24"/>
              </w:rPr>
              <w:t xml:space="preserve"> </w:t>
            </w:r>
            <w:r w:rsidRPr="006831D2">
              <w:rPr>
                <w:rFonts w:ascii="Times New Roman" w:hAnsi="Times New Roman"/>
                <w:sz w:val="24"/>
                <w:szCs w:val="24"/>
              </w:rPr>
              <w:t xml:space="preserve">acknowledge shared key challenges of different educators in a single strategy. While addressing </w:t>
            </w:r>
            <w:r w:rsidR="00A16AFA" w:rsidRPr="006831D2">
              <w:rPr>
                <w:rFonts w:ascii="Times New Roman" w:hAnsi="Times New Roman"/>
                <w:sz w:val="24"/>
                <w:szCs w:val="24"/>
              </w:rPr>
              <w:t xml:space="preserve">such </w:t>
            </w:r>
            <w:r w:rsidRPr="006831D2">
              <w:rPr>
                <w:rFonts w:ascii="Times New Roman" w:hAnsi="Times New Roman"/>
                <w:sz w:val="24"/>
                <w:szCs w:val="24"/>
              </w:rPr>
              <w:t xml:space="preserve">key challenges is primarily the responsibility of Member States, the Agenda </w:t>
            </w:r>
            <w:r w:rsidR="5B3385D3" w:rsidRPr="006831D2">
              <w:rPr>
                <w:rFonts w:ascii="Times New Roman" w:hAnsi="Times New Roman"/>
                <w:sz w:val="24"/>
                <w:szCs w:val="24"/>
              </w:rPr>
              <w:t xml:space="preserve">would </w:t>
            </w:r>
            <w:r w:rsidRPr="006831D2">
              <w:rPr>
                <w:rFonts w:ascii="Times New Roman" w:hAnsi="Times New Roman"/>
                <w:sz w:val="24"/>
                <w:szCs w:val="24"/>
              </w:rPr>
              <w:t xml:space="preserve">aim to support Member States with actions </w:t>
            </w:r>
            <w:r w:rsidR="2FAC3E95" w:rsidRPr="006831D2">
              <w:rPr>
                <w:rFonts w:ascii="Times New Roman" w:hAnsi="Times New Roman"/>
                <w:sz w:val="24"/>
                <w:szCs w:val="24"/>
              </w:rPr>
              <w:t xml:space="preserve">that could include </w:t>
            </w:r>
            <w:r w:rsidR="2FAC3E95" w:rsidRPr="006831D2">
              <w:rPr>
                <w:rFonts w:ascii="Times New Roman" w:hAnsi="Times New Roman"/>
                <w:i/>
                <w:iCs/>
                <w:sz w:val="24"/>
                <w:szCs w:val="24"/>
              </w:rPr>
              <w:t>(</w:t>
            </w:r>
            <w:proofErr w:type="spellStart"/>
            <w:r w:rsidR="2FAC3E95" w:rsidRPr="006831D2">
              <w:rPr>
                <w:rFonts w:ascii="Times New Roman" w:hAnsi="Times New Roman"/>
                <w:i/>
                <w:iCs/>
                <w:sz w:val="24"/>
                <w:szCs w:val="24"/>
              </w:rPr>
              <w:t>i</w:t>
            </w:r>
            <w:proofErr w:type="spellEnd"/>
            <w:r w:rsidR="2FAC3E95" w:rsidRPr="006831D2">
              <w:rPr>
                <w:rFonts w:ascii="Times New Roman" w:hAnsi="Times New Roman"/>
                <w:i/>
                <w:iCs/>
                <w:sz w:val="24"/>
                <w:szCs w:val="24"/>
              </w:rPr>
              <w:t>)</w:t>
            </w:r>
            <w:r w:rsidR="2FAC3E95" w:rsidRPr="006831D2">
              <w:rPr>
                <w:rFonts w:ascii="Times New Roman" w:hAnsi="Times New Roman"/>
                <w:sz w:val="24"/>
                <w:szCs w:val="24"/>
              </w:rPr>
              <w:t xml:space="preserve"> </w:t>
            </w:r>
            <w:r w:rsidRPr="006831D2">
              <w:rPr>
                <w:rFonts w:ascii="Times New Roman" w:hAnsi="Times New Roman"/>
                <w:sz w:val="24"/>
                <w:szCs w:val="24"/>
              </w:rPr>
              <w:t>i</w:t>
            </w:r>
            <w:r w:rsidRPr="006831D2">
              <w:rPr>
                <w:rFonts w:ascii="Times New Roman" w:eastAsia="Times New Roman" w:hAnsi="Times New Roman"/>
                <w:color w:val="000000"/>
                <w:sz w:val="24"/>
                <w:szCs w:val="24"/>
              </w:rPr>
              <w:t xml:space="preserve">ncreasing the attractiveness and societal appreciation of the teaching profession, addressing teacher working conditions and career prospects; </w:t>
            </w:r>
            <w:r w:rsidRPr="006831D2">
              <w:rPr>
                <w:rFonts w:ascii="Times New Roman" w:eastAsia="Times New Roman" w:hAnsi="Times New Roman"/>
                <w:i/>
                <w:iCs/>
                <w:color w:val="000000"/>
                <w:sz w:val="24"/>
                <w:szCs w:val="24"/>
              </w:rPr>
              <w:t>(ii)</w:t>
            </w:r>
            <w:r w:rsidRPr="006831D2">
              <w:rPr>
                <w:rFonts w:ascii="Times New Roman" w:eastAsia="Times New Roman" w:hAnsi="Times New Roman"/>
                <w:color w:val="000000"/>
                <w:sz w:val="24"/>
                <w:szCs w:val="24"/>
              </w:rPr>
              <w:t xml:space="preserve"> supporting teachers’ initial education and continued professional development to adapt to a fast-changing profession</w:t>
            </w:r>
            <w:r w:rsidR="00CD1E95">
              <w:rPr>
                <w:rFonts w:ascii="Times New Roman" w:eastAsia="Times New Roman" w:hAnsi="Times New Roman"/>
                <w:color w:val="000000"/>
                <w:sz w:val="24"/>
                <w:szCs w:val="24"/>
              </w:rPr>
              <w:t xml:space="preserve">, including through </w:t>
            </w:r>
            <w:r w:rsidR="00CD1E95" w:rsidRPr="006831D2">
              <w:rPr>
                <w:rFonts w:ascii="Times New Roman" w:eastAsia="Times New Roman" w:hAnsi="Times New Roman"/>
                <w:color w:val="000000"/>
                <w:sz w:val="24"/>
                <w:szCs w:val="24"/>
              </w:rPr>
              <w:t>increas</w:t>
            </w:r>
            <w:r w:rsidR="00CD1E95">
              <w:rPr>
                <w:rFonts w:ascii="Times New Roman" w:eastAsia="Times New Roman" w:hAnsi="Times New Roman"/>
                <w:color w:val="000000"/>
                <w:sz w:val="24"/>
                <w:szCs w:val="24"/>
              </w:rPr>
              <w:t>ed</w:t>
            </w:r>
            <w:r w:rsidR="00CD1E95" w:rsidRPr="006831D2">
              <w:rPr>
                <w:rFonts w:ascii="Times New Roman" w:eastAsia="Times New Roman" w:hAnsi="Times New Roman"/>
                <w:color w:val="000000"/>
                <w:sz w:val="24"/>
                <w:szCs w:val="24"/>
              </w:rPr>
              <w:t xml:space="preserve"> </w:t>
            </w:r>
            <w:r w:rsidRPr="006831D2">
              <w:rPr>
                <w:rFonts w:ascii="Times New Roman" w:eastAsia="Times New Roman" w:hAnsi="Times New Roman"/>
                <w:color w:val="000000"/>
                <w:sz w:val="24"/>
                <w:szCs w:val="24"/>
              </w:rPr>
              <w:t xml:space="preserve">cross-border collaboration and mobility. </w:t>
            </w:r>
            <w:r w:rsidRPr="006831D2">
              <w:rPr>
                <w:rFonts w:ascii="Times New Roman" w:hAnsi="Times New Roman"/>
                <w:color w:val="000000"/>
                <w:sz w:val="24"/>
                <w:szCs w:val="24"/>
              </w:rPr>
              <w:t>T</w:t>
            </w:r>
            <w:r w:rsidRPr="006831D2">
              <w:rPr>
                <w:rFonts w:ascii="Times New Roman" w:hAnsi="Times New Roman"/>
                <w:sz w:val="24"/>
                <w:szCs w:val="24"/>
              </w:rPr>
              <w:t xml:space="preserve">he Commission is already consulting stakeholders to prepare the </w:t>
            </w:r>
            <w:proofErr w:type="gramStart"/>
            <w:r w:rsidRPr="006831D2">
              <w:rPr>
                <w:rFonts w:ascii="Times New Roman" w:hAnsi="Times New Roman"/>
                <w:sz w:val="24"/>
                <w:szCs w:val="24"/>
              </w:rPr>
              <w:t>Agenda</w:t>
            </w:r>
            <w:proofErr w:type="gramEnd"/>
            <w:r w:rsidRPr="006831D2">
              <w:rPr>
                <w:rFonts w:ascii="Times New Roman" w:hAnsi="Times New Roman"/>
                <w:sz w:val="24"/>
                <w:szCs w:val="24"/>
              </w:rPr>
              <w:t xml:space="preserve"> and identify how the EU can best </w:t>
            </w:r>
            <w:r w:rsidR="00AE3D40">
              <w:rPr>
                <w:rFonts w:ascii="Times New Roman" w:hAnsi="Times New Roman"/>
                <w:sz w:val="24"/>
                <w:szCs w:val="24"/>
              </w:rPr>
              <w:t xml:space="preserve">provide </w:t>
            </w:r>
            <w:r w:rsidR="00CD1E95">
              <w:rPr>
                <w:rFonts w:ascii="Times New Roman" w:hAnsi="Times New Roman"/>
                <w:sz w:val="24"/>
                <w:szCs w:val="24"/>
              </w:rPr>
              <w:t xml:space="preserve">targeted and relevant </w:t>
            </w:r>
            <w:r w:rsidRPr="006831D2">
              <w:rPr>
                <w:rFonts w:ascii="Times New Roman" w:hAnsi="Times New Roman"/>
                <w:sz w:val="24"/>
                <w:szCs w:val="24"/>
              </w:rPr>
              <w:t>support</w:t>
            </w:r>
            <w:r w:rsidR="00CD1E95">
              <w:rPr>
                <w:rFonts w:ascii="Times New Roman" w:hAnsi="Times New Roman"/>
                <w:sz w:val="24"/>
                <w:szCs w:val="24"/>
              </w:rPr>
              <w:t xml:space="preserve">, </w:t>
            </w:r>
            <w:r w:rsidRPr="006831D2">
              <w:rPr>
                <w:rFonts w:ascii="Times New Roman" w:hAnsi="Times New Roman"/>
                <w:sz w:val="24"/>
                <w:szCs w:val="24"/>
              </w:rPr>
              <w:t>building on existing policy and funding instruments.</w:t>
            </w:r>
          </w:p>
        </w:tc>
      </w:tr>
    </w:tbl>
    <w:p w14:paraId="1A4437F0" w14:textId="6DFA21CE" w:rsidR="670F6278" w:rsidRPr="006831D2" w:rsidRDefault="670F6278" w:rsidP="006831D2">
      <w:pPr>
        <w:spacing w:after="0" w:line="240" w:lineRule="auto"/>
        <w:ind w:left="-567"/>
        <w:rPr>
          <w:rFonts w:ascii="Times New Roman" w:hAnsi="Times New Roman"/>
          <w:sz w:val="16"/>
          <w:szCs w:val="16"/>
        </w:rPr>
      </w:pPr>
    </w:p>
    <w:sectPr w:rsidR="670F6278" w:rsidRPr="006831D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66F1" w14:textId="77777777" w:rsidR="00E443A9" w:rsidRDefault="00E443A9" w:rsidP="00FF63EA">
      <w:pPr>
        <w:spacing w:after="0" w:line="240" w:lineRule="auto"/>
      </w:pPr>
      <w:r>
        <w:separator/>
      </w:r>
    </w:p>
  </w:endnote>
  <w:endnote w:type="continuationSeparator" w:id="0">
    <w:p w14:paraId="1D247BB6" w14:textId="77777777" w:rsidR="00E443A9" w:rsidRDefault="00E443A9" w:rsidP="00FF63EA">
      <w:pPr>
        <w:spacing w:after="0" w:line="240" w:lineRule="auto"/>
      </w:pPr>
      <w:r>
        <w:continuationSeparator/>
      </w:r>
    </w:p>
  </w:endnote>
  <w:endnote w:type="continuationNotice" w:id="1">
    <w:p w14:paraId="01E0E98B" w14:textId="77777777" w:rsidR="00E443A9" w:rsidRDefault="00E44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3085" w14:textId="77777777" w:rsidR="00CF4ACE" w:rsidRDefault="00CF4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5B2C" w14:textId="77777777" w:rsidR="00E443A9" w:rsidRDefault="00E443A9" w:rsidP="00FF63EA">
      <w:pPr>
        <w:spacing w:after="0" w:line="240" w:lineRule="auto"/>
      </w:pPr>
      <w:r>
        <w:separator/>
      </w:r>
    </w:p>
  </w:footnote>
  <w:footnote w:type="continuationSeparator" w:id="0">
    <w:p w14:paraId="0B808481" w14:textId="77777777" w:rsidR="00E443A9" w:rsidRDefault="00E443A9" w:rsidP="00FF63EA">
      <w:pPr>
        <w:spacing w:after="0" w:line="240" w:lineRule="auto"/>
      </w:pPr>
      <w:r>
        <w:continuationSeparator/>
      </w:r>
    </w:p>
  </w:footnote>
  <w:footnote w:type="continuationNotice" w:id="1">
    <w:p w14:paraId="1AD2B818" w14:textId="77777777" w:rsidR="00E443A9" w:rsidRDefault="00E443A9">
      <w:pPr>
        <w:spacing w:after="0" w:line="240" w:lineRule="auto"/>
      </w:pPr>
    </w:p>
  </w:footnote>
  <w:footnote w:id="2">
    <w:p w14:paraId="0447DD08" w14:textId="106CA8DE" w:rsidR="00E63A59" w:rsidRPr="00CB54AC" w:rsidRDefault="00842F1F" w:rsidP="00CB222C">
      <w:pPr>
        <w:pStyle w:val="FootnoteText"/>
        <w:widowControl w:val="0"/>
        <w:spacing w:after="0" w:line="240" w:lineRule="auto"/>
        <w:ind w:left="-425" w:right="-851" w:hanging="284"/>
        <w:jc w:val="both"/>
        <w:rPr>
          <w:rFonts w:ascii="Times New Roman" w:hAnsi="Times New Roman"/>
          <w:lang w:val="en-IE"/>
        </w:rPr>
      </w:pPr>
      <w:r w:rsidRPr="00CB54AC">
        <w:rPr>
          <w:rStyle w:val="FootnoteReference"/>
          <w:rFonts w:ascii="Times New Roman" w:hAnsi="Times New Roman"/>
        </w:rPr>
        <w:footnoteRef/>
      </w:r>
      <w:r w:rsidRPr="00CB54AC">
        <w:rPr>
          <w:rFonts w:ascii="Times New Roman" w:hAnsi="Times New Roman"/>
        </w:rPr>
        <w:t xml:space="preserve"> </w:t>
      </w:r>
      <w:r w:rsidR="00602995" w:rsidRPr="00CB54AC">
        <w:rPr>
          <w:rFonts w:ascii="Times New Roman" w:hAnsi="Times New Roman"/>
        </w:rPr>
        <w:tab/>
      </w:r>
      <w:r w:rsidR="006A18D8" w:rsidRPr="00CB54AC">
        <w:rPr>
          <w:rFonts w:ascii="Times New Roman" w:hAnsi="Times New Roman"/>
        </w:rPr>
        <w:t>Communication on a</w:t>
      </w:r>
      <w:r w:rsidR="003B1B8B" w:rsidRPr="00CB54AC">
        <w:rPr>
          <w:rFonts w:ascii="Times New Roman" w:hAnsi="Times New Roman"/>
        </w:rPr>
        <w:t>chieving the European Education Area by 2025</w:t>
      </w:r>
      <w:r w:rsidR="00E63A59" w:rsidRPr="00CB54AC">
        <w:rPr>
          <w:rFonts w:ascii="Times New Roman" w:hAnsi="Times New Roman"/>
        </w:rPr>
        <w:t xml:space="preserve">, </w:t>
      </w:r>
      <w:r w:rsidR="00602995" w:rsidRPr="00CB54AC">
        <w:rPr>
          <w:rFonts w:ascii="Times New Roman" w:hAnsi="Times New Roman"/>
          <w:lang w:val="en-IE"/>
        </w:rPr>
        <w:t xml:space="preserve">COM(2020) 625 final </w:t>
      </w:r>
      <w:r w:rsidR="00602995" w:rsidRPr="00CB54AC">
        <w:rPr>
          <w:rFonts w:ascii="Times New Roman" w:hAnsi="Times New Roman"/>
        </w:rPr>
        <w:t>(</w:t>
      </w:r>
      <w:hyperlink r:id="rId1" w:history="1">
        <w:r w:rsidR="00602995" w:rsidRPr="00CB54AC">
          <w:rPr>
            <w:rStyle w:val="Hyperlink"/>
            <w:rFonts w:ascii="Times New Roman" w:hAnsi="Times New Roman"/>
          </w:rPr>
          <w:t>https://eur-lex.europa.eu/legal-content/EN/TXT/?uri=CELEX%3A52020DC0625</w:t>
        </w:r>
      </w:hyperlink>
      <w:r w:rsidR="00602995" w:rsidRPr="00CB54AC">
        <w:rPr>
          <w:rFonts w:ascii="Times New Roman" w:hAnsi="Times New Roman"/>
          <w:lang w:val="en-IE"/>
        </w:rPr>
        <w:t>).</w:t>
      </w:r>
    </w:p>
    <w:p w14:paraId="19FE44F8" w14:textId="48EC36ED" w:rsidR="00842F1F" w:rsidRPr="00CB54AC" w:rsidRDefault="003B1B8B" w:rsidP="00CB222C">
      <w:pPr>
        <w:pStyle w:val="FootnoteText"/>
        <w:widowControl w:val="0"/>
        <w:spacing w:after="0" w:line="240" w:lineRule="auto"/>
        <w:ind w:left="-425" w:right="-851" w:hanging="284"/>
        <w:jc w:val="both"/>
        <w:rPr>
          <w:rFonts w:ascii="Times New Roman" w:hAnsi="Times New Roman"/>
          <w:lang w:val="en-IE"/>
        </w:rPr>
      </w:pPr>
      <w:r w:rsidRPr="00CB54AC">
        <w:rPr>
          <w:rFonts w:ascii="Times New Roman" w:hAnsi="Times New Roman"/>
          <w:lang w:val="en-IE"/>
        </w:rPr>
        <w:t>Council Resolution on a strategic framework for European cooperation in education and training towards the European Education Area and beyond (2021-2030)</w:t>
      </w:r>
      <w:r w:rsidR="00E63A59" w:rsidRPr="00CB54AC">
        <w:rPr>
          <w:rFonts w:ascii="Times New Roman" w:hAnsi="Times New Roman"/>
          <w:lang w:val="en-IE"/>
        </w:rPr>
        <w:t xml:space="preserve">, </w:t>
      </w:r>
      <w:hyperlink r:id="rId2" w:history="1">
        <w:r w:rsidR="00E63A59" w:rsidRPr="00CB54AC">
          <w:rPr>
            <w:rStyle w:val="Hyperlink"/>
            <w:rFonts w:ascii="Times New Roman" w:hAnsi="Times New Roman"/>
            <w:lang w:val="en-IE"/>
          </w:rPr>
          <w:t>https://eur-lex.europa.eu/legal-content/EN/TXT/?uri=CELEX:32021G0226(01)</w:t>
        </w:r>
      </w:hyperlink>
      <w:r w:rsidR="00602995" w:rsidRPr="00CB54AC">
        <w:rPr>
          <w:rFonts w:ascii="Times New Roman" w:hAnsi="Times New Roman"/>
        </w:rPr>
        <w:t>.</w:t>
      </w:r>
    </w:p>
  </w:footnote>
  <w:footnote w:id="3">
    <w:p w14:paraId="4AA89803" w14:textId="53FE7BEC" w:rsidR="00842F1F" w:rsidRPr="00CB54AC" w:rsidRDefault="00842F1F" w:rsidP="00CB222C">
      <w:pPr>
        <w:pStyle w:val="FootnoteText"/>
        <w:widowControl w:val="0"/>
        <w:spacing w:after="0" w:line="240" w:lineRule="auto"/>
        <w:ind w:left="-425" w:right="-851" w:hanging="284"/>
        <w:jc w:val="both"/>
        <w:rPr>
          <w:rFonts w:ascii="Times New Roman" w:hAnsi="Times New Roman"/>
        </w:rPr>
      </w:pPr>
      <w:r w:rsidRPr="00CB54AC">
        <w:rPr>
          <w:rStyle w:val="FootnoteReference"/>
          <w:rFonts w:ascii="Times New Roman" w:hAnsi="Times New Roman"/>
        </w:rPr>
        <w:footnoteRef/>
      </w:r>
      <w:r w:rsidRPr="00CB54AC">
        <w:rPr>
          <w:rFonts w:ascii="Times New Roman" w:hAnsi="Times New Roman"/>
        </w:rPr>
        <w:t xml:space="preserve"> </w:t>
      </w:r>
      <w:r w:rsidR="00602995" w:rsidRPr="00CB54AC">
        <w:rPr>
          <w:rFonts w:ascii="Times New Roman" w:hAnsi="Times New Roman"/>
        </w:rPr>
        <w:tab/>
      </w:r>
      <w:hyperlink r:id="rId3" w:history="1">
        <w:r w:rsidR="0082459D" w:rsidRPr="00CB54AC">
          <w:rPr>
            <w:rFonts w:ascii="Times New Roman" w:hAnsi="Times New Roman"/>
            <w:szCs w:val="24"/>
          </w:rPr>
          <w:t>Report on the interim evaluation of the 2021-2030 European Education Area strategic framework</w:t>
        </w:r>
      </w:hyperlink>
      <w:r w:rsidR="00602995" w:rsidRPr="00CB54AC">
        <w:rPr>
          <w:rFonts w:ascii="Times New Roman" w:hAnsi="Times New Roman"/>
          <w:szCs w:val="24"/>
        </w:rPr>
        <w:t>;</w:t>
      </w:r>
      <w:r w:rsidR="00602995" w:rsidRPr="00CB54AC">
        <w:rPr>
          <w:rFonts w:ascii="Times New Roman" w:hAnsi="Times New Roman"/>
        </w:rPr>
        <w:t xml:space="preserve"> </w:t>
      </w:r>
      <w:r w:rsidR="00602995" w:rsidRPr="00CB54AC">
        <w:rPr>
          <w:rFonts w:ascii="Times New Roman" w:hAnsi="Times New Roman"/>
          <w:lang w:val="en-IE"/>
        </w:rPr>
        <w:t>COM(2025) 340 final (</w:t>
      </w:r>
      <w:hyperlink r:id="rId4" w:history="1">
        <w:r w:rsidR="00602995" w:rsidRPr="00CB54AC">
          <w:rPr>
            <w:rStyle w:val="Hyperlink"/>
            <w:rFonts w:ascii="Times New Roman" w:hAnsi="Times New Roman"/>
            <w:lang w:val="en-IE"/>
          </w:rPr>
          <w:t>EUR-Lex - 52025DC0340 - EN - EUR-Lex</w:t>
        </w:r>
      </w:hyperlink>
      <w:r w:rsidR="00612FD8" w:rsidRPr="00CB54AC">
        <w:rPr>
          <w:rFonts w:ascii="Times New Roman" w:hAnsi="Times New Roman"/>
          <w:lang w:val="en-IE"/>
        </w:rPr>
        <w:t>)</w:t>
      </w:r>
      <w:r w:rsidR="00602995" w:rsidRPr="00CB54AC">
        <w:rPr>
          <w:rFonts w:ascii="Times New Roman" w:hAnsi="Times New Roman"/>
          <w:lang w:val="en-IE"/>
        </w:rPr>
        <w:t>.</w:t>
      </w:r>
    </w:p>
    <w:p w14:paraId="3E654CA8" w14:textId="33970AEA" w:rsidR="00842F1F" w:rsidRPr="00CB54AC" w:rsidRDefault="0082459D" w:rsidP="00CB222C">
      <w:pPr>
        <w:pStyle w:val="FootnoteText"/>
        <w:widowControl w:val="0"/>
        <w:spacing w:after="0" w:line="240" w:lineRule="auto"/>
        <w:ind w:left="-425" w:right="-851" w:hanging="284"/>
        <w:jc w:val="both"/>
        <w:rPr>
          <w:rFonts w:ascii="Times New Roman" w:hAnsi="Times New Roman"/>
        </w:rPr>
      </w:pPr>
      <w:r w:rsidRPr="00CB54AC">
        <w:rPr>
          <w:rFonts w:ascii="Times New Roman" w:hAnsi="Times New Roman"/>
        </w:rPr>
        <w:t>Commission Staff Working Document - Evaluation of the 2021-2030 European Education Area strategic framework</w:t>
      </w:r>
      <w:r w:rsidR="00E63A59" w:rsidRPr="00CB54AC">
        <w:rPr>
          <w:rFonts w:ascii="Times New Roman" w:hAnsi="Times New Roman"/>
        </w:rPr>
        <w:t xml:space="preserve"> </w:t>
      </w:r>
      <w:r w:rsidR="00602995" w:rsidRPr="00CB54AC">
        <w:rPr>
          <w:rFonts w:ascii="Times New Roman" w:hAnsi="Times New Roman"/>
          <w:lang w:val="en-IE"/>
        </w:rPr>
        <w:t xml:space="preserve">SWD(2025) 169 final </w:t>
      </w:r>
      <w:r w:rsidR="00602995" w:rsidRPr="00CB54AC">
        <w:rPr>
          <w:rFonts w:ascii="Times New Roman" w:hAnsi="Times New Roman"/>
        </w:rPr>
        <w:t>(</w:t>
      </w:r>
      <w:hyperlink r:id="rId5" w:history="1">
        <w:r w:rsidR="00602995" w:rsidRPr="00CB54AC">
          <w:rPr>
            <w:rStyle w:val="Hyperlink"/>
            <w:rFonts w:ascii="Times New Roman" w:hAnsi="Times New Roman"/>
          </w:rPr>
          <w:t>https://eur-lex.europa.eu/legal-content/EN/ALL/?uri=comnat:SWD_2025_0169_FIN</w:t>
        </w:r>
      </w:hyperlink>
      <w:r w:rsidR="00602995" w:rsidRPr="00CB54AC">
        <w:rPr>
          <w:rFonts w:ascii="Times New Roman" w:hAnsi="Times New Roman"/>
        </w:rPr>
        <w:t>).</w:t>
      </w:r>
    </w:p>
  </w:footnote>
  <w:footnote w:id="4">
    <w:p w14:paraId="6B1C0E45" w14:textId="7DAB58F9" w:rsidR="00FF3844" w:rsidRPr="00CB54AC" w:rsidRDefault="00842F1F" w:rsidP="00CB222C">
      <w:pPr>
        <w:pStyle w:val="FootnoteText"/>
        <w:widowControl w:val="0"/>
        <w:spacing w:after="0" w:line="240" w:lineRule="auto"/>
        <w:ind w:left="-425" w:right="-851" w:hanging="284"/>
        <w:jc w:val="both"/>
        <w:rPr>
          <w:rFonts w:ascii="Times New Roman" w:hAnsi="Times New Roman"/>
          <w:lang w:val="en-IE"/>
        </w:rPr>
      </w:pPr>
      <w:r w:rsidRPr="00CB54AC">
        <w:rPr>
          <w:rStyle w:val="FootnoteReference"/>
          <w:rFonts w:ascii="Times New Roman" w:hAnsi="Times New Roman"/>
        </w:rPr>
        <w:footnoteRef/>
      </w:r>
      <w:r w:rsidRPr="00CB54AC">
        <w:rPr>
          <w:rFonts w:ascii="Times New Roman" w:hAnsi="Times New Roman"/>
        </w:rPr>
        <w:t xml:space="preserve"> </w:t>
      </w:r>
      <w:r w:rsidR="00602995" w:rsidRPr="00CB54AC">
        <w:rPr>
          <w:rFonts w:ascii="Times New Roman" w:hAnsi="Times New Roman"/>
        </w:rPr>
        <w:tab/>
        <w:t xml:space="preserve">The working title of the forthcoming Council resolution is </w:t>
      </w:r>
      <w:r w:rsidR="00602995" w:rsidRPr="00CB54AC">
        <w:rPr>
          <w:rFonts w:ascii="Times New Roman" w:hAnsi="Times New Roman"/>
          <w:szCs w:val="24"/>
        </w:rPr>
        <w:t>Council Resolution on the second cycle of the strategic framework for European cooperation in education and training towards the European Education Area (2026-2030)</w:t>
      </w:r>
      <w:r w:rsidR="00612FD8" w:rsidRPr="00CB54AC">
        <w:rPr>
          <w:rFonts w:ascii="Times New Roman" w:hAnsi="Times New Roman"/>
          <w:szCs w:val="24"/>
        </w:rPr>
        <w:t>.</w:t>
      </w:r>
    </w:p>
  </w:footnote>
  <w:footnote w:id="5">
    <w:p w14:paraId="4F3AADA9" w14:textId="4B943D48" w:rsidR="00842F1F" w:rsidRPr="00CB54AC" w:rsidRDefault="00842F1F" w:rsidP="00CB222C">
      <w:pPr>
        <w:pStyle w:val="FootnoteText"/>
        <w:widowControl w:val="0"/>
        <w:spacing w:after="0" w:line="240" w:lineRule="auto"/>
        <w:ind w:left="-426" w:right="-851" w:hanging="284"/>
        <w:jc w:val="both"/>
        <w:rPr>
          <w:rFonts w:ascii="Times New Roman" w:hAnsi="Times New Roman"/>
          <w:lang w:val="pt-PT"/>
        </w:rPr>
      </w:pPr>
      <w:r w:rsidRPr="00CB54AC">
        <w:rPr>
          <w:rStyle w:val="FootnoteReference"/>
          <w:rFonts w:ascii="Times New Roman" w:hAnsi="Times New Roman"/>
        </w:rPr>
        <w:footnoteRef/>
      </w:r>
      <w:r w:rsidRPr="00CB54AC">
        <w:rPr>
          <w:rFonts w:ascii="Times New Roman" w:hAnsi="Times New Roman"/>
          <w:lang w:val="pt-PT"/>
        </w:rPr>
        <w:t xml:space="preserve"> </w:t>
      </w:r>
      <w:r w:rsidR="00602995" w:rsidRPr="00CB54AC">
        <w:rPr>
          <w:rFonts w:ascii="Times New Roman" w:hAnsi="Times New Roman"/>
          <w:lang w:val="pt-PT"/>
        </w:rPr>
        <w:tab/>
      </w:r>
      <w:proofErr w:type="gramStart"/>
      <w:r w:rsidR="00D817C4" w:rsidRPr="00CB54AC">
        <w:rPr>
          <w:rFonts w:ascii="Times New Roman" w:hAnsi="Times New Roman"/>
          <w:lang w:val="pt-PT"/>
        </w:rPr>
        <w:t>COM(</w:t>
      </w:r>
      <w:proofErr w:type="gramEnd"/>
      <w:r w:rsidR="00D817C4" w:rsidRPr="00CB54AC">
        <w:rPr>
          <w:rFonts w:ascii="Times New Roman" w:hAnsi="Times New Roman"/>
          <w:lang w:val="pt-PT"/>
        </w:rPr>
        <w:t>2025) 89 final (</w:t>
      </w:r>
      <w:hyperlink r:id="rId6" w:history="1">
        <w:r w:rsidR="00D817C4" w:rsidRPr="00CB54AC">
          <w:rPr>
            <w:rStyle w:val="Hyperlink"/>
            <w:rFonts w:ascii="Times New Roman" w:hAnsi="Times New Roman"/>
            <w:lang w:val="pt-PT"/>
          </w:rPr>
          <w:t>https://eur-lex.europa.eu/legal-content/EN/TXT/?uri=celex:52025DC0089</w:t>
        </w:r>
      </w:hyperlink>
      <w:r w:rsidR="00D817C4" w:rsidRPr="00CB54AC">
        <w:rPr>
          <w:rFonts w:ascii="Times New Roman" w:hAnsi="Times New Roman"/>
          <w:lang w:val="pt-PT"/>
        </w:rPr>
        <w:t>).</w:t>
      </w:r>
    </w:p>
  </w:footnote>
  <w:footnote w:id="6">
    <w:p w14:paraId="19250410" w14:textId="5FE950A7" w:rsidR="00842F1F" w:rsidRPr="00CB54AC" w:rsidRDefault="00842F1F" w:rsidP="00CB222C">
      <w:pPr>
        <w:pStyle w:val="FootnoteText"/>
        <w:widowControl w:val="0"/>
        <w:spacing w:after="0" w:line="240" w:lineRule="auto"/>
        <w:ind w:left="-425" w:right="-851" w:hanging="284"/>
        <w:jc w:val="both"/>
        <w:rPr>
          <w:rFonts w:ascii="Times New Roman" w:hAnsi="Times New Roman"/>
          <w:lang w:val="pt-PT"/>
        </w:rPr>
      </w:pPr>
      <w:r w:rsidRPr="00CB54AC">
        <w:rPr>
          <w:rStyle w:val="FootnoteReference"/>
          <w:rFonts w:ascii="Times New Roman" w:hAnsi="Times New Roman"/>
        </w:rPr>
        <w:footnoteRef/>
      </w:r>
      <w:r w:rsidRPr="00CB54AC">
        <w:rPr>
          <w:rFonts w:ascii="Times New Roman" w:hAnsi="Times New Roman"/>
          <w:lang w:val="pt-PT"/>
        </w:rPr>
        <w:t xml:space="preserve"> </w:t>
      </w:r>
      <w:r w:rsidR="00D817C4" w:rsidRPr="00CB54AC">
        <w:rPr>
          <w:rFonts w:ascii="Times New Roman" w:hAnsi="Times New Roman"/>
          <w:lang w:val="pt-PT"/>
        </w:rPr>
        <w:tab/>
      </w:r>
      <w:hyperlink r:id="rId7" w:history="1">
        <w:r w:rsidR="007A1384" w:rsidRPr="00CB54AC">
          <w:rPr>
            <w:rStyle w:val="Hyperlink"/>
            <w:rFonts w:ascii="Times New Roman" w:hAnsi="Times New Roman"/>
            <w:lang w:val="pt-PT"/>
          </w:rPr>
          <w:t>https://employment-social-affairs.ec.europa.eu/policies-and-activities/skills-and-qualifications/working-together/eqavet-european-quality-assurance-vocational-education-and-training_en</w:t>
        </w:r>
      </w:hyperlink>
      <w:r w:rsidR="00D817C4" w:rsidRPr="00CB54AC">
        <w:rPr>
          <w:rFonts w:ascii="Times New Roman" w:hAnsi="Times New Roman"/>
          <w:lang w:val="pt-PT"/>
        </w:rPr>
        <w:t>.</w:t>
      </w:r>
    </w:p>
  </w:footnote>
  <w:footnote w:id="7">
    <w:p w14:paraId="18C02077" w14:textId="448A8AAD" w:rsidR="00842F1F" w:rsidRPr="00CB54AC" w:rsidRDefault="00842F1F" w:rsidP="00CB222C">
      <w:pPr>
        <w:pStyle w:val="FootnoteText"/>
        <w:widowControl w:val="0"/>
        <w:spacing w:after="0" w:line="240" w:lineRule="auto"/>
        <w:ind w:left="-425" w:right="-851" w:hanging="284"/>
        <w:jc w:val="both"/>
        <w:rPr>
          <w:rFonts w:ascii="Times New Roman" w:hAnsi="Times New Roman"/>
        </w:rPr>
      </w:pPr>
      <w:r w:rsidRPr="00CB54AC">
        <w:rPr>
          <w:rStyle w:val="FootnoteReference"/>
          <w:rFonts w:ascii="Times New Roman" w:hAnsi="Times New Roman"/>
        </w:rPr>
        <w:footnoteRef/>
      </w:r>
      <w:r w:rsidRPr="00CB54AC">
        <w:rPr>
          <w:rFonts w:ascii="Times New Roman" w:hAnsi="Times New Roman"/>
        </w:rPr>
        <w:t xml:space="preserve"> </w:t>
      </w:r>
      <w:r w:rsidR="00D817C4" w:rsidRPr="00CB54AC">
        <w:rPr>
          <w:rFonts w:ascii="Times New Roman" w:hAnsi="Times New Roman"/>
        </w:rPr>
        <w:tab/>
      </w:r>
      <w:r w:rsidR="00FF3844" w:rsidRPr="00CB54AC">
        <w:rPr>
          <w:rFonts w:ascii="Times New Roman" w:hAnsi="Times New Roman"/>
        </w:rPr>
        <w:t>Council Recommendation of 24 November 2020 on vocational education and training (VET) for sustainable competitiveness, social fairness and resilience 2020/C 417/01</w:t>
      </w:r>
      <w:r w:rsidR="006723A4" w:rsidRPr="00CB54AC">
        <w:rPr>
          <w:rFonts w:ascii="Times New Roman" w:hAnsi="Times New Roman"/>
        </w:rPr>
        <w:t xml:space="preserve"> </w:t>
      </w:r>
      <w:r w:rsidR="007A1384" w:rsidRPr="00CB54AC">
        <w:rPr>
          <w:rFonts w:ascii="Times New Roman" w:hAnsi="Times New Roman"/>
        </w:rPr>
        <w:t>(</w:t>
      </w:r>
      <w:hyperlink r:id="rId8" w:history="1">
        <w:r w:rsidR="007A1384" w:rsidRPr="00CB54AC">
          <w:rPr>
            <w:rStyle w:val="Hyperlink"/>
            <w:rFonts w:ascii="Times New Roman" w:hAnsi="Times New Roman"/>
          </w:rPr>
          <w:t>https://eur-lex.europa.eu/legal-content/EN/TXT/?uri=oj:JOC_2020_417_R_0001</w:t>
        </w:r>
      </w:hyperlink>
      <w:r w:rsidR="007A1384" w:rsidRPr="00CB54AC">
        <w:rPr>
          <w:rFonts w:ascii="Times New Roman" w:hAnsi="Times New Roman"/>
        </w:rPr>
        <w:t>).</w:t>
      </w:r>
    </w:p>
  </w:footnote>
  <w:footnote w:id="8">
    <w:p w14:paraId="0EAFD6DC" w14:textId="209136FD" w:rsidR="00842F1F" w:rsidRPr="00CB54AC" w:rsidRDefault="00842F1F" w:rsidP="00CB222C">
      <w:pPr>
        <w:pStyle w:val="FootnoteText"/>
        <w:widowControl w:val="0"/>
        <w:spacing w:after="0" w:line="240" w:lineRule="auto"/>
        <w:ind w:left="-425" w:right="-851" w:hanging="284"/>
        <w:jc w:val="both"/>
        <w:rPr>
          <w:rFonts w:ascii="Times New Roman" w:hAnsi="Times New Roman"/>
          <w:lang w:val="pt-PT"/>
        </w:rPr>
      </w:pPr>
      <w:r w:rsidRPr="00CB54AC">
        <w:rPr>
          <w:rStyle w:val="FootnoteReference"/>
          <w:rFonts w:ascii="Times New Roman" w:hAnsi="Times New Roman"/>
        </w:rPr>
        <w:footnoteRef/>
      </w:r>
      <w:r w:rsidRPr="00CB54AC">
        <w:rPr>
          <w:rFonts w:ascii="Times New Roman" w:hAnsi="Times New Roman"/>
          <w:lang w:val="pt-PT"/>
        </w:rPr>
        <w:t xml:space="preserve"> </w:t>
      </w:r>
      <w:r w:rsidR="00D817C4" w:rsidRPr="00CB54AC">
        <w:rPr>
          <w:rFonts w:ascii="Times New Roman" w:hAnsi="Times New Roman"/>
          <w:lang w:val="pt-PT"/>
        </w:rPr>
        <w:tab/>
      </w:r>
      <w:proofErr w:type="gramStart"/>
      <w:r w:rsidR="007A1384" w:rsidRPr="00CB54AC">
        <w:rPr>
          <w:rFonts w:ascii="Times New Roman" w:hAnsi="Times New Roman"/>
          <w:lang w:val="pt-PT"/>
        </w:rPr>
        <w:t>COM(</w:t>
      </w:r>
      <w:proofErr w:type="gramEnd"/>
      <w:r w:rsidR="007A1384" w:rsidRPr="00CB54AC">
        <w:rPr>
          <w:rFonts w:ascii="Times New Roman" w:hAnsi="Times New Roman"/>
          <w:lang w:val="pt-PT"/>
        </w:rPr>
        <w:t xml:space="preserve">2025) 88 final </w:t>
      </w:r>
      <w:r w:rsidR="00D817C4" w:rsidRPr="00CB54AC">
        <w:rPr>
          <w:rFonts w:ascii="Times New Roman" w:hAnsi="Times New Roman"/>
          <w:lang w:val="pt-PT"/>
        </w:rPr>
        <w:t>(</w:t>
      </w:r>
      <w:hyperlink r:id="rId9" w:history="1">
        <w:r w:rsidR="00D817C4" w:rsidRPr="00CB54AC">
          <w:rPr>
            <w:rStyle w:val="Hyperlink"/>
            <w:rFonts w:ascii="Times New Roman" w:hAnsi="Times New Roman"/>
            <w:lang w:val="pt-PT"/>
          </w:rPr>
          <w:t>https://eur-lex.europa.eu/legal-content/EN/TXT/?uri=celex:52025DC0088</w:t>
        </w:r>
      </w:hyperlink>
      <w:r w:rsidR="00D817C4" w:rsidRPr="00CB54AC">
        <w:rPr>
          <w:rFonts w:ascii="Times New Roman" w:hAnsi="Times New Roman"/>
          <w:lang w:val="pt-PT"/>
        </w:rPr>
        <w:t>).</w:t>
      </w:r>
    </w:p>
  </w:footnote>
  <w:footnote w:id="9">
    <w:p w14:paraId="301BE2A1" w14:textId="58F448AB" w:rsidR="008C623F" w:rsidRPr="00CB54AC" w:rsidRDefault="008C623F" w:rsidP="00CB222C">
      <w:pPr>
        <w:pStyle w:val="FootnoteText"/>
        <w:widowControl w:val="0"/>
        <w:spacing w:after="0" w:line="240" w:lineRule="auto"/>
        <w:ind w:left="-425" w:right="-851" w:hanging="284"/>
        <w:jc w:val="both"/>
        <w:rPr>
          <w:rFonts w:ascii="Times New Roman" w:hAnsi="Times New Roman"/>
          <w:lang w:val="pt-PT"/>
        </w:rPr>
      </w:pPr>
      <w:r w:rsidRPr="00CB54AC">
        <w:rPr>
          <w:rStyle w:val="FootnoteReference"/>
          <w:rFonts w:ascii="Times New Roman" w:hAnsi="Times New Roman"/>
        </w:rPr>
        <w:footnoteRef/>
      </w:r>
      <w:r w:rsidRPr="00CB54AC">
        <w:rPr>
          <w:rFonts w:ascii="Times New Roman" w:hAnsi="Times New Roman"/>
          <w:lang w:val="pt-PT"/>
        </w:rPr>
        <w:t xml:space="preserve"> </w:t>
      </w:r>
      <w:r w:rsidR="00D817C4" w:rsidRPr="00CB54AC">
        <w:rPr>
          <w:rFonts w:ascii="Times New Roman" w:hAnsi="Times New Roman"/>
          <w:lang w:val="pt-PT"/>
        </w:rPr>
        <w:tab/>
      </w:r>
      <w:hyperlink r:id="rId10" w:history="1">
        <w:r w:rsidR="00612FD8" w:rsidRPr="00CB54AC">
          <w:rPr>
            <w:rStyle w:val="Hyperlink"/>
            <w:rFonts w:ascii="Times New Roman" w:hAnsi="Times New Roman"/>
            <w:lang w:val="pt-PT"/>
          </w:rPr>
          <w:t>https://danish-presidency.consilium.europa.eu/media/23xla4rt/herning-declaration-2025-english.pdf</w:t>
        </w:r>
      </w:hyperlink>
      <w:r w:rsidR="00D817C4" w:rsidRPr="00CB54AC">
        <w:rPr>
          <w:rFonts w:ascii="Times New Roman" w:hAnsi="Times New Roman"/>
          <w:lang w:val="pt-PT"/>
        </w:rPr>
        <w:t>.</w:t>
      </w:r>
    </w:p>
  </w:footnote>
  <w:footnote w:id="10">
    <w:p w14:paraId="72C53972" w14:textId="11F6D642" w:rsidR="00A7178D" w:rsidRPr="00CB54AC" w:rsidRDefault="00A7178D" w:rsidP="00CB222C">
      <w:pPr>
        <w:pStyle w:val="FootnoteText"/>
        <w:widowControl w:val="0"/>
        <w:spacing w:after="0" w:line="240" w:lineRule="auto"/>
        <w:ind w:left="-425" w:right="-851" w:hanging="284"/>
        <w:jc w:val="both"/>
        <w:rPr>
          <w:rFonts w:ascii="Times New Roman" w:hAnsi="Times New Roman"/>
          <w:lang w:val="pt-PT"/>
        </w:rPr>
      </w:pPr>
      <w:r w:rsidRPr="00CB54AC">
        <w:rPr>
          <w:rStyle w:val="FootnoteReference"/>
          <w:rFonts w:ascii="Times New Roman" w:hAnsi="Times New Roman"/>
        </w:rPr>
        <w:footnoteRef/>
      </w:r>
      <w:r w:rsidRPr="00CB54AC">
        <w:rPr>
          <w:rFonts w:ascii="Times New Roman" w:hAnsi="Times New Roman"/>
          <w:lang w:val="pt-PT"/>
        </w:rPr>
        <w:t xml:space="preserve"> </w:t>
      </w:r>
      <w:r w:rsidRPr="00CB54AC">
        <w:rPr>
          <w:rFonts w:ascii="Times New Roman" w:hAnsi="Times New Roman"/>
          <w:lang w:val="pt-PT"/>
        </w:rPr>
        <w:tab/>
      </w:r>
      <w:hyperlink r:id="rId11" w:history="1">
        <w:r w:rsidRPr="00CB54AC">
          <w:rPr>
            <w:rStyle w:val="Hyperlink"/>
            <w:rFonts w:ascii="Times New Roman" w:hAnsi="Times New Roman"/>
            <w:lang w:val="pt-PT"/>
          </w:rPr>
          <w:t>https://employment-social-affairs.ec.europa.eu/policies-and-activities/skills-and-qualifications/working-together/european-alliance-apprenticeships_en</w:t>
        </w:r>
      </w:hyperlink>
      <w:r w:rsidRPr="00CB54AC">
        <w:rPr>
          <w:rFonts w:ascii="Times New Roman" w:hAnsi="Times New Roman"/>
          <w:lang w:val="pt-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3B71" w14:textId="77777777" w:rsidR="00CF4ACE" w:rsidRDefault="00CF4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143CA"/>
    <w:multiLevelType w:val="hybridMultilevel"/>
    <w:tmpl w:val="FFFFFFFF"/>
    <w:lvl w:ilvl="0" w:tplc="92069DD6">
      <w:start w:val="1"/>
      <w:numFmt w:val="decimal"/>
      <w:lvlText w:val="%1."/>
      <w:lvlJc w:val="left"/>
      <w:pPr>
        <w:ind w:left="720" w:hanging="360"/>
      </w:pPr>
    </w:lvl>
    <w:lvl w:ilvl="1" w:tplc="BCEEA18E">
      <w:start w:val="1"/>
      <w:numFmt w:val="decimal"/>
      <w:lvlText w:val="%2.1"/>
      <w:lvlJc w:val="left"/>
      <w:pPr>
        <w:ind w:left="1440" w:hanging="360"/>
      </w:pPr>
    </w:lvl>
    <w:lvl w:ilvl="2" w:tplc="313895F4">
      <w:start w:val="1"/>
      <w:numFmt w:val="lowerRoman"/>
      <w:lvlText w:val="%3."/>
      <w:lvlJc w:val="right"/>
      <w:pPr>
        <w:ind w:left="2160" w:hanging="180"/>
      </w:pPr>
    </w:lvl>
    <w:lvl w:ilvl="3" w:tplc="20D84614">
      <w:start w:val="1"/>
      <w:numFmt w:val="decimal"/>
      <w:lvlText w:val="%4."/>
      <w:lvlJc w:val="left"/>
      <w:pPr>
        <w:ind w:left="2880" w:hanging="360"/>
      </w:pPr>
    </w:lvl>
    <w:lvl w:ilvl="4" w:tplc="B9EE941E">
      <w:start w:val="1"/>
      <w:numFmt w:val="lowerLetter"/>
      <w:lvlText w:val="%5."/>
      <w:lvlJc w:val="left"/>
      <w:pPr>
        <w:ind w:left="3600" w:hanging="360"/>
      </w:pPr>
    </w:lvl>
    <w:lvl w:ilvl="5" w:tplc="D65059EC">
      <w:start w:val="1"/>
      <w:numFmt w:val="lowerRoman"/>
      <w:lvlText w:val="%6."/>
      <w:lvlJc w:val="right"/>
      <w:pPr>
        <w:ind w:left="4320" w:hanging="180"/>
      </w:pPr>
    </w:lvl>
    <w:lvl w:ilvl="6" w:tplc="298645C8">
      <w:start w:val="1"/>
      <w:numFmt w:val="decimal"/>
      <w:lvlText w:val="%7."/>
      <w:lvlJc w:val="left"/>
      <w:pPr>
        <w:ind w:left="5040" w:hanging="360"/>
      </w:pPr>
    </w:lvl>
    <w:lvl w:ilvl="7" w:tplc="5CA803AE">
      <w:start w:val="1"/>
      <w:numFmt w:val="lowerLetter"/>
      <w:lvlText w:val="%8."/>
      <w:lvlJc w:val="left"/>
      <w:pPr>
        <w:ind w:left="5760" w:hanging="360"/>
      </w:pPr>
    </w:lvl>
    <w:lvl w:ilvl="8" w:tplc="7180C2A8">
      <w:start w:val="1"/>
      <w:numFmt w:val="lowerRoman"/>
      <w:lvlText w:val="%9."/>
      <w:lvlJc w:val="right"/>
      <w:pPr>
        <w:ind w:left="6480" w:hanging="180"/>
      </w:pPr>
    </w:lvl>
  </w:abstractNum>
  <w:abstractNum w:abstractNumId="1" w15:restartNumberingAfterBreak="0">
    <w:nsid w:val="235C80CB"/>
    <w:multiLevelType w:val="multilevel"/>
    <w:tmpl w:val="7712826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A74B37"/>
    <w:multiLevelType w:val="multilevel"/>
    <w:tmpl w:val="7248A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6D4F98"/>
    <w:multiLevelType w:val="multilevel"/>
    <w:tmpl w:val="A63E2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FD6C968"/>
    <w:multiLevelType w:val="hybridMultilevel"/>
    <w:tmpl w:val="FFFFFFFF"/>
    <w:lvl w:ilvl="0" w:tplc="025CD18E">
      <w:start w:val="1"/>
      <w:numFmt w:val="decimal"/>
      <w:lvlText w:val="%1."/>
      <w:lvlJc w:val="left"/>
      <w:pPr>
        <w:ind w:left="720" w:hanging="360"/>
      </w:pPr>
    </w:lvl>
    <w:lvl w:ilvl="1" w:tplc="EA52FB18">
      <w:start w:val="1"/>
      <w:numFmt w:val="decimal"/>
      <w:lvlText w:val="%2.1"/>
      <w:lvlJc w:val="left"/>
      <w:pPr>
        <w:ind w:left="1440" w:hanging="360"/>
      </w:pPr>
    </w:lvl>
    <w:lvl w:ilvl="2" w:tplc="94FE43A2">
      <w:start w:val="1"/>
      <w:numFmt w:val="lowerRoman"/>
      <w:lvlText w:val="%3."/>
      <w:lvlJc w:val="right"/>
      <w:pPr>
        <w:ind w:left="2160" w:hanging="180"/>
      </w:pPr>
    </w:lvl>
    <w:lvl w:ilvl="3" w:tplc="12883F14">
      <w:start w:val="1"/>
      <w:numFmt w:val="decimal"/>
      <w:lvlText w:val="%4."/>
      <w:lvlJc w:val="left"/>
      <w:pPr>
        <w:ind w:left="2880" w:hanging="360"/>
      </w:pPr>
    </w:lvl>
    <w:lvl w:ilvl="4" w:tplc="333AB0A0">
      <w:start w:val="1"/>
      <w:numFmt w:val="lowerLetter"/>
      <w:lvlText w:val="%5."/>
      <w:lvlJc w:val="left"/>
      <w:pPr>
        <w:ind w:left="3600" w:hanging="360"/>
      </w:pPr>
    </w:lvl>
    <w:lvl w:ilvl="5" w:tplc="94E81848">
      <w:start w:val="1"/>
      <w:numFmt w:val="lowerRoman"/>
      <w:lvlText w:val="%6."/>
      <w:lvlJc w:val="right"/>
      <w:pPr>
        <w:ind w:left="4320" w:hanging="180"/>
      </w:pPr>
    </w:lvl>
    <w:lvl w:ilvl="6" w:tplc="0318F16A">
      <w:start w:val="1"/>
      <w:numFmt w:val="decimal"/>
      <w:lvlText w:val="%7."/>
      <w:lvlJc w:val="left"/>
      <w:pPr>
        <w:ind w:left="5040" w:hanging="360"/>
      </w:pPr>
    </w:lvl>
    <w:lvl w:ilvl="7" w:tplc="38BC0172">
      <w:start w:val="1"/>
      <w:numFmt w:val="lowerLetter"/>
      <w:lvlText w:val="%8."/>
      <w:lvlJc w:val="left"/>
      <w:pPr>
        <w:ind w:left="5760" w:hanging="360"/>
      </w:pPr>
    </w:lvl>
    <w:lvl w:ilvl="8" w:tplc="E158A058">
      <w:start w:val="1"/>
      <w:numFmt w:val="lowerRoman"/>
      <w:lvlText w:val="%9."/>
      <w:lvlJc w:val="right"/>
      <w:pPr>
        <w:ind w:left="6480" w:hanging="180"/>
      </w:pPr>
    </w:lvl>
  </w:abstractNum>
  <w:num w:numId="1" w16cid:durableId="1376075785">
    <w:abstractNumId w:val="2"/>
  </w:num>
  <w:num w:numId="2" w16cid:durableId="1075972495">
    <w:abstractNumId w:val="3"/>
  </w:num>
  <w:num w:numId="3" w16cid:durableId="2115591211">
    <w:abstractNumId w:val="1"/>
  </w:num>
  <w:num w:numId="4" w16cid:durableId="1738438874">
    <w:abstractNumId w:val="0"/>
  </w:num>
  <w:num w:numId="5" w16cid:durableId="768964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22DC"/>
    <w:rsid w:val="00005FB4"/>
    <w:rsid w:val="00007045"/>
    <w:rsid w:val="0001286A"/>
    <w:rsid w:val="00012A37"/>
    <w:rsid w:val="00015699"/>
    <w:rsid w:val="00015F37"/>
    <w:rsid w:val="000178C9"/>
    <w:rsid w:val="00020473"/>
    <w:rsid w:val="00023FEA"/>
    <w:rsid w:val="00024245"/>
    <w:rsid w:val="00024DED"/>
    <w:rsid w:val="00031BA1"/>
    <w:rsid w:val="000322B6"/>
    <w:rsid w:val="00033705"/>
    <w:rsid w:val="00035B61"/>
    <w:rsid w:val="00041112"/>
    <w:rsid w:val="000411BA"/>
    <w:rsid w:val="00041656"/>
    <w:rsid w:val="00042456"/>
    <w:rsid w:val="0004521F"/>
    <w:rsid w:val="00045251"/>
    <w:rsid w:val="00046B15"/>
    <w:rsid w:val="00047137"/>
    <w:rsid w:val="00047D16"/>
    <w:rsid w:val="00050DC7"/>
    <w:rsid w:val="0005454F"/>
    <w:rsid w:val="00061787"/>
    <w:rsid w:val="00062ACB"/>
    <w:rsid w:val="000713DB"/>
    <w:rsid w:val="000734E8"/>
    <w:rsid w:val="00076109"/>
    <w:rsid w:val="00077C4F"/>
    <w:rsid w:val="00080A33"/>
    <w:rsid w:val="00091195"/>
    <w:rsid w:val="00093CCF"/>
    <w:rsid w:val="00094D01"/>
    <w:rsid w:val="000A064C"/>
    <w:rsid w:val="000A1B44"/>
    <w:rsid w:val="000A7918"/>
    <w:rsid w:val="000B30F6"/>
    <w:rsid w:val="000B5658"/>
    <w:rsid w:val="000C1F63"/>
    <w:rsid w:val="000C47E4"/>
    <w:rsid w:val="000D1571"/>
    <w:rsid w:val="000D4EB3"/>
    <w:rsid w:val="000D6158"/>
    <w:rsid w:val="000D7470"/>
    <w:rsid w:val="000D7759"/>
    <w:rsid w:val="000E200F"/>
    <w:rsid w:val="000E731B"/>
    <w:rsid w:val="000E76B4"/>
    <w:rsid w:val="000F0DEE"/>
    <w:rsid w:val="000F38A0"/>
    <w:rsid w:val="000F463F"/>
    <w:rsid w:val="000F465C"/>
    <w:rsid w:val="000F5FD8"/>
    <w:rsid w:val="0010152D"/>
    <w:rsid w:val="00111C04"/>
    <w:rsid w:val="00112F16"/>
    <w:rsid w:val="001167C0"/>
    <w:rsid w:val="0012162B"/>
    <w:rsid w:val="0012201C"/>
    <w:rsid w:val="00135974"/>
    <w:rsid w:val="00135C2A"/>
    <w:rsid w:val="00136F59"/>
    <w:rsid w:val="001375B3"/>
    <w:rsid w:val="00141836"/>
    <w:rsid w:val="00141ECF"/>
    <w:rsid w:val="00145ACB"/>
    <w:rsid w:val="0015139A"/>
    <w:rsid w:val="001537C3"/>
    <w:rsid w:val="001569D0"/>
    <w:rsid w:val="001604D7"/>
    <w:rsid w:val="00161364"/>
    <w:rsid w:val="00164173"/>
    <w:rsid w:val="00164863"/>
    <w:rsid w:val="0016526E"/>
    <w:rsid w:val="001713C8"/>
    <w:rsid w:val="00171452"/>
    <w:rsid w:val="001722F2"/>
    <w:rsid w:val="0017725E"/>
    <w:rsid w:val="0018007B"/>
    <w:rsid w:val="001821E2"/>
    <w:rsid w:val="00187384"/>
    <w:rsid w:val="001901C4"/>
    <w:rsid w:val="00192806"/>
    <w:rsid w:val="00196911"/>
    <w:rsid w:val="001A2DBC"/>
    <w:rsid w:val="001A3B16"/>
    <w:rsid w:val="001A5B13"/>
    <w:rsid w:val="001B0E0B"/>
    <w:rsid w:val="001B3097"/>
    <w:rsid w:val="001B624E"/>
    <w:rsid w:val="001C1CE2"/>
    <w:rsid w:val="001C2161"/>
    <w:rsid w:val="001C4138"/>
    <w:rsid w:val="001C56F6"/>
    <w:rsid w:val="001C5DDE"/>
    <w:rsid w:val="001E6580"/>
    <w:rsid w:val="001F2EC6"/>
    <w:rsid w:val="001F3D2B"/>
    <w:rsid w:val="001F4CBF"/>
    <w:rsid w:val="001F65D0"/>
    <w:rsid w:val="002006D9"/>
    <w:rsid w:val="002054BA"/>
    <w:rsid w:val="00212510"/>
    <w:rsid w:val="00212C45"/>
    <w:rsid w:val="002153FB"/>
    <w:rsid w:val="002168DD"/>
    <w:rsid w:val="00217E59"/>
    <w:rsid w:val="00222D53"/>
    <w:rsid w:val="00226A58"/>
    <w:rsid w:val="00230ACA"/>
    <w:rsid w:val="002329BC"/>
    <w:rsid w:val="002534CB"/>
    <w:rsid w:val="00253640"/>
    <w:rsid w:val="00253EF5"/>
    <w:rsid w:val="00254474"/>
    <w:rsid w:val="00257CAF"/>
    <w:rsid w:val="00260B13"/>
    <w:rsid w:val="00263276"/>
    <w:rsid w:val="00264F24"/>
    <w:rsid w:val="00265542"/>
    <w:rsid w:val="00265931"/>
    <w:rsid w:val="00266B3A"/>
    <w:rsid w:val="002670ED"/>
    <w:rsid w:val="00267F9A"/>
    <w:rsid w:val="00270473"/>
    <w:rsid w:val="00272DA4"/>
    <w:rsid w:val="002771E4"/>
    <w:rsid w:val="0028078A"/>
    <w:rsid w:val="00287E33"/>
    <w:rsid w:val="00294767"/>
    <w:rsid w:val="002A1F60"/>
    <w:rsid w:val="002B1169"/>
    <w:rsid w:val="002C5585"/>
    <w:rsid w:val="002D1C8C"/>
    <w:rsid w:val="002D3C02"/>
    <w:rsid w:val="002D45F5"/>
    <w:rsid w:val="002D761C"/>
    <w:rsid w:val="002E234B"/>
    <w:rsid w:val="002F01BF"/>
    <w:rsid w:val="002F03FA"/>
    <w:rsid w:val="002F1374"/>
    <w:rsid w:val="002F647C"/>
    <w:rsid w:val="002F6699"/>
    <w:rsid w:val="002F6838"/>
    <w:rsid w:val="003004D2"/>
    <w:rsid w:val="00310C85"/>
    <w:rsid w:val="00312210"/>
    <w:rsid w:val="00314CDF"/>
    <w:rsid w:val="0031772E"/>
    <w:rsid w:val="00323206"/>
    <w:rsid w:val="00330EC8"/>
    <w:rsid w:val="00331BC0"/>
    <w:rsid w:val="00332BC0"/>
    <w:rsid w:val="003345B7"/>
    <w:rsid w:val="003349A3"/>
    <w:rsid w:val="00334F44"/>
    <w:rsid w:val="00335626"/>
    <w:rsid w:val="00344436"/>
    <w:rsid w:val="003518E3"/>
    <w:rsid w:val="00354A08"/>
    <w:rsid w:val="0035525D"/>
    <w:rsid w:val="00355A3F"/>
    <w:rsid w:val="0036028B"/>
    <w:rsid w:val="00360A60"/>
    <w:rsid w:val="003610DF"/>
    <w:rsid w:val="0037367D"/>
    <w:rsid w:val="00373E21"/>
    <w:rsid w:val="00377967"/>
    <w:rsid w:val="003807D1"/>
    <w:rsid w:val="00386143"/>
    <w:rsid w:val="00386682"/>
    <w:rsid w:val="003875EB"/>
    <w:rsid w:val="00393D52"/>
    <w:rsid w:val="00394664"/>
    <w:rsid w:val="00396A8A"/>
    <w:rsid w:val="003A61D0"/>
    <w:rsid w:val="003A764D"/>
    <w:rsid w:val="003B1B8B"/>
    <w:rsid w:val="003B58DC"/>
    <w:rsid w:val="003B6E4B"/>
    <w:rsid w:val="003B77F7"/>
    <w:rsid w:val="003C16F5"/>
    <w:rsid w:val="003C36AA"/>
    <w:rsid w:val="003C4A84"/>
    <w:rsid w:val="003D2D9B"/>
    <w:rsid w:val="003E2CF8"/>
    <w:rsid w:val="003E5595"/>
    <w:rsid w:val="003F0BAC"/>
    <w:rsid w:val="003F4392"/>
    <w:rsid w:val="003F4869"/>
    <w:rsid w:val="003F5BBB"/>
    <w:rsid w:val="003F5D0C"/>
    <w:rsid w:val="003F686E"/>
    <w:rsid w:val="0040119D"/>
    <w:rsid w:val="00403AE9"/>
    <w:rsid w:val="00406253"/>
    <w:rsid w:val="004107F3"/>
    <w:rsid w:val="00413B7C"/>
    <w:rsid w:val="004153B0"/>
    <w:rsid w:val="00415477"/>
    <w:rsid w:val="00417C16"/>
    <w:rsid w:val="00420188"/>
    <w:rsid w:val="00422EE6"/>
    <w:rsid w:val="004241A9"/>
    <w:rsid w:val="00424E0B"/>
    <w:rsid w:val="00432760"/>
    <w:rsid w:val="00432AD2"/>
    <w:rsid w:val="00433EE0"/>
    <w:rsid w:val="00435FDC"/>
    <w:rsid w:val="004371CE"/>
    <w:rsid w:val="00441776"/>
    <w:rsid w:val="00442552"/>
    <w:rsid w:val="004428B4"/>
    <w:rsid w:val="004510AF"/>
    <w:rsid w:val="004559C5"/>
    <w:rsid w:val="00455A1C"/>
    <w:rsid w:val="00456F57"/>
    <w:rsid w:val="00457993"/>
    <w:rsid w:val="004610B1"/>
    <w:rsid w:val="00462149"/>
    <w:rsid w:val="004626BA"/>
    <w:rsid w:val="00465207"/>
    <w:rsid w:val="00465D82"/>
    <w:rsid w:val="004675B5"/>
    <w:rsid w:val="00471D50"/>
    <w:rsid w:val="00472799"/>
    <w:rsid w:val="00474125"/>
    <w:rsid w:val="00474D84"/>
    <w:rsid w:val="00476121"/>
    <w:rsid w:val="00476731"/>
    <w:rsid w:val="004770D6"/>
    <w:rsid w:val="004802C5"/>
    <w:rsid w:val="0048180D"/>
    <w:rsid w:val="00482292"/>
    <w:rsid w:val="004907CA"/>
    <w:rsid w:val="0049246C"/>
    <w:rsid w:val="0049303F"/>
    <w:rsid w:val="00494119"/>
    <w:rsid w:val="00494C21"/>
    <w:rsid w:val="004967F1"/>
    <w:rsid w:val="004A041E"/>
    <w:rsid w:val="004A0A29"/>
    <w:rsid w:val="004A0A66"/>
    <w:rsid w:val="004A4EEB"/>
    <w:rsid w:val="004A7426"/>
    <w:rsid w:val="004A7B5D"/>
    <w:rsid w:val="004B3C92"/>
    <w:rsid w:val="004B435A"/>
    <w:rsid w:val="004B576B"/>
    <w:rsid w:val="004C15F3"/>
    <w:rsid w:val="004C2C66"/>
    <w:rsid w:val="004C44DE"/>
    <w:rsid w:val="004C5080"/>
    <w:rsid w:val="004C534E"/>
    <w:rsid w:val="004D08BF"/>
    <w:rsid w:val="004D3EE0"/>
    <w:rsid w:val="004D46D7"/>
    <w:rsid w:val="004E3489"/>
    <w:rsid w:val="004E36EF"/>
    <w:rsid w:val="004E384D"/>
    <w:rsid w:val="004E42D1"/>
    <w:rsid w:val="004F0931"/>
    <w:rsid w:val="004F4060"/>
    <w:rsid w:val="004F5FBF"/>
    <w:rsid w:val="004F6117"/>
    <w:rsid w:val="004F63F1"/>
    <w:rsid w:val="004F651E"/>
    <w:rsid w:val="004F76C6"/>
    <w:rsid w:val="00514D52"/>
    <w:rsid w:val="00515077"/>
    <w:rsid w:val="00517053"/>
    <w:rsid w:val="00523A59"/>
    <w:rsid w:val="0052596B"/>
    <w:rsid w:val="005268BA"/>
    <w:rsid w:val="00527212"/>
    <w:rsid w:val="00527946"/>
    <w:rsid w:val="00527E79"/>
    <w:rsid w:val="00530493"/>
    <w:rsid w:val="005327DD"/>
    <w:rsid w:val="005439DE"/>
    <w:rsid w:val="00543AA7"/>
    <w:rsid w:val="00545065"/>
    <w:rsid w:val="005453F0"/>
    <w:rsid w:val="005463D0"/>
    <w:rsid w:val="00547224"/>
    <w:rsid w:val="00547743"/>
    <w:rsid w:val="0054794F"/>
    <w:rsid w:val="00552C3E"/>
    <w:rsid w:val="00553CC5"/>
    <w:rsid w:val="00554B56"/>
    <w:rsid w:val="00554D8D"/>
    <w:rsid w:val="00555123"/>
    <w:rsid w:val="00557A8C"/>
    <w:rsid w:val="00561556"/>
    <w:rsid w:val="0056256F"/>
    <w:rsid w:val="00564B9F"/>
    <w:rsid w:val="00565A71"/>
    <w:rsid w:val="00573835"/>
    <w:rsid w:val="00573EA7"/>
    <w:rsid w:val="00574813"/>
    <w:rsid w:val="00574BC1"/>
    <w:rsid w:val="00574F9E"/>
    <w:rsid w:val="005758F7"/>
    <w:rsid w:val="00576B14"/>
    <w:rsid w:val="00576D1A"/>
    <w:rsid w:val="00580EA7"/>
    <w:rsid w:val="00581306"/>
    <w:rsid w:val="005926A4"/>
    <w:rsid w:val="00595F82"/>
    <w:rsid w:val="005A2AD8"/>
    <w:rsid w:val="005A5E5B"/>
    <w:rsid w:val="005B0821"/>
    <w:rsid w:val="005B0E63"/>
    <w:rsid w:val="005B0F03"/>
    <w:rsid w:val="005B57E3"/>
    <w:rsid w:val="005B6737"/>
    <w:rsid w:val="005C1017"/>
    <w:rsid w:val="005C1300"/>
    <w:rsid w:val="005C3105"/>
    <w:rsid w:val="005C4C98"/>
    <w:rsid w:val="005D277B"/>
    <w:rsid w:val="005D4772"/>
    <w:rsid w:val="005D6565"/>
    <w:rsid w:val="005E06FB"/>
    <w:rsid w:val="005E1A96"/>
    <w:rsid w:val="005F0045"/>
    <w:rsid w:val="005F04E6"/>
    <w:rsid w:val="005F5155"/>
    <w:rsid w:val="00602995"/>
    <w:rsid w:val="00603C24"/>
    <w:rsid w:val="00606B14"/>
    <w:rsid w:val="00607F08"/>
    <w:rsid w:val="00610D4D"/>
    <w:rsid w:val="00612FD8"/>
    <w:rsid w:val="00613410"/>
    <w:rsid w:val="00614CFA"/>
    <w:rsid w:val="006233AD"/>
    <w:rsid w:val="00624915"/>
    <w:rsid w:val="006262A1"/>
    <w:rsid w:val="006331C3"/>
    <w:rsid w:val="00633B71"/>
    <w:rsid w:val="0063518C"/>
    <w:rsid w:val="00640225"/>
    <w:rsid w:val="0064628A"/>
    <w:rsid w:val="006503FF"/>
    <w:rsid w:val="00651065"/>
    <w:rsid w:val="006626B0"/>
    <w:rsid w:val="006656D3"/>
    <w:rsid w:val="006723A4"/>
    <w:rsid w:val="00673478"/>
    <w:rsid w:val="00673CCC"/>
    <w:rsid w:val="00674D87"/>
    <w:rsid w:val="006752A6"/>
    <w:rsid w:val="00683047"/>
    <w:rsid w:val="006831D2"/>
    <w:rsid w:val="00683F52"/>
    <w:rsid w:val="00692019"/>
    <w:rsid w:val="00692C2F"/>
    <w:rsid w:val="00693C58"/>
    <w:rsid w:val="00695797"/>
    <w:rsid w:val="00696406"/>
    <w:rsid w:val="00696A5E"/>
    <w:rsid w:val="006A0AF5"/>
    <w:rsid w:val="006A18D8"/>
    <w:rsid w:val="006A4B56"/>
    <w:rsid w:val="006B02C5"/>
    <w:rsid w:val="006B131E"/>
    <w:rsid w:val="006B3B69"/>
    <w:rsid w:val="006B61CA"/>
    <w:rsid w:val="006C4CC0"/>
    <w:rsid w:val="006C7250"/>
    <w:rsid w:val="006D0218"/>
    <w:rsid w:val="006D219A"/>
    <w:rsid w:val="006D2544"/>
    <w:rsid w:val="006D56DC"/>
    <w:rsid w:val="006E14EA"/>
    <w:rsid w:val="006E6719"/>
    <w:rsid w:val="006F4CB8"/>
    <w:rsid w:val="006F683A"/>
    <w:rsid w:val="006FB258"/>
    <w:rsid w:val="00704D73"/>
    <w:rsid w:val="007076AA"/>
    <w:rsid w:val="007109B3"/>
    <w:rsid w:val="00713901"/>
    <w:rsid w:val="00714006"/>
    <w:rsid w:val="00714D4E"/>
    <w:rsid w:val="007158E7"/>
    <w:rsid w:val="00716945"/>
    <w:rsid w:val="00717C20"/>
    <w:rsid w:val="0072241C"/>
    <w:rsid w:val="00725FC7"/>
    <w:rsid w:val="00731AE8"/>
    <w:rsid w:val="00734613"/>
    <w:rsid w:val="00734C89"/>
    <w:rsid w:val="0073668C"/>
    <w:rsid w:val="00737A7F"/>
    <w:rsid w:val="00741072"/>
    <w:rsid w:val="0074108E"/>
    <w:rsid w:val="00745584"/>
    <w:rsid w:val="00750695"/>
    <w:rsid w:val="00750C94"/>
    <w:rsid w:val="00751910"/>
    <w:rsid w:val="00751A66"/>
    <w:rsid w:val="00751E60"/>
    <w:rsid w:val="0075328B"/>
    <w:rsid w:val="007547B5"/>
    <w:rsid w:val="007616CA"/>
    <w:rsid w:val="0076242C"/>
    <w:rsid w:val="00762ED7"/>
    <w:rsid w:val="00766636"/>
    <w:rsid w:val="007670BF"/>
    <w:rsid w:val="0078348D"/>
    <w:rsid w:val="00783B22"/>
    <w:rsid w:val="0078732E"/>
    <w:rsid w:val="007917C1"/>
    <w:rsid w:val="00792467"/>
    <w:rsid w:val="00795A9E"/>
    <w:rsid w:val="007A1384"/>
    <w:rsid w:val="007A4995"/>
    <w:rsid w:val="007A5676"/>
    <w:rsid w:val="007A606D"/>
    <w:rsid w:val="007B0BF4"/>
    <w:rsid w:val="007B5AD8"/>
    <w:rsid w:val="007B65CF"/>
    <w:rsid w:val="007B72C4"/>
    <w:rsid w:val="007C0C9E"/>
    <w:rsid w:val="007C2214"/>
    <w:rsid w:val="007C605D"/>
    <w:rsid w:val="007C6BF1"/>
    <w:rsid w:val="007C7C99"/>
    <w:rsid w:val="007D143D"/>
    <w:rsid w:val="007D29E4"/>
    <w:rsid w:val="007D5DCA"/>
    <w:rsid w:val="007E29DA"/>
    <w:rsid w:val="007E5D5C"/>
    <w:rsid w:val="007E623B"/>
    <w:rsid w:val="007F09CC"/>
    <w:rsid w:val="007F1226"/>
    <w:rsid w:val="007F2381"/>
    <w:rsid w:val="007F7B10"/>
    <w:rsid w:val="007F7E12"/>
    <w:rsid w:val="008008B2"/>
    <w:rsid w:val="00804AA0"/>
    <w:rsid w:val="008052F0"/>
    <w:rsid w:val="00807B48"/>
    <w:rsid w:val="008109FD"/>
    <w:rsid w:val="00810A11"/>
    <w:rsid w:val="008135CA"/>
    <w:rsid w:val="00814E5D"/>
    <w:rsid w:val="0081584F"/>
    <w:rsid w:val="008163AE"/>
    <w:rsid w:val="00817BC5"/>
    <w:rsid w:val="00820391"/>
    <w:rsid w:val="0082459D"/>
    <w:rsid w:val="008400F7"/>
    <w:rsid w:val="00842DD7"/>
    <w:rsid w:val="00842F1F"/>
    <w:rsid w:val="00844F95"/>
    <w:rsid w:val="00852A30"/>
    <w:rsid w:val="0085407F"/>
    <w:rsid w:val="00860F7D"/>
    <w:rsid w:val="00865646"/>
    <w:rsid w:val="008659B4"/>
    <w:rsid w:val="0086624D"/>
    <w:rsid w:val="0086706D"/>
    <w:rsid w:val="008703BF"/>
    <w:rsid w:val="00876305"/>
    <w:rsid w:val="008770A8"/>
    <w:rsid w:val="00887874"/>
    <w:rsid w:val="00891F96"/>
    <w:rsid w:val="008925CE"/>
    <w:rsid w:val="0089696D"/>
    <w:rsid w:val="00896CB7"/>
    <w:rsid w:val="0089766A"/>
    <w:rsid w:val="008A128E"/>
    <w:rsid w:val="008A1BB3"/>
    <w:rsid w:val="008A48E0"/>
    <w:rsid w:val="008A4E52"/>
    <w:rsid w:val="008A63BB"/>
    <w:rsid w:val="008A7242"/>
    <w:rsid w:val="008B2F09"/>
    <w:rsid w:val="008B55A6"/>
    <w:rsid w:val="008B7AB3"/>
    <w:rsid w:val="008C2B2F"/>
    <w:rsid w:val="008C4D41"/>
    <w:rsid w:val="008C623F"/>
    <w:rsid w:val="008D09F6"/>
    <w:rsid w:val="008D10BE"/>
    <w:rsid w:val="008D26A6"/>
    <w:rsid w:val="008D491D"/>
    <w:rsid w:val="008D61CF"/>
    <w:rsid w:val="008D6389"/>
    <w:rsid w:val="008D78AD"/>
    <w:rsid w:val="008E29D3"/>
    <w:rsid w:val="008E5A65"/>
    <w:rsid w:val="008E625A"/>
    <w:rsid w:val="008F2DF4"/>
    <w:rsid w:val="008F39AD"/>
    <w:rsid w:val="008F63B6"/>
    <w:rsid w:val="0090688A"/>
    <w:rsid w:val="009079BA"/>
    <w:rsid w:val="00911A02"/>
    <w:rsid w:val="0091333A"/>
    <w:rsid w:val="00914A66"/>
    <w:rsid w:val="00917E52"/>
    <w:rsid w:val="0092131C"/>
    <w:rsid w:val="009240B1"/>
    <w:rsid w:val="009244F9"/>
    <w:rsid w:val="00925C28"/>
    <w:rsid w:val="00926DF1"/>
    <w:rsid w:val="009275A7"/>
    <w:rsid w:val="009319FD"/>
    <w:rsid w:val="009342C6"/>
    <w:rsid w:val="00935D4C"/>
    <w:rsid w:val="0094096E"/>
    <w:rsid w:val="00943918"/>
    <w:rsid w:val="009501DF"/>
    <w:rsid w:val="00965818"/>
    <w:rsid w:val="009711A9"/>
    <w:rsid w:val="00973AAB"/>
    <w:rsid w:val="00981F45"/>
    <w:rsid w:val="009843DC"/>
    <w:rsid w:val="009868B0"/>
    <w:rsid w:val="00993C89"/>
    <w:rsid w:val="00994D12"/>
    <w:rsid w:val="00995579"/>
    <w:rsid w:val="009A70E9"/>
    <w:rsid w:val="009B128B"/>
    <w:rsid w:val="009B3C5C"/>
    <w:rsid w:val="009C3C63"/>
    <w:rsid w:val="009D0884"/>
    <w:rsid w:val="009D1099"/>
    <w:rsid w:val="009D16DE"/>
    <w:rsid w:val="009D258C"/>
    <w:rsid w:val="009D5542"/>
    <w:rsid w:val="009D5866"/>
    <w:rsid w:val="009D75E8"/>
    <w:rsid w:val="009E6AEC"/>
    <w:rsid w:val="009F2B94"/>
    <w:rsid w:val="00A0120F"/>
    <w:rsid w:val="00A05F8C"/>
    <w:rsid w:val="00A06D7D"/>
    <w:rsid w:val="00A12277"/>
    <w:rsid w:val="00A1669A"/>
    <w:rsid w:val="00A16AFA"/>
    <w:rsid w:val="00A16F07"/>
    <w:rsid w:val="00A22D27"/>
    <w:rsid w:val="00A25F09"/>
    <w:rsid w:val="00A27A8B"/>
    <w:rsid w:val="00A3012E"/>
    <w:rsid w:val="00A310F4"/>
    <w:rsid w:val="00A329C3"/>
    <w:rsid w:val="00A3624E"/>
    <w:rsid w:val="00A36967"/>
    <w:rsid w:val="00A36F00"/>
    <w:rsid w:val="00A374A0"/>
    <w:rsid w:val="00A375A9"/>
    <w:rsid w:val="00A43D1D"/>
    <w:rsid w:val="00A43FD1"/>
    <w:rsid w:val="00A47610"/>
    <w:rsid w:val="00A575C0"/>
    <w:rsid w:val="00A57ABA"/>
    <w:rsid w:val="00A6075F"/>
    <w:rsid w:val="00A61C05"/>
    <w:rsid w:val="00A62C7B"/>
    <w:rsid w:val="00A67257"/>
    <w:rsid w:val="00A7178D"/>
    <w:rsid w:val="00A7191E"/>
    <w:rsid w:val="00A7709A"/>
    <w:rsid w:val="00A80C12"/>
    <w:rsid w:val="00A82CF3"/>
    <w:rsid w:val="00A85C52"/>
    <w:rsid w:val="00A86B11"/>
    <w:rsid w:val="00A94761"/>
    <w:rsid w:val="00A960C8"/>
    <w:rsid w:val="00A96AEB"/>
    <w:rsid w:val="00AA3559"/>
    <w:rsid w:val="00AA5237"/>
    <w:rsid w:val="00AA5F08"/>
    <w:rsid w:val="00AA6CE9"/>
    <w:rsid w:val="00AA792E"/>
    <w:rsid w:val="00AA7987"/>
    <w:rsid w:val="00AC2FE6"/>
    <w:rsid w:val="00AC55F0"/>
    <w:rsid w:val="00AD0455"/>
    <w:rsid w:val="00AD09F5"/>
    <w:rsid w:val="00AD47E3"/>
    <w:rsid w:val="00AD6A2B"/>
    <w:rsid w:val="00AD74DA"/>
    <w:rsid w:val="00AE0EF2"/>
    <w:rsid w:val="00AE1842"/>
    <w:rsid w:val="00AE3C7C"/>
    <w:rsid w:val="00AE3D40"/>
    <w:rsid w:val="00AE7A16"/>
    <w:rsid w:val="00AF365B"/>
    <w:rsid w:val="00AF4492"/>
    <w:rsid w:val="00B00E2C"/>
    <w:rsid w:val="00B022A2"/>
    <w:rsid w:val="00B031AE"/>
    <w:rsid w:val="00B038A6"/>
    <w:rsid w:val="00B049E2"/>
    <w:rsid w:val="00B04FDB"/>
    <w:rsid w:val="00B21610"/>
    <w:rsid w:val="00B24F6A"/>
    <w:rsid w:val="00B25709"/>
    <w:rsid w:val="00B270B7"/>
    <w:rsid w:val="00B31306"/>
    <w:rsid w:val="00B3131B"/>
    <w:rsid w:val="00B31677"/>
    <w:rsid w:val="00B32C61"/>
    <w:rsid w:val="00B35432"/>
    <w:rsid w:val="00B37701"/>
    <w:rsid w:val="00B42814"/>
    <w:rsid w:val="00B473B4"/>
    <w:rsid w:val="00B5241B"/>
    <w:rsid w:val="00B5676E"/>
    <w:rsid w:val="00B646D1"/>
    <w:rsid w:val="00B65141"/>
    <w:rsid w:val="00B777F5"/>
    <w:rsid w:val="00B83936"/>
    <w:rsid w:val="00B85381"/>
    <w:rsid w:val="00B8799C"/>
    <w:rsid w:val="00B90BE7"/>
    <w:rsid w:val="00B9195F"/>
    <w:rsid w:val="00B92506"/>
    <w:rsid w:val="00B93CF4"/>
    <w:rsid w:val="00B95099"/>
    <w:rsid w:val="00B95C8A"/>
    <w:rsid w:val="00BA14F4"/>
    <w:rsid w:val="00BA233F"/>
    <w:rsid w:val="00BA5610"/>
    <w:rsid w:val="00BA7D7F"/>
    <w:rsid w:val="00BB2174"/>
    <w:rsid w:val="00BB73F0"/>
    <w:rsid w:val="00BC4249"/>
    <w:rsid w:val="00BC5751"/>
    <w:rsid w:val="00BC65EA"/>
    <w:rsid w:val="00BC704A"/>
    <w:rsid w:val="00BD6EB7"/>
    <w:rsid w:val="00BE1432"/>
    <w:rsid w:val="00BE14DC"/>
    <w:rsid w:val="00BE4380"/>
    <w:rsid w:val="00BE4814"/>
    <w:rsid w:val="00BE6431"/>
    <w:rsid w:val="00BF1414"/>
    <w:rsid w:val="00BF5E0D"/>
    <w:rsid w:val="00BF5EE4"/>
    <w:rsid w:val="00C0078D"/>
    <w:rsid w:val="00C013CA"/>
    <w:rsid w:val="00C0142A"/>
    <w:rsid w:val="00C03D6D"/>
    <w:rsid w:val="00C03FF0"/>
    <w:rsid w:val="00C059FB"/>
    <w:rsid w:val="00C05C8B"/>
    <w:rsid w:val="00C10DFD"/>
    <w:rsid w:val="00C1392E"/>
    <w:rsid w:val="00C145E5"/>
    <w:rsid w:val="00C148B5"/>
    <w:rsid w:val="00C164EB"/>
    <w:rsid w:val="00C210AD"/>
    <w:rsid w:val="00C213FB"/>
    <w:rsid w:val="00C21D06"/>
    <w:rsid w:val="00C2779A"/>
    <w:rsid w:val="00C30E7A"/>
    <w:rsid w:val="00C325F9"/>
    <w:rsid w:val="00C42C10"/>
    <w:rsid w:val="00C452C6"/>
    <w:rsid w:val="00C5364B"/>
    <w:rsid w:val="00C54D27"/>
    <w:rsid w:val="00C54EA1"/>
    <w:rsid w:val="00C61AE3"/>
    <w:rsid w:val="00C63E36"/>
    <w:rsid w:val="00C66377"/>
    <w:rsid w:val="00C706C6"/>
    <w:rsid w:val="00C720C8"/>
    <w:rsid w:val="00C755F4"/>
    <w:rsid w:val="00C75F8D"/>
    <w:rsid w:val="00C76EEB"/>
    <w:rsid w:val="00C851C9"/>
    <w:rsid w:val="00C87CE7"/>
    <w:rsid w:val="00C91803"/>
    <w:rsid w:val="00C94A6B"/>
    <w:rsid w:val="00C96A67"/>
    <w:rsid w:val="00C96F28"/>
    <w:rsid w:val="00CA0EED"/>
    <w:rsid w:val="00CA11FE"/>
    <w:rsid w:val="00CA576F"/>
    <w:rsid w:val="00CA7B05"/>
    <w:rsid w:val="00CB0753"/>
    <w:rsid w:val="00CB0E72"/>
    <w:rsid w:val="00CB222C"/>
    <w:rsid w:val="00CB361D"/>
    <w:rsid w:val="00CB3936"/>
    <w:rsid w:val="00CB54AC"/>
    <w:rsid w:val="00CB6477"/>
    <w:rsid w:val="00CC2BE8"/>
    <w:rsid w:val="00CC2E55"/>
    <w:rsid w:val="00CC76C9"/>
    <w:rsid w:val="00CD0517"/>
    <w:rsid w:val="00CD1E95"/>
    <w:rsid w:val="00CE0106"/>
    <w:rsid w:val="00CE1909"/>
    <w:rsid w:val="00CE69D9"/>
    <w:rsid w:val="00CF0BEA"/>
    <w:rsid w:val="00CF150D"/>
    <w:rsid w:val="00CF4ACE"/>
    <w:rsid w:val="00CF5196"/>
    <w:rsid w:val="00D018CD"/>
    <w:rsid w:val="00D01F5A"/>
    <w:rsid w:val="00D0212B"/>
    <w:rsid w:val="00D0263C"/>
    <w:rsid w:val="00D02A08"/>
    <w:rsid w:val="00D042F0"/>
    <w:rsid w:val="00D0500D"/>
    <w:rsid w:val="00D06A46"/>
    <w:rsid w:val="00D13028"/>
    <w:rsid w:val="00D143D6"/>
    <w:rsid w:val="00D1716E"/>
    <w:rsid w:val="00D17F87"/>
    <w:rsid w:val="00D2057B"/>
    <w:rsid w:val="00D22298"/>
    <w:rsid w:val="00D23C1A"/>
    <w:rsid w:val="00D24EA8"/>
    <w:rsid w:val="00D37F73"/>
    <w:rsid w:val="00D401A7"/>
    <w:rsid w:val="00D41D23"/>
    <w:rsid w:val="00D41DD2"/>
    <w:rsid w:val="00D5037C"/>
    <w:rsid w:val="00D52D22"/>
    <w:rsid w:val="00D54CC7"/>
    <w:rsid w:val="00D61202"/>
    <w:rsid w:val="00D64B4D"/>
    <w:rsid w:val="00D64E05"/>
    <w:rsid w:val="00D817C4"/>
    <w:rsid w:val="00D82A4E"/>
    <w:rsid w:val="00D92FD3"/>
    <w:rsid w:val="00D94465"/>
    <w:rsid w:val="00D96BC5"/>
    <w:rsid w:val="00DA3B6E"/>
    <w:rsid w:val="00DA538C"/>
    <w:rsid w:val="00DA76E3"/>
    <w:rsid w:val="00DB7581"/>
    <w:rsid w:val="00DB7C70"/>
    <w:rsid w:val="00DC212A"/>
    <w:rsid w:val="00DC2CC3"/>
    <w:rsid w:val="00DC2D98"/>
    <w:rsid w:val="00DC3107"/>
    <w:rsid w:val="00DC70C1"/>
    <w:rsid w:val="00DD3D68"/>
    <w:rsid w:val="00DD47A7"/>
    <w:rsid w:val="00DD4C13"/>
    <w:rsid w:val="00DD5917"/>
    <w:rsid w:val="00DD6642"/>
    <w:rsid w:val="00DD72B8"/>
    <w:rsid w:val="00DE0A91"/>
    <w:rsid w:val="00DF03BB"/>
    <w:rsid w:val="00DF0E28"/>
    <w:rsid w:val="00DF1160"/>
    <w:rsid w:val="00DF3A06"/>
    <w:rsid w:val="00DF7423"/>
    <w:rsid w:val="00E04292"/>
    <w:rsid w:val="00E049AE"/>
    <w:rsid w:val="00E074AD"/>
    <w:rsid w:val="00E125F9"/>
    <w:rsid w:val="00E17F1E"/>
    <w:rsid w:val="00E25BDE"/>
    <w:rsid w:val="00E2682C"/>
    <w:rsid w:val="00E34492"/>
    <w:rsid w:val="00E36897"/>
    <w:rsid w:val="00E37A79"/>
    <w:rsid w:val="00E40F7F"/>
    <w:rsid w:val="00E443A9"/>
    <w:rsid w:val="00E51421"/>
    <w:rsid w:val="00E525EE"/>
    <w:rsid w:val="00E63A59"/>
    <w:rsid w:val="00E64D00"/>
    <w:rsid w:val="00E66EB4"/>
    <w:rsid w:val="00E73828"/>
    <w:rsid w:val="00E7600A"/>
    <w:rsid w:val="00E761F1"/>
    <w:rsid w:val="00E80FD1"/>
    <w:rsid w:val="00E82705"/>
    <w:rsid w:val="00E8387D"/>
    <w:rsid w:val="00E83C12"/>
    <w:rsid w:val="00E86566"/>
    <w:rsid w:val="00E904C8"/>
    <w:rsid w:val="00E912AA"/>
    <w:rsid w:val="00EA14A2"/>
    <w:rsid w:val="00EA1BBF"/>
    <w:rsid w:val="00EA2DDA"/>
    <w:rsid w:val="00EA34D1"/>
    <w:rsid w:val="00EA3ACA"/>
    <w:rsid w:val="00EA45DA"/>
    <w:rsid w:val="00EB29A9"/>
    <w:rsid w:val="00EB2E13"/>
    <w:rsid w:val="00EB3E60"/>
    <w:rsid w:val="00EB65F8"/>
    <w:rsid w:val="00EB77D2"/>
    <w:rsid w:val="00EC075A"/>
    <w:rsid w:val="00EC1461"/>
    <w:rsid w:val="00EC1637"/>
    <w:rsid w:val="00EC60D3"/>
    <w:rsid w:val="00ED6D49"/>
    <w:rsid w:val="00EE0D80"/>
    <w:rsid w:val="00EE1D5D"/>
    <w:rsid w:val="00EE4440"/>
    <w:rsid w:val="00EE469A"/>
    <w:rsid w:val="00EE4A95"/>
    <w:rsid w:val="00EE7B18"/>
    <w:rsid w:val="00EF51EF"/>
    <w:rsid w:val="00EF741C"/>
    <w:rsid w:val="00F00C5C"/>
    <w:rsid w:val="00F00FB5"/>
    <w:rsid w:val="00F02321"/>
    <w:rsid w:val="00F03934"/>
    <w:rsid w:val="00F04159"/>
    <w:rsid w:val="00F04FCF"/>
    <w:rsid w:val="00F1318F"/>
    <w:rsid w:val="00F1603C"/>
    <w:rsid w:val="00F204C0"/>
    <w:rsid w:val="00F26322"/>
    <w:rsid w:val="00F27639"/>
    <w:rsid w:val="00F30602"/>
    <w:rsid w:val="00F30946"/>
    <w:rsid w:val="00F316C8"/>
    <w:rsid w:val="00F32737"/>
    <w:rsid w:val="00F332A2"/>
    <w:rsid w:val="00F3359A"/>
    <w:rsid w:val="00F37DB7"/>
    <w:rsid w:val="00F4044C"/>
    <w:rsid w:val="00F4311E"/>
    <w:rsid w:val="00F47B18"/>
    <w:rsid w:val="00F504F2"/>
    <w:rsid w:val="00F50DF2"/>
    <w:rsid w:val="00F5288B"/>
    <w:rsid w:val="00F529A8"/>
    <w:rsid w:val="00F54FDB"/>
    <w:rsid w:val="00F577DD"/>
    <w:rsid w:val="00F60D85"/>
    <w:rsid w:val="00F61637"/>
    <w:rsid w:val="00F632DE"/>
    <w:rsid w:val="00F6478B"/>
    <w:rsid w:val="00F65988"/>
    <w:rsid w:val="00F71EC8"/>
    <w:rsid w:val="00F735E4"/>
    <w:rsid w:val="00F74AD9"/>
    <w:rsid w:val="00F76557"/>
    <w:rsid w:val="00F76A76"/>
    <w:rsid w:val="00F77554"/>
    <w:rsid w:val="00F82B6F"/>
    <w:rsid w:val="00F83B9B"/>
    <w:rsid w:val="00F87581"/>
    <w:rsid w:val="00F94221"/>
    <w:rsid w:val="00F9689D"/>
    <w:rsid w:val="00F974BD"/>
    <w:rsid w:val="00F97E00"/>
    <w:rsid w:val="00FA0495"/>
    <w:rsid w:val="00FA1886"/>
    <w:rsid w:val="00FA3DFC"/>
    <w:rsid w:val="00FA4B38"/>
    <w:rsid w:val="00FA4D49"/>
    <w:rsid w:val="00FA5919"/>
    <w:rsid w:val="00FA62E5"/>
    <w:rsid w:val="00FA693E"/>
    <w:rsid w:val="00FB07A8"/>
    <w:rsid w:val="00FB0F9B"/>
    <w:rsid w:val="00FB228D"/>
    <w:rsid w:val="00FB5E38"/>
    <w:rsid w:val="00FB7834"/>
    <w:rsid w:val="00FB7C19"/>
    <w:rsid w:val="00FC46BE"/>
    <w:rsid w:val="00FC645F"/>
    <w:rsid w:val="00FC7A9C"/>
    <w:rsid w:val="00FD27A7"/>
    <w:rsid w:val="00FD4B6A"/>
    <w:rsid w:val="00FD59C7"/>
    <w:rsid w:val="00FE2361"/>
    <w:rsid w:val="00FE2E73"/>
    <w:rsid w:val="00FF03A8"/>
    <w:rsid w:val="00FF1FF6"/>
    <w:rsid w:val="00FF3844"/>
    <w:rsid w:val="00FF3969"/>
    <w:rsid w:val="00FF63EA"/>
    <w:rsid w:val="0129377C"/>
    <w:rsid w:val="014F30CF"/>
    <w:rsid w:val="015955AB"/>
    <w:rsid w:val="017AADE1"/>
    <w:rsid w:val="026C54E2"/>
    <w:rsid w:val="02B4920F"/>
    <w:rsid w:val="02CE3FCC"/>
    <w:rsid w:val="02F69B83"/>
    <w:rsid w:val="031A57CA"/>
    <w:rsid w:val="03235A70"/>
    <w:rsid w:val="035E529F"/>
    <w:rsid w:val="03BA3FA4"/>
    <w:rsid w:val="03CCE1AB"/>
    <w:rsid w:val="03E56829"/>
    <w:rsid w:val="03E78E26"/>
    <w:rsid w:val="04587EBC"/>
    <w:rsid w:val="0459A88A"/>
    <w:rsid w:val="04B9D90B"/>
    <w:rsid w:val="04F4A4F1"/>
    <w:rsid w:val="05898204"/>
    <w:rsid w:val="05F6536C"/>
    <w:rsid w:val="064DA025"/>
    <w:rsid w:val="06E3F189"/>
    <w:rsid w:val="0762885D"/>
    <w:rsid w:val="07D054A0"/>
    <w:rsid w:val="08058D7B"/>
    <w:rsid w:val="0863034B"/>
    <w:rsid w:val="08A917CF"/>
    <w:rsid w:val="08DAB899"/>
    <w:rsid w:val="08EC6336"/>
    <w:rsid w:val="095B5037"/>
    <w:rsid w:val="09CF31C2"/>
    <w:rsid w:val="09D7244D"/>
    <w:rsid w:val="09EEDE6B"/>
    <w:rsid w:val="09FC7A03"/>
    <w:rsid w:val="0A277E74"/>
    <w:rsid w:val="0AC455AF"/>
    <w:rsid w:val="0B49A0DB"/>
    <w:rsid w:val="0B9A41B8"/>
    <w:rsid w:val="0BA7C8DA"/>
    <w:rsid w:val="0C06BE33"/>
    <w:rsid w:val="0C1CA99D"/>
    <w:rsid w:val="0C2661C5"/>
    <w:rsid w:val="0C4475B0"/>
    <w:rsid w:val="0C80620A"/>
    <w:rsid w:val="0C860EF8"/>
    <w:rsid w:val="0D159E3D"/>
    <w:rsid w:val="0DE1B869"/>
    <w:rsid w:val="0EA3BD94"/>
    <w:rsid w:val="0EFAC3AD"/>
    <w:rsid w:val="0F66C0CF"/>
    <w:rsid w:val="0F8F758A"/>
    <w:rsid w:val="0F9861D3"/>
    <w:rsid w:val="0FD23500"/>
    <w:rsid w:val="0FFD2A13"/>
    <w:rsid w:val="1047A1B7"/>
    <w:rsid w:val="10B5C1DF"/>
    <w:rsid w:val="10DAF7F4"/>
    <w:rsid w:val="113B912E"/>
    <w:rsid w:val="11CBABE6"/>
    <w:rsid w:val="130841C6"/>
    <w:rsid w:val="13606A1E"/>
    <w:rsid w:val="140FE6D4"/>
    <w:rsid w:val="1444CE93"/>
    <w:rsid w:val="147A5670"/>
    <w:rsid w:val="1483A074"/>
    <w:rsid w:val="14BB6BEE"/>
    <w:rsid w:val="14F4D5ED"/>
    <w:rsid w:val="152427C2"/>
    <w:rsid w:val="153448E9"/>
    <w:rsid w:val="15593CD0"/>
    <w:rsid w:val="15B9B9E1"/>
    <w:rsid w:val="162EED8B"/>
    <w:rsid w:val="167FD198"/>
    <w:rsid w:val="168BF73B"/>
    <w:rsid w:val="16A5744C"/>
    <w:rsid w:val="1707BE7A"/>
    <w:rsid w:val="1793BE28"/>
    <w:rsid w:val="17ECEFAE"/>
    <w:rsid w:val="17F1E812"/>
    <w:rsid w:val="180F7561"/>
    <w:rsid w:val="1839AE3D"/>
    <w:rsid w:val="1853E78E"/>
    <w:rsid w:val="18EC63DE"/>
    <w:rsid w:val="194F7874"/>
    <w:rsid w:val="19812018"/>
    <w:rsid w:val="19B90FBF"/>
    <w:rsid w:val="19B9C9AD"/>
    <w:rsid w:val="1A6AF205"/>
    <w:rsid w:val="1A8D9841"/>
    <w:rsid w:val="1B464430"/>
    <w:rsid w:val="1B6ADC20"/>
    <w:rsid w:val="1B88B7DA"/>
    <w:rsid w:val="1BB3F766"/>
    <w:rsid w:val="1C23CB99"/>
    <w:rsid w:val="1C6C6C39"/>
    <w:rsid w:val="1C97E192"/>
    <w:rsid w:val="1CB8E95D"/>
    <w:rsid w:val="1CD45DBE"/>
    <w:rsid w:val="1CD4684F"/>
    <w:rsid w:val="1D29C901"/>
    <w:rsid w:val="1E27494D"/>
    <w:rsid w:val="1ECAF62C"/>
    <w:rsid w:val="1EFE78EC"/>
    <w:rsid w:val="1F015CCD"/>
    <w:rsid w:val="1F300F61"/>
    <w:rsid w:val="1F36C61E"/>
    <w:rsid w:val="1F7B66C1"/>
    <w:rsid w:val="1F84A49E"/>
    <w:rsid w:val="1FE854F5"/>
    <w:rsid w:val="2003C300"/>
    <w:rsid w:val="216346B4"/>
    <w:rsid w:val="21703D09"/>
    <w:rsid w:val="218DE1AF"/>
    <w:rsid w:val="21901059"/>
    <w:rsid w:val="21B29E5A"/>
    <w:rsid w:val="231FAFDA"/>
    <w:rsid w:val="234D87F2"/>
    <w:rsid w:val="23FB26ED"/>
    <w:rsid w:val="25221826"/>
    <w:rsid w:val="253B2E4C"/>
    <w:rsid w:val="2639B3D3"/>
    <w:rsid w:val="26EF03B5"/>
    <w:rsid w:val="2723FB48"/>
    <w:rsid w:val="2746DE74"/>
    <w:rsid w:val="27DE752D"/>
    <w:rsid w:val="27EEDC4B"/>
    <w:rsid w:val="28197945"/>
    <w:rsid w:val="2839E949"/>
    <w:rsid w:val="285CF16B"/>
    <w:rsid w:val="289561AF"/>
    <w:rsid w:val="2A0BAC3A"/>
    <w:rsid w:val="2AB2EABB"/>
    <w:rsid w:val="2B180CC4"/>
    <w:rsid w:val="2B8E1FBD"/>
    <w:rsid w:val="2BE2D137"/>
    <w:rsid w:val="2C35E437"/>
    <w:rsid w:val="2C363019"/>
    <w:rsid w:val="2C70589E"/>
    <w:rsid w:val="2C75D9A8"/>
    <w:rsid w:val="2C81503C"/>
    <w:rsid w:val="2C9DCD47"/>
    <w:rsid w:val="2CDDDBF9"/>
    <w:rsid w:val="2CF20EEA"/>
    <w:rsid w:val="2D6D999E"/>
    <w:rsid w:val="2D835B06"/>
    <w:rsid w:val="2DCF17BD"/>
    <w:rsid w:val="2E61DA0D"/>
    <w:rsid w:val="2E8BE32B"/>
    <w:rsid w:val="2EC7E2B6"/>
    <w:rsid w:val="2F188D03"/>
    <w:rsid w:val="2F332A0B"/>
    <w:rsid w:val="2F3556DA"/>
    <w:rsid w:val="2F445751"/>
    <w:rsid w:val="2F47F133"/>
    <w:rsid w:val="2F9317E9"/>
    <w:rsid w:val="2FAC3E95"/>
    <w:rsid w:val="31A3DD49"/>
    <w:rsid w:val="31D7BA51"/>
    <w:rsid w:val="32741253"/>
    <w:rsid w:val="332BF5A3"/>
    <w:rsid w:val="3374FA50"/>
    <w:rsid w:val="3391525B"/>
    <w:rsid w:val="3394D1B7"/>
    <w:rsid w:val="33A34F72"/>
    <w:rsid w:val="341E7D4B"/>
    <w:rsid w:val="344C0D40"/>
    <w:rsid w:val="34C3125D"/>
    <w:rsid w:val="34CB2BCE"/>
    <w:rsid w:val="34EAA1A3"/>
    <w:rsid w:val="355C9845"/>
    <w:rsid w:val="36B99DC6"/>
    <w:rsid w:val="36E26C65"/>
    <w:rsid w:val="3727A8F7"/>
    <w:rsid w:val="374A52D1"/>
    <w:rsid w:val="37768396"/>
    <w:rsid w:val="37ED3F97"/>
    <w:rsid w:val="38245039"/>
    <w:rsid w:val="38557EBF"/>
    <w:rsid w:val="3898F756"/>
    <w:rsid w:val="38C8F95B"/>
    <w:rsid w:val="390A55B3"/>
    <w:rsid w:val="399BCD09"/>
    <w:rsid w:val="39EA6872"/>
    <w:rsid w:val="3A8D1015"/>
    <w:rsid w:val="3AA9A82D"/>
    <w:rsid w:val="3B087343"/>
    <w:rsid w:val="3C147023"/>
    <w:rsid w:val="3C228CED"/>
    <w:rsid w:val="3C2551A6"/>
    <w:rsid w:val="3C326092"/>
    <w:rsid w:val="3C3380CD"/>
    <w:rsid w:val="3C51EA39"/>
    <w:rsid w:val="3C603314"/>
    <w:rsid w:val="3CC994FE"/>
    <w:rsid w:val="3CCA98BB"/>
    <w:rsid w:val="3CE36D7C"/>
    <w:rsid w:val="3DB6297C"/>
    <w:rsid w:val="3E02B9B1"/>
    <w:rsid w:val="3E45AAAE"/>
    <w:rsid w:val="3ED9ACD0"/>
    <w:rsid w:val="3EDEAB5A"/>
    <w:rsid w:val="3EF47C32"/>
    <w:rsid w:val="3EF662AC"/>
    <w:rsid w:val="3EFDA194"/>
    <w:rsid w:val="3F4F15FC"/>
    <w:rsid w:val="3F66CD82"/>
    <w:rsid w:val="3F79B184"/>
    <w:rsid w:val="3F7A9FB1"/>
    <w:rsid w:val="3FFB4F74"/>
    <w:rsid w:val="401381C7"/>
    <w:rsid w:val="40365C9F"/>
    <w:rsid w:val="408063F8"/>
    <w:rsid w:val="40A07B4A"/>
    <w:rsid w:val="40ABA535"/>
    <w:rsid w:val="418AC894"/>
    <w:rsid w:val="41B42974"/>
    <w:rsid w:val="42183D75"/>
    <w:rsid w:val="42761442"/>
    <w:rsid w:val="42A09283"/>
    <w:rsid w:val="42BF1C60"/>
    <w:rsid w:val="42E1FD58"/>
    <w:rsid w:val="4366FAFF"/>
    <w:rsid w:val="43AA2191"/>
    <w:rsid w:val="43E29B56"/>
    <w:rsid w:val="440E4AD9"/>
    <w:rsid w:val="4442BB39"/>
    <w:rsid w:val="4461EFC0"/>
    <w:rsid w:val="4465F205"/>
    <w:rsid w:val="44D11281"/>
    <w:rsid w:val="44E992D8"/>
    <w:rsid w:val="44EBBAFC"/>
    <w:rsid w:val="450D08DC"/>
    <w:rsid w:val="454E96F7"/>
    <w:rsid w:val="455B1A9D"/>
    <w:rsid w:val="457415F5"/>
    <w:rsid w:val="45C21D4E"/>
    <w:rsid w:val="45CFD3FA"/>
    <w:rsid w:val="46141714"/>
    <w:rsid w:val="4654B0AA"/>
    <w:rsid w:val="46605E0D"/>
    <w:rsid w:val="466E44F0"/>
    <w:rsid w:val="46936D28"/>
    <w:rsid w:val="46D336E3"/>
    <w:rsid w:val="46E8C268"/>
    <w:rsid w:val="476E5B98"/>
    <w:rsid w:val="47915090"/>
    <w:rsid w:val="47FBBC22"/>
    <w:rsid w:val="480FEB61"/>
    <w:rsid w:val="4825C199"/>
    <w:rsid w:val="482812A3"/>
    <w:rsid w:val="489B33CD"/>
    <w:rsid w:val="48D327D3"/>
    <w:rsid w:val="49543874"/>
    <w:rsid w:val="4967F23E"/>
    <w:rsid w:val="496D0E69"/>
    <w:rsid w:val="49ADA75D"/>
    <w:rsid w:val="4A080774"/>
    <w:rsid w:val="4AA63685"/>
    <w:rsid w:val="4B38466F"/>
    <w:rsid w:val="4BBD9CFF"/>
    <w:rsid w:val="4BECF017"/>
    <w:rsid w:val="4CDB78A8"/>
    <w:rsid w:val="4D06DD90"/>
    <w:rsid w:val="4D27FC73"/>
    <w:rsid w:val="4DA2A136"/>
    <w:rsid w:val="4DA54DA8"/>
    <w:rsid w:val="4DD975CB"/>
    <w:rsid w:val="4E2AC20F"/>
    <w:rsid w:val="4E73FF59"/>
    <w:rsid w:val="4EE734FF"/>
    <w:rsid w:val="4F3C866A"/>
    <w:rsid w:val="4F88ADE9"/>
    <w:rsid w:val="5007088F"/>
    <w:rsid w:val="51168A63"/>
    <w:rsid w:val="512BF10A"/>
    <w:rsid w:val="516C8C2A"/>
    <w:rsid w:val="51B6ADC0"/>
    <w:rsid w:val="51BD9433"/>
    <w:rsid w:val="52027633"/>
    <w:rsid w:val="5208447E"/>
    <w:rsid w:val="5249BD3C"/>
    <w:rsid w:val="529A1EC3"/>
    <w:rsid w:val="52A50AF5"/>
    <w:rsid w:val="52C9AB10"/>
    <w:rsid w:val="52EB6278"/>
    <w:rsid w:val="53052039"/>
    <w:rsid w:val="53442CA2"/>
    <w:rsid w:val="53B952ED"/>
    <w:rsid w:val="53CC227E"/>
    <w:rsid w:val="53E7B620"/>
    <w:rsid w:val="548010AA"/>
    <w:rsid w:val="550E69AA"/>
    <w:rsid w:val="55969B6F"/>
    <w:rsid w:val="55F2852C"/>
    <w:rsid w:val="5604C1D2"/>
    <w:rsid w:val="566A915C"/>
    <w:rsid w:val="569046BF"/>
    <w:rsid w:val="5695D671"/>
    <w:rsid w:val="57059B24"/>
    <w:rsid w:val="571F6EC7"/>
    <w:rsid w:val="57466A6D"/>
    <w:rsid w:val="5764879D"/>
    <w:rsid w:val="5902AFA4"/>
    <w:rsid w:val="5903DD6B"/>
    <w:rsid w:val="596CDDEE"/>
    <w:rsid w:val="5A1318F7"/>
    <w:rsid w:val="5A21CD63"/>
    <w:rsid w:val="5A3F78FE"/>
    <w:rsid w:val="5B3385D3"/>
    <w:rsid w:val="5BE4B3C1"/>
    <w:rsid w:val="5BEACF83"/>
    <w:rsid w:val="5C990A7A"/>
    <w:rsid w:val="5CAEF4E6"/>
    <w:rsid w:val="5CDFC790"/>
    <w:rsid w:val="5E041F73"/>
    <w:rsid w:val="5E114D13"/>
    <w:rsid w:val="5E1B9747"/>
    <w:rsid w:val="5E7CA55C"/>
    <w:rsid w:val="5E8A9D63"/>
    <w:rsid w:val="5EC7DF7A"/>
    <w:rsid w:val="5F3FC0F2"/>
    <w:rsid w:val="5F550AD0"/>
    <w:rsid w:val="5F6DF2B1"/>
    <w:rsid w:val="5F9837AC"/>
    <w:rsid w:val="5F99510F"/>
    <w:rsid w:val="5FE944C4"/>
    <w:rsid w:val="60183676"/>
    <w:rsid w:val="603350CA"/>
    <w:rsid w:val="6077EACD"/>
    <w:rsid w:val="609C82D4"/>
    <w:rsid w:val="60E7812D"/>
    <w:rsid w:val="610A087D"/>
    <w:rsid w:val="610EEE04"/>
    <w:rsid w:val="612766E7"/>
    <w:rsid w:val="616566FD"/>
    <w:rsid w:val="61916BE8"/>
    <w:rsid w:val="61B0B4C4"/>
    <w:rsid w:val="6345B9FD"/>
    <w:rsid w:val="63500B64"/>
    <w:rsid w:val="63C55DAC"/>
    <w:rsid w:val="648349EA"/>
    <w:rsid w:val="64F2AAFC"/>
    <w:rsid w:val="651096C4"/>
    <w:rsid w:val="6544BB66"/>
    <w:rsid w:val="6587BB73"/>
    <w:rsid w:val="65E25F75"/>
    <w:rsid w:val="66270CCB"/>
    <w:rsid w:val="6661DDB3"/>
    <w:rsid w:val="66F559E4"/>
    <w:rsid w:val="670F6278"/>
    <w:rsid w:val="671B4D68"/>
    <w:rsid w:val="6777011D"/>
    <w:rsid w:val="6881733E"/>
    <w:rsid w:val="68DDDAC4"/>
    <w:rsid w:val="69470444"/>
    <w:rsid w:val="698D523F"/>
    <w:rsid w:val="69AE2FC7"/>
    <w:rsid w:val="6A1844EF"/>
    <w:rsid w:val="6A274772"/>
    <w:rsid w:val="6A7B39A3"/>
    <w:rsid w:val="6ACAC3FE"/>
    <w:rsid w:val="6ACFEFB4"/>
    <w:rsid w:val="6AE12928"/>
    <w:rsid w:val="6B7857A4"/>
    <w:rsid w:val="6B79811E"/>
    <w:rsid w:val="6BB20C0E"/>
    <w:rsid w:val="6BB630B4"/>
    <w:rsid w:val="6C7AF5FF"/>
    <w:rsid w:val="6CC3283A"/>
    <w:rsid w:val="6D6FE284"/>
    <w:rsid w:val="6D9E178B"/>
    <w:rsid w:val="6DC21B2A"/>
    <w:rsid w:val="6EBBF5EB"/>
    <w:rsid w:val="6EDB5655"/>
    <w:rsid w:val="6F8869F4"/>
    <w:rsid w:val="6FAA1E36"/>
    <w:rsid w:val="6FACB365"/>
    <w:rsid w:val="706B0F02"/>
    <w:rsid w:val="706DB30F"/>
    <w:rsid w:val="70DCDB17"/>
    <w:rsid w:val="718390E2"/>
    <w:rsid w:val="72C8A31B"/>
    <w:rsid w:val="72FAF562"/>
    <w:rsid w:val="736BCD03"/>
    <w:rsid w:val="7371479A"/>
    <w:rsid w:val="74036055"/>
    <w:rsid w:val="7405F370"/>
    <w:rsid w:val="741ED7CC"/>
    <w:rsid w:val="74857A51"/>
    <w:rsid w:val="74DCBCD4"/>
    <w:rsid w:val="74EFD462"/>
    <w:rsid w:val="74F16942"/>
    <w:rsid w:val="751E1376"/>
    <w:rsid w:val="756B75EE"/>
    <w:rsid w:val="75863256"/>
    <w:rsid w:val="7665D55C"/>
    <w:rsid w:val="769056B3"/>
    <w:rsid w:val="76A2EF0E"/>
    <w:rsid w:val="76EA8575"/>
    <w:rsid w:val="76FD5DF3"/>
    <w:rsid w:val="7703CDB9"/>
    <w:rsid w:val="78718AE4"/>
    <w:rsid w:val="7873106D"/>
    <w:rsid w:val="78A9BE40"/>
    <w:rsid w:val="7947CDFC"/>
    <w:rsid w:val="797C027A"/>
    <w:rsid w:val="79AD6390"/>
    <w:rsid w:val="7A03594C"/>
    <w:rsid w:val="7A2718F4"/>
    <w:rsid w:val="7A3AED53"/>
    <w:rsid w:val="7A7A217C"/>
    <w:rsid w:val="7B02F5FA"/>
    <w:rsid w:val="7B1FAA79"/>
    <w:rsid w:val="7B5A0852"/>
    <w:rsid w:val="7B5B59D5"/>
    <w:rsid w:val="7B7BCF53"/>
    <w:rsid w:val="7C3C7042"/>
    <w:rsid w:val="7C488EB0"/>
    <w:rsid w:val="7CB3FB7A"/>
    <w:rsid w:val="7DA71C2D"/>
    <w:rsid w:val="7DC3B470"/>
    <w:rsid w:val="7E8C28B4"/>
    <w:rsid w:val="7ECDA9D8"/>
    <w:rsid w:val="7ED1B650"/>
    <w:rsid w:val="7FFD92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32AAB304-39E6-429D-9075-10F3519D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125F9"/>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2F0"/>
    <w:pPr>
      <w:tabs>
        <w:tab w:val="center" w:pos="4513"/>
        <w:tab w:val="right" w:pos="9026"/>
      </w:tabs>
    </w:pPr>
  </w:style>
  <w:style w:type="character" w:customStyle="1" w:styleId="HeaderChar">
    <w:name w:val="Header Char"/>
    <w:link w:val="Header"/>
    <w:uiPriority w:val="99"/>
    <w:rsid w:val="00D042F0"/>
    <w:rPr>
      <w:sz w:val="22"/>
      <w:szCs w:val="22"/>
      <w:lang w:eastAsia="en-US"/>
    </w:rPr>
  </w:style>
  <w:style w:type="paragraph" w:styleId="Footer">
    <w:name w:val="footer"/>
    <w:basedOn w:val="Normal"/>
    <w:link w:val="FooterChar"/>
    <w:uiPriority w:val="99"/>
    <w:unhideWhenUsed/>
    <w:rsid w:val="00D042F0"/>
    <w:pPr>
      <w:tabs>
        <w:tab w:val="center" w:pos="4513"/>
        <w:tab w:val="right" w:pos="9026"/>
      </w:tabs>
    </w:pPr>
  </w:style>
  <w:style w:type="character" w:customStyle="1" w:styleId="FooterChar">
    <w:name w:val="Footer Char"/>
    <w:link w:val="Footer"/>
    <w:uiPriority w:val="99"/>
    <w:rsid w:val="00D042F0"/>
    <w:rPr>
      <w:sz w:val="22"/>
      <w:szCs w:val="22"/>
      <w:lang w:eastAsia="en-US"/>
    </w:rPr>
  </w:style>
  <w:style w:type="paragraph" w:styleId="Revision">
    <w:name w:val="Revision"/>
    <w:hidden/>
    <w:uiPriority w:val="99"/>
    <w:semiHidden/>
    <w:rsid w:val="00BA233F"/>
    <w:rPr>
      <w:sz w:val="22"/>
      <w:szCs w:val="22"/>
      <w:lang w:eastAsia="en-US"/>
    </w:rPr>
  </w:style>
  <w:style w:type="paragraph" w:styleId="ListParagraph">
    <w:name w:val="List Paragraph"/>
    <w:basedOn w:val="Normal"/>
    <w:uiPriority w:val="34"/>
    <w:qFormat/>
    <w:rsid w:val="00BA233F"/>
    <w:pPr>
      <w:ind w:left="720"/>
      <w:contextualSpacing/>
    </w:pPr>
  </w:style>
  <w:style w:type="paragraph" w:styleId="NormalWeb">
    <w:name w:val="Normal (Web)"/>
    <w:basedOn w:val="Normal"/>
    <w:uiPriority w:val="99"/>
    <w:unhideWhenUsed/>
    <w:rsid w:val="008163AE"/>
    <w:pPr>
      <w:spacing w:before="100" w:beforeAutospacing="1" w:after="100" w:afterAutospacing="1" w:line="240" w:lineRule="auto"/>
    </w:pPr>
    <w:rPr>
      <w:rFonts w:ascii="Times New Roman" w:eastAsia="Times New Roman" w:hAnsi="Times New Roman"/>
      <w:sz w:val="24"/>
      <w:szCs w:val="24"/>
      <w:lang w:eastAsia="en-IE"/>
    </w:rPr>
  </w:style>
  <w:style w:type="paragraph" w:styleId="FootnoteText">
    <w:name w:val="footnote text"/>
    <w:basedOn w:val="Normal"/>
    <w:link w:val="FootnoteTextChar"/>
    <w:uiPriority w:val="99"/>
    <w:semiHidden/>
    <w:unhideWhenUsed/>
    <w:rsid w:val="008163AE"/>
    <w:rPr>
      <w:sz w:val="20"/>
      <w:szCs w:val="20"/>
      <w:lang w:val="en-GB"/>
    </w:rPr>
  </w:style>
  <w:style w:type="character" w:customStyle="1" w:styleId="FootnoteTextChar">
    <w:name w:val="Footnote Text Char"/>
    <w:link w:val="FootnoteText"/>
    <w:uiPriority w:val="99"/>
    <w:semiHidden/>
    <w:rsid w:val="008163AE"/>
    <w:rPr>
      <w:lang w:val="en-GB" w:eastAsia="en-US"/>
    </w:rPr>
  </w:style>
  <w:style w:type="character" w:styleId="FootnoteReference">
    <w:name w:val="footnote reference"/>
    <w:uiPriority w:val="99"/>
    <w:semiHidden/>
    <w:unhideWhenUsed/>
    <w:rsid w:val="008163AE"/>
    <w:rPr>
      <w:vertAlign w:val="superscript"/>
    </w:rPr>
  </w:style>
  <w:style w:type="character" w:styleId="Hyperlink">
    <w:name w:val="Hyperlink"/>
    <w:uiPriority w:val="99"/>
    <w:unhideWhenUsed/>
    <w:rsid w:val="008163AE"/>
    <w:rPr>
      <w:color w:val="0563C1"/>
      <w:u w:val="single"/>
    </w:rPr>
  </w:style>
  <w:style w:type="paragraph" w:styleId="CommentText">
    <w:name w:val="annotation text"/>
    <w:basedOn w:val="Normal"/>
    <w:link w:val="CommentTextChar"/>
    <w:uiPriority w:val="99"/>
    <w:unhideWhenUsed/>
    <w:rsid w:val="000C47E4"/>
    <w:rPr>
      <w:sz w:val="20"/>
      <w:szCs w:val="20"/>
    </w:rPr>
  </w:style>
  <w:style w:type="character" w:customStyle="1" w:styleId="CommentTextChar">
    <w:name w:val="Comment Text Char"/>
    <w:link w:val="CommentText"/>
    <w:uiPriority w:val="99"/>
    <w:rsid w:val="000C47E4"/>
    <w:rPr>
      <w:lang w:eastAsia="en-US"/>
    </w:rPr>
  </w:style>
  <w:style w:type="character" w:styleId="CommentReference">
    <w:name w:val="annotation reference"/>
    <w:uiPriority w:val="99"/>
    <w:semiHidden/>
    <w:unhideWhenUsed/>
    <w:rsid w:val="000C47E4"/>
    <w:rPr>
      <w:sz w:val="16"/>
      <w:szCs w:val="16"/>
    </w:rPr>
  </w:style>
  <w:style w:type="paragraph" w:styleId="CommentSubject">
    <w:name w:val="annotation subject"/>
    <w:basedOn w:val="CommentText"/>
    <w:next w:val="CommentText"/>
    <w:link w:val="CommentSubjectChar"/>
    <w:uiPriority w:val="99"/>
    <w:semiHidden/>
    <w:unhideWhenUsed/>
    <w:rsid w:val="00BA7D7F"/>
    <w:rPr>
      <w:b/>
      <w:bCs/>
    </w:rPr>
  </w:style>
  <w:style w:type="character" w:customStyle="1" w:styleId="CommentSubjectChar">
    <w:name w:val="Comment Subject Char"/>
    <w:link w:val="CommentSubject"/>
    <w:uiPriority w:val="99"/>
    <w:semiHidden/>
    <w:rsid w:val="00BA7D7F"/>
    <w:rPr>
      <w:b/>
      <w:bCs/>
      <w:lang w:eastAsia="en-US"/>
    </w:rPr>
  </w:style>
  <w:style w:type="character" w:styleId="UnresolvedMention">
    <w:name w:val="Unresolved Mention"/>
    <w:uiPriority w:val="99"/>
    <w:semiHidden/>
    <w:unhideWhenUsed/>
    <w:rsid w:val="00F504F2"/>
    <w:rPr>
      <w:color w:val="605E5C"/>
      <w:shd w:val="clear" w:color="auto" w:fill="E1DFDD"/>
    </w:rPr>
  </w:style>
  <w:style w:type="character" w:styleId="FollowedHyperlink">
    <w:name w:val="FollowedHyperlink"/>
    <w:uiPriority w:val="99"/>
    <w:semiHidden/>
    <w:unhideWhenUsed/>
    <w:rsid w:val="008D6389"/>
    <w:rPr>
      <w:color w:val="954F72"/>
      <w:u w:val="single"/>
    </w:rPr>
  </w:style>
  <w:style w:type="character" w:customStyle="1" w:styleId="Heading2Char">
    <w:name w:val="Heading 2 Char"/>
    <w:link w:val="Heading2"/>
    <w:uiPriority w:val="9"/>
    <w:semiHidden/>
    <w:rsid w:val="00E125F9"/>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88546">
      <w:bodyDiv w:val="1"/>
      <w:marLeft w:val="0"/>
      <w:marRight w:val="0"/>
      <w:marTop w:val="0"/>
      <w:marBottom w:val="0"/>
      <w:divBdr>
        <w:top w:val="none" w:sz="0" w:space="0" w:color="auto"/>
        <w:left w:val="none" w:sz="0" w:space="0" w:color="auto"/>
        <w:bottom w:val="none" w:sz="0" w:space="0" w:color="auto"/>
        <w:right w:val="none" w:sz="0" w:space="0" w:color="auto"/>
      </w:divBdr>
    </w:div>
    <w:div w:id="659430188">
      <w:bodyDiv w:val="1"/>
      <w:marLeft w:val="0"/>
      <w:marRight w:val="0"/>
      <w:marTop w:val="0"/>
      <w:marBottom w:val="0"/>
      <w:divBdr>
        <w:top w:val="none" w:sz="0" w:space="0" w:color="auto"/>
        <w:left w:val="none" w:sz="0" w:space="0" w:color="auto"/>
        <w:bottom w:val="none" w:sz="0" w:space="0" w:color="auto"/>
        <w:right w:val="none" w:sz="0" w:space="0" w:color="auto"/>
      </w:divBdr>
    </w:div>
    <w:div w:id="1195460775">
      <w:bodyDiv w:val="1"/>
      <w:marLeft w:val="0"/>
      <w:marRight w:val="0"/>
      <w:marTop w:val="0"/>
      <w:marBottom w:val="0"/>
      <w:divBdr>
        <w:top w:val="none" w:sz="0" w:space="0" w:color="auto"/>
        <w:left w:val="none" w:sz="0" w:space="0" w:color="auto"/>
        <w:bottom w:val="none" w:sz="0" w:space="0" w:color="auto"/>
        <w:right w:val="none" w:sz="0" w:space="0" w:color="auto"/>
      </w:divBdr>
    </w:div>
    <w:div w:id="1455323097">
      <w:bodyDiv w:val="1"/>
      <w:marLeft w:val="0"/>
      <w:marRight w:val="0"/>
      <w:marTop w:val="0"/>
      <w:marBottom w:val="0"/>
      <w:divBdr>
        <w:top w:val="none" w:sz="0" w:space="0" w:color="auto"/>
        <w:left w:val="none" w:sz="0" w:space="0" w:color="auto"/>
        <w:bottom w:val="none" w:sz="0" w:space="0" w:color="auto"/>
        <w:right w:val="none" w:sz="0" w:space="0" w:color="auto"/>
      </w:divBdr>
    </w:div>
    <w:div w:id="1698189863">
      <w:bodyDiv w:val="1"/>
      <w:marLeft w:val="0"/>
      <w:marRight w:val="0"/>
      <w:marTop w:val="0"/>
      <w:marBottom w:val="0"/>
      <w:divBdr>
        <w:top w:val="none" w:sz="0" w:space="0" w:color="auto"/>
        <w:left w:val="none" w:sz="0" w:space="0" w:color="auto"/>
        <w:bottom w:val="none" w:sz="0" w:space="0" w:color="auto"/>
        <w:right w:val="none" w:sz="0" w:space="0" w:color="auto"/>
      </w:divBdr>
    </w:div>
    <w:div w:id="1735934427">
      <w:bodyDiv w:val="1"/>
      <w:marLeft w:val="0"/>
      <w:marRight w:val="0"/>
      <w:marTop w:val="0"/>
      <w:marBottom w:val="0"/>
      <w:divBdr>
        <w:top w:val="none" w:sz="0" w:space="0" w:color="auto"/>
        <w:left w:val="none" w:sz="0" w:space="0" w:color="auto"/>
        <w:bottom w:val="none" w:sz="0" w:space="0" w:color="auto"/>
        <w:right w:val="none" w:sz="0" w:space="0" w:color="auto"/>
      </w:divBdr>
    </w:div>
    <w:div w:id="1968772527">
      <w:bodyDiv w:val="1"/>
      <w:marLeft w:val="0"/>
      <w:marRight w:val="0"/>
      <w:marTop w:val="0"/>
      <w:marBottom w:val="0"/>
      <w:divBdr>
        <w:top w:val="none" w:sz="0" w:space="0" w:color="auto"/>
        <w:left w:val="none" w:sz="0" w:space="0" w:color="auto"/>
        <w:bottom w:val="none" w:sz="0" w:space="0" w:color="auto"/>
        <w:right w:val="none" w:sz="0" w:space="0" w:color="auto"/>
      </w:divBdr>
    </w:div>
    <w:div w:id="21372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5e1151b5a8e3977f35741675915ed365ca3bd08a6c5530531e56766fcf6782f5JmltdHM9MTc1NDYxMTIwMA&amp;ptn=3&amp;ver=2&amp;hsh=4&amp;fclid=20470c12-67a9-6703-3e2e-198266c5669a&amp;psq=EIT&amp;u=a1aHR0cHM6Ly93d3cuZWl0LmV1cm9wYS5ldS8&amp;ntb=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oj:JOC_2020_417_R_0001" TargetMode="External"/><Relationship Id="rId3" Type="http://schemas.openxmlformats.org/officeDocument/2006/relationships/hyperlink" Target="https://eur-lex.europa.eu/legal-content/EN/TXT/?uri=CELEX%3A52025DC0340&amp;qid=1754554774835" TargetMode="External"/><Relationship Id="rId7" Type="http://schemas.openxmlformats.org/officeDocument/2006/relationships/hyperlink" Target="https://employment-social-affairs.ec.europa.eu/policies-and-activities/skills-and-qualifications/working-together/eqavet-european-quality-assurance-vocational-education-and-training_en" TargetMode="External"/><Relationship Id="rId2" Type="http://schemas.openxmlformats.org/officeDocument/2006/relationships/hyperlink" Target="https://eur-lex.europa.eu/legal-content/EN/TXT/?uri=CELEX:32021G0226(01)" TargetMode="External"/><Relationship Id="rId1" Type="http://schemas.openxmlformats.org/officeDocument/2006/relationships/hyperlink" Target="https://eur-lex.europa.eu/legal-content/EN/TXT/?uri=CELEX%3A52020DC0625" TargetMode="External"/><Relationship Id="rId6" Type="http://schemas.openxmlformats.org/officeDocument/2006/relationships/hyperlink" Target="https://eur-lex.europa.eu/legal-content/EN/TXT/?uri=celex:52025DC0089" TargetMode="External"/><Relationship Id="rId11" Type="http://schemas.openxmlformats.org/officeDocument/2006/relationships/hyperlink" Target="https://employment-social-affairs.ec.europa.eu/policies-and-activities/skills-and-qualifications/working-together/european-alliance-apprenticeships_en" TargetMode="External"/><Relationship Id="rId5" Type="http://schemas.openxmlformats.org/officeDocument/2006/relationships/hyperlink" Target="https://eur-lex.europa.eu/legal-content/EN/ALL/?uri=comnat:SWD_2025_0169_FIN" TargetMode="External"/><Relationship Id="rId10" Type="http://schemas.openxmlformats.org/officeDocument/2006/relationships/hyperlink" Target="https://danish-presidency.consilium.europa.eu/media/23xla4rt/herning-declaration-2025-english.pdf" TargetMode="External"/><Relationship Id="rId4" Type="http://schemas.openxmlformats.org/officeDocument/2006/relationships/hyperlink" Target="https://eur-lex.europa.eu/legal-content/EN/TXT/?uri=CELEX%3A52025DC0340&amp;qid=1754554774835" TargetMode="External"/><Relationship Id="rId9" Type="http://schemas.openxmlformats.org/officeDocument/2006/relationships/hyperlink" Target="https://eur-lex.europa.eu/legal-content/EN/TXT/?uri=celex:52025DC0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24" ma:contentTypeDescription="Create a new document." ma:contentTypeScope="" ma:versionID="551a8d064e2dc3461f030666c141ba7a">
  <xsd:schema xmlns:xsd="http://www.w3.org/2001/XMLSchema" xmlns:xs="http://www.w3.org/2001/XMLSchema" xmlns:p="http://schemas.microsoft.com/office/2006/metadata/properties" xmlns:ns1="http://schemas.microsoft.com/sharepoint/v3" xmlns:ns2="a280f3ed-f921-4226-9525-27fa6d577539" xmlns:ns3="278287c8-5be4-4613-8138-480f9be48247" xmlns:ns4="http://schemas.microsoft.com/sharepoint/v4" targetNamespace="http://schemas.microsoft.com/office/2006/metadata/properties" ma:root="true" ma:fieldsID="92730e0edc9611c3ee8980e8875f7b83" ns1:_="" ns2:_="" ns3:_="" ns4:_="">
    <xsd:import namespace="http://schemas.microsoft.com/sharepoint/v3"/>
    <xsd:import namespace="a280f3ed-f921-4226-9525-27fa6d577539"/>
    <xsd:import namespace="278287c8-5be4-4613-8138-480f9be4824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03ac72e2-97ce-4cc7-a917-47074297667e}" ma:internalName="TaxCatchAll" ma:showField="CatchAllData" ma:web="278287c8-5be4-4613-8138-480f9be48247">
      <xsd:complexType>
        <xsd:complexContent>
          <xsd:extension base="dms:MultiChoiceLookup">
            <xsd:sequence>
              <xsd:element name="Value" type="dms:Lookup" maxOccurs="unbounded" minOccurs="0" nillable="true"/>
            </xsd:sequence>
          </xsd:extension>
        </xsd:complexContent>
      </xsd:complexType>
    </xsd:element>
    <xsd:element name="EC_ARES_NUMBER" ma:index="2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5" nillable="true" ma:displayName="Transferred to Ares" ma:format="DateTime" ma:hidden="true" ma:internalName="EC_ARES_DATE_TRANSFERRED">
      <xsd:simpleType>
        <xsd:restriction base="dms:DateTime"/>
      </xsd:simpleType>
    </xsd:element>
    <xsd:element name="EC_ARES_TRANSFERRED_BY" ma:index="2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8287c8-5be4-4613-8138-480f9be48247" xsi:nil="true"/>
    <lcf76f155ced4ddcb4097134ff3c332f xmlns="a280f3ed-f921-4226-9525-27fa6d5775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EC_ARES_NUMBER xmlns="278287c8-5be4-4613-8138-480f9be48247">
      <Url xsi:nil="true"/>
      <Description xsi:nil="true"/>
    </EC_ARES_NUMBER>
    <EC_ARES_TRANSFERRED_BY xmlns="278287c8-5be4-4613-8138-480f9be48247" xsi:nil="true"/>
    <IconOverlay xmlns="http://schemas.microsoft.com/sharepoint/v4" xsi:nil="true"/>
    <EC_ARES_DATE_TRANSFERRED xmlns="278287c8-5be4-4613-8138-480f9be482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CD01-5E7B-40BA-83E4-CBBD7C044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0f3ed-f921-4226-9525-27fa6d577539"/>
    <ds:schemaRef ds:uri="278287c8-5be4-4613-8138-480f9be4824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39537-3B4C-4AED-BE4A-5E0A21A55426}">
  <ds:schemaRefs>
    <ds:schemaRef ds:uri="http://schemas.microsoft.com/office/2006/metadata/properties"/>
    <ds:schemaRef ds:uri="http://schemas.microsoft.com/office/infopath/2007/PartnerControls"/>
    <ds:schemaRef ds:uri="278287c8-5be4-4613-8138-480f9be48247"/>
    <ds:schemaRef ds:uri="a280f3ed-f921-4226-9525-27fa6d577539"/>
    <ds:schemaRef ds:uri="http://schemas.microsoft.com/sharepoint/v4"/>
  </ds:schemaRefs>
</ds:datastoreItem>
</file>

<file path=customXml/itemProps3.xml><?xml version="1.0" encoding="utf-8"?>
<ds:datastoreItem xmlns:ds="http://schemas.openxmlformats.org/officeDocument/2006/customXml" ds:itemID="{07EF804A-ED75-48DA-9F46-8AD1B4BA19F5}">
  <ds:schemaRefs>
    <ds:schemaRef ds:uri="http://schemas.microsoft.com/sharepoint/v3/contenttype/forms"/>
  </ds:schemaRefs>
</ds:datastoreItem>
</file>

<file path=customXml/itemProps4.xml><?xml version="1.0" encoding="utf-8"?>
<ds:datastoreItem xmlns:ds="http://schemas.openxmlformats.org/officeDocument/2006/customXml" ds:itemID="{AB3E0254-BCD2-48E7-A6C3-DF59945E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1676</Words>
  <Characters>10008</Characters>
  <Application>Microsoft Office Word</Application>
  <DocSecurity>0</DocSecurity>
  <Lines>131</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ROSSI Simona (SG-EXT)</cp:lastModifiedBy>
  <cp:revision>2</cp:revision>
  <cp:lastPrinted>2013-03-02T18:02:00Z</cp:lastPrinted>
  <dcterms:created xsi:type="dcterms:W3CDTF">2026-03-26T13:02:00Z</dcterms:created>
  <dcterms:modified xsi:type="dcterms:W3CDTF">2026-03-26T13:02:00Z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0x010100F099A588E0F14746BFAC081FD6A566B8</vt:lpwstr>
  </property>
  <property fmtid="{D5CDD505-2E9C-101B-9397-08002B2CF9AE}" pid="10" name="MediaServiceImageTags">
    <vt:lpwstr/>
  </property>
</Properties>
</file>