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B32683" w:rsidRDefault="00077C4F" w:rsidP="00442552">
      <w:pPr>
        <w:rPr>
          <w:rFonts w:ascii="Times New Roman" w:hAnsi="Times New Roman"/>
          <w:b/>
          <w:sz w:val="2"/>
          <w:szCs w:val="2"/>
          <w:u w:val="single"/>
        </w:rPr>
      </w:pPr>
    </w:p>
    <w:tbl>
      <w:tblPr>
        <w:tblW w:w="100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83"/>
      </w:tblGrid>
      <w:tr w:rsidR="001C4138" w:rsidRPr="00F23193" w14:paraId="7E6372DC" w14:textId="77777777" w:rsidTr="00B32683">
        <w:trPr>
          <w:jc w:val="center"/>
        </w:trPr>
        <w:tc>
          <w:tcPr>
            <w:tcW w:w="10083" w:type="dxa"/>
          </w:tcPr>
          <w:p w14:paraId="3A4EDC3A" w14:textId="068F44B2" w:rsidR="001C4138" w:rsidRPr="00E853E4" w:rsidRDefault="00E85DA1" w:rsidP="00B32683">
            <w:pPr>
              <w:widowControl w:val="0"/>
              <w:spacing w:before="120" w:after="120"/>
              <w:rPr>
                <w:rFonts w:ascii="Times New Roman" w:hAnsi="Times New Roman"/>
                <w:b/>
                <w:sz w:val="24"/>
                <w:szCs w:val="24"/>
              </w:rPr>
            </w:pPr>
            <w:r w:rsidRPr="00E853E4">
              <w:rPr>
                <w:rFonts w:ascii="Times New Roman" w:hAnsi="Times New Roman"/>
                <w:b/>
                <w:sz w:val="24"/>
                <w:szCs w:val="24"/>
              </w:rPr>
              <w:t>Defence-related investments in the EU budget</w:t>
            </w:r>
            <w:r w:rsidR="00E853E4" w:rsidRPr="00E853E4">
              <w:rPr>
                <w:rFonts w:ascii="Times New Roman" w:hAnsi="Times New Roman"/>
                <w:b/>
                <w:sz w:val="24"/>
                <w:szCs w:val="24"/>
              </w:rPr>
              <w:br/>
              <w:t>(mandatory opinion)</w:t>
            </w:r>
            <w:r w:rsidR="001C4138" w:rsidRPr="00E853E4">
              <w:rPr>
                <w:rFonts w:ascii="Times New Roman" w:hAnsi="Times New Roman"/>
                <w:b/>
                <w:sz w:val="24"/>
                <w:szCs w:val="24"/>
              </w:rPr>
              <w:br/>
            </w:r>
            <w:proofErr w:type="gramStart"/>
            <w:r w:rsidR="001C4138" w:rsidRPr="00E853E4">
              <w:rPr>
                <w:rFonts w:ascii="Times New Roman" w:hAnsi="Times New Roman"/>
                <w:b/>
                <w:sz w:val="24"/>
                <w:szCs w:val="24"/>
              </w:rPr>
              <w:t>COM(</w:t>
            </w:r>
            <w:proofErr w:type="gramEnd"/>
            <w:r w:rsidRPr="00E853E4">
              <w:rPr>
                <w:rFonts w:ascii="Times New Roman" w:hAnsi="Times New Roman"/>
                <w:b/>
                <w:sz w:val="24"/>
                <w:szCs w:val="24"/>
              </w:rPr>
              <w:t>2025</w:t>
            </w:r>
            <w:r w:rsidR="001C4138" w:rsidRPr="00E853E4">
              <w:rPr>
                <w:rFonts w:ascii="Times New Roman" w:hAnsi="Times New Roman"/>
                <w:b/>
                <w:sz w:val="24"/>
                <w:szCs w:val="24"/>
              </w:rPr>
              <w:t>)</w:t>
            </w:r>
            <w:r w:rsidRPr="00E853E4">
              <w:rPr>
                <w:rFonts w:ascii="Times New Roman" w:hAnsi="Times New Roman"/>
                <w:b/>
                <w:sz w:val="24"/>
                <w:szCs w:val="24"/>
              </w:rPr>
              <w:t xml:space="preserve"> 188</w:t>
            </w:r>
            <w:r w:rsidR="001C4138" w:rsidRPr="00E853E4">
              <w:rPr>
                <w:rFonts w:ascii="Times New Roman" w:hAnsi="Times New Roman"/>
                <w:b/>
                <w:sz w:val="24"/>
                <w:szCs w:val="24"/>
              </w:rPr>
              <w:t xml:space="preserve"> final</w:t>
            </w:r>
            <w:r w:rsidR="001C4138" w:rsidRPr="00E853E4">
              <w:rPr>
                <w:rFonts w:ascii="Times New Roman" w:hAnsi="Times New Roman"/>
                <w:b/>
                <w:sz w:val="24"/>
                <w:szCs w:val="24"/>
                <w:lang w:val="en-IE"/>
              </w:rPr>
              <w:br/>
              <w:t>EESC-202</w:t>
            </w:r>
            <w:r w:rsidRPr="00E853E4">
              <w:rPr>
                <w:rFonts w:ascii="Times New Roman" w:hAnsi="Times New Roman"/>
                <w:b/>
                <w:sz w:val="24"/>
                <w:szCs w:val="24"/>
                <w:lang w:val="en-IE"/>
              </w:rPr>
              <w:t>5</w:t>
            </w:r>
            <w:r w:rsidR="00460476" w:rsidRPr="00E853E4">
              <w:rPr>
                <w:rFonts w:ascii="Times New Roman" w:hAnsi="Times New Roman"/>
                <w:b/>
                <w:sz w:val="24"/>
                <w:szCs w:val="24"/>
                <w:lang w:val="en-IE"/>
              </w:rPr>
              <w:t xml:space="preserve">-01682 </w:t>
            </w:r>
            <w:r w:rsidR="001C4138" w:rsidRPr="00E853E4">
              <w:rPr>
                <w:rFonts w:ascii="Times New Roman" w:hAnsi="Times New Roman"/>
                <w:b/>
                <w:sz w:val="24"/>
                <w:szCs w:val="24"/>
              </w:rPr>
              <w:t>‒</w:t>
            </w:r>
            <w:r w:rsidRPr="00E853E4">
              <w:rPr>
                <w:rFonts w:ascii="Times New Roman" w:hAnsi="Times New Roman"/>
                <w:b/>
                <w:sz w:val="24"/>
                <w:szCs w:val="24"/>
              </w:rPr>
              <w:t xml:space="preserve"> ECO/679</w:t>
            </w:r>
            <w:r w:rsidR="001C4138" w:rsidRPr="00E853E4">
              <w:rPr>
                <w:rFonts w:ascii="Times New Roman" w:hAnsi="Times New Roman"/>
                <w:b/>
                <w:sz w:val="24"/>
                <w:szCs w:val="24"/>
              </w:rPr>
              <w:br/>
            </w:r>
            <w:r w:rsidR="00460476" w:rsidRPr="00E853E4">
              <w:rPr>
                <w:rFonts w:ascii="Times New Roman" w:hAnsi="Times New Roman"/>
                <w:b/>
                <w:sz w:val="24"/>
                <w:szCs w:val="24"/>
              </w:rPr>
              <w:t>599</w:t>
            </w:r>
            <w:proofErr w:type="spellStart"/>
            <w:r w:rsidR="001C4138" w:rsidRPr="00B32683">
              <w:rPr>
                <w:rFonts w:ascii="Times New Roman" w:hAnsi="Times New Roman"/>
                <w:b/>
                <w:sz w:val="24"/>
                <w:szCs w:val="24"/>
                <w:vertAlign w:val="superscript"/>
                <w:lang w:val="en-IE"/>
              </w:rPr>
              <w:t>th</w:t>
            </w:r>
            <w:proofErr w:type="spellEnd"/>
            <w:r w:rsidR="001C4138" w:rsidRPr="00B32683">
              <w:rPr>
                <w:rFonts w:ascii="Times New Roman" w:hAnsi="Times New Roman"/>
                <w:b/>
                <w:sz w:val="24"/>
                <w:szCs w:val="24"/>
                <w:lang w:val="en-IE"/>
              </w:rPr>
              <w:t xml:space="preserve"> </w:t>
            </w:r>
            <w:r w:rsidR="001C4138" w:rsidRPr="00E853E4">
              <w:rPr>
                <w:rFonts w:ascii="Times New Roman" w:hAnsi="Times New Roman"/>
                <w:b/>
                <w:sz w:val="24"/>
                <w:szCs w:val="24"/>
              </w:rPr>
              <w:t xml:space="preserve">Plenary Session – </w:t>
            </w:r>
            <w:r w:rsidR="00460476" w:rsidRPr="00E853E4">
              <w:rPr>
                <w:rFonts w:ascii="Times New Roman" w:hAnsi="Times New Roman"/>
                <w:b/>
                <w:sz w:val="24"/>
                <w:szCs w:val="24"/>
              </w:rPr>
              <w:t>September 2025</w:t>
            </w:r>
            <w:r w:rsidR="001C4138" w:rsidRPr="00E853E4">
              <w:rPr>
                <w:rFonts w:ascii="Times New Roman" w:hAnsi="Times New Roman"/>
                <w:b/>
                <w:sz w:val="24"/>
                <w:szCs w:val="24"/>
              </w:rPr>
              <w:br/>
              <w:t xml:space="preserve">Rapporteur: </w:t>
            </w:r>
            <w:r w:rsidR="00460476" w:rsidRPr="00E853E4">
              <w:rPr>
                <w:rFonts w:ascii="Times New Roman" w:hAnsi="Times New Roman"/>
                <w:b/>
                <w:sz w:val="24"/>
                <w:szCs w:val="24"/>
              </w:rPr>
              <w:t>Jacek KRAWCZYK</w:t>
            </w:r>
            <w:r w:rsidR="001C4138" w:rsidRPr="00E853E4">
              <w:rPr>
                <w:rFonts w:ascii="Times New Roman" w:hAnsi="Times New Roman"/>
                <w:b/>
                <w:sz w:val="24"/>
                <w:szCs w:val="24"/>
              </w:rPr>
              <w:t xml:space="preserve"> </w:t>
            </w:r>
            <w:r w:rsidR="008D48B5">
              <w:rPr>
                <w:rFonts w:ascii="Times New Roman" w:hAnsi="Times New Roman"/>
                <w:b/>
                <w:sz w:val="24"/>
                <w:szCs w:val="24"/>
              </w:rPr>
              <w:t>(</w:t>
            </w:r>
            <w:r w:rsidR="00E853E4" w:rsidRPr="00E853E4">
              <w:rPr>
                <w:rFonts w:ascii="Times New Roman" w:hAnsi="Times New Roman"/>
                <w:b/>
                <w:sz w:val="24"/>
                <w:szCs w:val="24"/>
              </w:rPr>
              <w:t>PL-</w:t>
            </w:r>
            <w:r w:rsidR="00460476" w:rsidRPr="00E853E4">
              <w:rPr>
                <w:rFonts w:ascii="Times New Roman" w:hAnsi="Times New Roman"/>
                <w:b/>
                <w:sz w:val="24"/>
                <w:szCs w:val="24"/>
              </w:rPr>
              <w:t>I</w:t>
            </w:r>
            <w:r w:rsidR="008D48B5">
              <w:rPr>
                <w:rFonts w:ascii="Times New Roman" w:hAnsi="Times New Roman"/>
                <w:b/>
                <w:sz w:val="24"/>
                <w:szCs w:val="24"/>
              </w:rPr>
              <w:t>)</w:t>
            </w:r>
            <w:r w:rsidR="00E853E4" w:rsidRPr="00E853E4">
              <w:rPr>
                <w:rFonts w:ascii="Times New Roman" w:hAnsi="Times New Roman"/>
                <w:b/>
                <w:sz w:val="24"/>
                <w:szCs w:val="24"/>
              </w:rPr>
              <w:br/>
            </w:r>
            <w:r w:rsidR="00E853E4" w:rsidRPr="00B32683">
              <w:rPr>
                <w:rFonts w:ascii="Times New Roman" w:hAnsi="Times New Roman"/>
                <w:b/>
                <w:sz w:val="24"/>
                <w:szCs w:val="24"/>
              </w:rPr>
              <w:t>Co-rapporteur: Florian MARIN (RO-II)</w:t>
            </w:r>
            <w:r w:rsidR="001C4138" w:rsidRPr="00E853E4">
              <w:rPr>
                <w:rFonts w:ascii="Times New Roman" w:hAnsi="Times New Roman"/>
                <w:b/>
                <w:sz w:val="24"/>
                <w:szCs w:val="24"/>
              </w:rPr>
              <w:br/>
              <w:t xml:space="preserve">DG </w:t>
            </w:r>
            <w:r w:rsidR="00460476" w:rsidRPr="00E853E4">
              <w:rPr>
                <w:rFonts w:ascii="Times New Roman" w:hAnsi="Times New Roman"/>
                <w:b/>
                <w:sz w:val="24"/>
                <w:szCs w:val="24"/>
              </w:rPr>
              <w:t>DEFIS</w:t>
            </w:r>
            <w:r w:rsidR="001C4138" w:rsidRPr="00E853E4">
              <w:rPr>
                <w:rFonts w:ascii="Times New Roman" w:hAnsi="Times New Roman"/>
                <w:b/>
                <w:sz w:val="24"/>
                <w:szCs w:val="24"/>
              </w:rPr>
              <w:t xml:space="preserve"> – Commissioner </w:t>
            </w:r>
            <w:r w:rsidR="00460476" w:rsidRPr="00E853E4">
              <w:rPr>
                <w:rFonts w:ascii="Times New Roman" w:hAnsi="Times New Roman"/>
                <w:b/>
                <w:sz w:val="24"/>
                <w:szCs w:val="24"/>
              </w:rPr>
              <w:t>KUBILIUS</w:t>
            </w:r>
          </w:p>
        </w:tc>
      </w:tr>
      <w:tr w:rsidR="00734613" w:rsidRPr="00F23193" w14:paraId="1937071F" w14:textId="77777777" w:rsidTr="00B32683">
        <w:trPr>
          <w:jc w:val="center"/>
        </w:trPr>
        <w:tc>
          <w:tcPr>
            <w:tcW w:w="10083" w:type="dxa"/>
          </w:tcPr>
          <w:p w14:paraId="1E50B4DB" w14:textId="1B23EF16" w:rsidR="00734613" w:rsidRPr="00F23193" w:rsidRDefault="004F6117" w:rsidP="00B32683">
            <w:pPr>
              <w:widowControl w:val="0"/>
              <w:spacing w:before="120" w:after="120"/>
              <w:jc w:val="center"/>
              <w:rPr>
                <w:rFonts w:ascii="Times New Roman" w:hAnsi="Times New Roman"/>
                <w:b/>
                <w:sz w:val="24"/>
                <w:szCs w:val="24"/>
              </w:rPr>
            </w:pPr>
            <w:r w:rsidRPr="00F23193">
              <w:rPr>
                <w:rFonts w:ascii="Times New Roman" w:hAnsi="Times New Roman"/>
                <w:b/>
                <w:sz w:val="24"/>
                <w:szCs w:val="24"/>
              </w:rPr>
              <w:t>European Commission position on points</w:t>
            </w:r>
            <w:r w:rsidRPr="00F23193">
              <w:rPr>
                <w:rFonts w:ascii="Times New Roman" w:hAnsi="Times New Roman"/>
                <w:b/>
                <w:sz w:val="24"/>
                <w:szCs w:val="24"/>
              </w:rPr>
              <w:br/>
              <w:t>of the European Economic and Social Committee</w:t>
            </w:r>
            <w:r w:rsidR="00E853E4">
              <w:rPr>
                <w:rFonts w:ascii="Times New Roman" w:hAnsi="Times New Roman"/>
                <w:b/>
                <w:sz w:val="24"/>
                <w:szCs w:val="24"/>
              </w:rPr>
              <w:t xml:space="preserve"> (EESC)</w:t>
            </w:r>
            <w:r w:rsidRPr="00F23193">
              <w:rPr>
                <w:rFonts w:ascii="Times New Roman" w:hAnsi="Times New Roman"/>
                <w:b/>
                <w:sz w:val="24"/>
                <w:szCs w:val="24"/>
              </w:rPr>
              <w:t xml:space="preserve"> opinion</w:t>
            </w:r>
            <w:r w:rsidR="00E83C12" w:rsidRPr="00F23193">
              <w:rPr>
                <w:rFonts w:ascii="Times New Roman" w:hAnsi="Times New Roman"/>
                <w:b/>
                <w:sz w:val="24"/>
                <w:szCs w:val="24"/>
              </w:rPr>
              <w:t xml:space="preserve"> considered as essential</w:t>
            </w:r>
          </w:p>
        </w:tc>
      </w:tr>
      <w:tr w:rsidR="00734613" w:rsidRPr="008D48B5" w14:paraId="673DDC1B" w14:textId="77777777" w:rsidTr="00B32683">
        <w:trPr>
          <w:jc w:val="center"/>
        </w:trPr>
        <w:tc>
          <w:tcPr>
            <w:tcW w:w="10083" w:type="dxa"/>
          </w:tcPr>
          <w:p w14:paraId="0A10020C" w14:textId="1A5AFB17" w:rsidR="3680807F" w:rsidRPr="008D48B5" w:rsidRDefault="00460476"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 xml:space="preserve">The Commission thanks the Committee for its opinion on </w:t>
            </w:r>
            <w:r w:rsidR="00AA1A01" w:rsidRPr="008D48B5">
              <w:rPr>
                <w:rFonts w:ascii="Times New Roman" w:hAnsi="Times New Roman"/>
                <w:sz w:val="24"/>
                <w:szCs w:val="24"/>
              </w:rPr>
              <w:t>incentivising d</w:t>
            </w:r>
            <w:r w:rsidRPr="008D48B5">
              <w:rPr>
                <w:rFonts w:ascii="Times New Roman" w:hAnsi="Times New Roman"/>
                <w:sz w:val="24"/>
                <w:szCs w:val="24"/>
              </w:rPr>
              <w:t>efence-related investments in the EU budget.</w:t>
            </w:r>
            <w:r w:rsidR="28C7E006" w:rsidRPr="008D48B5">
              <w:rPr>
                <w:rFonts w:ascii="Times New Roman" w:hAnsi="Times New Roman"/>
                <w:sz w:val="24"/>
                <w:szCs w:val="24"/>
              </w:rPr>
              <w:t xml:space="preserve"> We welcome the recommendations included in the report and appreciate the thoughtful consideration given</w:t>
            </w:r>
            <w:r w:rsidR="00CF4950" w:rsidRPr="008D48B5">
              <w:rPr>
                <w:rFonts w:ascii="Times New Roman" w:hAnsi="Times New Roman"/>
                <w:sz w:val="24"/>
                <w:szCs w:val="24"/>
              </w:rPr>
              <w:t xml:space="preserve"> to</w:t>
            </w:r>
            <w:r w:rsidR="28C7E006" w:rsidRPr="008D48B5">
              <w:rPr>
                <w:rFonts w:ascii="Times New Roman" w:hAnsi="Times New Roman"/>
                <w:sz w:val="24"/>
                <w:szCs w:val="24"/>
              </w:rPr>
              <w:t xml:space="preserve"> the legislative proposal</w:t>
            </w:r>
            <w:r w:rsidR="00CE632E" w:rsidRPr="008D48B5">
              <w:rPr>
                <w:rFonts w:ascii="Times New Roman" w:hAnsi="Times New Roman"/>
                <w:sz w:val="24"/>
                <w:szCs w:val="24"/>
              </w:rPr>
              <w:t>, which in the meantime has been adopted by the co-legislators.</w:t>
            </w:r>
          </w:p>
          <w:p w14:paraId="0147A3F8" w14:textId="0686D80B" w:rsidR="3680807F" w:rsidRPr="008D48B5" w:rsidRDefault="28C7E006"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 xml:space="preserve">The current geopolitical landscape poses significant threats to Europe's security and stability, and it is imperative that we act swiftly to address these challenges. The Russian </w:t>
            </w:r>
            <w:r w:rsidR="00CF4950" w:rsidRPr="008D48B5">
              <w:rPr>
                <w:rFonts w:ascii="Times New Roman" w:hAnsi="Times New Roman"/>
                <w:sz w:val="24"/>
                <w:szCs w:val="24"/>
              </w:rPr>
              <w:t xml:space="preserve">war of </w:t>
            </w:r>
            <w:r w:rsidRPr="008D48B5">
              <w:rPr>
                <w:rFonts w:ascii="Times New Roman" w:hAnsi="Times New Roman"/>
                <w:sz w:val="24"/>
                <w:szCs w:val="24"/>
              </w:rPr>
              <w:t>aggression against Ukraine and the evolving security environment have highlighted the need for the EU to take more responsibility for its own security and defence. The</w:t>
            </w:r>
            <w:r w:rsidR="00BE16EF" w:rsidRPr="008D48B5">
              <w:rPr>
                <w:rFonts w:ascii="Times New Roman" w:hAnsi="Times New Roman"/>
                <w:sz w:val="24"/>
                <w:szCs w:val="24"/>
              </w:rPr>
              <w:t xml:space="preserve"> Regulation </w:t>
            </w:r>
            <w:r w:rsidR="00CE632E" w:rsidRPr="008D48B5">
              <w:rPr>
                <w:rFonts w:ascii="Times New Roman" w:hAnsi="Times New Roman"/>
                <w:sz w:val="24"/>
                <w:szCs w:val="24"/>
              </w:rPr>
              <w:t>of 1</w:t>
            </w:r>
            <w:r w:rsidR="009E085C" w:rsidRPr="008D48B5">
              <w:rPr>
                <w:rFonts w:ascii="Times New Roman" w:hAnsi="Times New Roman"/>
                <w:sz w:val="24"/>
                <w:szCs w:val="24"/>
              </w:rPr>
              <w:t>9</w:t>
            </w:r>
            <w:r w:rsidR="008D48B5">
              <w:rPr>
                <w:rFonts w:ascii="Times New Roman" w:hAnsi="Times New Roman"/>
                <w:sz w:val="24"/>
                <w:szCs w:val="24"/>
              </w:rPr>
              <w:t> </w:t>
            </w:r>
            <w:r w:rsidR="00CE632E" w:rsidRPr="008D48B5">
              <w:rPr>
                <w:rFonts w:ascii="Times New Roman" w:hAnsi="Times New Roman"/>
                <w:sz w:val="24"/>
                <w:szCs w:val="24"/>
              </w:rPr>
              <w:t xml:space="preserve">December 2025 </w:t>
            </w:r>
            <w:r w:rsidR="00BE16EF" w:rsidRPr="008D48B5">
              <w:rPr>
                <w:rFonts w:ascii="Times New Roman" w:hAnsi="Times New Roman"/>
                <w:sz w:val="24"/>
                <w:szCs w:val="24"/>
              </w:rPr>
              <w:t>to incentivise defence-related investments in the EU budget</w:t>
            </w:r>
            <w:r w:rsidR="00CE632E" w:rsidRPr="008D48B5">
              <w:rPr>
                <w:rFonts w:ascii="Times New Roman" w:hAnsi="Times New Roman"/>
                <w:sz w:val="24"/>
                <w:szCs w:val="24"/>
              </w:rPr>
              <w:t xml:space="preserve"> </w:t>
            </w:r>
            <w:r w:rsidRPr="008D48B5">
              <w:rPr>
                <w:rFonts w:ascii="Times New Roman" w:hAnsi="Times New Roman"/>
                <w:sz w:val="24"/>
                <w:szCs w:val="24"/>
              </w:rPr>
              <w:t xml:space="preserve">is an integral part of the </w:t>
            </w:r>
            <w:proofErr w:type="spellStart"/>
            <w:r w:rsidRPr="008D48B5">
              <w:rPr>
                <w:rFonts w:ascii="Times New Roman" w:hAnsi="Times New Roman"/>
                <w:sz w:val="24"/>
                <w:szCs w:val="24"/>
              </w:rPr>
              <w:t>ReArm</w:t>
            </w:r>
            <w:proofErr w:type="spellEnd"/>
            <w:r w:rsidRPr="008D48B5">
              <w:rPr>
                <w:rFonts w:ascii="Times New Roman" w:hAnsi="Times New Roman"/>
                <w:sz w:val="24"/>
                <w:szCs w:val="24"/>
              </w:rPr>
              <w:t xml:space="preserve"> Europe P</w:t>
            </w:r>
            <w:r w:rsidR="00CF4950" w:rsidRPr="008D48B5">
              <w:rPr>
                <w:rFonts w:ascii="Times New Roman" w:hAnsi="Times New Roman"/>
                <w:sz w:val="24"/>
                <w:szCs w:val="24"/>
              </w:rPr>
              <w:t>l</w:t>
            </w:r>
            <w:r w:rsidRPr="008D48B5">
              <w:rPr>
                <w:rFonts w:ascii="Times New Roman" w:hAnsi="Times New Roman"/>
                <w:sz w:val="24"/>
                <w:szCs w:val="24"/>
              </w:rPr>
              <w:t>a</w:t>
            </w:r>
            <w:r w:rsidR="00AA1A01" w:rsidRPr="008D48B5">
              <w:rPr>
                <w:rFonts w:ascii="Times New Roman" w:hAnsi="Times New Roman"/>
                <w:sz w:val="24"/>
                <w:szCs w:val="24"/>
              </w:rPr>
              <w:t>n</w:t>
            </w:r>
            <w:r w:rsidR="00A13967" w:rsidRPr="008D48B5">
              <w:rPr>
                <w:rStyle w:val="FootnoteReference"/>
                <w:rFonts w:ascii="Times New Roman" w:hAnsi="Times New Roman"/>
                <w:sz w:val="24"/>
                <w:szCs w:val="24"/>
              </w:rPr>
              <w:footnoteReference w:id="2"/>
            </w:r>
            <w:r w:rsidRPr="008D48B5">
              <w:rPr>
                <w:rFonts w:ascii="Times New Roman" w:hAnsi="Times New Roman"/>
                <w:sz w:val="24"/>
                <w:szCs w:val="24"/>
              </w:rPr>
              <w:t xml:space="preserve"> and a</w:t>
            </w:r>
            <w:r w:rsidR="005F7096" w:rsidRPr="008D48B5">
              <w:rPr>
                <w:rFonts w:ascii="Times New Roman" w:hAnsi="Times New Roman"/>
                <w:sz w:val="24"/>
                <w:szCs w:val="24"/>
              </w:rPr>
              <w:t> </w:t>
            </w:r>
            <w:r w:rsidRPr="008D48B5">
              <w:rPr>
                <w:rFonts w:ascii="Times New Roman" w:hAnsi="Times New Roman"/>
                <w:sz w:val="24"/>
                <w:szCs w:val="24"/>
              </w:rPr>
              <w:t xml:space="preserve">direct </w:t>
            </w:r>
            <w:r w:rsidR="00BE16EF" w:rsidRPr="008D48B5">
              <w:rPr>
                <w:rFonts w:ascii="Times New Roman" w:hAnsi="Times New Roman"/>
                <w:sz w:val="24"/>
                <w:szCs w:val="24"/>
              </w:rPr>
              <w:t>complement</w:t>
            </w:r>
            <w:r w:rsidRPr="008D48B5">
              <w:rPr>
                <w:rFonts w:ascii="Times New Roman" w:hAnsi="Times New Roman"/>
                <w:sz w:val="24"/>
                <w:szCs w:val="24"/>
              </w:rPr>
              <w:t xml:space="preserve"> to the mid-term review of cohesion policy </w:t>
            </w:r>
            <w:r w:rsidR="00D36F33" w:rsidRPr="008D48B5">
              <w:rPr>
                <w:rFonts w:ascii="Times New Roman" w:hAnsi="Times New Roman"/>
                <w:sz w:val="24"/>
                <w:szCs w:val="24"/>
              </w:rPr>
              <w:t xml:space="preserve">legislative package </w:t>
            </w:r>
            <w:r w:rsidRPr="008D48B5">
              <w:rPr>
                <w:rFonts w:ascii="Times New Roman" w:hAnsi="Times New Roman"/>
                <w:sz w:val="24"/>
                <w:szCs w:val="24"/>
              </w:rPr>
              <w:t>published on 1</w:t>
            </w:r>
            <w:r w:rsidRPr="00272C1E">
              <w:rPr>
                <w:rFonts w:ascii="Times New Roman" w:hAnsi="Times New Roman"/>
                <w:sz w:val="24"/>
                <w:szCs w:val="24"/>
                <w:vertAlign w:val="superscript"/>
              </w:rPr>
              <w:t>st</w:t>
            </w:r>
            <w:r w:rsidR="008D48B5">
              <w:rPr>
                <w:rFonts w:ascii="Times New Roman" w:hAnsi="Times New Roman"/>
                <w:sz w:val="24"/>
                <w:szCs w:val="24"/>
              </w:rPr>
              <w:t> </w:t>
            </w:r>
            <w:r w:rsidRPr="008D48B5">
              <w:rPr>
                <w:rFonts w:ascii="Times New Roman" w:hAnsi="Times New Roman"/>
                <w:sz w:val="24"/>
                <w:szCs w:val="24"/>
              </w:rPr>
              <w:t>April</w:t>
            </w:r>
            <w:r w:rsidR="00F8113D" w:rsidRPr="008D48B5">
              <w:rPr>
                <w:rFonts w:ascii="Times New Roman" w:hAnsi="Times New Roman"/>
                <w:sz w:val="24"/>
                <w:szCs w:val="24"/>
              </w:rPr>
              <w:t xml:space="preserve">, </w:t>
            </w:r>
            <w:r w:rsidR="006F64F3" w:rsidRPr="008D48B5">
              <w:rPr>
                <w:rFonts w:ascii="Times New Roman" w:hAnsi="Times New Roman"/>
                <w:sz w:val="24"/>
                <w:szCs w:val="24"/>
              </w:rPr>
              <w:t>adopted on 18</w:t>
            </w:r>
            <w:r w:rsidR="008D48B5">
              <w:rPr>
                <w:rFonts w:ascii="Times New Roman" w:hAnsi="Times New Roman"/>
                <w:sz w:val="24"/>
                <w:szCs w:val="24"/>
              </w:rPr>
              <w:t> </w:t>
            </w:r>
            <w:r w:rsidR="006F64F3" w:rsidRPr="008D48B5">
              <w:rPr>
                <w:rFonts w:ascii="Times New Roman" w:hAnsi="Times New Roman"/>
                <w:sz w:val="24"/>
                <w:szCs w:val="24"/>
              </w:rPr>
              <w:t>September</w:t>
            </w:r>
            <w:r w:rsidR="00F8113D" w:rsidRPr="008D48B5">
              <w:rPr>
                <w:rFonts w:ascii="Times New Roman" w:hAnsi="Times New Roman"/>
                <w:sz w:val="24"/>
                <w:szCs w:val="24"/>
              </w:rPr>
              <w:t xml:space="preserve"> </w:t>
            </w:r>
            <w:r w:rsidR="008D48B5">
              <w:rPr>
                <w:rFonts w:ascii="Times New Roman" w:hAnsi="Times New Roman"/>
                <w:sz w:val="24"/>
                <w:szCs w:val="24"/>
              </w:rPr>
              <w:t xml:space="preserve">2025 </w:t>
            </w:r>
            <w:r w:rsidR="00F8113D" w:rsidRPr="008D48B5">
              <w:rPr>
                <w:rFonts w:ascii="Times New Roman" w:hAnsi="Times New Roman"/>
                <w:sz w:val="24"/>
                <w:szCs w:val="24"/>
              </w:rPr>
              <w:t>and entered into force on 20</w:t>
            </w:r>
            <w:r w:rsidR="008D48B5">
              <w:rPr>
                <w:rFonts w:ascii="Times New Roman" w:hAnsi="Times New Roman"/>
                <w:sz w:val="24"/>
                <w:szCs w:val="24"/>
              </w:rPr>
              <w:t> </w:t>
            </w:r>
            <w:r w:rsidR="00F8113D" w:rsidRPr="008D48B5">
              <w:rPr>
                <w:rFonts w:ascii="Times New Roman" w:hAnsi="Times New Roman"/>
                <w:sz w:val="24"/>
                <w:szCs w:val="24"/>
              </w:rPr>
              <w:t>September 2025</w:t>
            </w:r>
            <w:r w:rsidRPr="008D48B5">
              <w:rPr>
                <w:rFonts w:ascii="Times New Roman" w:hAnsi="Times New Roman"/>
                <w:sz w:val="24"/>
                <w:szCs w:val="24"/>
              </w:rPr>
              <w:t xml:space="preserve">. It responds to one of the key pillars of </w:t>
            </w:r>
            <w:proofErr w:type="spellStart"/>
            <w:r w:rsidRPr="008D48B5">
              <w:rPr>
                <w:rFonts w:ascii="Times New Roman" w:hAnsi="Times New Roman"/>
                <w:sz w:val="24"/>
                <w:szCs w:val="24"/>
              </w:rPr>
              <w:t>ReArm</w:t>
            </w:r>
            <w:proofErr w:type="spellEnd"/>
            <w:r w:rsidRPr="008D48B5">
              <w:rPr>
                <w:rFonts w:ascii="Times New Roman" w:hAnsi="Times New Roman"/>
                <w:sz w:val="24"/>
                <w:szCs w:val="24"/>
              </w:rPr>
              <w:t xml:space="preserve"> Europe: the need to incentivise defence-related investment in the EU budget.</w:t>
            </w:r>
          </w:p>
          <w:p w14:paraId="5AB9F542" w14:textId="7BA4163A" w:rsidR="3680807F" w:rsidRPr="008D48B5" w:rsidRDefault="14B68719" w:rsidP="008D48B5">
            <w:pPr>
              <w:widowControl w:val="0"/>
              <w:spacing w:before="120" w:after="120"/>
              <w:jc w:val="both"/>
              <w:rPr>
                <w:rFonts w:ascii="Times New Roman" w:hAnsi="Times New Roman"/>
                <w:sz w:val="24"/>
                <w:szCs w:val="24"/>
              </w:rPr>
            </w:pPr>
            <w:r w:rsidRPr="008D48B5">
              <w:rPr>
                <w:rFonts w:ascii="Times New Roman" w:eastAsia="Times New Roman" w:hAnsi="Times New Roman"/>
                <w:color w:val="000000"/>
                <w:sz w:val="24"/>
                <w:szCs w:val="24"/>
              </w:rPr>
              <w:t xml:space="preserve">The Commission welcomes the interest of the Committee </w:t>
            </w:r>
            <w:r w:rsidR="000C6F32" w:rsidRPr="008D48B5">
              <w:rPr>
                <w:rFonts w:ascii="Times New Roman" w:eastAsia="Times New Roman" w:hAnsi="Times New Roman"/>
                <w:color w:val="000000"/>
                <w:sz w:val="24"/>
                <w:szCs w:val="24"/>
              </w:rPr>
              <w:t>in</w:t>
            </w:r>
            <w:r w:rsidR="005169C5" w:rsidRPr="008D48B5">
              <w:rPr>
                <w:rFonts w:ascii="Times New Roman" w:eastAsia="Times New Roman" w:hAnsi="Times New Roman"/>
                <w:color w:val="000000"/>
                <w:sz w:val="24"/>
                <w:szCs w:val="24"/>
              </w:rPr>
              <w:t xml:space="preserve"> the Union Secure Connectivity Programme</w:t>
            </w:r>
            <w:r w:rsidR="008D48B5">
              <w:rPr>
                <w:rFonts w:ascii="Times New Roman" w:eastAsia="Times New Roman" w:hAnsi="Times New Roman"/>
                <w:color w:val="000000"/>
                <w:sz w:val="24"/>
                <w:szCs w:val="24"/>
              </w:rPr>
              <w:t> </w:t>
            </w:r>
            <w:r w:rsidR="005169C5" w:rsidRPr="008D48B5">
              <w:rPr>
                <w:rFonts w:ascii="Times New Roman" w:eastAsia="Times New Roman" w:hAnsi="Times New Roman"/>
                <w:color w:val="000000"/>
                <w:sz w:val="24"/>
                <w:szCs w:val="24"/>
              </w:rPr>
              <w:t>(</w:t>
            </w:r>
            <w:r w:rsidRPr="008D48B5">
              <w:rPr>
                <w:rFonts w:ascii="Times New Roman" w:eastAsia="Times New Roman" w:hAnsi="Times New Roman"/>
                <w:color w:val="000000"/>
                <w:sz w:val="24"/>
                <w:szCs w:val="24"/>
              </w:rPr>
              <w:t>IRIS²</w:t>
            </w:r>
            <w:r w:rsidR="005169C5" w:rsidRPr="008D48B5">
              <w:rPr>
                <w:rFonts w:ascii="Times New Roman" w:eastAsia="Times New Roman" w:hAnsi="Times New Roman"/>
                <w:color w:val="000000"/>
                <w:sz w:val="24"/>
                <w:szCs w:val="24"/>
              </w:rPr>
              <w:t>)</w:t>
            </w:r>
            <w:r w:rsidR="005169C5" w:rsidRPr="008D48B5">
              <w:rPr>
                <w:rStyle w:val="FootnoteReference"/>
                <w:rFonts w:ascii="Times New Roman" w:eastAsia="Times New Roman" w:hAnsi="Times New Roman"/>
                <w:color w:val="000000"/>
                <w:sz w:val="24"/>
                <w:szCs w:val="24"/>
              </w:rPr>
              <w:footnoteReference w:id="3"/>
            </w:r>
            <w:r w:rsidRPr="008D48B5">
              <w:rPr>
                <w:rFonts w:ascii="Times New Roman" w:eastAsia="Times New Roman" w:hAnsi="Times New Roman"/>
                <w:color w:val="000000"/>
                <w:sz w:val="24"/>
                <w:szCs w:val="24"/>
              </w:rPr>
              <w:t xml:space="preserve"> and its support </w:t>
            </w:r>
            <w:r w:rsidR="000C6F32" w:rsidRPr="008D48B5">
              <w:rPr>
                <w:rFonts w:ascii="Times New Roman" w:eastAsia="Times New Roman" w:hAnsi="Times New Roman"/>
                <w:color w:val="000000"/>
                <w:sz w:val="24"/>
                <w:szCs w:val="24"/>
              </w:rPr>
              <w:t>for</w:t>
            </w:r>
            <w:r w:rsidRPr="008D48B5">
              <w:rPr>
                <w:rFonts w:ascii="Times New Roman" w:eastAsia="Times New Roman" w:hAnsi="Times New Roman"/>
                <w:color w:val="000000"/>
                <w:sz w:val="24"/>
                <w:szCs w:val="24"/>
              </w:rPr>
              <w:t xml:space="preserve"> the Programme. IRIS</w:t>
            </w:r>
            <w:r w:rsidRPr="008D48B5">
              <w:rPr>
                <w:rFonts w:ascii="Times New Roman" w:eastAsia="Times New Roman" w:hAnsi="Times New Roman"/>
                <w:color w:val="000000"/>
                <w:sz w:val="24"/>
                <w:szCs w:val="24"/>
                <w:vertAlign w:val="superscript"/>
              </w:rPr>
              <w:t>2</w:t>
            </w:r>
            <w:r w:rsidRPr="008D48B5">
              <w:rPr>
                <w:rFonts w:ascii="Times New Roman" w:eastAsia="Times New Roman" w:hAnsi="Times New Roman"/>
                <w:color w:val="000000"/>
                <w:sz w:val="24"/>
                <w:szCs w:val="24"/>
              </w:rPr>
              <w:t xml:space="preserve"> aims to provide secure low latency connectivity services to EU and Member State governmental actors as well as broadband connectivity for governmental authorities, private companies and European citizens. It represents a</w:t>
            </w:r>
            <w:r w:rsidR="005F7096" w:rsidRPr="008D48B5">
              <w:rPr>
                <w:rFonts w:ascii="Times New Roman" w:eastAsia="Times New Roman" w:hAnsi="Times New Roman"/>
                <w:color w:val="000000"/>
                <w:sz w:val="24"/>
                <w:szCs w:val="24"/>
              </w:rPr>
              <w:t> </w:t>
            </w:r>
            <w:r w:rsidRPr="008D48B5">
              <w:rPr>
                <w:rFonts w:ascii="Times New Roman" w:eastAsia="Times New Roman" w:hAnsi="Times New Roman"/>
                <w:color w:val="000000"/>
                <w:sz w:val="24"/>
                <w:szCs w:val="24"/>
              </w:rPr>
              <w:t xml:space="preserve">significant step towards Europe's strategic autonomy and resilience, representing a strategic enabler to enhance synergies with defence and security. As underlined by the Committee, </w:t>
            </w:r>
            <w:proofErr w:type="gramStart"/>
            <w:r w:rsidRPr="008D48B5">
              <w:rPr>
                <w:rFonts w:ascii="Times New Roman" w:eastAsia="Times New Roman" w:hAnsi="Times New Roman"/>
                <w:color w:val="000000"/>
                <w:sz w:val="24"/>
                <w:szCs w:val="24"/>
              </w:rPr>
              <w:t>in order to</w:t>
            </w:r>
            <w:proofErr w:type="gramEnd"/>
            <w:r w:rsidRPr="008D48B5">
              <w:rPr>
                <w:rFonts w:ascii="Times New Roman" w:eastAsia="Times New Roman" w:hAnsi="Times New Roman"/>
                <w:color w:val="000000"/>
                <w:sz w:val="24"/>
                <w:szCs w:val="24"/>
              </w:rPr>
              <w:t xml:space="preserve"> provide services covering all white zones currently, additional satellites would need to be procured with a view to enhancing the related capabilities, leading to the need for further investments. As regards the reference to IRIS</w:t>
            </w:r>
            <w:r w:rsidRPr="008D48B5">
              <w:rPr>
                <w:rFonts w:ascii="Times New Roman" w:eastAsia="Times New Roman" w:hAnsi="Times New Roman"/>
                <w:color w:val="000000"/>
                <w:sz w:val="24"/>
                <w:szCs w:val="24"/>
                <w:vertAlign w:val="superscript"/>
              </w:rPr>
              <w:t>2</w:t>
            </w:r>
            <w:r w:rsidRPr="008D48B5">
              <w:rPr>
                <w:rFonts w:ascii="Times New Roman" w:eastAsia="Times New Roman" w:hAnsi="Times New Roman"/>
                <w:color w:val="000000"/>
                <w:sz w:val="24"/>
                <w:szCs w:val="24"/>
              </w:rPr>
              <w:t xml:space="preserve"> and </w:t>
            </w:r>
            <w:r w:rsidR="008D48B5">
              <w:rPr>
                <w:rFonts w:ascii="Times New Roman" w:eastAsia="Times New Roman" w:hAnsi="Times New Roman"/>
                <w:color w:val="000000"/>
                <w:sz w:val="24"/>
                <w:szCs w:val="24"/>
              </w:rPr>
              <w:t>artificial intelligence (</w:t>
            </w:r>
            <w:r w:rsidRPr="008D48B5">
              <w:rPr>
                <w:rFonts w:ascii="Times New Roman" w:eastAsia="Times New Roman" w:hAnsi="Times New Roman"/>
                <w:color w:val="000000"/>
                <w:sz w:val="24"/>
                <w:szCs w:val="24"/>
              </w:rPr>
              <w:t>AI</w:t>
            </w:r>
            <w:r w:rsidR="008D48B5">
              <w:rPr>
                <w:rFonts w:ascii="Times New Roman" w:eastAsia="Times New Roman" w:hAnsi="Times New Roman"/>
                <w:color w:val="000000"/>
                <w:sz w:val="24"/>
                <w:szCs w:val="24"/>
              </w:rPr>
              <w:t>)</w:t>
            </w:r>
            <w:r w:rsidRPr="008D48B5">
              <w:rPr>
                <w:rFonts w:ascii="Times New Roman" w:eastAsia="Times New Roman" w:hAnsi="Times New Roman"/>
                <w:color w:val="000000"/>
                <w:sz w:val="24"/>
                <w:szCs w:val="24"/>
              </w:rPr>
              <w:t xml:space="preserve"> made by the Committee, please note that IRIS² will provide space data relay services allowing for the integration of real-time intelligence and communication capabilities using Member States’ assets. IRIS² will therefore provide an autonomous and secure non-terrestrial network critical for common EU defence, complementing ground systems. Satellite connectivity could also support the development of European AI models by providing access to secure </w:t>
            </w:r>
            <w:r w:rsidRPr="008D48B5">
              <w:rPr>
                <w:rFonts w:ascii="Times New Roman" w:eastAsia="Times New Roman" w:hAnsi="Times New Roman"/>
                <w:color w:val="000000"/>
                <w:sz w:val="24"/>
                <w:szCs w:val="24"/>
              </w:rPr>
              <w:lastRenderedPageBreak/>
              <w:t>connectivity and support the transfer of intelligence data using space data relays. However, these additional functionalities for IRIS² would require additional funding to cover capacity building in Member States and increase the total capacity of the constellation.</w:t>
            </w:r>
          </w:p>
          <w:p w14:paraId="379E5E5C" w14:textId="61D42C9E" w:rsidR="3680807F" w:rsidRPr="008D48B5" w:rsidRDefault="00AA1A01" w:rsidP="008D48B5">
            <w:pPr>
              <w:widowControl w:val="0"/>
              <w:spacing w:before="120" w:after="120"/>
              <w:jc w:val="both"/>
              <w:rPr>
                <w:rFonts w:ascii="Times New Roman" w:eastAsia="Times New Roman" w:hAnsi="Times New Roman"/>
                <w:color w:val="000000"/>
                <w:sz w:val="24"/>
                <w:szCs w:val="24"/>
              </w:rPr>
            </w:pPr>
            <w:r w:rsidRPr="008D48B5">
              <w:rPr>
                <w:rFonts w:ascii="Times New Roman" w:eastAsia="Times New Roman" w:hAnsi="Times New Roman"/>
                <w:color w:val="000000"/>
                <w:sz w:val="24"/>
                <w:szCs w:val="24"/>
              </w:rPr>
              <w:t xml:space="preserve">The Regulation on </w:t>
            </w:r>
            <w:r w:rsidR="00CE632E" w:rsidRPr="008D48B5">
              <w:rPr>
                <w:rFonts w:ascii="Times New Roman" w:eastAsia="Times New Roman" w:hAnsi="Times New Roman"/>
                <w:color w:val="000000"/>
                <w:sz w:val="24"/>
                <w:szCs w:val="24"/>
              </w:rPr>
              <w:t xml:space="preserve">incentivising </w:t>
            </w:r>
            <w:r w:rsidR="00CE632E" w:rsidRPr="008D48B5">
              <w:rPr>
                <w:rFonts w:ascii="Times New Roman" w:hAnsi="Times New Roman"/>
                <w:sz w:val="24"/>
                <w:szCs w:val="24"/>
              </w:rPr>
              <w:t>d</w:t>
            </w:r>
            <w:r w:rsidRPr="008D48B5">
              <w:rPr>
                <w:rFonts w:ascii="Times New Roman" w:hAnsi="Times New Roman"/>
                <w:sz w:val="24"/>
                <w:szCs w:val="24"/>
              </w:rPr>
              <w:t>efence-related investments in the EU budget</w:t>
            </w:r>
            <w:r w:rsidR="52E27AAF" w:rsidRPr="008D48B5">
              <w:rPr>
                <w:rFonts w:ascii="Times New Roman" w:eastAsia="Times New Roman" w:hAnsi="Times New Roman"/>
                <w:color w:val="000000"/>
                <w:sz w:val="24"/>
                <w:szCs w:val="24"/>
              </w:rPr>
              <w:t xml:space="preserve"> aims to </w:t>
            </w:r>
            <w:r w:rsidR="00BE16EF" w:rsidRPr="008D48B5">
              <w:rPr>
                <w:rFonts w:ascii="Times New Roman" w:eastAsia="Times New Roman" w:hAnsi="Times New Roman"/>
                <w:color w:val="000000"/>
                <w:sz w:val="24"/>
                <w:szCs w:val="24"/>
              </w:rPr>
              <w:t xml:space="preserve">provide </w:t>
            </w:r>
            <w:r w:rsidR="52E27AAF" w:rsidRPr="008D48B5">
              <w:rPr>
                <w:rFonts w:ascii="Times New Roman" w:eastAsia="Times New Roman" w:hAnsi="Times New Roman"/>
                <w:color w:val="000000"/>
                <w:sz w:val="24"/>
                <w:szCs w:val="24"/>
              </w:rPr>
              <w:t xml:space="preserve">flexibility to Member States in the use of their cohesion funds for defence purposes, particularly </w:t>
            </w:r>
            <w:r w:rsidR="00BE16EF" w:rsidRPr="008D48B5">
              <w:rPr>
                <w:rFonts w:ascii="Times New Roman" w:eastAsia="Times New Roman" w:hAnsi="Times New Roman"/>
                <w:color w:val="000000"/>
                <w:sz w:val="24"/>
                <w:szCs w:val="24"/>
              </w:rPr>
              <w:t>for</w:t>
            </w:r>
            <w:r w:rsidR="52E27AAF" w:rsidRPr="008D48B5">
              <w:rPr>
                <w:rFonts w:ascii="Times New Roman" w:eastAsia="Times New Roman" w:hAnsi="Times New Roman"/>
                <w:color w:val="000000"/>
                <w:sz w:val="24"/>
                <w:szCs w:val="24"/>
              </w:rPr>
              <w:t xml:space="preserve"> </w:t>
            </w:r>
            <w:r w:rsidR="000C6F32" w:rsidRPr="008D48B5">
              <w:rPr>
                <w:rFonts w:ascii="Times New Roman" w:eastAsia="Times New Roman" w:hAnsi="Times New Roman"/>
                <w:color w:val="000000"/>
                <w:sz w:val="24"/>
                <w:szCs w:val="24"/>
              </w:rPr>
              <w:t>the European Defence Fund</w:t>
            </w:r>
            <w:r w:rsidR="008D48B5">
              <w:rPr>
                <w:rFonts w:ascii="Times New Roman" w:eastAsia="Times New Roman" w:hAnsi="Times New Roman"/>
                <w:color w:val="000000"/>
                <w:sz w:val="24"/>
                <w:szCs w:val="24"/>
              </w:rPr>
              <w:t> </w:t>
            </w:r>
            <w:r w:rsidR="000C6F32" w:rsidRPr="008D48B5">
              <w:rPr>
                <w:rFonts w:ascii="Times New Roman" w:eastAsia="Times New Roman" w:hAnsi="Times New Roman"/>
                <w:color w:val="000000"/>
                <w:sz w:val="24"/>
                <w:szCs w:val="24"/>
              </w:rPr>
              <w:t>(</w:t>
            </w:r>
            <w:r w:rsidR="52E27AAF" w:rsidRPr="008D48B5">
              <w:rPr>
                <w:rFonts w:ascii="Times New Roman" w:eastAsia="Times New Roman" w:hAnsi="Times New Roman"/>
                <w:color w:val="000000"/>
                <w:sz w:val="24"/>
                <w:szCs w:val="24"/>
              </w:rPr>
              <w:t>EDF</w:t>
            </w:r>
            <w:r w:rsidR="000C6F32" w:rsidRPr="008D48B5">
              <w:rPr>
                <w:rFonts w:ascii="Times New Roman" w:eastAsia="Times New Roman" w:hAnsi="Times New Roman"/>
                <w:color w:val="000000"/>
                <w:sz w:val="24"/>
                <w:szCs w:val="24"/>
              </w:rPr>
              <w:t>)</w:t>
            </w:r>
            <w:r w:rsidR="52E27AAF" w:rsidRPr="008D48B5">
              <w:rPr>
                <w:rFonts w:ascii="Times New Roman" w:eastAsia="Times New Roman" w:hAnsi="Times New Roman"/>
                <w:color w:val="000000"/>
                <w:sz w:val="24"/>
                <w:szCs w:val="24"/>
              </w:rPr>
              <w:t xml:space="preserve"> </w:t>
            </w:r>
            <w:r w:rsidR="00BE16EF" w:rsidRPr="008D48B5">
              <w:rPr>
                <w:rFonts w:ascii="Times New Roman" w:eastAsia="Times New Roman" w:hAnsi="Times New Roman"/>
                <w:color w:val="000000"/>
                <w:sz w:val="24"/>
                <w:szCs w:val="24"/>
              </w:rPr>
              <w:t>and</w:t>
            </w:r>
            <w:r w:rsidR="000C6F32" w:rsidRPr="008D48B5">
              <w:rPr>
                <w:rFonts w:ascii="Times New Roman" w:eastAsia="Times New Roman" w:hAnsi="Times New Roman"/>
                <w:color w:val="000000"/>
                <w:sz w:val="24"/>
                <w:szCs w:val="24"/>
              </w:rPr>
              <w:t xml:space="preserve"> the Connecting Europe Facility</w:t>
            </w:r>
            <w:r w:rsidR="008D48B5">
              <w:rPr>
                <w:rFonts w:ascii="Times New Roman" w:eastAsia="Times New Roman" w:hAnsi="Times New Roman"/>
                <w:color w:val="000000"/>
                <w:sz w:val="24"/>
                <w:szCs w:val="24"/>
              </w:rPr>
              <w:t> </w:t>
            </w:r>
            <w:r w:rsidR="000C6F32" w:rsidRPr="008D48B5">
              <w:rPr>
                <w:rFonts w:ascii="Times New Roman" w:eastAsia="Times New Roman" w:hAnsi="Times New Roman"/>
                <w:color w:val="000000"/>
                <w:sz w:val="24"/>
                <w:szCs w:val="24"/>
              </w:rPr>
              <w:t>(</w:t>
            </w:r>
            <w:r w:rsidR="52E27AAF" w:rsidRPr="008D48B5">
              <w:rPr>
                <w:rFonts w:ascii="Times New Roman" w:eastAsia="Times New Roman" w:hAnsi="Times New Roman"/>
                <w:color w:val="000000"/>
                <w:sz w:val="24"/>
                <w:szCs w:val="24"/>
              </w:rPr>
              <w:t>CEF</w:t>
            </w:r>
            <w:r w:rsidR="000C6F32" w:rsidRPr="008D48B5">
              <w:rPr>
                <w:rFonts w:ascii="Times New Roman" w:eastAsia="Times New Roman" w:hAnsi="Times New Roman"/>
                <w:color w:val="000000"/>
                <w:sz w:val="24"/>
                <w:szCs w:val="24"/>
              </w:rPr>
              <w:t>)</w:t>
            </w:r>
            <w:r w:rsidR="00BE16EF" w:rsidRPr="008D48B5">
              <w:rPr>
                <w:rFonts w:ascii="Times New Roman" w:eastAsia="Times New Roman" w:hAnsi="Times New Roman"/>
                <w:color w:val="000000"/>
                <w:sz w:val="24"/>
                <w:szCs w:val="24"/>
              </w:rPr>
              <w:t>, by inserting a landing clause</w:t>
            </w:r>
            <w:r w:rsidR="00F8113D" w:rsidRPr="008D48B5">
              <w:rPr>
                <w:rFonts w:ascii="Times New Roman" w:eastAsia="Times New Roman" w:hAnsi="Times New Roman"/>
                <w:color w:val="000000"/>
                <w:sz w:val="24"/>
                <w:szCs w:val="24"/>
              </w:rPr>
              <w:t xml:space="preserve"> that allows for transferring financial resources from </w:t>
            </w:r>
            <w:r w:rsidR="000C6F32" w:rsidRPr="008D48B5">
              <w:rPr>
                <w:rFonts w:ascii="Times New Roman" w:eastAsia="Times New Roman" w:hAnsi="Times New Roman"/>
                <w:color w:val="000000"/>
                <w:sz w:val="24"/>
                <w:szCs w:val="24"/>
              </w:rPr>
              <w:t xml:space="preserve">the </w:t>
            </w:r>
            <w:r w:rsidR="00F8113D" w:rsidRPr="008D48B5">
              <w:rPr>
                <w:rFonts w:ascii="Times New Roman" w:eastAsia="Times New Roman" w:hAnsi="Times New Roman"/>
                <w:color w:val="000000"/>
                <w:sz w:val="24"/>
                <w:szCs w:val="24"/>
              </w:rPr>
              <w:t>cohesion policy`s shared management funds to these programmes</w:t>
            </w:r>
            <w:r w:rsidR="52E27AAF" w:rsidRPr="008D48B5">
              <w:rPr>
                <w:rFonts w:ascii="Times New Roman" w:eastAsia="Times New Roman" w:hAnsi="Times New Roman"/>
                <w:color w:val="000000"/>
                <w:sz w:val="24"/>
                <w:szCs w:val="24"/>
              </w:rPr>
              <w:t xml:space="preserve">. The Commission recalls that national </w:t>
            </w:r>
            <w:r w:rsidR="03E08047" w:rsidRPr="008D48B5">
              <w:rPr>
                <w:rFonts w:ascii="Times New Roman" w:eastAsia="Times New Roman" w:hAnsi="Times New Roman"/>
                <w:color w:val="000000"/>
                <w:sz w:val="24"/>
                <w:szCs w:val="24"/>
              </w:rPr>
              <w:t xml:space="preserve">and regional </w:t>
            </w:r>
            <w:r w:rsidR="52E27AAF" w:rsidRPr="008D48B5">
              <w:rPr>
                <w:rFonts w:ascii="Times New Roman" w:eastAsia="Times New Roman" w:hAnsi="Times New Roman"/>
                <w:color w:val="000000"/>
                <w:sz w:val="24"/>
                <w:szCs w:val="24"/>
              </w:rPr>
              <w:t>authorities remain fully responsible when it comes to transferring cohesion funds</w:t>
            </w:r>
            <w:r w:rsidR="00BE16EF" w:rsidRPr="008D48B5">
              <w:rPr>
                <w:rFonts w:ascii="Times New Roman" w:eastAsia="Times New Roman" w:hAnsi="Times New Roman"/>
                <w:color w:val="000000"/>
                <w:sz w:val="24"/>
                <w:szCs w:val="24"/>
              </w:rPr>
              <w:t xml:space="preserve"> to these programmes</w:t>
            </w:r>
            <w:r w:rsidR="52E27AAF" w:rsidRPr="008D48B5">
              <w:rPr>
                <w:rFonts w:ascii="Times New Roman" w:eastAsia="Times New Roman" w:hAnsi="Times New Roman"/>
                <w:color w:val="000000"/>
                <w:sz w:val="24"/>
                <w:szCs w:val="24"/>
              </w:rPr>
              <w:t xml:space="preserve">, and </w:t>
            </w:r>
            <w:r w:rsidR="004952D7" w:rsidRPr="008D48B5">
              <w:rPr>
                <w:rFonts w:ascii="Times New Roman" w:eastAsia="Times New Roman" w:hAnsi="Times New Roman"/>
                <w:color w:val="000000"/>
                <w:sz w:val="24"/>
                <w:szCs w:val="24"/>
              </w:rPr>
              <w:t xml:space="preserve">that </w:t>
            </w:r>
            <w:r w:rsidR="00BE16EF" w:rsidRPr="008D48B5">
              <w:rPr>
                <w:rFonts w:ascii="Times New Roman" w:eastAsia="Times New Roman" w:hAnsi="Times New Roman"/>
                <w:color w:val="000000"/>
                <w:sz w:val="24"/>
                <w:szCs w:val="24"/>
              </w:rPr>
              <w:t>the Regulation does not</w:t>
            </w:r>
            <w:r w:rsidR="52E27AAF" w:rsidRPr="008D48B5">
              <w:rPr>
                <w:rFonts w:ascii="Times New Roman" w:eastAsia="Times New Roman" w:hAnsi="Times New Roman"/>
                <w:color w:val="000000"/>
                <w:sz w:val="24"/>
                <w:szCs w:val="24"/>
              </w:rPr>
              <w:t xml:space="preserve"> interfere with </w:t>
            </w:r>
            <w:r w:rsidR="02E5EA39" w:rsidRPr="008D48B5">
              <w:rPr>
                <w:rFonts w:ascii="Times New Roman" w:eastAsia="Times New Roman" w:hAnsi="Times New Roman"/>
                <w:color w:val="000000"/>
                <w:sz w:val="24"/>
                <w:szCs w:val="24"/>
              </w:rPr>
              <w:t>existing decision-making</w:t>
            </w:r>
            <w:r w:rsidR="52E27AAF" w:rsidRPr="008D48B5">
              <w:rPr>
                <w:rFonts w:ascii="Times New Roman" w:eastAsia="Times New Roman" w:hAnsi="Times New Roman"/>
                <w:color w:val="000000"/>
                <w:sz w:val="24"/>
                <w:szCs w:val="24"/>
              </w:rPr>
              <w:t xml:space="preserve"> procedures. </w:t>
            </w:r>
            <w:r w:rsidR="7156AD05" w:rsidRPr="008D48B5">
              <w:rPr>
                <w:rFonts w:ascii="Times New Roman" w:eastAsia="Times New Roman" w:hAnsi="Times New Roman"/>
                <w:color w:val="000000"/>
                <w:sz w:val="24"/>
                <w:szCs w:val="24"/>
              </w:rPr>
              <w:t xml:space="preserve">The Commission also stresses </w:t>
            </w:r>
            <w:r w:rsidR="1C950AA1" w:rsidRPr="008D48B5">
              <w:rPr>
                <w:rFonts w:ascii="Times New Roman" w:eastAsia="Times New Roman" w:hAnsi="Times New Roman"/>
                <w:color w:val="000000"/>
                <w:sz w:val="24"/>
                <w:szCs w:val="24"/>
              </w:rPr>
              <w:t>that the</w:t>
            </w:r>
            <w:r w:rsidR="52E27AAF" w:rsidRPr="008D48B5">
              <w:rPr>
                <w:rFonts w:ascii="Times New Roman" w:eastAsia="Times New Roman" w:hAnsi="Times New Roman"/>
                <w:color w:val="000000"/>
                <w:sz w:val="24"/>
                <w:szCs w:val="24"/>
              </w:rPr>
              <w:t xml:space="preserve"> objectives of cohesion policy remain unchanged</w:t>
            </w:r>
            <w:r w:rsidR="3DF6C770" w:rsidRPr="008D48B5">
              <w:rPr>
                <w:rFonts w:ascii="Times New Roman" w:eastAsia="Times New Roman" w:hAnsi="Times New Roman"/>
                <w:color w:val="000000"/>
                <w:sz w:val="24"/>
                <w:szCs w:val="24"/>
              </w:rPr>
              <w:t>; the goal of the propose</w:t>
            </w:r>
            <w:r w:rsidR="003C5078" w:rsidRPr="008D48B5">
              <w:rPr>
                <w:rFonts w:ascii="Times New Roman" w:eastAsia="Times New Roman" w:hAnsi="Times New Roman"/>
                <w:color w:val="000000"/>
                <w:sz w:val="24"/>
                <w:szCs w:val="24"/>
              </w:rPr>
              <w:t>d</w:t>
            </w:r>
            <w:r w:rsidR="3DF6C770" w:rsidRPr="008D48B5">
              <w:rPr>
                <w:rFonts w:ascii="Times New Roman" w:eastAsia="Times New Roman" w:hAnsi="Times New Roman"/>
                <w:color w:val="000000"/>
                <w:sz w:val="24"/>
                <w:szCs w:val="24"/>
              </w:rPr>
              <w:t xml:space="preserve"> legislative initiative </w:t>
            </w:r>
            <w:r w:rsidR="52E27AAF" w:rsidRPr="008D48B5">
              <w:rPr>
                <w:rFonts w:ascii="Times New Roman" w:eastAsia="Times New Roman" w:hAnsi="Times New Roman"/>
                <w:color w:val="000000"/>
                <w:sz w:val="24"/>
                <w:szCs w:val="24"/>
              </w:rPr>
              <w:t>is to create</w:t>
            </w:r>
            <w:r w:rsidR="5F1BF1DE" w:rsidRPr="008D48B5">
              <w:rPr>
                <w:rFonts w:ascii="Times New Roman" w:eastAsia="Times New Roman" w:hAnsi="Times New Roman"/>
                <w:color w:val="000000"/>
                <w:sz w:val="24"/>
                <w:szCs w:val="24"/>
              </w:rPr>
              <w:t xml:space="preserve"> flexibility and</w:t>
            </w:r>
            <w:r w:rsidR="52E27AAF" w:rsidRPr="008D48B5">
              <w:rPr>
                <w:rFonts w:ascii="Times New Roman" w:eastAsia="Times New Roman" w:hAnsi="Times New Roman"/>
                <w:color w:val="000000"/>
                <w:sz w:val="24"/>
                <w:szCs w:val="24"/>
              </w:rPr>
              <w:t xml:space="preserve"> synergies without negatively impacting the original objectives. </w:t>
            </w:r>
            <w:r w:rsidR="41A658F0" w:rsidRPr="008D48B5">
              <w:rPr>
                <w:rFonts w:ascii="Times New Roman" w:eastAsia="Times New Roman" w:hAnsi="Times New Roman"/>
                <w:color w:val="000000"/>
                <w:sz w:val="24"/>
                <w:szCs w:val="24"/>
              </w:rPr>
              <w:t>Therefore, the Commission does not intend to impose</w:t>
            </w:r>
            <w:r w:rsidR="52E27AAF" w:rsidRPr="008D48B5">
              <w:rPr>
                <w:rFonts w:ascii="Times New Roman" w:eastAsia="Times New Roman" w:hAnsi="Times New Roman"/>
                <w:color w:val="000000"/>
                <w:sz w:val="24"/>
                <w:szCs w:val="24"/>
              </w:rPr>
              <w:t xml:space="preserve"> limitations on the </w:t>
            </w:r>
            <w:r w:rsidR="54F16780" w:rsidRPr="008D48B5">
              <w:rPr>
                <w:rFonts w:ascii="Times New Roman" w:eastAsia="Times New Roman" w:hAnsi="Times New Roman"/>
                <w:color w:val="000000"/>
                <w:sz w:val="24"/>
                <w:szCs w:val="24"/>
              </w:rPr>
              <w:t>ability of</w:t>
            </w:r>
            <w:r w:rsidR="70015090" w:rsidRPr="008D48B5">
              <w:rPr>
                <w:rFonts w:ascii="Times New Roman" w:eastAsia="Times New Roman" w:hAnsi="Times New Roman"/>
                <w:color w:val="000000"/>
                <w:sz w:val="24"/>
                <w:szCs w:val="24"/>
              </w:rPr>
              <w:t xml:space="preserve"> Member States</w:t>
            </w:r>
            <w:r w:rsidR="52E27AAF" w:rsidRPr="008D48B5">
              <w:rPr>
                <w:rFonts w:ascii="Times New Roman" w:eastAsia="Times New Roman" w:hAnsi="Times New Roman"/>
                <w:color w:val="000000"/>
                <w:sz w:val="24"/>
                <w:szCs w:val="24"/>
              </w:rPr>
              <w:t xml:space="preserve"> to allocate cohesion funds to support their defence needs</w:t>
            </w:r>
            <w:r w:rsidR="74059C96" w:rsidRPr="008D48B5">
              <w:rPr>
                <w:rFonts w:ascii="Times New Roman" w:eastAsia="Times New Roman" w:hAnsi="Times New Roman"/>
                <w:color w:val="000000"/>
                <w:sz w:val="24"/>
                <w:szCs w:val="24"/>
              </w:rPr>
              <w:t xml:space="preserve"> or any other priorities</w:t>
            </w:r>
            <w:r w:rsidR="52E27AAF" w:rsidRPr="008D48B5">
              <w:rPr>
                <w:rFonts w:ascii="Times New Roman" w:eastAsia="Times New Roman" w:hAnsi="Times New Roman"/>
                <w:color w:val="000000"/>
                <w:sz w:val="24"/>
                <w:szCs w:val="24"/>
              </w:rPr>
              <w:t>.</w:t>
            </w:r>
          </w:p>
          <w:p w14:paraId="660E5F11" w14:textId="67D0D152" w:rsidR="3680807F" w:rsidRPr="008D48B5" w:rsidRDefault="475B4E7B" w:rsidP="008D48B5">
            <w:pPr>
              <w:widowControl w:val="0"/>
              <w:spacing w:before="120" w:after="120"/>
              <w:jc w:val="both"/>
              <w:rPr>
                <w:rFonts w:ascii="Times New Roman" w:eastAsia="Times New Roman" w:hAnsi="Times New Roman"/>
                <w:color w:val="000000"/>
                <w:sz w:val="24"/>
                <w:szCs w:val="24"/>
              </w:rPr>
            </w:pPr>
            <w:r w:rsidRPr="008D48B5">
              <w:rPr>
                <w:rFonts w:ascii="Times New Roman" w:eastAsia="Times New Roman" w:hAnsi="Times New Roman"/>
                <w:color w:val="000000"/>
                <w:sz w:val="24"/>
                <w:szCs w:val="24"/>
              </w:rPr>
              <w:t>On defence fund</w:t>
            </w:r>
            <w:r w:rsidR="00905C3D" w:rsidRPr="008D48B5">
              <w:rPr>
                <w:rFonts w:ascii="Times New Roman" w:eastAsia="Times New Roman" w:hAnsi="Times New Roman"/>
                <w:color w:val="000000"/>
                <w:sz w:val="24"/>
                <w:szCs w:val="24"/>
              </w:rPr>
              <w:t>ing</w:t>
            </w:r>
            <w:r w:rsidRPr="008D48B5">
              <w:rPr>
                <w:rFonts w:ascii="Times New Roman" w:eastAsia="Times New Roman" w:hAnsi="Times New Roman"/>
                <w:color w:val="000000"/>
                <w:sz w:val="24"/>
                <w:szCs w:val="24"/>
              </w:rPr>
              <w:t xml:space="preserve"> distribution, the Commission recalls that t</w:t>
            </w:r>
            <w:r w:rsidR="52E27AAF" w:rsidRPr="008D48B5">
              <w:rPr>
                <w:rFonts w:ascii="Times New Roman" w:eastAsia="Times New Roman" w:hAnsi="Times New Roman"/>
                <w:color w:val="000000"/>
                <w:sz w:val="24"/>
                <w:szCs w:val="24"/>
              </w:rPr>
              <w:t xml:space="preserve">he eligibility criteria and award criteria for </w:t>
            </w:r>
            <w:r w:rsidR="7EE375B2" w:rsidRPr="008D48B5">
              <w:rPr>
                <w:rFonts w:ascii="Times New Roman" w:eastAsia="Times New Roman" w:hAnsi="Times New Roman"/>
                <w:color w:val="000000"/>
                <w:sz w:val="24"/>
                <w:szCs w:val="24"/>
              </w:rPr>
              <w:t xml:space="preserve">relevant programmes </w:t>
            </w:r>
            <w:r w:rsidR="00BA0552" w:rsidRPr="008D48B5">
              <w:rPr>
                <w:rFonts w:ascii="Times New Roman" w:eastAsia="Times New Roman" w:hAnsi="Times New Roman"/>
                <w:color w:val="000000"/>
                <w:sz w:val="24"/>
                <w:szCs w:val="24"/>
              </w:rPr>
              <w:t xml:space="preserve">– </w:t>
            </w:r>
            <w:r w:rsidR="7EE375B2" w:rsidRPr="008D48B5">
              <w:rPr>
                <w:rFonts w:ascii="Times New Roman" w:eastAsia="Times New Roman" w:hAnsi="Times New Roman"/>
                <w:color w:val="000000"/>
                <w:sz w:val="24"/>
                <w:szCs w:val="24"/>
              </w:rPr>
              <w:t xml:space="preserve">including </w:t>
            </w:r>
            <w:r w:rsidR="000C6F32" w:rsidRPr="008D48B5">
              <w:rPr>
                <w:rFonts w:ascii="Times New Roman" w:eastAsia="Times New Roman" w:hAnsi="Times New Roman"/>
                <w:color w:val="000000"/>
                <w:sz w:val="24"/>
                <w:szCs w:val="24"/>
              </w:rPr>
              <w:t xml:space="preserve">the </w:t>
            </w:r>
            <w:r w:rsidR="003C5078" w:rsidRPr="008D48B5">
              <w:rPr>
                <w:rFonts w:ascii="Times New Roman" w:eastAsia="Times New Roman" w:hAnsi="Times New Roman"/>
                <w:color w:val="000000"/>
                <w:sz w:val="24"/>
                <w:szCs w:val="24"/>
              </w:rPr>
              <w:t>EDF and</w:t>
            </w:r>
            <w:r w:rsidR="000C6F32" w:rsidRPr="008D48B5">
              <w:rPr>
                <w:rFonts w:ascii="Times New Roman" w:eastAsia="Times New Roman" w:hAnsi="Times New Roman"/>
                <w:color w:val="000000"/>
                <w:sz w:val="24"/>
                <w:szCs w:val="24"/>
              </w:rPr>
              <w:t xml:space="preserve"> the </w:t>
            </w:r>
            <w:r w:rsidR="003C5078" w:rsidRPr="008D48B5">
              <w:rPr>
                <w:rFonts w:ascii="Times New Roman" w:eastAsia="Times New Roman" w:hAnsi="Times New Roman"/>
                <w:color w:val="000000"/>
                <w:sz w:val="24"/>
                <w:szCs w:val="24"/>
              </w:rPr>
              <w:t>CEF</w:t>
            </w:r>
            <w:r w:rsidR="00CE632E" w:rsidRPr="008D48B5">
              <w:rPr>
                <w:rFonts w:ascii="Times New Roman" w:eastAsia="Times New Roman" w:hAnsi="Times New Roman"/>
                <w:color w:val="000000"/>
                <w:sz w:val="24"/>
                <w:szCs w:val="24"/>
              </w:rPr>
              <w:t xml:space="preserve"> –</w:t>
            </w:r>
            <w:r w:rsidR="7EE375B2" w:rsidRPr="008D48B5">
              <w:rPr>
                <w:rFonts w:ascii="Times New Roman" w:eastAsia="Times New Roman" w:hAnsi="Times New Roman"/>
                <w:color w:val="000000"/>
                <w:sz w:val="24"/>
                <w:szCs w:val="24"/>
              </w:rPr>
              <w:t xml:space="preserve"> </w:t>
            </w:r>
            <w:r w:rsidR="52E27AAF" w:rsidRPr="008D48B5">
              <w:rPr>
                <w:rFonts w:ascii="Times New Roman" w:eastAsia="Times New Roman" w:hAnsi="Times New Roman"/>
                <w:color w:val="000000"/>
                <w:sz w:val="24"/>
                <w:szCs w:val="24"/>
              </w:rPr>
              <w:t xml:space="preserve">are established in the </w:t>
            </w:r>
            <w:r w:rsidR="192A98EF" w:rsidRPr="008D48B5">
              <w:rPr>
                <w:rFonts w:ascii="Times New Roman" w:eastAsia="Times New Roman" w:hAnsi="Times New Roman"/>
                <w:color w:val="000000"/>
                <w:sz w:val="24"/>
                <w:szCs w:val="24"/>
              </w:rPr>
              <w:t xml:space="preserve">relevant </w:t>
            </w:r>
            <w:r w:rsidR="52E27AAF" w:rsidRPr="008D48B5">
              <w:rPr>
                <w:rFonts w:ascii="Times New Roman" w:eastAsia="Times New Roman" w:hAnsi="Times New Roman"/>
                <w:color w:val="000000"/>
                <w:sz w:val="24"/>
                <w:szCs w:val="24"/>
              </w:rPr>
              <w:t>Regulation</w:t>
            </w:r>
            <w:r w:rsidR="61E003A9" w:rsidRPr="008D48B5">
              <w:rPr>
                <w:rFonts w:ascii="Times New Roman" w:eastAsia="Times New Roman" w:hAnsi="Times New Roman"/>
                <w:color w:val="000000"/>
                <w:sz w:val="24"/>
                <w:szCs w:val="24"/>
              </w:rPr>
              <w:t>s</w:t>
            </w:r>
            <w:r w:rsidR="52E27AAF" w:rsidRPr="008D48B5">
              <w:rPr>
                <w:rFonts w:ascii="Times New Roman" w:eastAsia="Times New Roman" w:hAnsi="Times New Roman"/>
                <w:color w:val="000000"/>
                <w:sz w:val="24"/>
                <w:szCs w:val="24"/>
              </w:rPr>
              <w:t xml:space="preserve"> and remain unchanged, ensuring that the distribution of funds is based on clear and transparent rules. </w:t>
            </w:r>
            <w:r w:rsidR="003C5078" w:rsidRPr="008D48B5">
              <w:rPr>
                <w:rFonts w:ascii="Times New Roman" w:eastAsia="Times New Roman" w:hAnsi="Times New Roman"/>
                <w:color w:val="000000"/>
                <w:sz w:val="24"/>
                <w:szCs w:val="24"/>
              </w:rPr>
              <w:t>For both programmes, award criteria include the cross-border dimension of the projects.</w:t>
            </w:r>
          </w:p>
          <w:p w14:paraId="7C0807AE" w14:textId="5B2B08D1" w:rsidR="3680807F" w:rsidRPr="008D48B5" w:rsidRDefault="0BE715D2"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 xml:space="preserve">Following the </w:t>
            </w:r>
            <w:r w:rsidR="00AA1A01" w:rsidRPr="008D48B5">
              <w:rPr>
                <w:rFonts w:ascii="Times New Roman" w:hAnsi="Times New Roman"/>
                <w:sz w:val="24"/>
                <w:szCs w:val="24"/>
              </w:rPr>
              <w:t>entry into force of the Regulation</w:t>
            </w:r>
            <w:r w:rsidRPr="008D48B5">
              <w:rPr>
                <w:rFonts w:ascii="Times New Roman" w:hAnsi="Times New Roman"/>
                <w:sz w:val="24"/>
                <w:szCs w:val="24"/>
              </w:rPr>
              <w:t>, the Commission could explore, together with relevant services, appropriate safeguards and measures to be put in place, if necessary, as part of the implementation process, where the security and defence interests of the Union are affected.</w:t>
            </w:r>
          </w:p>
          <w:p w14:paraId="1C9CDBFD" w14:textId="23C08483" w:rsidR="3680807F" w:rsidRPr="008D48B5" w:rsidRDefault="6CB40CFE"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 xml:space="preserve">The Commission acknowledges the suggestion that the legislation should provide for financing of projects over two or multiple programming periods, </w:t>
            </w:r>
            <w:proofErr w:type="gramStart"/>
            <w:r w:rsidRPr="008D48B5">
              <w:rPr>
                <w:rFonts w:ascii="Times New Roman" w:hAnsi="Times New Roman"/>
                <w:sz w:val="24"/>
                <w:szCs w:val="24"/>
              </w:rPr>
              <w:t>taking into account</w:t>
            </w:r>
            <w:proofErr w:type="gramEnd"/>
            <w:r w:rsidRPr="008D48B5">
              <w:rPr>
                <w:rFonts w:ascii="Times New Roman" w:hAnsi="Times New Roman"/>
                <w:sz w:val="24"/>
                <w:szCs w:val="24"/>
              </w:rPr>
              <w:t xml:space="preserve"> the specific nature of defence products and the time it takes to progress from research to final products. However, the Commission recalls that the amendments </w:t>
            </w:r>
            <w:r w:rsidR="00BA0552" w:rsidRPr="008D48B5">
              <w:rPr>
                <w:rFonts w:ascii="Times New Roman" w:hAnsi="Times New Roman"/>
                <w:sz w:val="24"/>
                <w:szCs w:val="24"/>
              </w:rPr>
              <w:t>agreed by co-legislators</w:t>
            </w:r>
            <w:r w:rsidRPr="008D48B5">
              <w:rPr>
                <w:rFonts w:ascii="Times New Roman" w:hAnsi="Times New Roman"/>
                <w:sz w:val="24"/>
                <w:szCs w:val="24"/>
              </w:rPr>
              <w:t xml:space="preserve"> are targeted and will be implemented within the framework of existing Programme Regulations, with most changes to be incorporated into relevant Work Programmes. Therefore, it will not interfere with the programming of relevant programmes (i.e.</w:t>
            </w:r>
            <w:r w:rsidR="008D48B5">
              <w:rPr>
                <w:rFonts w:ascii="Times New Roman" w:hAnsi="Times New Roman"/>
                <w:sz w:val="24"/>
                <w:szCs w:val="24"/>
              </w:rPr>
              <w:t> </w:t>
            </w:r>
            <w:r w:rsidRPr="008D48B5">
              <w:rPr>
                <w:rFonts w:ascii="Times New Roman" w:hAnsi="Times New Roman"/>
                <w:sz w:val="24"/>
                <w:szCs w:val="24"/>
              </w:rPr>
              <w:t>E</w:t>
            </w:r>
            <w:r w:rsidR="009145DE" w:rsidRPr="008D48B5">
              <w:rPr>
                <w:rFonts w:ascii="Times New Roman" w:hAnsi="Times New Roman"/>
                <w:sz w:val="24"/>
                <w:szCs w:val="24"/>
              </w:rPr>
              <w:t xml:space="preserve">uropean </w:t>
            </w:r>
            <w:r w:rsidRPr="008D48B5">
              <w:rPr>
                <w:rFonts w:ascii="Times New Roman" w:hAnsi="Times New Roman"/>
                <w:sz w:val="24"/>
                <w:szCs w:val="24"/>
              </w:rPr>
              <w:t>I</w:t>
            </w:r>
            <w:r w:rsidR="009145DE" w:rsidRPr="008D48B5">
              <w:rPr>
                <w:rFonts w:ascii="Times New Roman" w:hAnsi="Times New Roman"/>
                <w:sz w:val="24"/>
                <w:szCs w:val="24"/>
              </w:rPr>
              <w:t xml:space="preserve">nnovation </w:t>
            </w:r>
            <w:r w:rsidRPr="008D48B5">
              <w:rPr>
                <w:rFonts w:ascii="Times New Roman" w:hAnsi="Times New Roman"/>
                <w:sz w:val="24"/>
                <w:szCs w:val="24"/>
              </w:rPr>
              <w:t>C</w:t>
            </w:r>
            <w:r w:rsidR="009145DE" w:rsidRPr="008D48B5">
              <w:rPr>
                <w:rFonts w:ascii="Times New Roman" w:hAnsi="Times New Roman"/>
                <w:sz w:val="24"/>
                <w:szCs w:val="24"/>
              </w:rPr>
              <w:t>ouncil</w:t>
            </w:r>
            <w:r w:rsidR="007C4C1C" w:rsidRPr="008D48B5">
              <w:rPr>
                <w:rFonts w:ascii="Times New Roman" w:hAnsi="Times New Roman"/>
                <w:sz w:val="24"/>
                <w:szCs w:val="24"/>
              </w:rPr>
              <w:t xml:space="preserve"> under Horizon Europe</w:t>
            </w:r>
            <w:r w:rsidRPr="008D48B5">
              <w:rPr>
                <w:rFonts w:ascii="Times New Roman" w:hAnsi="Times New Roman"/>
                <w:sz w:val="24"/>
                <w:szCs w:val="24"/>
              </w:rPr>
              <w:t>, E</w:t>
            </w:r>
            <w:r w:rsidR="009145DE" w:rsidRPr="008D48B5">
              <w:rPr>
                <w:rFonts w:ascii="Times New Roman" w:hAnsi="Times New Roman"/>
                <w:sz w:val="24"/>
                <w:szCs w:val="24"/>
              </w:rPr>
              <w:t xml:space="preserve">uropean </w:t>
            </w:r>
            <w:r w:rsidRPr="008D48B5">
              <w:rPr>
                <w:rFonts w:ascii="Times New Roman" w:hAnsi="Times New Roman"/>
                <w:sz w:val="24"/>
                <w:szCs w:val="24"/>
              </w:rPr>
              <w:t>D</w:t>
            </w:r>
            <w:r w:rsidR="009145DE" w:rsidRPr="008D48B5">
              <w:rPr>
                <w:rFonts w:ascii="Times New Roman" w:hAnsi="Times New Roman"/>
                <w:sz w:val="24"/>
                <w:szCs w:val="24"/>
              </w:rPr>
              <w:t xml:space="preserve">efence </w:t>
            </w:r>
            <w:r w:rsidRPr="008D48B5">
              <w:rPr>
                <w:rFonts w:ascii="Times New Roman" w:hAnsi="Times New Roman"/>
                <w:sz w:val="24"/>
                <w:szCs w:val="24"/>
              </w:rPr>
              <w:t>F</w:t>
            </w:r>
            <w:r w:rsidR="009145DE" w:rsidRPr="008D48B5">
              <w:rPr>
                <w:rFonts w:ascii="Times New Roman" w:hAnsi="Times New Roman"/>
                <w:sz w:val="24"/>
                <w:szCs w:val="24"/>
              </w:rPr>
              <w:t>und</w:t>
            </w:r>
            <w:r w:rsidRPr="008D48B5">
              <w:rPr>
                <w:rFonts w:ascii="Times New Roman" w:hAnsi="Times New Roman"/>
                <w:sz w:val="24"/>
                <w:szCs w:val="24"/>
              </w:rPr>
              <w:t>, C</w:t>
            </w:r>
            <w:r w:rsidR="009145DE" w:rsidRPr="008D48B5">
              <w:rPr>
                <w:rFonts w:ascii="Times New Roman" w:hAnsi="Times New Roman"/>
                <w:sz w:val="24"/>
                <w:szCs w:val="24"/>
              </w:rPr>
              <w:t xml:space="preserve">onnecting </w:t>
            </w:r>
            <w:r w:rsidRPr="008D48B5">
              <w:rPr>
                <w:rFonts w:ascii="Times New Roman" w:hAnsi="Times New Roman"/>
                <w:sz w:val="24"/>
                <w:szCs w:val="24"/>
              </w:rPr>
              <w:t>E</w:t>
            </w:r>
            <w:r w:rsidR="009145DE" w:rsidRPr="008D48B5">
              <w:rPr>
                <w:rFonts w:ascii="Times New Roman" w:hAnsi="Times New Roman"/>
                <w:sz w:val="24"/>
                <w:szCs w:val="24"/>
              </w:rPr>
              <w:t xml:space="preserve">urope </w:t>
            </w:r>
            <w:r w:rsidRPr="008D48B5">
              <w:rPr>
                <w:rFonts w:ascii="Times New Roman" w:hAnsi="Times New Roman"/>
                <w:sz w:val="24"/>
                <w:szCs w:val="24"/>
              </w:rPr>
              <w:t>F</w:t>
            </w:r>
            <w:r w:rsidR="009145DE" w:rsidRPr="008D48B5">
              <w:rPr>
                <w:rFonts w:ascii="Times New Roman" w:hAnsi="Times New Roman"/>
                <w:sz w:val="24"/>
                <w:szCs w:val="24"/>
              </w:rPr>
              <w:t>acility</w:t>
            </w:r>
            <w:r w:rsidRPr="008D48B5">
              <w:rPr>
                <w:rFonts w:ascii="Times New Roman" w:hAnsi="Times New Roman"/>
                <w:sz w:val="24"/>
                <w:szCs w:val="24"/>
              </w:rPr>
              <w:t>, D</w:t>
            </w:r>
            <w:r w:rsidR="009145DE" w:rsidRPr="008D48B5">
              <w:rPr>
                <w:rFonts w:ascii="Times New Roman" w:hAnsi="Times New Roman"/>
                <w:sz w:val="24"/>
                <w:szCs w:val="24"/>
              </w:rPr>
              <w:t xml:space="preserve">igital </w:t>
            </w:r>
            <w:r w:rsidRPr="008D48B5">
              <w:rPr>
                <w:rFonts w:ascii="Times New Roman" w:hAnsi="Times New Roman"/>
                <w:sz w:val="24"/>
                <w:szCs w:val="24"/>
              </w:rPr>
              <w:t>E</w:t>
            </w:r>
            <w:r w:rsidR="009145DE" w:rsidRPr="008D48B5">
              <w:rPr>
                <w:rFonts w:ascii="Times New Roman" w:hAnsi="Times New Roman"/>
                <w:sz w:val="24"/>
                <w:szCs w:val="24"/>
              </w:rPr>
              <w:t xml:space="preserve">urope </w:t>
            </w:r>
            <w:r w:rsidRPr="008D48B5">
              <w:rPr>
                <w:rFonts w:ascii="Times New Roman" w:hAnsi="Times New Roman"/>
                <w:sz w:val="24"/>
                <w:szCs w:val="24"/>
              </w:rPr>
              <w:t>P</w:t>
            </w:r>
            <w:r w:rsidR="009145DE" w:rsidRPr="008D48B5">
              <w:rPr>
                <w:rFonts w:ascii="Times New Roman" w:hAnsi="Times New Roman"/>
                <w:sz w:val="24"/>
                <w:szCs w:val="24"/>
              </w:rPr>
              <w:t>rogramme</w:t>
            </w:r>
            <w:r w:rsidRPr="008D48B5">
              <w:rPr>
                <w:rFonts w:ascii="Times New Roman" w:hAnsi="Times New Roman"/>
                <w:sz w:val="24"/>
                <w:szCs w:val="24"/>
              </w:rPr>
              <w:t>). The Commission will ensure that the implementation of the proposed amendments respects the existing programming and implementation cycles of these programmes.</w:t>
            </w:r>
          </w:p>
          <w:p w14:paraId="5260C0E0" w14:textId="537A409D" w:rsidR="3680807F" w:rsidRPr="008D48B5" w:rsidRDefault="1AB87D7C"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The Commission recognizes that skills are key to enhancing EU defence readiness and is committed to supporting the development of skills in the defence industry. The flexibilit</w:t>
            </w:r>
            <w:r w:rsidR="00BE16EF" w:rsidRPr="008D48B5">
              <w:rPr>
                <w:rFonts w:ascii="Times New Roman" w:hAnsi="Times New Roman"/>
                <w:sz w:val="24"/>
                <w:szCs w:val="24"/>
              </w:rPr>
              <w:t>ies</w:t>
            </w:r>
            <w:r w:rsidRPr="008D48B5">
              <w:rPr>
                <w:rFonts w:ascii="Times New Roman" w:hAnsi="Times New Roman"/>
                <w:sz w:val="24"/>
                <w:szCs w:val="24"/>
              </w:rPr>
              <w:t xml:space="preserve"> introduced by the legislative proposal </w:t>
            </w:r>
            <w:r w:rsidR="00BE16EF" w:rsidRPr="008D48B5">
              <w:rPr>
                <w:rFonts w:ascii="Times New Roman" w:hAnsi="Times New Roman"/>
                <w:sz w:val="24"/>
                <w:szCs w:val="24"/>
              </w:rPr>
              <w:t xml:space="preserve">to use cohesion funds for defence </w:t>
            </w:r>
            <w:r w:rsidRPr="008D48B5">
              <w:rPr>
                <w:rFonts w:ascii="Times New Roman" w:hAnsi="Times New Roman"/>
                <w:sz w:val="24"/>
                <w:szCs w:val="24"/>
              </w:rPr>
              <w:t xml:space="preserve">do not contravene the key objectives of cohesion policy, </w:t>
            </w:r>
            <w:r w:rsidR="006F64F3" w:rsidRPr="008D48B5">
              <w:rPr>
                <w:rFonts w:ascii="Times New Roman" w:hAnsi="Times New Roman"/>
                <w:sz w:val="24"/>
                <w:szCs w:val="24"/>
              </w:rPr>
              <w:t xml:space="preserve">as the financing of skilling, up-skilling and re-skilling has already been amongst the objectives of the funds. It </w:t>
            </w:r>
            <w:r w:rsidRPr="008D48B5">
              <w:rPr>
                <w:rFonts w:ascii="Times New Roman" w:hAnsi="Times New Roman"/>
                <w:sz w:val="24"/>
                <w:szCs w:val="24"/>
              </w:rPr>
              <w:t xml:space="preserve">rather </w:t>
            </w:r>
            <w:r w:rsidR="006F64F3" w:rsidRPr="008D48B5">
              <w:rPr>
                <w:rFonts w:ascii="Times New Roman" w:hAnsi="Times New Roman"/>
                <w:sz w:val="24"/>
                <w:szCs w:val="24"/>
              </w:rPr>
              <w:t xml:space="preserve">further </w:t>
            </w:r>
            <w:r w:rsidR="009E5468" w:rsidRPr="008D48B5">
              <w:rPr>
                <w:rFonts w:ascii="Times New Roman" w:hAnsi="Times New Roman"/>
                <w:sz w:val="24"/>
                <w:szCs w:val="24"/>
              </w:rPr>
              <w:t>incentivises</w:t>
            </w:r>
            <w:r w:rsidR="006F64F3" w:rsidRPr="008D48B5">
              <w:rPr>
                <w:rFonts w:ascii="Times New Roman" w:hAnsi="Times New Roman"/>
                <w:sz w:val="24"/>
                <w:szCs w:val="24"/>
              </w:rPr>
              <w:t xml:space="preserve"> </w:t>
            </w:r>
            <w:r w:rsidRPr="008D48B5">
              <w:rPr>
                <w:rFonts w:ascii="Times New Roman" w:hAnsi="Times New Roman"/>
                <w:sz w:val="24"/>
                <w:szCs w:val="24"/>
              </w:rPr>
              <w:t xml:space="preserve">the possibility of investing in </w:t>
            </w:r>
            <w:r w:rsidR="00D36F33" w:rsidRPr="008D48B5">
              <w:rPr>
                <w:rFonts w:ascii="Times New Roman" w:hAnsi="Times New Roman"/>
                <w:sz w:val="24"/>
                <w:szCs w:val="24"/>
              </w:rPr>
              <w:t xml:space="preserve">the development of skills in the </w:t>
            </w:r>
            <w:r w:rsidRPr="008D48B5">
              <w:rPr>
                <w:rFonts w:ascii="Times New Roman" w:hAnsi="Times New Roman"/>
                <w:sz w:val="24"/>
                <w:szCs w:val="24"/>
              </w:rPr>
              <w:t>defence</w:t>
            </w:r>
            <w:r w:rsidR="00D36F33" w:rsidRPr="008D48B5">
              <w:rPr>
                <w:rFonts w:ascii="Times New Roman" w:hAnsi="Times New Roman"/>
                <w:sz w:val="24"/>
                <w:szCs w:val="24"/>
              </w:rPr>
              <w:t xml:space="preserve"> industry</w:t>
            </w:r>
            <w:r w:rsidRPr="008D48B5">
              <w:rPr>
                <w:rFonts w:ascii="Times New Roman" w:hAnsi="Times New Roman"/>
                <w:sz w:val="24"/>
                <w:szCs w:val="24"/>
              </w:rPr>
              <w:t>, while maintaining the overall objective of promoting economic, social, and territorial cohesion. The Commission is of the view that this approach will allow Member States to address their defence needs while also supporting the development of their economies and societies.</w:t>
            </w:r>
          </w:p>
          <w:p w14:paraId="7541BE2A" w14:textId="2BA86AA3" w:rsidR="3680807F" w:rsidRPr="008D48B5" w:rsidRDefault="1AB87D7C"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 xml:space="preserve">As part of its efforts to support the development of skills in the defence industry, the Commission </w:t>
            </w:r>
            <w:r w:rsidR="00BE16EF" w:rsidRPr="008D48B5">
              <w:rPr>
                <w:rFonts w:ascii="Times New Roman" w:hAnsi="Times New Roman"/>
                <w:sz w:val="24"/>
                <w:szCs w:val="24"/>
              </w:rPr>
              <w:lastRenderedPageBreak/>
              <w:t xml:space="preserve">already </w:t>
            </w:r>
            <w:r w:rsidRPr="008D48B5">
              <w:rPr>
                <w:rFonts w:ascii="Times New Roman" w:hAnsi="Times New Roman"/>
                <w:sz w:val="24"/>
                <w:szCs w:val="24"/>
              </w:rPr>
              <w:t>amended the European Social Fund Plus</w:t>
            </w:r>
            <w:r w:rsidR="008D48B5">
              <w:rPr>
                <w:rFonts w:ascii="Times New Roman" w:hAnsi="Times New Roman"/>
                <w:sz w:val="24"/>
                <w:szCs w:val="24"/>
              </w:rPr>
              <w:t> </w:t>
            </w:r>
            <w:r w:rsidRPr="008D48B5">
              <w:rPr>
                <w:rFonts w:ascii="Times New Roman" w:hAnsi="Times New Roman"/>
                <w:sz w:val="24"/>
                <w:szCs w:val="24"/>
              </w:rPr>
              <w:t>(ESF+) Regulation</w:t>
            </w:r>
            <w:r w:rsidR="009E5468" w:rsidRPr="008D48B5">
              <w:rPr>
                <w:rStyle w:val="FootnoteReference"/>
                <w:rFonts w:ascii="Times New Roman" w:hAnsi="Times New Roman"/>
                <w:sz w:val="24"/>
                <w:szCs w:val="24"/>
              </w:rPr>
              <w:footnoteReference w:id="4"/>
            </w:r>
            <w:r w:rsidRPr="008D48B5">
              <w:rPr>
                <w:rFonts w:ascii="Times New Roman" w:hAnsi="Times New Roman"/>
                <w:sz w:val="24"/>
                <w:szCs w:val="24"/>
              </w:rPr>
              <w:t xml:space="preserve"> </w:t>
            </w:r>
            <w:r w:rsidR="00BE16EF" w:rsidRPr="008D48B5">
              <w:rPr>
                <w:rFonts w:ascii="Times New Roman" w:hAnsi="Times New Roman"/>
                <w:sz w:val="24"/>
                <w:szCs w:val="24"/>
              </w:rPr>
              <w:t xml:space="preserve">as part of the mid-term review of cohesion policy </w:t>
            </w:r>
            <w:r w:rsidRPr="008D48B5">
              <w:rPr>
                <w:rFonts w:ascii="Times New Roman" w:hAnsi="Times New Roman"/>
                <w:sz w:val="24"/>
                <w:szCs w:val="24"/>
              </w:rPr>
              <w:t xml:space="preserve">to provide further flexibilities for implementation, including to support the defence industry. The </w:t>
            </w:r>
            <w:r w:rsidR="0091088F" w:rsidRPr="008D48B5">
              <w:rPr>
                <w:rFonts w:ascii="Times New Roman" w:hAnsi="Times New Roman"/>
                <w:sz w:val="24"/>
                <w:szCs w:val="24"/>
              </w:rPr>
              <w:t>Member States</w:t>
            </w:r>
            <w:r w:rsidRPr="008D48B5">
              <w:rPr>
                <w:rFonts w:ascii="Times New Roman" w:hAnsi="Times New Roman"/>
                <w:sz w:val="24"/>
                <w:szCs w:val="24"/>
              </w:rPr>
              <w:t xml:space="preserve"> will </w:t>
            </w:r>
            <w:r w:rsidR="0091088F" w:rsidRPr="008D48B5">
              <w:rPr>
                <w:rFonts w:ascii="Times New Roman" w:hAnsi="Times New Roman"/>
                <w:sz w:val="24"/>
                <w:szCs w:val="24"/>
              </w:rPr>
              <w:t xml:space="preserve">be able to </w:t>
            </w:r>
            <w:r w:rsidRPr="008D48B5">
              <w:rPr>
                <w:rFonts w:ascii="Times New Roman" w:hAnsi="Times New Roman"/>
                <w:sz w:val="24"/>
                <w:szCs w:val="24"/>
              </w:rPr>
              <w:t xml:space="preserve">mobilize all available </w:t>
            </w:r>
            <w:r w:rsidR="0091088F" w:rsidRPr="008D48B5">
              <w:rPr>
                <w:rFonts w:ascii="Times New Roman" w:hAnsi="Times New Roman"/>
                <w:sz w:val="24"/>
                <w:szCs w:val="24"/>
              </w:rPr>
              <w:t xml:space="preserve">ESF+ resources </w:t>
            </w:r>
            <w:r w:rsidRPr="008D48B5">
              <w:rPr>
                <w:rFonts w:ascii="Times New Roman" w:hAnsi="Times New Roman"/>
                <w:sz w:val="24"/>
                <w:szCs w:val="24"/>
              </w:rPr>
              <w:t>to support the development of skills in the defence industry, including support for vocational education and training, and lifelong learning.</w:t>
            </w:r>
          </w:p>
          <w:p w14:paraId="4C9694BD" w14:textId="563991C2" w:rsidR="3680807F" w:rsidRPr="008D48B5" w:rsidRDefault="1AB87D7C"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 xml:space="preserve">Regarding the suggestion to introduce mandatory social audits for defence projects, the Commission </w:t>
            </w:r>
            <w:r w:rsidR="255027B6" w:rsidRPr="008D48B5">
              <w:rPr>
                <w:rFonts w:ascii="Times New Roman" w:hAnsi="Times New Roman"/>
                <w:sz w:val="24"/>
                <w:szCs w:val="24"/>
              </w:rPr>
              <w:t xml:space="preserve">recalls that </w:t>
            </w:r>
            <w:r w:rsidR="76E2B9A2" w:rsidRPr="008D48B5">
              <w:rPr>
                <w:rFonts w:ascii="Times New Roman" w:hAnsi="Times New Roman"/>
                <w:sz w:val="24"/>
                <w:szCs w:val="24"/>
              </w:rPr>
              <w:t xml:space="preserve">the </w:t>
            </w:r>
            <w:r w:rsidR="00BE16EF" w:rsidRPr="008D48B5">
              <w:rPr>
                <w:rFonts w:ascii="Times New Roman" w:hAnsi="Times New Roman"/>
                <w:sz w:val="24"/>
                <w:szCs w:val="24"/>
              </w:rPr>
              <w:t xml:space="preserve">proposed Regulation </w:t>
            </w:r>
            <w:r w:rsidR="76E2B9A2" w:rsidRPr="008D48B5">
              <w:rPr>
                <w:rFonts w:ascii="Times New Roman" w:hAnsi="Times New Roman"/>
                <w:sz w:val="24"/>
                <w:szCs w:val="24"/>
              </w:rPr>
              <w:t xml:space="preserve">does not intend to interfere with existing processes for the deployment of cohesion funds, which remain in the hands of national and regional authorities. </w:t>
            </w:r>
            <w:r w:rsidR="0CD74115" w:rsidRPr="008D48B5">
              <w:rPr>
                <w:rFonts w:ascii="Times New Roman" w:hAnsi="Times New Roman"/>
                <w:sz w:val="24"/>
                <w:szCs w:val="24"/>
              </w:rPr>
              <w:t>For EU-managed programmes, t</w:t>
            </w:r>
            <w:r w:rsidRPr="008D48B5">
              <w:rPr>
                <w:rFonts w:ascii="Times New Roman" w:hAnsi="Times New Roman"/>
                <w:sz w:val="24"/>
                <w:szCs w:val="24"/>
              </w:rPr>
              <w:t xml:space="preserve">he Commission notes that existing monitoring mechanisms are already in place, such as the indicators on workforce development and </w:t>
            </w:r>
            <w:r w:rsidR="008D48B5">
              <w:rPr>
                <w:rFonts w:ascii="Times New Roman" w:hAnsi="Times New Roman"/>
                <w:sz w:val="24"/>
                <w:szCs w:val="24"/>
              </w:rPr>
              <w:t>s</w:t>
            </w:r>
            <w:r w:rsidR="009E5468" w:rsidRPr="008D48B5">
              <w:rPr>
                <w:rFonts w:ascii="Times New Roman" w:hAnsi="Times New Roman"/>
                <w:sz w:val="24"/>
                <w:szCs w:val="24"/>
              </w:rPr>
              <w:t xml:space="preserve">mall and </w:t>
            </w:r>
            <w:r w:rsidR="008D48B5">
              <w:rPr>
                <w:rFonts w:ascii="Times New Roman" w:hAnsi="Times New Roman"/>
                <w:sz w:val="24"/>
                <w:szCs w:val="24"/>
              </w:rPr>
              <w:t>m</w:t>
            </w:r>
            <w:r w:rsidR="009E5468" w:rsidRPr="008D48B5">
              <w:rPr>
                <w:rFonts w:ascii="Times New Roman" w:hAnsi="Times New Roman"/>
                <w:sz w:val="24"/>
                <w:szCs w:val="24"/>
              </w:rPr>
              <w:t xml:space="preserve">edium-sized </w:t>
            </w:r>
            <w:proofErr w:type="spellStart"/>
            <w:r w:rsidR="009E5468" w:rsidRPr="008D48B5">
              <w:rPr>
                <w:rFonts w:ascii="Times New Roman" w:hAnsi="Times New Roman"/>
                <w:sz w:val="24"/>
                <w:szCs w:val="24"/>
              </w:rPr>
              <w:t>nterprise</w:t>
            </w:r>
            <w:r w:rsidR="006D3E59" w:rsidRPr="008D48B5">
              <w:rPr>
                <w:rFonts w:ascii="Times New Roman" w:hAnsi="Times New Roman"/>
                <w:sz w:val="24"/>
                <w:szCs w:val="24"/>
              </w:rPr>
              <w:t>s</w:t>
            </w:r>
            <w:proofErr w:type="spellEnd"/>
            <w:r w:rsidR="008D48B5">
              <w:rPr>
                <w:rFonts w:ascii="Times New Roman" w:hAnsi="Times New Roman"/>
                <w:sz w:val="24"/>
                <w:szCs w:val="24"/>
              </w:rPr>
              <w:t> </w:t>
            </w:r>
            <w:r w:rsidR="009E5468" w:rsidRPr="008D48B5">
              <w:rPr>
                <w:rFonts w:ascii="Times New Roman" w:hAnsi="Times New Roman"/>
                <w:sz w:val="24"/>
                <w:szCs w:val="24"/>
              </w:rPr>
              <w:t>(</w:t>
            </w:r>
            <w:r w:rsidRPr="008D48B5">
              <w:rPr>
                <w:rFonts w:ascii="Times New Roman" w:hAnsi="Times New Roman"/>
                <w:sz w:val="24"/>
                <w:szCs w:val="24"/>
              </w:rPr>
              <w:t>SME</w:t>
            </w:r>
            <w:r w:rsidR="006D3E59" w:rsidRPr="008D48B5">
              <w:rPr>
                <w:rFonts w:ascii="Times New Roman" w:hAnsi="Times New Roman"/>
                <w:sz w:val="24"/>
                <w:szCs w:val="24"/>
              </w:rPr>
              <w:t>s</w:t>
            </w:r>
            <w:r w:rsidR="009E5468" w:rsidRPr="008D48B5">
              <w:rPr>
                <w:rFonts w:ascii="Times New Roman" w:hAnsi="Times New Roman"/>
                <w:sz w:val="24"/>
                <w:szCs w:val="24"/>
              </w:rPr>
              <w:t>)</w:t>
            </w:r>
            <w:r w:rsidRPr="008D48B5">
              <w:rPr>
                <w:rFonts w:ascii="Times New Roman" w:hAnsi="Times New Roman"/>
                <w:sz w:val="24"/>
                <w:szCs w:val="24"/>
              </w:rPr>
              <w:t xml:space="preserve"> participation included in the European Defence Fund.</w:t>
            </w:r>
          </w:p>
          <w:p w14:paraId="5A3E34B0" w14:textId="56613DF2" w:rsidR="3680807F" w:rsidRPr="008D48B5" w:rsidRDefault="77279CB4"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T</w:t>
            </w:r>
            <w:r w:rsidR="32511B8E" w:rsidRPr="008D48B5">
              <w:rPr>
                <w:rFonts w:ascii="Times New Roman" w:hAnsi="Times New Roman"/>
                <w:sz w:val="24"/>
                <w:szCs w:val="24"/>
              </w:rPr>
              <w:t xml:space="preserve">he Commission </w:t>
            </w:r>
            <w:r w:rsidR="00BE16EF" w:rsidRPr="008D48B5">
              <w:rPr>
                <w:rFonts w:ascii="Times New Roman" w:hAnsi="Times New Roman"/>
                <w:sz w:val="24"/>
                <w:szCs w:val="24"/>
              </w:rPr>
              <w:t>shares the objective of</w:t>
            </w:r>
            <w:r w:rsidR="32511B8E" w:rsidRPr="008D48B5">
              <w:rPr>
                <w:rFonts w:ascii="Times New Roman" w:hAnsi="Times New Roman"/>
                <w:sz w:val="24"/>
                <w:szCs w:val="24"/>
              </w:rPr>
              <w:t xml:space="preserve"> creat</w:t>
            </w:r>
            <w:r w:rsidR="00BE16EF" w:rsidRPr="008D48B5">
              <w:rPr>
                <w:rFonts w:ascii="Times New Roman" w:hAnsi="Times New Roman"/>
                <w:sz w:val="24"/>
                <w:szCs w:val="24"/>
              </w:rPr>
              <w:t>ing</w:t>
            </w:r>
            <w:r w:rsidR="32511B8E" w:rsidRPr="008D48B5">
              <w:rPr>
                <w:rFonts w:ascii="Times New Roman" w:hAnsi="Times New Roman"/>
                <w:sz w:val="24"/>
                <w:szCs w:val="24"/>
              </w:rPr>
              <w:t xml:space="preserve"> synergies and ensur</w:t>
            </w:r>
            <w:r w:rsidR="00BE16EF" w:rsidRPr="008D48B5">
              <w:rPr>
                <w:rFonts w:ascii="Times New Roman" w:hAnsi="Times New Roman"/>
                <w:sz w:val="24"/>
                <w:szCs w:val="24"/>
              </w:rPr>
              <w:t>ing</w:t>
            </w:r>
            <w:r w:rsidR="32511B8E" w:rsidRPr="008D48B5">
              <w:rPr>
                <w:rFonts w:ascii="Times New Roman" w:hAnsi="Times New Roman"/>
                <w:sz w:val="24"/>
                <w:szCs w:val="24"/>
              </w:rPr>
              <w:t xml:space="preserve"> complementarity among funding </w:t>
            </w:r>
            <w:r w:rsidR="15C86D69" w:rsidRPr="008D48B5">
              <w:rPr>
                <w:rFonts w:ascii="Times New Roman" w:hAnsi="Times New Roman"/>
                <w:sz w:val="24"/>
                <w:szCs w:val="24"/>
              </w:rPr>
              <w:t xml:space="preserve">instruments </w:t>
            </w:r>
            <w:r w:rsidR="00BE16EF" w:rsidRPr="008D48B5">
              <w:rPr>
                <w:rFonts w:ascii="Times New Roman" w:hAnsi="Times New Roman"/>
                <w:sz w:val="24"/>
                <w:szCs w:val="24"/>
              </w:rPr>
              <w:t>in support of</w:t>
            </w:r>
            <w:r w:rsidR="15C86D69" w:rsidRPr="008D48B5">
              <w:rPr>
                <w:rFonts w:ascii="Times New Roman" w:hAnsi="Times New Roman"/>
                <w:sz w:val="24"/>
                <w:szCs w:val="24"/>
              </w:rPr>
              <w:t xml:space="preserve"> defence</w:t>
            </w:r>
            <w:r w:rsidR="32511B8E" w:rsidRPr="008D48B5">
              <w:rPr>
                <w:rFonts w:ascii="Times New Roman" w:hAnsi="Times New Roman"/>
                <w:sz w:val="24"/>
                <w:szCs w:val="24"/>
              </w:rPr>
              <w:t>. The objective of the proposed amendments in this regulation is precisely to maximise synergies and make the most efficient use of</w:t>
            </w:r>
            <w:r w:rsidR="00FB5D19" w:rsidRPr="008D48B5">
              <w:rPr>
                <w:rFonts w:ascii="Times New Roman" w:hAnsi="Times New Roman"/>
                <w:sz w:val="24"/>
                <w:szCs w:val="24"/>
              </w:rPr>
              <w:t xml:space="preserve"> the</w:t>
            </w:r>
            <w:r w:rsidR="32511B8E" w:rsidRPr="008D48B5">
              <w:rPr>
                <w:rFonts w:ascii="Times New Roman" w:hAnsi="Times New Roman"/>
                <w:sz w:val="24"/>
                <w:szCs w:val="24"/>
              </w:rPr>
              <w:t xml:space="preserve"> EU budget in support of the whole investment journey of defence companies. All these instruments are complementary, each with its own specific objective and rationale.</w:t>
            </w:r>
          </w:p>
          <w:p w14:paraId="20C3CCF3" w14:textId="416E3831" w:rsidR="3680807F" w:rsidRPr="008D48B5" w:rsidRDefault="00BA0552"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The Security Action for Europe</w:t>
            </w:r>
            <w:r w:rsidR="008D48B5">
              <w:rPr>
                <w:rFonts w:ascii="Times New Roman" w:hAnsi="Times New Roman"/>
                <w:sz w:val="24"/>
                <w:szCs w:val="24"/>
              </w:rPr>
              <w:t> </w:t>
            </w:r>
            <w:r w:rsidRPr="008D48B5">
              <w:rPr>
                <w:rFonts w:ascii="Times New Roman" w:hAnsi="Times New Roman"/>
                <w:sz w:val="24"/>
                <w:szCs w:val="24"/>
              </w:rPr>
              <w:t>(</w:t>
            </w:r>
            <w:r w:rsidR="32511B8E" w:rsidRPr="008D48B5">
              <w:rPr>
                <w:rFonts w:ascii="Times New Roman" w:hAnsi="Times New Roman"/>
                <w:sz w:val="24"/>
                <w:szCs w:val="24"/>
              </w:rPr>
              <w:t>SAFE</w:t>
            </w:r>
            <w:r w:rsidRPr="008D48B5">
              <w:rPr>
                <w:rFonts w:ascii="Times New Roman" w:hAnsi="Times New Roman"/>
                <w:sz w:val="24"/>
                <w:szCs w:val="24"/>
              </w:rPr>
              <w:t>)</w:t>
            </w:r>
            <w:r w:rsidR="00CE632E" w:rsidRPr="008D48B5">
              <w:rPr>
                <w:rStyle w:val="FootnoteReference"/>
                <w:rFonts w:ascii="Times New Roman" w:hAnsi="Times New Roman"/>
                <w:sz w:val="24"/>
                <w:szCs w:val="24"/>
              </w:rPr>
              <w:footnoteReference w:id="5"/>
            </w:r>
            <w:r w:rsidRPr="008D48B5">
              <w:rPr>
                <w:rFonts w:ascii="Times New Roman" w:hAnsi="Times New Roman"/>
                <w:sz w:val="24"/>
                <w:szCs w:val="24"/>
              </w:rPr>
              <w:t xml:space="preserve"> instrument</w:t>
            </w:r>
            <w:r w:rsidR="32511B8E" w:rsidRPr="008D48B5">
              <w:rPr>
                <w:rFonts w:ascii="Times New Roman" w:hAnsi="Times New Roman"/>
                <w:sz w:val="24"/>
                <w:szCs w:val="24"/>
              </w:rPr>
              <w:t xml:space="preserve"> is a loan instrument aimed at supporting Member States' acquisition of defence products and other products for defence purposes, as well as incentivising common procurement. The </w:t>
            </w:r>
            <w:r w:rsidR="5264AEDA" w:rsidRPr="008D48B5">
              <w:rPr>
                <w:rFonts w:ascii="Times New Roman" w:hAnsi="Times New Roman"/>
                <w:sz w:val="24"/>
                <w:szCs w:val="24"/>
              </w:rPr>
              <w:t>EDF</w:t>
            </w:r>
            <w:r w:rsidR="32511B8E" w:rsidRPr="008D48B5">
              <w:rPr>
                <w:rFonts w:ascii="Times New Roman" w:hAnsi="Times New Roman"/>
                <w:sz w:val="24"/>
                <w:szCs w:val="24"/>
              </w:rPr>
              <w:t xml:space="preserve">, on the other hand, aims to support research and development for defence through grants. By </w:t>
            </w:r>
            <w:proofErr w:type="gramStart"/>
            <w:r w:rsidR="32511B8E" w:rsidRPr="008D48B5">
              <w:rPr>
                <w:rFonts w:ascii="Times New Roman" w:hAnsi="Times New Roman"/>
                <w:sz w:val="24"/>
                <w:szCs w:val="24"/>
              </w:rPr>
              <w:t>opening up</w:t>
            </w:r>
            <w:proofErr w:type="gramEnd"/>
            <w:r w:rsidR="32511B8E" w:rsidRPr="008D48B5">
              <w:rPr>
                <w:rFonts w:ascii="Times New Roman" w:hAnsi="Times New Roman"/>
                <w:sz w:val="24"/>
                <w:szCs w:val="24"/>
              </w:rPr>
              <w:t xml:space="preserve"> Horizon Europe's European Innovation Council</w:t>
            </w:r>
            <w:r w:rsidR="008D48B5">
              <w:rPr>
                <w:rFonts w:ascii="Times New Roman" w:hAnsi="Times New Roman"/>
                <w:sz w:val="24"/>
                <w:szCs w:val="24"/>
              </w:rPr>
              <w:t> </w:t>
            </w:r>
            <w:r w:rsidR="32511B8E" w:rsidRPr="008D48B5">
              <w:rPr>
                <w:rFonts w:ascii="Times New Roman" w:hAnsi="Times New Roman"/>
                <w:sz w:val="24"/>
                <w:szCs w:val="24"/>
              </w:rPr>
              <w:t>(EIC) Accelerator to dual-use and the EIC Scale Up Scheme to defence, the Commission will be able to support dual-use and defence innovation beyond research and development, and through instruments not available in the EDF, such as direct equity. Specifically, the EIC Accelerator will provide grants and equity to highly innovative, non-bankable startups and SMEs, while the EIC Scale Up Scheme will provide direct equity (EUR</w:t>
            </w:r>
            <w:r w:rsidR="008D48B5">
              <w:rPr>
                <w:rFonts w:ascii="Times New Roman" w:hAnsi="Times New Roman"/>
                <w:sz w:val="24"/>
                <w:szCs w:val="24"/>
              </w:rPr>
              <w:t> </w:t>
            </w:r>
            <w:r w:rsidR="32511B8E" w:rsidRPr="008D48B5">
              <w:rPr>
                <w:rFonts w:ascii="Times New Roman" w:hAnsi="Times New Roman"/>
                <w:sz w:val="24"/>
                <w:szCs w:val="24"/>
              </w:rPr>
              <w:t>10-30</w:t>
            </w:r>
            <w:r w:rsidR="008D48B5">
              <w:rPr>
                <w:rFonts w:ascii="Times New Roman" w:hAnsi="Times New Roman"/>
                <w:sz w:val="24"/>
                <w:szCs w:val="24"/>
              </w:rPr>
              <w:t xml:space="preserve"> million</w:t>
            </w:r>
            <w:r w:rsidR="32511B8E" w:rsidRPr="008D48B5">
              <w:rPr>
                <w:rFonts w:ascii="Times New Roman" w:hAnsi="Times New Roman"/>
                <w:sz w:val="24"/>
                <w:szCs w:val="24"/>
              </w:rPr>
              <w:t>) to startups and scaleups in their growth stages. This will allow the Commission to support the development of innovative defence technologies and companies throughout their entire lifecycle, from research and development to commercialisation and scale-up.</w:t>
            </w:r>
            <w:r w:rsidR="36C29F9C" w:rsidRPr="008D48B5">
              <w:rPr>
                <w:rFonts w:ascii="Times New Roman" w:hAnsi="Times New Roman"/>
                <w:sz w:val="24"/>
                <w:szCs w:val="24"/>
              </w:rPr>
              <w:t xml:space="preserve"> Financing support from </w:t>
            </w:r>
            <w:r w:rsidR="004F78D5" w:rsidRPr="008D48B5">
              <w:rPr>
                <w:rFonts w:ascii="Times New Roman" w:hAnsi="Times New Roman"/>
                <w:sz w:val="24"/>
                <w:szCs w:val="24"/>
              </w:rPr>
              <w:t xml:space="preserve">the </w:t>
            </w:r>
            <w:r w:rsidR="36C29F9C" w:rsidRPr="008D48B5">
              <w:rPr>
                <w:rFonts w:ascii="Times New Roman" w:hAnsi="Times New Roman"/>
                <w:sz w:val="24"/>
                <w:szCs w:val="24"/>
              </w:rPr>
              <w:t>E</w:t>
            </w:r>
            <w:r w:rsidR="004F78D5" w:rsidRPr="008D48B5">
              <w:rPr>
                <w:rFonts w:ascii="Times New Roman" w:hAnsi="Times New Roman"/>
                <w:sz w:val="24"/>
                <w:szCs w:val="24"/>
              </w:rPr>
              <w:t xml:space="preserve">uropean Investment </w:t>
            </w:r>
            <w:r w:rsidR="36C29F9C" w:rsidRPr="008D48B5">
              <w:rPr>
                <w:rFonts w:ascii="Times New Roman" w:hAnsi="Times New Roman"/>
                <w:sz w:val="24"/>
                <w:szCs w:val="24"/>
              </w:rPr>
              <w:t>B</w:t>
            </w:r>
            <w:r w:rsidR="004F78D5" w:rsidRPr="008D48B5">
              <w:rPr>
                <w:rFonts w:ascii="Times New Roman" w:hAnsi="Times New Roman"/>
                <w:sz w:val="24"/>
                <w:szCs w:val="24"/>
              </w:rPr>
              <w:t>ank</w:t>
            </w:r>
            <w:r w:rsidR="36C29F9C" w:rsidRPr="008D48B5">
              <w:rPr>
                <w:rFonts w:ascii="Times New Roman" w:hAnsi="Times New Roman"/>
                <w:sz w:val="24"/>
                <w:szCs w:val="24"/>
              </w:rPr>
              <w:t xml:space="preserve"> and E</w:t>
            </w:r>
            <w:r w:rsidR="004F78D5" w:rsidRPr="008D48B5">
              <w:rPr>
                <w:rFonts w:ascii="Times New Roman" w:hAnsi="Times New Roman"/>
                <w:sz w:val="24"/>
                <w:szCs w:val="24"/>
              </w:rPr>
              <w:t xml:space="preserve">uropean </w:t>
            </w:r>
            <w:r w:rsidR="36C29F9C" w:rsidRPr="008D48B5">
              <w:rPr>
                <w:rFonts w:ascii="Times New Roman" w:hAnsi="Times New Roman"/>
                <w:sz w:val="24"/>
                <w:szCs w:val="24"/>
              </w:rPr>
              <w:t>B</w:t>
            </w:r>
            <w:r w:rsidR="004F78D5" w:rsidRPr="008D48B5">
              <w:rPr>
                <w:rFonts w:ascii="Times New Roman" w:hAnsi="Times New Roman"/>
                <w:sz w:val="24"/>
                <w:szCs w:val="24"/>
              </w:rPr>
              <w:t xml:space="preserve">ank for </w:t>
            </w:r>
            <w:r w:rsidR="36C29F9C" w:rsidRPr="008D48B5">
              <w:rPr>
                <w:rFonts w:ascii="Times New Roman" w:hAnsi="Times New Roman"/>
                <w:sz w:val="24"/>
                <w:szCs w:val="24"/>
              </w:rPr>
              <w:t>R</w:t>
            </w:r>
            <w:r w:rsidR="004F78D5" w:rsidRPr="008D48B5">
              <w:rPr>
                <w:rFonts w:ascii="Times New Roman" w:hAnsi="Times New Roman"/>
                <w:sz w:val="24"/>
                <w:szCs w:val="24"/>
              </w:rPr>
              <w:t xml:space="preserve">econstruction and </w:t>
            </w:r>
            <w:r w:rsidR="36C29F9C" w:rsidRPr="008D48B5">
              <w:rPr>
                <w:rFonts w:ascii="Times New Roman" w:hAnsi="Times New Roman"/>
                <w:sz w:val="24"/>
                <w:szCs w:val="24"/>
              </w:rPr>
              <w:t>D</w:t>
            </w:r>
            <w:r w:rsidR="004F78D5" w:rsidRPr="008D48B5">
              <w:rPr>
                <w:rFonts w:ascii="Times New Roman" w:hAnsi="Times New Roman"/>
                <w:sz w:val="24"/>
                <w:szCs w:val="24"/>
              </w:rPr>
              <w:t>evelopment</w:t>
            </w:r>
            <w:r w:rsidR="36C29F9C" w:rsidRPr="008D48B5">
              <w:rPr>
                <w:rFonts w:ascii="Times New Roman" w:hAnsi="Times New Roman"/>
                <w:sz w:val="24"/>
                <w:szCs w:val="24"/>
              </w:rPr>
              <w:t xml:space="preserve"> can support companies in further scaling up and focuses on bankable companies (outside the scope of</w:t>
            </w:r>
            <w:r w:rsidR="006C0677" w:rsidRPr="008D48B5">
              <w:rPr>
                <w:rFonts w:ascii="Times New Roman" w:hAnsi="Times New Roman"/>
                <w:sz w:val="24"/>
                <w:szCs w:val="24"/>
              </w:rPr>
              <w:t xml:space="preserve"> the</w:t>
            </w:r>
            <w:r w:rsidR="36C29F9C" w:rsidRPr="008D48B5">
              <w:rPr>
                <w:rFonts w:ascii="Times New Roman" w:hAnsi="Times New Roman"/>
                <w:sz w:val="24"/>
                <w:szCs w:val="24"/>
              </w:rPr>
              <w:t xml:space="preserve"> EIC).</w:t>
            </w:r>
          </w:p>
          <w:p w14:paraId="30D14481" w14:textId="552E5626" w:rsidR="0049246C" w:rsidRPr="008D48B5" w:rsidRDefault="28C7E006" w:rsidP="008D48B5">
            <w:pPr>
              <w:widowControl w:val="0"/>
              <w:spacing w:before="120" w:after="120"/>
              <w:jc w:val="both"/>
              <w:rPr>
                <w:rFonts w:ascii="Times New Roman" w:hAnsi="Times New Roman"/>
                <w:sz w:val="24"/>
                <w:szCs w:val="24"/>
              </w:rPr>
            </w:pPr>
            <w:r w:rsidRPr="008D48B5">
              <w:rPr>
                <w:rFonts w:ascii="Times New Roman" w:hAnsi="Times New Roman"/>
                <w:sz w:val="24"/>
                <w:szCs w:val="24"/>
              </w:rPr>
              <w:t>In conclusion, t</w:t>
            </w:r>
            <w:r w:rsidR="61B37013" w:rsidRPr="008D48B5">
              <w:rPr>
                <w:rFonts w:ascii="Times New Roman" w:hAnsi="Times New Roman"/>
                <w:sz w:val="24"/>
                <w:szCs w:val="24"/>
              </w:rPr>
              <w:t>h</w:t>
            </w:r>
            <w:r w:rsidRPr="008D48B5">
              <w:rPr>
                <w:rFonts w:ascii="Times New Roman" w:hAnsi="Times New Roman"/>
                <w:sz w:val="24"/>
                <w:szCs w:val="24"/>
              </w:rPr>
              <w:t>e Commission appreciates the</w:t>
            </w:r>
            <w:r w:rsidR="6DDCC627" w:rsidRPr="008D48B5">
              <w:rPr>
                <w:rFonts w:ascii="Times New Roman" w:hAnsi="Times New Roman"/>
                <w:sz w:val="24"/>
                <w:szCs w:val="24"/>
              </w:rPr>
              <w:t xml:space="preserve"> Committee’s</w:t>
            </w:r>
            <w:r w:rsidRPr="008D48B5">
              <w:rPr>
                <w:rFonts w:ascii="Times New Roman" w:hAnsi="Times New Roman"/>
                <w:sz w:val="24"/>
                <w:szCs w:val="24"/>
              </w:rPr>
              <w:t xml:space="preserve"> opinion and the consideration given to the legislative proposal. </w:t>
            </w:r>
            <w:r w:rsidR="00AA1A01" w:rsidRPr="008D48B5">
              <w:rPr>
                <w:rFonts w:ascii="Times New Roman" w:hAnsi="Times New Roman"/>
                <w:sz w:val="24"/>
                <w:szCs w:val="24"/>
              </w:rPr>
              <w:t>It reiterate</w:t>
            </w:r>
            <w:r w:rsidR="00FB5D19" w:rsidRPr="008D48B5">
              <w:rPr>
                <w:rFonts w:ascii="Times New Roman" w:hAnsi="Times New Roman"/>
                <w:sz w:val="24"/>
                <w:szCs w:val="24"/>
              </w:rPr>
              <w:t>s</w:t>
            </w:r>
            <w:r w:rsidR="00AA1A01" w:rsidRPr="008D48B5">
              <w:rPr>
                <w:rFonts w:ascii="Times New Roman" w:hAnsi="Times New Roman"/>
                <w:sz w:val="24"/>
                <w:szCs w:val="24"/>
              </w:rPr>
              <w:t xml:space="preserve"> its</w:t>
            </w:r>
            <w:r w:rsidRPr="008D48B5">
              <w:rPr>
                <w:rFonts w:ascii="Times New Roman" w:hAnsi="Times New Roman"/>
                <w:sz w:val="24"/>
                <w:szCs w:val="24"/>
              </w:rPr>
              <w:t xml:space="preserve"> commit</w:t>
            </w:r>
            <w:r w:rsidR="00AA1A01" w:rsidRPr="008D48B5">
              <w:rPr>
                <w:rFonts w:ascii="Times New Roman" w:hAnsi="Times New Roman"/>
                <w:sz w:val="24"/>
                <w:szCs w:val="24"/>
              </w:rPr>
              <w:t>ment</w:t>
            </w:r>
            <w:r w:rsidRPr="008D48B5">
              <w:rPr>
                <w:rFonts w:ascii="Times New Roman" w:hAnsi="Times New Roman"/>
                <w:sz w:val="24"/>
                <w:szCs w:val="24"/>
              </w:rPr>
              <w:t xml:space="preserve"> to strengthening European defence and promoting a competitive and innovative defence industry, while ensuring that the EU's fundamental values</w:t>
            </w:r>
            <w:r w:rsidR="48392CF0" w:rsidRPr="008D48B5">
              <w:rPr>
                <w:rFonts w:ascii="Times New Roman" w:hAnsi="Times New Roman"/>
                <w:sz w:val="24"/>
                <w:szCs w:val="24"/>
              </w:rPr>
              <w:t xml:space="preserve"> are safeguarded</w:t>
            </w:r>
            <w:r w:rsidRPr="008D48B5">
              <w:rPr>
                <w:rFonts w:ascii="Times New Roman" w:hAnsi="Times New Roman"/>
                <w:sz w:val="24"/>
                <w:szCs w:val="24"/>
              </w:rPr>
              <w:t>.</w:t>
            </w:r>
          </w:p>
        </w:tc>
      </w:tr>
    </w:tbl>
    <w:p w14:paraId="6AF07B14" w14:textId="26AEAB66" w:rsidR="004F6117" w:rsidRPr="008D48B5" w:rsidRDefault="004F6117" w:rsidP="008D48B5">
      <w:pPr>
        <w:widowControl w:val="0"/>
        <w:spacing w:before="120" w:after="120"/>
        <w:jc w:val="both"/>
        <w:rPr>
          <w:rFonts w:ascii="Times New Roman" w:hAnsi="Times New Roman"/>
          <w:b/>
          <w:strike/>
          <w:sz w:val="2"/>
          <w:szCs w:val="2"/>
          <w:u w:val="single"/>
        </w:rPr>
      </w:pPr>
    </w:p>
    <w:sectPr w:rsidR="004F6117" w:rsidRPr="008D48B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5A40" w14:textId="77777777" w:rsidR="001930DE" w:rsidRDefault="001930DE" w:rsidP="00FF63EA">
      <w:pPr>
        <w:spacing w:after="0" w:line="240" w:lineRule="auto"/>
      </w:pPr>
      <w:r>
        <w:separator/>
      </w:r>
    </w:p>
  </w:endnote>
  <w:endnote w:type="continuationSeparator" w:id="0">
    <w:p w14:paraId="6DFFED85" w14:textId="77777777" w:rsidR="001930DE" w:rsidRDefault="001930DE" w:rsidP="00FF63EA">
      <w:pPr>
        <w:spacing w:after="0" w:line="240" w:lineRule="auto"/>
      </w:pPr>
      <w:r>
        <w:continuationSeparator/>
      </w:r>
    </w:p>
  </w:endnote>
  <w:endnote w:type="continuationNotice" w:id="1">
    <w:p w14:paraId="789AF5FF" w14:textId="77777777" w:rsidR="001930DE" w:rsidRDefault="00193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0D07" w14:textId="77777777" w:rsidR="00E853E4" w:rsidRDefault="00E85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A458" w14:textId="77777777" w:rsidR="00F477CF" w:rsidRDefault="00F47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5D3C" w14:textId="77777777" w:rsidR="00E853E4" w:rsidRDefault="00E85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D449" w14:textId="77777777" w:rsidR="001930DE" w:rsidRDefault="001930DE" w:rsidP="00FF63EA">
      <w:pPr>
        <w:spacing w:after="0" w:line="240" w:lineRule="auto"/>
      </w:pPr>
      <w:r>
        <w:separator/>
      </w:r>
    </w:p>
  </w:footnote>
  <w:footnote w:type="continuationSeparator" w:id="0">
    <w:p w14:paraId="3610F7C4" w14:textId="77777777" w:rsidR="001930DE" w:rsidRDefault="001930DE" w:rsidP="00FF63EA">
      <w:pPr>
        <w:spacing w:after="0" w:line="240" w:lineRule="auto"/>
      </w:pPr>
      <w:r>
        <w:continuationSeparator/>
      </w:r>
    </w:p>
  </w:footnote>
  <w:footnote w:type="continuationNotice" w:id="1">
    <w:p w14:paraId="7D1E42FB" w14:textId="77777777" w:rsidR="001930DE" w:rsidRDefault="001930DE">
      <w:pPr>
        <w:spacing w:after="0" w:line="240" w:lineRule="auto"/>
      </w:pPr>
    </w:p>
  </w:footnote>
  <w:footnote w:id="2">
    <w:p w14:paraId="18F93B71" w14:textId="3C6E82E6" w:rsidR="00A13967" w:rsidRPr="008D48B5" w:rsidRDefault="00A13967" w:rsidP="00272C1E">
      <w:pPr>
        <w:pStyle w:val="FootnoteText"/>
        <w:widowControl w:val="0"/>
        <w:ind w:right="-426" w:hanging="284"/>
        <w:jc w:val="both"/>
        <w:rPr>
          <w:rFonts w:ascii="Times New Roman" w:hAnsi="Times New Roman"/>
          <w:lang w:val="pt-PT"/>
        </w:rPr>
      </w:pPr>
      <w:r w:rsidRPr="008D48B5">
        <w:rPr>
          <w:rStyle w:val="FootnoteReference"/>
          <w:rFonts w:ascii="Times New Roman" w:hAnsi="Times New Roman"/>
        </w:rPr>
        <w:footnoteRef/>
      </w:r>
      <w:r w:rsidRPr="008D48B5">
        <w:rPr>
          <w:rFonts w:ascii="Times New Roman" w:hAnsi="Times New Roman"/>
          <w:lang w:val="pt-PT"/>
        </w:rPr>
        <w:t xml:space="preserve"> </w:t>
      </w:r>
      <w:r w:rsidRPr="008D48B5">
        <w:rPr>
          <w:rFonts w:ascii="Times New Roman" w:hAnsi="Times New Roman"/>
          <w:lang w:val="pt-PT"/>
        </w:rPr>
        <w:tab/>
      </w:r>
      <w:proofErr w:type="gramStart"/>
      <w:r w:rsidRPr="008D48B5">
        <w:rPr>
          <w:rFonts w:ascii="Times New Roman" w:hAnsi="Times New Roman"/>
          <w:lang w:val="pt-PT"/>
        </w:rPr>
        <w:t>COM(</w:t>
      </w:r>
      <w:proofErr w:type="gramEnd"/>
      <w:r w:rsidRPr="008D48B5">
        <w:rPr>
          <w:rFonts w:ascii="Times New Roman" w:hAnsi="Times New Roman"/>
          <w:lang w:val="pt-PT"/>
        </w:rPr>
        <w:t>2025) 188 final (</w:t>
      </w:r>
      <w:hyperlink r:id="rId1" w:history="1">
        <w:r w:rsidR="008D48B5" w:rsidRPr="008D48B5">
          <w:rPr>
            <w:rStyle w:val="Hyperlink"/>
            <w:rFonts w:ascii="Times New Roman" w:hAnsi="Times New Roman"/>
            <w:lang w:val="pt-PT"/>
          </w:rPr>
          <w:t>https://eur-lex.europa.eu/legal-content/EN/TXT/?uri=celex:52025PC0188</w:t>
        </w:r>
      </w:hyperlink>
      <w:r w:rsidRPr="008D48B5">
        <w:rPr>
          <w:rFonts w:ascii="Times New Roman" w:hAnsi="Times New Roman"/>
          <w:lang w:val="pt-PT"/>
        </w:rPr>
        <w:t>).</w:t>
      </w:r>
    </w:p>
  </w:footnote>
  <w:footnote w:id="3">
    <w:p w14:paraId="493BD89A" w14:textId="76A0815A" w:rsidR="005169C5" w:rsidRPr="00272C1E" w:rsidRDefault="005169C5" w:rsidP="00272C1E">
      <w:pPr>
        <w:pStyle w:val="FootnoteText"/>
        <w:widowControl w:val="0"/>
        <w:ind w:right="-426" w:hanging="284"/>
        <w:jc w:val="both"/>
        <w:rPr>
          <w:rFonts w:ascii="Times New Roman" w:hAnsi="Times New Roman"/>
          <w:lang w:val="en-IE"/>
        </w:rPr>
      </w:pPr>
      <w:r w:rsidRPr="008D48B5">
        <w:rPr>
          <w:rStyle w:val="FootnoteReference"/>
          <w:rFonts w:ascii="Times New Roman" w:hAnsi="Times New Roman"/>
        </w:rPr>
        <w:footnoteRef/>
      </w:r>
      <w:r w:rsidRPr="008D48B5">
        <w:rPr>
          <w:rFonts w:ascii="Times New Roman" w:hAnsi="Times New Roman"/>
        </w:rPr>
        <w:t xml:space="preserve"> </w:t>
      </w:r>
      <w:r w:rsidR="00A13967" w:rsidRPr="008D48B5">
        <w:rPr>
          <w:rFonts w:ascii="Times New Roman" w:hAnsi="Times New Roman"/>
        </w:rPr>
        <w:tab/>
      </w:r>
      <w:r w:rsidR="00A13967" w:rsidRPr="00272C1E">
        <w:rPr>
          <w:rFonts w:ascii="Times New Roman" w:hAnsi="Times New Roman"/>
        </w:rPr>
        <w:t>Regulation (EU) 2023/588 of the European Parliament and of the Council of 15 March 2023 establishing the Union Secure Connectivity Programme for the period 2023-2027</w:t>
      </w:r>
      <w:r w:rsidR="00A13967" w:rsidRPr="008D48B5">
        <w:rPr>
          <w:rFonts w:ascii="Times New Roman" w:hAnsi="Times New Roman"/>
        </w:rPr>
        <w:t xml:space="preserve"> (</w:t>
      </w:r>
      <w:hyperlink r:id="rId2" w:history="1">
        <w:r w:rsidR="00A13967" w:rsidRPr="008D48B5">
          <w:rPr>
            <w:rStyle w:val="Hyperlink"/>
            <w:rFonts w:ascii="Times New Roman" w:hAnsi="Times New Roman"/>
          </w:rPr>
          <w:t>https://eur-lex.europa.eu/eli/reg/2023/588/oj/eng</w:t>
        </w:r>
      </w:hyperlink>
      <w:r w:rsidR="00A13967" w:rsidRPr="008D48B5">
        <w:rPr>
          <w:rFonts w:ascii="Times New Roman" w:hAnsi="Times New Roman"/>
        </w:rPr>
        <w:t>).</w:t>
      </w:r>
    </w:p>
  </w:footnote>
  <w:footnote w:id="4">
    <w:p w14:paraId="52947946" w14:textId="003A3619" w:rsidR="009E5468" w:rsidRPr="008D48B5" w:rsidRDefault="009E5468" w:rsidP="00272C1E">
      <w:pPr>
        <w:pStyle w:val="FootnoteText"/>
        <w:widowControl w:val="0"/>
        <w:ind w:right="-426" w:hanging="284"/>
        <w:jc w:val="both"/>
        <w:rPr>
          <w:rFonts w:ascii="Times New Roman" w:hAnsi="Times New Roman"/>
          <w:lang w:val="en"/>
        </w:rPr>
      </w:pPr>
      <w:r w:rsidRPr="008D48B5">
        <w:rPr>
          <w:rStyle w:val="FootnoteReference"/>
          <w:rFonts w:ascii="Times New Roman" w:hAnsi="Times New Roman"/>
        </w:rPr>
        <w:footnoteRef/>
      </w:r>
      <w:r w:rsidRPr="008D48B5">
        <w:rPr>
          <w:rFonts w:ascii="Times New Roman" w:hAnsi="Times New Roman"/>
        </w:rPr>
        <w:t xml:space="preserve"> </w:t>
      </w:r>
      <w:r w:rsidRPr="008D48B5">
        <w:rPr>
          <w:rFonts w:ascii="Times New Roman" w:hAnsi="Times New Roman"/>
        </w:rPr>
        <w:tab/>
        <w:t>Regulation (EU) 2021/1057 of the European Parliament and of the Council of 24 June 2021 establishing the European Social Fund Plus (ESF+) and repealing Regulation (EU) No 1296/2013 (</w:t>
      </w:r>
      <w:hyperlink r:id="rId3" w:tooltip="Gives access to this document through its ELI URI." w:history="1">
        <w:r w:rsidRPr="008D48B5">
          <w:rPr>
            <w:rStyle w:val="Hyperlink"/>
            <w:rFonts w:ascii="Times New Roman" w:hAnsi="Times New Roman"/>
            <w:lang w:val="en"/>
          </w:rPr>
          <w:t>http://data.europa.eu/eli/reg/2021/1057/oj</w:t>
        </w:r>
      </w:hyperlink>
      <w:r w:rsidRPr="008D48B5">
        <w:rPr>
          <w:rFonts w:ascii="Times New Roman" w:hAnsi="Times New Roman"/>
          <w:lang w:val="en"/>
        </w:rPr>
        <w:t>).</w:t>
      </w:r>
    </w:p>
  </w:footnote>
  <w:footnote w:id="5">
    <w:p w14:paraId="05C978BD" w14:textId="414B22D3" w:rsidR="00CE632E" w:rsidRPr="00272C1E" w:rsidRDefault="00CE632E" w:rsidP="00272C1E">
      <w:pPr>
        <w:pStyle w:val="FootnoteText"/>
        <w:widowControl w:val="0"/>
        <w:ind w:right="-426" w:hanging="284"/>
        <w:jc w:val="both"/>
        <w:rPr>
          <w:rFonts w:ascii="Times New Roman" w:hAnsi="Times New Roman"/>
          <w:lang w:val="en-IE"/>
        </w:rPr>
      </w:pPr>
      <w:r w:rsidRPr="008D48B5">
        <w:rPr>
          <w:rStyle w:val="FootnoteReference"/>
          <w:rFonts w:ascii="Times New Roman" w:hAnsi="Times New Roman"/>
        </w:rPr>
        <w:footnoteRef/>
      </w:r>
      <w:r w:rsidRPr="008D48B5">
        <w:rPr>
          <w:rFonts w:ascii="Times New Roman" w:hAnsi="Times New Roman"/>
        </w:rPr>
        <w:t xml:space="preserve"> </w:t>
      </w:r>
      <w:r w:rsidR="009E5468" w:rsidRPr="008D48B5">
        <w:rPr>
          <w:rFonts w:ascii="Times New Roman" w:hAnsi="Times New Roman"/>
        </w:rPr>
        <w:tab/>
      </w:r>
      <w:hyperlink r:id="rId4" w:history="1">
        <w:r w:rsidR="009E5468" w:rsidRPr="008D48B5">
          <w:rPr>
            <w:rStyle w:val="Hyperlink"/>
            <w:rFonts w:ascii="Times New Roman" w:hAnsi="Times New Roman"/>
          </w:rPr>
          <w:t>https://defence-industry-space.ec.europa.eu/eu-defence-industry/safe-security-action-europe_en</w:t>
        </w:r>
      </w:hyperlink>
      <w:r w:rsidR="009E5468" w:rsidRPr="008D48B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BA5" w14:textId="77777777" w:rsidR="00E853E4" w:rsidRDefault="00E85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FC99" w14:textId="77777777" w:rsidR="00F477CF" w:rsidRPr="00B32683" w:rsidRDefault="00F477CF">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A2A7" w14:textId="77777777" w:rsidR="00E853E4" w:rsidRDefault="00E85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5B1D"/>
    <w:multiLevelType w:val="hybridMultilevel"/>
    <w:tmpl w:val="8D38135C"/>
    <w:lvl w:ilvl="0" w:tplc="0C3A87FC">
      <w:start w:val="1"/>
      <w:numFmt w:val="bullet"/>
      <w:lvlText w:val="-"/>
      <w:lvlJc w:val="left"/>
      <w:pPr>
        <w:ind w:left="720" w:hanging="360"/>
      </w:pPr>
      <w:rPr>
        <w:rFonts w:ascii="Aptos" w:hAnsi="Aptos" w:hint="default"/>
      </w:rPr>
    </w:lvl>
    <w:lvl w:ilvl="1" w:tplc="2DCE8A56">
      <w:start w:val="1"/>
      <w:numFmt w:val="bullet"/>
      <w:lvlText w:val="o"/>
      <w:lvlJc w:val="left"/>
      <w:pPr>
        <w:ind w:left="1440" w:hanging="360"/>
      </w:pPr>
      <w:rPr>
        <w:rFonts w:ascii="Courier New" w:hAnsi="Courier New" w:hint="default"/>
      </w:rPr>
    </w:lvl>
    <w:lvl w:ilvl="2" w:tplc="9F809074">
      <w:start w:val="1"/>
      <w:numFmt w:val="bullet"/>
      <w:lvlText w:val=""/>
      <w:lvlJc w:val="left"/>
      <w:pPr>
        <w:ind w:left="2160" w:hanging="360"/>
      </w:pPr>
      <w:rPr>
        <w:rFonts w:ascii="Wingdings" w:hAnsi="Wingdings" w:hint="default"/>
      </w:rPr>
    </w:lvl>
    <w:lvl w:ilvl="3" w:tplc="17BE40AE">
      <w:start w:val="1"/>
      <w:numFmt w:val="bullet"/>
      <w:lvlText w:val=""/>
      <w:lvlJc w:val="left"/>
      <w:pPr>
        <w:ind w:left="2880" w:hanging="360"/>
      </w:pPr>
      <w:rPr>
        <w:rFonts w:ascii="Symbol" w:hAnsi="Symbol" w:hint="default"/>
      </w:rPr>
    </w:lvl>
    <w:lvl w:ilvl="4" w:tplc="BFB4F374">
      <w:start w:val="1"/>
      <w:numFmt w:val="bullet"/>
      <w:lvlText w:val="o"/>
      <w:lvlJc w:val="left"/>
      <w:pPr>
        <w:ind w:left="3600" w:hanging="360"/>
      </w:pPr>
      <w:rPr>
        <w:rFonts w:ascii="Courier New" w:hAnsi="Courier New" w:hint="default"/>
      </w:rPr>
    </w:lvl>
    <w:lvl w:ilvl="5" w:tplc="398E594C">
      <w:start w:val="1"/>
      <w:numFmt w:val="bullet"/>
      <w:lvlText w:val=""/>
      <w:lvlJc w:val="left"/>
      <w:pPr>
        <w:ind w:left="4320" w:hanging="360"/>
      </w:pPr>
      <w:rPr>
        <w:rFonts w:ascii="Wingdings" w:hAnsi="Wingdings" w:hint="default"/>
      </w:rPr>
    </w:lvl>
    <w:lvl w:ilvl="6" w:tplc="4420F4D2">
      <w:start w:val="1"/>
      <w:numFmt w:val="bullet"/>
      <w:lvlText w:val=""/>
      <w:lvlJc w:val="left"/>
      <w:pPr>
        <w:ind w:left="5040" w:hanging="360"/>
      </w:pPr>
      <w:rPr>
        <w:rFonts w:ascii="Symbol" w:hAnsi="Symbol" w:hint="default"/>
      </w:rPr>
    </w:lvl>
    <w:lvl w:ilvl="7" w:tplc="C65A1CC6">
      <w:start w:val="1"/>
      <w:numFmt w:val="bullet"/>
      <w:lvlText w:val="o"/>
      <w:lvlJc w:val="left"/>
      <w:pPr>
        <w:ind w:left="5760" w:hanging="360"/>
      </w:pPr>
      <w:rPr>
        <w:rFonts w:ascii="Courier New" w:hAnsi="Courier New" w:hint="default"/>
      </w:rPr>
    </w:lvl>
    <w:lvl w:ilvl="8" w:tplc="213EBFAC">
      <w:start w:val="1"/>
      <w:numFmt w:val="bullet"/>
      <w:lvlText w:val=""/>
      <w:lvlJc w:val="left"/>
      <w:pPr>
        <w:ind w:left="6480" w:hanging="360"/>
      </w:pPr>
      <w:rPr>
        <w:rFonts w:ascii="Wingdings" w:hAnsi="Wingdings" w:hint="default"/>
      </w:rPr>
    </w:lvl>
  </w:abstractNum>
  <w:abstractNum w:abstractNumId="1" w15:restartNumberingAfterBreak="0">
    <w:nsid w:val="6C7B67C8"/>
    <w:multiLevelType w:val="hybridMultilevel"/>
    <w:tmpl w:val="FEBAC7FC"/>
    <w:lvl w:ilvl="0" w:tplc="A8B4851C">
      <w:start w:val="5"/>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045813">
    <w:abstractNumId w:val="0"/>
  </w:num>
  <w:num w:numId="2" w16cid:durableId="159246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76ED"/>
    <w:rsid w:val="00012A37"/>
    <w:rsid w:val="00030287"/>
    <w:rsid w:val="000443E0"/>
    <w:rsid w:val="00046B15"/>
    <w:rsid w:val="00050DC7"/>
    <w:rsid w:val="000577D9"/>
    <w:rsid w:val="00062775"/>
    <w:rsid w:val="00076109"/>
    <w:rsid w:val="00077C4F"/>
    <w:rsid w:val="000A2BC1"/>
    <w:rsid w:val="000B5238"/>
    <w:rsid w:val="000C6F32"/>
    <w:rsid w:val="000E11C8"/>
    <w:rsid w:val="000E28E7"/>
    <w:rsid w:val="000F5FD8"/>
    <w:rsid w:val="001167C0"/>
    <w:rsid w:val="00122FEF"/>
    <w:rsid w:val="00135C2A"/>
    <w:rsid w:val="001930DE"/>
    <w:rsid w:val="001A0290"/>
    <w:rsid w:val="001B0E0B"/>
    <w:rsid w:val="001C4138"/>
    <w:rsid w:val="001D52F8"/>
    <w:rsid w:val="001F2EC6"/>
    <w:rsid w:val="001F65D0"/>
    <w:rsid w:val="00217E59"/>
    <w:rsid w:val="0024358E"/>
    <w:rsid w:val="00257C45"/>
    <w:rsid w:val="00263F47"/>
    <w:rsid w:val="00271466"/>
    <w:rsid w:val="00272C1E"/>
    <w:rsid w:val="00276CB8"/>
    <w:rsid w:val="00284D30"/>
    <w:rsid w:val="002C08E9"/>
    <w:rsid w:val="002F006B"/>
    <w:rsid w:val="002F03FA"/>
    <w:rsid w:val="003004D2"/>
    <w:rsid w:val="003253B5"/>
    <w:rsid w:val="003349A3"/>
    <w:rsid w:val="00347E3F"/>
    <w:rsid w:val="00357483"/>
    <w:rsid w:val="00377967"/>
    <w:rsid w:val="00386143"/>
    <w:rsid w:val="00387AB9"/>
    <w:rsid w:val="003B32BE"/>
    <w:rsid w:val="003B3C00"/>
    <w:rsid w:val="003B58DC"/>
    <w:rsid w:val="003C5078"/>
    <w:rsid w:val="003F4AAC"/>
    <w:rsid w:val="003F686E"/>
    <w:rsid w:val="0040217D"/>
    <w:rsid w:val="00407192"/>
    <w:rsid w:val="00424040"/>
    <w:rsid w:val="00441EBA"/>
    <w:rsid w:val="00442552"/>
    <w:rsid w:val="00455A1C"/>
    <w:rsid w:val="00460476"/>
    <w:rsid w:val="004675B5"/>
    <w:rsid w:val="004770D6"/>
    <w:rsid w:val="0049246C"/>
    <w:rsid w:val="004952D7"/>
    <w:rsid w:val="00497F3E"/>
    <w:rsid w:val="004F6117"/>
    <w:rsid w:val="004F63F1"/>
    <w:rsid w:val="004F651E"/>
    <w:rsid w:val="004F78D5"/>
    <w:rsid w:val="00501613"/>
    <w:rsid w:val="00505118"/>
    <w:rsid w:val="005169C5"/>
    <w:rsid w:val="00522A9D"/>
    <w:rsid w:val="0052596B"/>
    <w:rsid w:val="00545E4D"/>
    <w:rsid w:val="00550AAE"/>
    <w:rsid w:val="00554D8D"/>
    <w:rsid w:val="00561DDC"/>
    <w:rsid w:val="00573835"/>
    <w:rsid w:val="00574936"/>
    <w:rsid w:val="00574F84"/>
    <w:rsid w:val="00581306"/>
    <w:rsid w:val="005B1261"/>
    <w:rsid w:val="005C3105"/>
    <w:rsid w:val="005F7096"/>
    <w:rsid w:val="006520E5"/>
    <w:rsid w:val="00677B6C"/>
    <w:rsid w:val="00683F43"/>
    <w:rsid w:val="00692C2F"/>
    <w:rsid w:val="00695797"/>
    <w:rsid w:val="00696A5E"/>
    <w:rsid w:val="006B38ED"/>
    <w:rsid w:val="006B3B69"/>
    <w:rsid w:val="006B7651"/>
    <w:rsid w:val="006C0677"/>
    <w:rsid w:val="006C2162"/>
    <w:rsid w:val="006D3E59"/>
    <w:rsid w:val="006F64F3"/>
    <w:rsid w:val="00734613"/>
    <w:rsid w:val="00737456"/>
    <w:rsid w:val="00751910"/>
    <w:rsid w:val="00751E60"/>
    <w:rsid w:val="007547B5"/>
    <w:rsid w:val="00787C5D"/>
    <w:rsid w:val="00795A9E"/>
    <w:rsid w:val="007A606D"/>
    <w:rsid w:val="007B68EF"/>
    <w:rsid w:val="007C2214"/>
    <w:rsid w:val="007C4C1C"/>
    <w:rsid w:val="007C7EBB"/>
    <w:rsid w:val="007CAD9F"/>
    <w:rsid w:val="00807B48"/>
    <w:rsid w:val="008135CA"/>
    <w:rsid w:val="0081584F"/>
    <w:rsid w:val="00816577"/>
    <w:rsid w:val="008703BF"/>
    <w:rsid w:val="00871704"/>
    <w:rsid w:val="008925CE"/>
    <w:rsid w:val="008C4D41"/>
    <w:rsid w:val="008D48B5"/>
    <w:rsid w:val="008E4C1F"/>
    <w:rsid w:val="00905C3D"/>
    <w:rsid w:val="0091088F"/>
    <w:rsid w:val="009145DE"/>
    <w:rsid w:val="00981F45"/>
    <w:rsid w:val="00985AC5"/>
    <w:rsid w:val="00994D12"/>
    <w:rsid w:val="009B128B"/>
    <w:rsid w:val="009C30F7"/>
    <w:rsid w:val="009C673D"/>
    <w:rsid w:val="009E085C"/>
    <w:rsid w:val="009E5468"/>
    <w:rsid w:val="00A13967"/>
    <w:rsid w:val="00A16F07"/>
    <w:rsid w:val="00A311B5"/>
    <w:rsid w:val="00A53FB0"/>
    <w:rsid w:val="00A55121"/>
    <w:rsid w:val="00A62C7B"/>
    <w:rsid w:val="00A673D1"/>
    <w:rsid w:val="00A7709A"/>
    <w:rsid w:val="00A976A0"/>
    <w:rsid w:val="00AA1A01"/>
    <w:rsid w:val="00AA42AE"/>
    <w:rsid w:val="00AE1842"/>
    <w:rsid w:val="00AE3C7C"/>
    <w:rsid w:val="00AE4388"/>
    <w:rsid w:val="00B31306"/>
    <w:rsid w:val="00B32683"/>
    <w:rsid w:val="00B32EB4"/>
    <w:rsid w:val="00B34A9F"/>
    <w:rsid w:val="00B42814"/>
    <w:rsid w:val="00B60F24"/>
    <w:rsid w:val="00B75173"/>
    <w:rsid w:val="00B83936"/>
    <w:rsid w:val="00BA0552"/>
    <w:rsid w:val="00BA6DA9"/>
    <w:rsid w:val="00BD6EB7"/>
    <w:rsid w:val="00BE16EF"/>
    <w:rsid w:val="00BF5528"/>
    <w:rsid w:val="00C43EDB"/>
    <w:rsid w:val="00C51CAF"/>
    <w:rsid w:val="00C54D27"/>
    <w:rsid w:val="00C76EEB"/>
    <w:rsid w:val="00CC3F98"/>
    <w:rsid w:val="00CC47C3"/>
    <w:rsid w:val="00CD2104"/>
    <w:rsid w:val="00CE632E"/>
    <w:rsid w:val="00CF4950"/>
    <w:rsid w:val="00D01F5A"/>
    <w:rsid w:val="00D02B98"/>
    <w:rsid w:val="00D0632F"/>
    <w:rsid w:val="00D11B6A"/>
    <w:rsid w:val="00D1716E"/>
    <w:rsid w:val="00D27B5F"/>
    <w:rsid w:val="00D36F33"/>
    <w:rsid w:val="00D64E05"/>
    <w:rsid w:val="00D92FD3"/>
    <w:rsid w:val="00DA3B6E"/>
    <w:rsid w:val="00DB7581"/>
    <w:rsid w:val="00DC70C1"/>
    <w:rsid w:val="00DD0357"/>
    <w:rsid w:val="00DD1647"/>
    <w:rsid w:val="00DF769C"/>
    <w:rsid w:val="00E03121"/>
    <w:rsid w:val="00E252BD"/>
    <w:rsid w:val="00E478C7"/>
    <w:rsid w:val="00E746A1"/>
    <w:rsid w:val="00E83C12"/>
    <w:rsid w:val="00E853E4"/>
    <w:rsid w:val="00E85DA1"/>
    <w:rsid w:val="00E87001"/>
    <w:rsid w:val="00E904C8"/>
    <w:rsid w:val="00EA1BBF"/>
    <w:rsid w:val="00EB29A9"/>
    <w:rsid w:val="00EB4396"/>
    <w:rsid w:val="00EB77D2"/>
    <w:rsid w:val="00ED484F"/>
    <w:rsid w:val="00F10307"/>
    <w:rsid w:val="00F23193"/>
    <w:rsid w:val="00F30A79"/>
    <w:rsid w:val="00F316C8"/>
    <w:rsid w:val="00F477CF"/>
    <w:rsid w:val="00F632DE"/>
    <w:rsid w:val="00F735E4"/>
    <w:rsid w:val="00F8113D"/>
    <w:rsid w:val="00FA11F5"/>
    <w:rsid w:val="00FB3919"/>
    <w:rsid w:val="00FB5D19"/>
    <w:rsid w:val="00FB7834"/>
    <w:rsid w:val="00FC333A"/>
    <w:rsid w:val="00FD4B6A"/>
    <w:rsid w:val="00FE42A8"/>
    <w:rsid w:val="00FE746A"/>
    <w:rsid w:val="00FF03A8"/>
    <w:rsid w:val="00FF35A3"/>
    <w:rsid w:val="00FF63EA"/>
    <w:rsid w:val="02B66492"/>
    <w:rsid w:val="02E5EA39"/>
    <w:rsid w:val="03AFF54B"/>
    <w:rsid w:val="03E08047"/>
    <w:rsid w:val="04D6E4FC"/>
    <w:rsid w:val="05180E3F"/>
    <w:rsid w:val="05B70A48"/>
    <w:rsid w:val="06CD5863"/>
    <w:rsid w:val="0B48EF04"/>
    <w:rsid w:val="0BE715D2"/>
    <w:rsid w:val="0C8786BD"/>
    <w:rsid w:val="0CD74115"/>
    <w:rsid w:val="1114C094"/>
    <w:rsid w:val="11182AA1"/>
    <w:rsid w:val="1136661E"/>
    <w:rsid w:val="11E28F8E"/>
    <w:rsid w:val="14B68719"/>
    <w:rsid w:val="15C86D69"/>
    <w:rsid w:val="1607CEA5"/>
    <w:rsid w:val="192A98EF"/>
    <w:rsid w:val="1AB87D7C"/>
    <w:rsid w:val="1AF0539B"/>
    <w:rsid w:val="1B003119"/>
    <w:rsid w:val="1C950AA1"/>
    <w:rsid w:val="1CB25686"/>
    <w:rsid w:val="1EC61B65"/>
    <w:rsid w:val="1FA8D2A1"/>
    <w:rsid w:val="2142A15F"/>
    <w:rsid w:val="21A8F97B"/>
    <w:rsid w:val="22D16F3F"/>
    <w:rsid w:val="255027B6"/>
    <w:rsid w:val="2568B047"/>
    <w:rsid w:val="25C95611"/>
    <w:rsid w:val="26266F08"/>
    <w:rsid w:val="268D8D37"/>
    <w:rsid w:val="27E03F67"/>
    <w:rsid w:val="281CA244"/>
    <w:rsid w:val="28C7E006"/>
    <w:rsid w:val="28EF0915"/>
    <w:rsid w:val="2CA1C4B7"/>
    <w:rsid w:val="2E7A55A9"/>
    <w:rsid w:val="30C44AC8"/>
    <w:rsid w:val="32511B8E"/>
    <w:rsid w:val="330309D5"/>
    <w:rsid w:val="335F07A9"/>
    <w:rsid w:val="3441D5D5"/>
    <w:rsid w:val="3680807F"/>
    <w:rsid w:val="36C29F9C"/>
    <w:rsid w:val="3DF6C770"/>
    <w:rsid w:val="3FE38EBC"/>
    <w:rsid w:val="40304D3F"/>
    <w:rsid w:val="4124D0F2"/>
    <w:rsid w:val="41A658F0"/>
    <w:rsid w:val="447A83EA"/>
    <w:rsid w:val="474F9527"/>
    <w:rsid w:val="475B4E7B"/>
    <w:rsid w:val="478814EC"/>
    <w:rsid w:val="47B6904F"/>
    <w:rsid w:val="48292D11"/>
    <w:rsid w:val="48392CF0"/>
    <w:rsid w:val="49CFFC32"/>
    <w:rsid w:val="4BBEB832"/>
    <w:rsid w:val="4BF2F853"/>
    <w:rsid w:val="4C09F7A2"/>
    <w:rsid w:val="4CC0E84F"/>
    <w:rsid w:val="4CCE8C96"/>
    <w:rsid w:val="4D3B2869"/>
    <w:rsid w:val="4E672E87"/>
    <w:rsid w:val="4E9B956F"/>
    <w:rsid w:val="4F145AAC"/>
    <w:rsid w:val="4F6FBB10"/>
    <w:rsid w:val="5264AEDA"/>
    <w:rsid w:val="5290CAAD"/>
    <w:rsid w:val="52E27AAF"/>
    <w:rsid w:val="530B39A4"/>
    <w:rsid w:val="54A77AAD"/>
    <w:rsid w:val="54F16780"/>
    <w:rsid w:val="55A6A592"/>
    <w:rsid w:val="56584D92"/>
    <w:rsid w:val="567A2956"/>
    <w:rsid w:val="57D8B8FA"/>
    <w:rsid w:val="5F1BF1DE"/>
    <w:rsid w:val="610A636E"/>
    <w:rsid w:val="61B37013"/>
    <w:rsid w:val="61E003A9"/>
    <w:rsid w:val="64F12FD5"/>
    <w:rsid w:val="653E2083"/>
    <w:rsid w:val="65E6FE61"/>
    <w:rsid w:val="65FBCD43"/>
    <w:rsid w:val="6B09D7E9"/>
    <w:rsid w:val="6CB40CFE"/>
    <w:rsid w:val="6CBDDBD0"/>
    <w:rsid w:val="6DDCC627"/>
    <w:rsid w:val="70015090"/>
    <w:rsid w:val="7011D12A"/>
    <w:rsid w:val="7156AD05"/>
    <w:rsid w:val="74059C96"/>
    <w:rsid w:val="76E2B9A2"/>
    <w:rsid w:val="77279CB4"/>
    <w:rsid w:val="7778BA3B"/>
    <w:rsid w:val="7A1EC188"/>
    <w:rsid w:val="7B408BBC"/>
    <w:rsid w:val="7DAC2626"/>
    <w:rsid w:val="7E1F6436"/>
    <w:rsid w:val="7EE3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4F5D9595-8827-4331-A41E-42733FD0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680807F"/>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BE16EF"/>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F477CF"/>
    <w:rPr>
      <w:b/>
      <w:bCs/>
    </w:rPr>
  </w:style>
  <w:style w:type="character" w:customStyle="1" w:styleId="CommentSubjectChar">
    <w:name w:val="Comment Subject Char"/>
    <w:basedOn w:val="CommentTextChar"/>
    <w:link w:val="CommentSubject"/>
    <w:uiPriority w:val="99"/>
    <w:semiHidden/>
    <w:rsid w:val="00F477CF"/>
    <w:rPr>
      <w:b/>
      <w:bCs/>
      <w:lang w:val="en-GB" w:eastAsia="en-US"/>
    </w:rPr>
  </w:style>
  <w:style w:type="paragraph" w:styleId="Header">
    <w:name w:val="header"/>
    <w:basedOn w:val="Normal"/>
    <w:link w:val="HeaderChar"/>
    <w:uiPriority w:val="99"/>
    <w:unhideWhenUsed/>
    <w:rsid w:val="00F47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7CF"/>
    <w:rPr>
      <w:sz w:val="22"/>
      <w:szCs w:val="22"/>
      <w:lang w:val="en-GB" w:eastAsia="en-US"/>
    </w:rPr>
  </w:style>
  <w:style w:type="paragraph" w:styleId="Footer">
    <w:name w:val="footer"/>
    <w:basedOn w:val="Normal"/>
    <w:link w:val="FooterChar"/>
    <w:uiPriority w:val="99"/>
    <w:unhideWhenUsed/>
    <w:rsid w:val="00F47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7CF"/>
    <w:rPr>
      <w:sz w:val="22"/>
      <w:szCs w:val="22"/>
      <w:lang w:val="en-GB" w:eastAsia="en-US"/>
    </w:rPr>
  </w:style>
  <w:style w:type="paragraph" w:styleId="FootnoteText">
    <w:name w:val="footnote text"/>
    <w:basedOn w:val="Normal"/>
    <w:link w:val="FootnoteTextChar"/>
    <w:uiPriority w:val="99"/>
    <w:semiHidden/>
    <w:unhideWhenUsed/>
    <w:rsid w:val="00CE63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32E"/>
    <w:rPr>
      <w:lang w:val="en-GB" w:eastAsia="en-US"/>
    </w:rPr>
  </w:style>
  <w:style w:type="character" w:styleId="FootnoteReference">
    <w:name w:val="footnote reference"/>
    <w:basedOn w:val="DefaultParagraphFont"/>
    <w:uiPriority w:val="99"/>
    <w:semiHidden/>
    <w:unhideWhenUsed/>
    <w:rsid w:val="00CE632E"/>
    <w:rPr>
      <w:vertAlign w:val="superscript"/>
    </w:rPr>
  </w:style>
  <w:style w:type="character" w:styleId="Hyperlink">
    <w:name w:val="Hyperlink"/>
    <w:basedOn w:val="DefaultParagraphFont"/>
    <w:uiPriority w:val="99"/>
    <w:unhideWhenUsed/>
    <w:rsid w:val="00A13967"/>
    <w:rPr>
      <w:color w:val="0563C1" w:themeColor="hyperlink"/>
      <w:u w:val="single"/>
    </w:rPr>
  </w:style>
  <w:style w:type="character" w:styleId="UnresolvedMention">
    <w:name w:val="Unresolved Mention"/>
    <w:basedOn w:val="DefaultParagraphFont"/>
    <w:uiPriority w:val="99"/>
    <w:semiHidden/>
    <w:unhideWhenUsed/>
    <w:rsid w:val="00A13967"/>
    <w:rPr>
      <w:color w:val="605E5C"/>
      <w:shd w:val="clear" w:color="auto" w:fill="E1DFDD"/>
    </w:rPr>
  </w:style>
  <w:style w:type="character" w:styleId="FollowedHyperlink">
    <w:name w:val="FollowedHyperlink"/>
    <w:basedOn w:val="DefaultParagraphFont"/>
    <w:uiPriority w:val="99"/>
    <w:semiHidden/>
    <w:unhideWhenUsed/>
    <w:rsid w:val="00A13967"/>
    <w:rPr>
      <w:color w:val="954F72" w:themeColor="followedHyperlink"/>
      <w:u w:val="single"/>
    </w:rPr>
  </w:style>
  <w:style w:type="paragraph" w:styleId="NormalWeb">
    <w:name w:val="Normal (Web)"/>
    <w:basedOn w:val="Normal"/>
    <w:uiPriority w:val="99"/>
    <w:semiHidden/>
    <w:unhideWhenUsed/>
    <w:rsid w:val="009E546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3295">
      <w:bodyDiv w:val="1"/>
      <w:marLeft w:val="0"/>
      <w:marRight w:val="0"/>
      <w:marTop w:val="0"/>
      <w:marBottom w:val="0"/>
      <w:divBdr>
        <w:top w:val="none" w:sz="0" w:space="0" w:color="auto"/>
        <w:left w:val="none" w:sz="0" w:space="0" w:color="auto"/>
        <w:bottom w:val="none" w:sz="0" w:space="0" w:color="auto"/>
        <w:right w:val="none" w:sz="0" w:space="0" w:color="auto"/>
      </w:divBdr>
      <w:divsChild>
        <w:div w:id="224072995">
          <w:marLeft w:val="0"/>
          <w:marRight w:val="0"/>
          <w:marTop w:val="0"/>
          <w:marBottom w:val="0"/>
          <w:divBdr>
            <w:top w:val="none" w:sz="0" w:space="0" w:color="auto"/>
            <w:left w:val="none" w:sz="0" w:space="0" w:color="auto"/>
            <w:bottom w:val="none" w:sz="0" w:space="0" w:color="auto"/>
            <w:right w:val="none" w:sz="0" w:space="0" w:color="auto"/>
          </w:divBdr>
          <w:divsChild>
            <w:div w:id="1434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0767">
      <w:bodyDiv w:val="1"/>
      <w:marLeft w:val="0"/>
      <w:marRight w:val="0"/>
      <w:marTop w:val="0"/>
      <w:marBottom w:val="0"/>
      <w:divBdr>
        <w:top w:val="none" w:sz="0" w:space="0" w:color="auto"/>
        <w:left w:val="none" w:sz="0" w:space="0" w:color="auto"/>
        <w:bottom w:val="none" w:sz="0" w:space="0" w:color="auto"/>
        <w:right w:val="none" w:sz="0" w:space="0" w:color="auto"/>
      </w:divBdr>
      <w:divsChild>
        <w:div w:id="1785926384">
          <w:marLeft w:val="0"/>
          <w:marRight w:val="0"/>
          <w:marTop w:val="0"/>
          <w:marBottom w:val="0"/>
          <w:divBdr>
            <w:top w:val="none" w:sz="0" w:space="0" w:color="auto"/>
            <w:left w:val="none" w:sz="0" w:space="0" w:color="auto"/>
            <w:bottom w:val="none" w:sz="0" w:space="0" w:color="auto"/>
            <w:right w:val="none" w:sz="0" w:space="0" w:color="auto"/>
          </w:divBdr>
          <w:divsChild>
            <w:div w:id="16674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1/1057/oj" TargetMode="External"/><Relationship Id="rId2" Type="http://schemas.openxmlformats.org/officeDocument/2006/relationships/hyperlink" Target="https://eur-lex.europa.eu/eli/reg/2023/588/oj/eng" TargetMode="External"/><Relationship Id="rId1" Type="http://schemas.openxmlformats.org/officeDocument/2006/relationships/hyperlink" Target="https://eur-lex.europa.eu/legal-content/EN/TXT/?uri=celex:52025PC0188" TargetMode="External"/><Relationship Id="rId4" Type="http://schemas.openxmlformats.org/officeDocument/2006/relationships/hyperlink" Target="https://defence-industry-space.ec.europa.eu/eu-defence-industry/safe-security-action-europ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AECF259EDCE44A92E9274A875E8C1" ma:contentTypeVersion="3" ma:contentTypeDescription="Create a new document." ma:contentTypeScope="" ma:versionID="af9d77ea6cee1e3d4675dbd1d8c72c86">
  <xsd:schema xmlns:xsd="http://www.w3.org/2001/XMLSchema" xmlns:xs="http://www.w3.org/2001/XMLSchema" xmlns:p="http://schemas.microsoft.com/office/2006/metadata/properties" xmlns:ns2="f4725e28-90af-4b6c-b8fc-97a0bcf17783" targetNamespace="http://schemas.microsoft.com/office/2006/metadata/properties" ma:root="true" ma:fieldsID="1e7325313340a0d2d1f995fe6d26de19" ns2:_="">
    <xsd:import namespace="f4725e28-90af-4b6c-b8fc-97a0bcf177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25e28-90af-4b6c-b8fc-97a0bcf1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338A4-13EA-43B8-A584-F7792119A995}">
  <ds:schemaRefs>
    <ds:schemaRef ds:uri="http://schemas.microsoft.com/sharepoint/v3/contenttype/forms"/>
  </ds:schemaRefs>
</ds:datastoreItem>
</file>

<file path=customXml/itemProps2.xml><?xml version="1.0" encoding="utf-8"?>
<ds:datastoreItem xmlns:ds="http://schemas.openxmlformats.org/officeDocument/2006/customXml" ds:itemID="{344A48DF-9E75-42B2-BEB7-90A5CC1751DB}">
  <ds:schemaRefs>
    <ds:schemaRef ds:uri="http://schemas.openxmlformats.org/officeDocument/2006/bibliography"/>
  </ds:schemaRefs>
</ds:datastoreItem>
</file>

<file path=customXml/itemProps3.xml><?xml version="1.0" encoding="utf-8"?>
<ds:datastoreItem xmlns:ds="http://schemas.openxmlformats.org/officeDocument/2006/customXml" ds:itemID="{AEE6B293-863D-4E89-9570-5A98CAD5C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515AE-FB44-4311-8A05-EB7EBC7CD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25e28-90af-4b6c-b8fc-97a0bcf17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1416</Words>
  <Characters>8176</Characters>
  <Application>Microsoft Office Word</Application>
  <DocSecurity>0</DocSecurity>
  <Lines>371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 Simona (SG-EXT)</dc:creator>
  <cp:lastModifiedBy>ROSSI Simona (SG-EXT)</cp:lastModifiedBy>
  <cp:revision>2</cp:revision>
  <dcterms:created xsi:type="dcterms:W3CDTF">2026-03-25T15:02:00Z</dcterms:created>
  <dcterms:modified xsi:type="dcterms:W3CDTF">2026-03-25T15:02:00Z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2025-11-25T15:17:57Z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80991975-62d0-4c23-87ad-202f3f88adf9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0x010100FC0AECF259EDCE44A92E9274A875E8C1</vt:lpwstr>
  </property>
</Properties>
</file>