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442552" w14:paraId="7E6372DC" w14:textId="77777777" w:rsidTr="51DB1BEC">
        <w:trPr>
          <w:jc w:val="center"/>
        </w:trPr>
        <w:tc>
          <w:tcPr>
            <w:tcW w:w="9711" w:type="dxa"/>
          </w:tcPr>
          <w:p w14:paraId="3A4EDC3A" w14:textId="687DD98B" w:rsidR="001C4138" w:rsidRPr="0020085A" w:rsidRDefault="00160C72" w:rsidP="0020085A">
            <w:pPr>
              <w:pStyle w:val="Default"/>
              <w:widowControl w:val="0"/>
              <w:spacing w:before="120" w:after="120" w:line="276" w:lineRule="auto"/>
              <w:rPr>
                <w:b/>
                <w:bCs/>
                <w:lang w:val="en-GB"/>
              </w:rPr>
            </w:pPr>
            <w:r>
              <w:rPr>
                <w:b/>
                <w:bCs/>
                <w:lang w:val="en-GB"/>
              </w:rPr>
              <w:t>Quantum Strategy</w:t>
            </w:r>
            <w:r w:rsidR="0020085A">
              <w:rPr>
                <w:b/>
                <w:bCs/>
                <w:lang w:val="en-GB"/>
              </w:rPr>
              <w:br/>
            </w:r>
            <w:r w:rsidR="008E5676">
              <w:rPr>
                <w:b/>
                <w:bCs/>
                <w:lang w:val="en-GB"/>
              </w:rPr>
              <w:t>(optional opinion)</w:t>
            </w:r>
            <w:r w:rsidR="008E5676">
              <w:rPr>
                <w:b/>
                <w:bCs/>
                <w:lang w:val="en-GB"/>
              </w:rPr>
              <w:br/>
            </w:r>
            <w:proofErr w:type="gramStart"/>
            <w:r w:rsidR="008E5676" w:rsidRPr="00D00CCD">
              <w:rPr>
                <w:b/>
                <w:bCs/>
                <w:lang w:val="en-GB"/>
              </w:rPr>
              <w:t>COM(</w:t>
            </w:r>
            <w:proofErr w:type="gramEnd"/>
            <w:r w:rsidR="008E5676" w:rsidRPr="00D00CCD">
              <w:rPr>
                <w:b/>
                <w:bCs/>
                <w:lang w:val="en-GB"/>
              </w:rPr>
              <w:t>2025) 363</w:t>
            </w:r>
            <w:r w:rsidR="008E5676">
              <w:rPr>
                <w:b/>
                <w:bCs/>
                <w:lang w:val="en-GB"/>
              </w:rPr>
              <w:t xml:space="preserve"> final</w:t>
            </w:r>
            <w:r w:rsidR="001C4138" w:rsidRPr="00807B48">
              <w:rPr>
                <w:b/>
              </w:rPr>
              <w:br/>
            </w:r>
            <w:r w:rsidR="008E5676" w:rsidRPr="00D00CCD">
              <w:rPr>
                <w:b/>
                <w:bCs/>
                <w:lang w:val="en-GB"/>
              </w:rPr>
              <w:t>EESC-2025-02334 -</w:t>
            </w:r>
            <w:r w:rsidR="008E5676" w:rsidRPr="00D00CCD">
              <w:rPr>
                <w:sz w:val="22"/>
                <w:szCs w:val="22"/>
              </w:rPr>
              <w:t xml:space="preserve"> </w:t>
            </w:r>
            <w:r w:rsidR="00D82F96">
              <w:rPr>
                <w:b/>
              </w:rPr>
              <w:t>INT</w:t>
            </w:r>
            <w:r w:rsidR="008B195E">
              <w:rPr>
                <w:b/>
              </w:rPr>
              <w:t>/</w:t>
            </w:r>
            <w:r w:rsidR="00D82F96">
              <w:rPr>
                <w:b/>
              </w:rPr>
              <w:t>1098</w:t>
            </w:r>
            <w:r w:rsidR="001C4138" w:rsidRPr="00807B48">
              <w:rPr>
                <w:b/>
              </w:rPr>
              <w:br/>
            </w:r>
            <w:r w:rsidR="00D82F96">
              <w:rPr>
                <w:b/>
              </w:rPr>
              <w:t>602</w:t>
            </w:r>
            <w:r w:rsidR="008E3D0E">
              <w:rPr>
                <w:b/>
                <w:vertAlign w:val="superscript"/>
              </w:rPr>
              <w:t>nd</w:t>
            </w:r>
            <w:r w:rsidR="001C4138" w:rsidRPr="00F17497">
              <w:rPr>
                <w:b/>
              </w:rPr>
              <w:t xml:space="preserve"> Plenary</w:t>
            </w:r>
            <w:r w:rsidR="001C4138" w:rsidRPr="00AE3C7C">
              <w:rPr>
                <w:b/>
              </w:rPr>
              <w:t xml:space="preserve"> Session –</w:t>
            </w:r>
            <w:r w:rsidR="00F93F25">
              <w:rPr>
                <w:b/>
              </w:rPr>
              <w:t xml:space="preserve"> January </w:t>
            </w:r>
            <w:r w:rsidR="00F17497">
              <w:rPr>
                <w:b/>
              </w:rPr>
              <w:t>202</w:t>
            </w:r>
            <w:r w:rsidR="00F93F25">
              <w:rPr>
                <w:b/>
              </w:rPr>
              <w:t>6</w:t>
            </w:r>
            <w:r w:rsidR="001C4138" w:rsidRPr="00807B48">
              <w:rPr>
                <w:b/>
              </w:rPr>
              <w:br/>
              <w:t>Rapporteur:</w:t>
            </w:r>
            <w:r w:rsidR="00EE37EB">
              <w:rPr>
                <w:b/>
              </w:rPr>
              <w:t xml:space="preserve"> </w:t>
            </w:r>
            <w:r w:rsidR="00F93F25">
              <w:rPr>
                <w:b/>
              </w:rPr>
              <w:t>Maurizio Mens</w:t>
            </w:r>
            <w:r w:rsidR="001401F0">
              <w:rPr>
                <w:b/>
              </w:rPr>
              <w:t>i</w:t>
            </w:r>
            <w:r w:rsidR="008E5676">
              <w:rPr>
                <w:b/>
              </w:rPr>
              <w:t xml:space="preserve"> (IT-III)</w:t>
            </w:r>
            <w:r w:rsidR="001C4138" w:rsidRPr="00807B48">
              <w:rPr>
                <w:b/>
              </w:rPr>
              <w:br/>
              <w:t>DG</w:t>
            </w:r>
            <w:r w:rsidR="00F17497">
              <w:rPr>
                <w:b/>
              </w:rPr>
              <w:t xml:space="preserve"> CNECT</w:t>
            </w:r>
            <w:r w:rsidR="001C4138" w:rsidRPr="00807B48">
              <w:rPr>
                <w:b/>
              </w:rPr>
              <w:t xml:space="preserve"> –</w:t>
            </w:r>
            <w:r w:rsidR="00F17497">
              <w:rPr>
                <w:b/>
              </w:rPr>
              <w:t xml:space="preserve"> </w:t>
            </w:r>
            <w:r w:rsidR="008E5676">
              <w:rPr>
                <w:b/>
              </w:rPr>
              <w:t xml:space="preserve">Executive Vice-President </w:t>
            </w:r>
            <w:r w:rsidR="008E3D0E">
              <w:rPr>
                <w:b/>
              </w:rPr>
              <w:t>VIRKKUNEN</w:t>
            </w:r>
          </w:p>
        </w:tc>
      </w:tr>
      <w:tr w:rsidR="00734613" w:rsidRPr="00442552" w14:paraId="1937071F" w14:textId="77777777" w:rsidTr="51DB1BEC">
        <w:trPr>
          <w:jc w:val="center"/>
        </w:trPr>
        <w:tc>
          <w:tcPr>
            <w:tcW w:w="9711" w:type="dxa"/>
          </w:tcPr>
          <w:p w14:paraId="1E50B4DB" w14:textId="51D91103"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of the European Economic and Social Committee</w:t>
            </w:r>
            <w:r w:rsidR="008E3D0E">
              <w:rPr>
                <w:rFonts w:ascii="Times New Roman" w:hAnsi="Times New Roman"/>
                <w:b/>
                <w:sz w:val="24"/>
                <w:szCs w:val="24"/>
              </w:rPr>
              <w:t xml:space="preserve"> (EESC)</w:t>
            </w:r>
            <w:r w:rsidRPr="004F6117">
              <w:rPr>
                <w:rFonts w:ascii="Times New Roman" w:hAnsi="Times New Roman"/>
                <w:b/>
                <w:sz w:val="24"/>
                <w:szCs w:val="24"/>
              </w:rPr>
              <w:t xml:space="preserve"> 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F17497" w14:paraId="673DDC1B" w14:textId="77777777" w:rsidTr="51DB1BEC">
        <w:trPr>
          <w:jc w:val="center"/>
        </w:trPr>
        <w:tc>
          <w:tcPr>
            <w:tcW w:w="9711" w:type="dxa"/>
          </w:tcPr>
          <w:p w14:paraId="463B9A29" w14:textId="0EC6593B" w:rsidR="00EF03FE" w:rsidRPr="002F7018" w:rsidRDefault="4938F3E9" w:rsidP="002F7018">
            <w:pPr>
              <w:widowControl w:val="0"/>
              <w:spacing w:before="120" w:after="120"/>
              <w:jc w:val="both"/>
              <w:rPr>
                <w:rFonts w:ascii="Times New Roman" w:hAnsi="Times New Roman"/>
                <w:sz w:val="24"/>
                <w:szCs w:val="24"/>
                <w:lang w:val="en-IE"/>
              </w:rPr>
            </w:pPr>
            <w:r w:rsidRPr="002F7018">
              <w:rPr>
                <w:rFonts w:ascii="Times New Roman" w:hAnsi="Times New Roman"/>
                <w:sz w:val="24"/>
                <w:szCs w:val="24"/>
                <w:lang w:val="en-IE"/>
              </w:rPr>
              <w:t>The Commission welcomes the Committee’s strong endorsement of the Quantum Europe Strategy</w:t>
            </w:r>
            <w:r w:rsidR="002F7018">
              <w:rPr>
                <w:rStyle w:val="FootnoteReference"/>
                <w:rFonts w:ascii="Times New Roman" w:hAnsi="Times New Roman"/>
                <w:sz w:val="24"/>
                <w:szCs w:val="24"/>
                <w:lang w:val="en-IE"/>
              </w:rPr>
              <w:footnoteReference w:id="1"/>
            </w:r>
            <w:r w:rsidRPr="002F7018">
              <w:rPr>
                <w:rFonts w:ascii="Times New Roman" w:hAnsi="Times New Roman"/>
                <w:sz w:val="24"/>
                <w:szCs w:val="24"/>
                <w:lang w:val="en-IE"/>
              </w:rPr>
              <w:t xml:space="preserve"> and its support for the objective of turning Europe’s scientific excellence into industrial leadership, competitiveness and resilience. The Commission also </w:t>
            </w:r>
            <w:r w:rsidR="7BAE6560" w:rsidRPr="002F7018">
              <w:rPr>
                <w:rFonts w:ascii="Times New Roman" w:hAnsi="Times New Roman"/>
                <w:sz w:val="24"/>
                <w:szCs w:val="24"/>
                <w:lang w:val="en-IE"/>
              </w:rPr>
              <w:t>recognizes</w:t>
            </w:r>
            <w:r w:rsidRPr="002F7018">
              <w:rPr>
                <w:rFonts w:ascii="Times New Roman" w:hAnsi="Times New Roman"/>
                <w:sz w:val="24"/>
                <w:szCs w:val="24"/>
                <w:lang w:val="en-IE"/>
              </w:rPr>
              <w:t xml:space="preserve"> the Committee’s emphasis on inclusiveness, public confidence, and the need to anticipate and address potential social and labour</w:t>
            </w:r>
            <w:r w:rsidR="00D23233" w:rsidRPr="002F7018">
              <w:rPr>
                <w:rFonts w:ascii="Times New Roman" w:hAnsi="Times New Roman"/>
                <w:sz w:val="24"/>
                <w:szCs w:val="24"/>
                <w:lang w:val="en-IE"/>
              </w:rPr>
              <w:t xml:space="preserve"> </w:t>
            </w:r>
            <w:r w:rsidRPr="002F7018">
              <w:rPr>
                <w:rFonts w:ascii="Times New Roman" w:hAnsi="Times New Roman"/>
                <w:sz w:val="24"/>
                <w:szCs w:val="24"/>
                <w:lang w:val="en-IE"/>
              </w:rPr>
              <w:t xml:space="preserve">market impacts as quantum technologies develop and diffuse across sectors. </w:t>
            </w:r>
          </w:p>
          <w:p w14:paraId="69619CA9" w14:textId="77777777" w:rsidR="0033354C" w:rsidRDefault="39B44C19" w:rsidP="002F7018">
            <w:pPr>
              <w:widowControl w:val="0"/>
              <w:spacing w:before="120" w:after="120"/>
              <w:jc w:val="both"/>
              <w:rPr>
                <w:rFonts w:ascii="Times New Roman" w:hAnsi="Times New Roman"/>
                <w:sz w:val="24"/>
                <w:szCs w:val="24"/>
                <w:lang w:val="en-IE"/>
              </w:rPr>
            </w:pPr>
            <w:r w:rsidRPr="002F7018">
              <w:rPr>
                <w:rFonts w:ascii="Times New Roman" w:hAnsi="Times New Roman"/>
                <w:b/>
                <w:bCs/>
                <w:sz w:val="24"/>
                <w:szCs w:val="24"/>
                <w:lang w:val="en-IE"/>
              </w:rPr>
              <w:t>Better regulation and a proportionate approach</w:t>
            </w:r>
          </w:p>
          <w:p w14:paraId="7795F2D4" w14:textId="7EBD9FEE" w:rsidR="00EF03FE" w:rsidRPr="002F7018" w:rsidRDefault="39B44C19" w:rsidP="002F7018">
            <w:pPr>
              <w:widowControl w:val="0"/>
              <w:spacing w:before="120" w:after="120"/>
              <w:jc w:val="both"/>
              <w:rPr>
                <w:rFonts w:ascii="Times New Roman" w:hAnsi="Times New Roman"/>
                <w:sz w:val="24"/>
                <w:szCs w:val="24"/>
                <w:lang w:val="en-IE"/>
              </w:rPr>
            </w:pPr>
            <w:r w:rsidRPr="002F7018">
              <w:rPr>
                <w:rFonts w:ascii="Times New Roman" w:hAnsi="Times New Roman"/>
                <w:sz w:val="24"/>
                <w:szCs w:val="24"/>
                <w:lang w:val="en-IE"/>
              </w:rPr>
              <w:t xml:space="preserve">The Commission shares the Committee’s view that actions in the quantum field should be effective, predictable and proportionate, and should avoid unnecessary administrative burden, especially for </w:t>
            </w:r>
            <w:r w:rsidR="00871A40" w:rsidRPr="002F7018">
              <w:rPr>
                <w:rFonts w:ascii="Times New Roman" w:hAnsi="Times New Roman"/>
                <w:sz w:val="24"/>
                <w:szCs w:val="24"/>
                <w:lang w:val="en-IE"/>
              </w:rPr>
              <w:t xml:space="preserve">startups </w:t>
            </w:r>
            <w:r w:rsidR="002740AF" w:rsidRPr="002F7018">
              <w:rPr>
                <w:rFonts w:ascii="Times New Roman" w:hAnsi="Times New Roman"/>
                <w:sz w:val="24"/>
                <w:szCs w:val="24"/>
                <w:lang w:val="en-IE"/>
              </w:rPr>
              <w:t xml:space="preserve">and </w:t>
            </w:r>
            <w:r w:rsidR="002F7018">
              <w:rPr>
                <w:rFonts w:ascii="Times New Roman" w:hAnsi="Times New Roman"/>
                <w:sz w:val="24"/>
                <w:szCs w:val="24"/>
                <w:lang w:val="en-IE"/>
              </w:rPr>
              <w:t>small and medium-sized enterprises (</w:t>
            </w:r>
            <w:r w:rsidR="002740AF" w:rsidRPr="002F7018">
              <w:rPr>
                <w:rFonts w:ascii="Times New Roman" w:hAnsi="Times New Roman"/>
                <w:sz w:val="24"/>
                <w:szCs w:val="24"/>
                <w:lang w:val="en-IE"/>
              </w:rPr>
              <w:t>SMEs</w:t>
            </w:r>
            <w:r w:rsidR="002F7018">
              <w:rPr>
                <w:rFonts w:ascii="Times New Roman" w:hAnsi="Times New Roman"/>
                <w:sz w:val="24"/>
                <w:szCs w:val="24"/>
                <w:lang w:val="en-IE"/>
              </w:rPr>
              <w:t>)</w:t>
            </w:r>
            <w:r w:rsidRPr="002F7018">
              <w:rPr>
                <w:rFonts w:ascii="Times New Roman" w:hAnsi="Times New Roman"/>
                <w:sz w:val="24"/>
                <w:szCs w:val="24"/>
                <w:lang w:val="en-IE"/>
              </w:rPr>
              <w:t>. Any further initiative building on the Strategy will be prepared in line with Better Regulation principles, including an</w:t>
            </w:r>
            <w:r w:rsidR="002343A2">
              <w:rPr>
                <w:rFonts w:ascii="Times New Roman" w:hAnsi="Times New Roman"/>
                <w:sz w:val="24"/>
                <w:szCs w:val="24"/>
                <w:lang w:val="en-IE"/>
              </w:rPr>
              <w:t> </w:t>
            </w:r>
            <w:r w:rsidRPr="002F7018">
              <w:rPr>
                <w:rFonts w:ascii="Times New Roman" w:hAnsi="Times New Roman"/>
                <w:sz w:val="24"/>
                <w:szCs w:val="24"/>
                <w:lang w:val="en-IE"/>
              </w:rPr>
              <w:t>assessment of the need for additional measures, their coherence with the existing EU framework, and their expected impacts on innovation, investment certainty and competitiveness.</w:t>
            </w:r>
          </w:p>
          <w:p w14:paraId="21F1488C" w14:textId="6B56D0DB" w:rsidR="18F8FAF0" w:rsidRPr="002F7018" w:rsidRDefault="151E3C50" w:rsidP="002F7018">
            <w:pPr>
              <w:widowControl w:val="0"/>
              <w:spacing w:before="120" w:after="120"/>
              <w:jc w:val="both"/>
              <w:rPr>
                <w:rFonts w:ascii="Times New Roman" w:hAnsi="Times New Roman"/>
                <w:sz w:val="24"/>
                <w:szCs w:val="24"/>
                <w:lang w:val="en-IE"/>
              </w:rPr>
            </w:pPr>
            <w:r w:rsidRPr="002F7018">
              <w:rPr>
                <w:rFonts w:ascii="Times New Roman" w:hAnsi="Times New Roman"/>
                <w:sz w:val="24"/>
                <w:szCs w:val="24"/>
              </w:rPr>
              <w:t xml:space="preserve">In this context, the Commission notes that the envisaged Quantum Act would not seek to regulate quantum technologies as such. Rather, it would </w:t>
            </w:r>
            <w:r w:rsidR="5D2AC999" w:rsidRPr="002F7018">
              <w:rPr>
                <w:rFonts w:ascii="Times New Roman" w:hAnsi="Times New Roman"/>
                <w:sz w:val="24"/>
                <w:szCs w:val="24"/>
              </w:rPr>
              <w:t xml:space="preserve">constitute </w:t>
            </w:r>
            <w:r w:rsidRPr="002F7018">
              <w:rPr>
                <w:rFonts w:ascii="Times New Roman" w:hAnsi="Times New Roman"/>
                <w:sz w:val="24"/>
                <w:szCs w:val="24"/>
              </w:rPr>
              <w:t>a</w:t>
            </w:r>
            <w:r w:rsidR="3B0F7B7B" w:rsidRPr="002F7018">
              <w:rPr>
                <w:rFonts w:ascii="Times New Roman" w:hAnsi="Times New Roman"/>
                <w:sz w:val="24"/>
                <w:szCs w:val="24"/>
              </w:rPr>
              <w:t xml:space="preserve"> </w:t>
            </w:r>
            <w:r w:rsidR="002740AF" w:rsidRPr="002F7018">
              <w:rPr>
                <w:rFonts w:ascii="Times New Roman" w:hAnsi="Times New Roman"/>
                <w:sz w:val="24"/>
                <w:szCs w:val="24"/>
              </w:rPr>
              <w:t>decisive enabling</w:t>
            </w:r>
            <w:r w:rsidRPr="002F7018">
              <w:rPr>
                <w:rFonts w:ascii="Times New Roman" w:hAnsi="Times New Roman"/>
                <w:sz w:val="24"/>
                <w:szCs w:val="24"/>
              </w:rPr>
              <w:t xml:space="preserve"> framework to </w:t>
            </w:r>
            <w:r w:rsidR="002740AF" w:rsidRPr="002F7018">
              <w:rPr>
                <w:rFonts w:ascii="Times New Roman" w:hAnsi="Times New Roman"/>
                <w:sz w:val="24"/>
                <w:szCs w:val="24"/>
              </w:rPr>
              <w:t>secure Europe’s</w:t>
            </w:r>
            <w:r w:rsidR="63960A93" w:rsidRPr="002F7018">
              <w:rPr>
                <w:rFonts w:ascii="Times New Roman" w:hAnsi="Times New Roman"/>
                <w:sz w:val="24"/>
                <w:szCs w:val="24"/>
              </w:rPr>
              <w:t xml:space="preserve"> strategic autonomy and industrial capacity</w:t>
            </w:r>
            <w:r w:rsidR="2495087E" w:rsidRPr="002F7018">
              <w:rPr>
                <w:rFonts w:ascii="Times New Roman" w:eastAsia="Times New Roman" w:hAnsi="Times New Roman"/>
                <w:sz w:val="24"/>
                <w:szCs w:val="24"/>
              </w:rPr>
              <w:t xml:space="preserve"> by</w:t>
            </w:r>
            <w:r w:rsidR="20D2EEEE" w:rsidRPr="002F7018">
              <w:rPr>
                <w:rFonts w:ascii="Times New Roman" w:hAnsi="Times New Roman"/>
                <w:sz w:val="24"/>
                <w:szCs w:val="24"/>
              </w:rPr>
              <w:t xml:space="preserve"> strengthening the quantum ecosystem</w:t>
            </w:r>
            <w:r w:rsidR="1EAFD4C9" w:rsidRPr="002F7018">
              <w:rPr>
                <w:rFonts w:ascii="Times New Roman" w:hAnsi="Times New Roman"/>
                <w:sz w:val="24"/>
                <w:szCs w:val="24"/>
              </w:rPr>
              <w:t>, while avoiding unnecessary administrative burden</w:t>
            </w:r>
            <w:r w:rsidR="135F23EA" w:rsidRPr="002F7018">
              <w:rPr>
                <w:rFonts w:ascii="Times New Roman" w:eastAsia="Times New Roman" w:hAnsi="Times New Roman"/>
                <w:sz w:val="24"/>
                <w:szCs w:val="24"/>
              </w:rPr>
              <w:t xml:space="preserve">. </w:t>
            </w:r>
            <w:r w:rsidR="08D60B25" w:rsidRPr="002F7018">
              <w:rPr>
                <w:rFonts w:ascii="Times New Roman" w:eastAsia="Times New Roman" w:hAnsi="Times New Roman"/>
                <w:sz w:val="24"/>
                <w:szCs w:val="24"/>
              </w:rPr>
              <w:t>In particular, t</w:t>
            </w:r>
            <w:r w:rsidR="135F23EA" w:rsidRPr="002F7018">
              <w:rPr>
                <w:rFonts w:ascii="Times New Roman" w:eastAsia="Times New Roman" w:hAnsi="Times New Roman"/>
                <w:sz w:val="24"/>
                <w:szCs w:val="24"/>
              </w:rPr>
              <w:t>he Quantum Act will propose measures</w:t>
            </w:r>
            <w:r w:rsidR="6B633D0C" w:rsidRPr="002F7018">
              <w:rPr>
                <w:rFonts w:ascii="Times New Roman" w:eastAsia="Times New Roman" w:hAnsi="Times New Roman"/>
                <w:sz w:val="24"/>
                <w:szCs w:val="24"/>
              </w:rPr>
              <w:t xml:space="preserve"> to </w:t>
            </w:r>
            <w:r w:rsidR="37A72804" w:rsidRPr="002F7018">
              <w:rPr>
                <w:rFonts w:ascii="Times New Roman" w:eastAsia="Times New Roman" w:hAnsi="Times New Roman"/>
                <w:sz w:val="24"/>
                <w:szCs w:val="24"/>
              </w:rPr>
              <w:t>(</w:t>
            </w:r>
            <w:proofErr w:type="spellStart"/>
            <w:r w:rsidR="37A72804" w:rsidRPr="002F7018">
              <w:rPr>
                <w:rFonts w:ascii="Times New Roman" w:eastAsia="Times New Roman" w:hAnsi="Times New Roman"/>
                <w:sz w:val="24"/>
                <w:szCs w:val="24"/>
              </w:rPr>
              <w:t>i</w:t>
            </w:r>
            <w:proofErr w:type="spellEnd"/>
            <w:r w:rsidR="37A72804" w:rsidRPr="002F7018">
              <w:rPr>
                <w:rFonts w:ascii="Times New Roman" w:eastAsia="Times New Roman" w:hAnsi="Times New Roman"/>
                <w:sz w:val="24"/>
                <w:szCs w:val="24"/>
              </w:rPr>
              <w:t xml:space="preserve">) </w:t>
            </w:r>
            <w:r w:rsidR="6B633D0C" w:rsidRPr="002F7018">
              <w:rPr>
                <w:rFonts w:ascii="Times New Roman" w:eastAsia="Times New Roman" w:hAnsi="Times New Roman"/>
                <w:sz w:val="24"/>
                <w:szCs w:val="24"/>
              </w:rPr>
              <w:t xml:space="preserve">support and coordinate EU and national R&amp;I in quantum, </w:t>
            </w:r>
            <w:r w:rsidR="041C3080" w:rsidRPr="002F7018">
              <w:rPr>
                <w:rFonts w:ascii="Times New Roman" w:eastAsia="Times New Roman" w:hAnsi="Times New Roman"/>
                <w:sz w:val="24"/>
                <w:szCs w:val="24"/>
              </w:rPr>
              <w:t>(ii) stimulate investment in quantum infrastructure and in in</w:t>
            </w:r>
            <w:r w:rsidR="434CA9B6" w:rsidRPr="002F7018">
              <w:rPr>
                <w:rFonts w:ascii="Times New Roman" w:eastAsia="Times New Roman" w:hAnsi="Times New Roman"/>
                <w:sz w:val="24"/>
                <w:szCs w:val="24"/>
              </w:rPr>
              <w:t>dustrialising</w:t>
            </w:r>
            <w:r w:rsidR="17338490" w:rsidRPr="002F7018">
              <w:rPr>
                <w:rFonts w:ascii="Times New Roman" w:eastAsia="Times New Roman" w:hAnsi="Times New Roman"/>
                <w:sz w:val="24"/>
                <w:szCs w:val="24"/>
              </w:rPr>
              <w:t xml:space="preserve"> quantum technologies and (iii) monitor and protect the EU’s critical quantum su</w:t>
            </w:r>
            <w:r w:rsidR="7F78E2E0" w:rsidRPr="002F7018">
              <w:rPr>
                <w:rFonts w:ascii="Times New Roman" w:eastAsia="Times New Roman" w:hAnsi="Times New Roman"/>
                <w:sz w:val="24"/>
                <w:szCs w:val="24"/>
              </w:rPr>
              <w:t>p</w:t>
            </w:r>
            <w:r w:rsidR="17338490" w:rsidRPr="002F7018">
              <w:rPr>
                <w:rFonts w:ascii="Times New Roman" w:eastAsia="Times New Roman" w:hAnsi="Times New Roman"/>
                <w:sz w:val="24"/>
                <w:szCs w:val="24"/>
              </w:rPr>
              <w:t xml:space="preserve">ply </w:t>
            </w:r>
            <w:r w:rsidR="002740AF" w:rsidRPr="002F7018">
              <w:rPr>
                <w:rFonts w:ascii="Times New Roman" w:eastAsia="Times New Roman" w:hAnsi="Times New Roman"/>
                <w:sz w:val="24"/>
                <w:szCs w:val="24"/>
              </w:rPr>
              <w:t>chains.</w:t>
            </w:r>
            <w:r w:rsidRPr="002F7018">
              <w:rPr>
                <w:rFonts w:ascii="Times New Roman" w:hAnsi="Times New Roman"/>
                <w:sz w:val="24"/>
                <w:szCs w:val="24"/>
              </w:rPr>
              <w:t xml:space="preserve"> </w:t>
            </w:r>
          </w:p>
          <w:p w14:paraId="1E85D73A" w14:textId="77777777" w:rsidR="0033354C" w:rsidRDefault="00EF03FE" w:rsidP="002F7018">
            <w:pPr>
              <w:widowControl w:val="0"/>
              <w:spacing w:before="120" w:after="120"/>
              <w:jc w:val="both"/>
              <w:rPr>
                <w:rFonts w:ascii="Times New Roman" w:hAnsi="Times New Roman"/>
                <w:sz w:val="24"/>
                <w:szCs w:val="24"/>
                <w:lang w:val="en-IE"/>
              </w:rPr>
            </w:pPr>
            <w:r w:rsidRPr="002F7018">
              <w:rPr>
                <w:rFonts w:ascii="Times New Roman" w:hAnsi="Times New Roman"/>
                <w:b/>
                <w:bCs/>
                <w:sz w:val="24"/>
                <w:szCs w:val="24"/>
                <w:lang w:val="en-IE"/>
              </w:rPr>
              <w:t>Industrialisation, startups/scaleups and access to finance</w:t>
            </w:r>
          </w:p>
          <w:p w14:paraId="4E91AA59" w14:textId="14997E2D" w:rsidR="00EF03FE" w:rsidRPr="002F7018" w:rsidRDefault="00EF03FE" w:rsidP="002F7018">
            <w:pPr>
              <w:widowControl w:val="0"/>
              <w:spacing w:before="120" w:after="120"/>
              <w:jc w:val="both"/>
              <w:rPr>
                <w:rFonts w:ascii="Times New Roman" w:hAnsi="Times New Roman"/>
                <w:sz w:val="24"/>
                <w:szCs w:val="24"/>
                <w:lang w:val="en-IE"/>
              </w:rPr>
            </w:pPr>
            <w:r w:rsidRPr="002F7018">
              <w:rPr>
                <w:rFonts w:ascii="Times New Roman" w:hAnsi="Times New Roman"/>
                <w:sz w:val="24"/>
                <w:szCs w:val="24"/>
                <w:lang w:val="en-IE"/>
              </w:rPr>
              <w:t xml:space="preserve">The Commission agrees that Europe’s quantum leadership must be translated into stronger market uptake, scale-up pathways and value creation in Europe, including through targeted support for startups and scaleups and improved access to growth capital. </w:t>
            </w:r>
            <w:r w:rsidR="00871A40" w:rsidRPr="002F7018">
              <w:rPr>
                <w:rFonts w:ascii="Times New Roman" w:hAnsi="Times New Roman"/>
                <w:sz w:val="24"/>
                <w:szCs w:val="24"/>
                <w:lang w:val="en-IE"/>
              </w:rPr>
              <w:t>The European Innovation Council and the upcoming Scaleup Europe Fund</w:t>
            </w:r>
            <w:r w:rsidR="006E1BBF" w:rsidRPr="002F7018">
              <w:rPr>
                <w:rFonts w:ascii="Times New Roman" w:hAnsi="Times New Roman"/>
                <w:sz w:val="24"/>
                <w:szCs w:val="24"/>
                <w:lang w:val="en-IE"/>
              </w:rPr>
              <w:t>, a</w:t>
            </w:r>
            <w:r w:rsidR="006E1BBF" w:rsidRPr="002F7018">
              <w:rPr>
                <w:rFonts w:ascii="Times New Roman" w:hAnsi="Times New Roman"/>
                <w:sz w:val="24"/>
                <w:szCs w:val="24"/>
              </w:rPr>
              <w:t xml:space="preserve"> multi-billion late-stage and growth fund aimed at investing in the most promising European companies in strategic tech areas, including quantum</w:t>
            </w:r>
            <w:r w:rsidR="00871A40" w:rsidRPr="002F7018">
              <w:rPr>
                <w:rFonts w:ascii="Times New Roman" w:hAnsi="Times New Roman"/>
                <w:sz w:val="24"/>
                <w:szCs w:val="24"/>
                <w:lang w:val="en-IE"/>
              </w:rPr>
              <w:t>, announced in the EU Startup and Scaleup Strategy</w:t>
            </w:r>
            <w:r w:rsidR="008F3E91">
              <w:rPr>
                <w:rStyle w:val="FootnoteReference"/>
                <w:rFonts w:ascii="Times New Roman" w:hAnsi="Times New Roman"/>
                <w:sz w:val="24"/>
                <w:szCs w:val="24"/>
                <w:lang w:val="en-IE"/>
              </w:rPr>
              <w:footnoteReference w:id="2"/>
            </w:r>
            <w:r w:rsidR="00871A40" w:rsidRPr="002F7018">
              <w:rPr>
                <w:rFonts w:ascii="Times New Roman" w:hAnsi="Times New Roman"/>
                <w:sz w:val="24"/>
                <w:szCs w:val="24"/>
                <w:lang w:val="en-IE"/>
              </w:rPr>
              <w:t>, will play a significant role in this regard.</w:t>
            </w:r>
            <w:r w:rsidRPr="002F7018">
              <w:rPr>
                <w:rFonts w:ascii="Times New Roman" w:hAnsi="Times New Roman"/>
                <w:sz w:val="24"/>
                <w:szCs w:val="24"/>
                <w:lang w:val="en-IE"/>
              </w:rPr>
              <w:t xml:space="preserve"> </w:t>
            </w:r>
            <w:r w:rsidR="00871A40" w:rsidRPr="002F7018">
              <w:rPr>
                <w:rFonts w:ascii="Times New Roman" w:hAnsi="Times New Roman"/>
                <w:sz w:val="24"/>
                <w:szCs w:val="24"/>
                <w:lang w:val="en-IE"/>
              </w:rPr>
              <w:t xml:space="preserve">Furthermore, the European Innovation Investment Pact </w:t>
            </w:r>
            <w:r w:rsidR="006E1BBF" w:rsidRPr="002F7018">
              <w:rPr>
                <w:rFonts w:ascii="Times New Roman" w:hAnsi="Times New Roman"/>
                <w:sz w:val="24"/>
                <w:szCs w:val="24"/>
                <w:lang w:val="en-IE"/>
              </w:rPr>
              <w:t xml:space="preserve">aims to mobilise </w:t>
            </w:r>
            <w:r w:rsidR="006E1BBF" w:rsidRPr="002F7018">
              <w:rPr>
                <w:rFonts w:ascii="Times New Roman" w:hAnsi="Times New Roman"/>
                <w:sz w:val="24"/>
                <w:szCs w:val="24"/>
              </w:rPr>
              <w:t xml:space="preserve">greater long-term </w:t>
            </w:r>
            <w:r w:rsidR="006E1BBF" w:rsidRPr="002F7018">
              <w:rPr>
                <w:rFonts w:ascii="Times New Roman" w:hAnsi="Times New Roman"/>
                <w:sz w:val="24"/>
                <w:szCs w:val="24"/>
              </w:rPr>
              <w:lastRenderedPageBreak/>
              <w:t xml:space="preserve">institutional capital for Europe’s venture and growth markets, thereby strengthening the financing conditions for innovative companies and supporting the growth of European technology companies. </w:t>
            </w:r>
            <w:r w:rsidRPr="002F7018">
              <w:rPr>
                <w:rFonts w:ascii="Times New Roman" w:hAnsi="Times New Roman"/>
                <w:sz w:val="24"/>
                <w:szCs w:val="24"/>
                <w:lang w:val="en-IE"/>
              </w:rPr>
              <w:t xml:space="preserve">In implementing the </w:t>
            </w:r>
            <w:r w:rsidR="006E1BBF" w:rsidRPr="002F7018">
              <w:rPr>
                <w:rFonts w:ascii="Times New Roman" w:hAnsi="Times New Roman"/>
                <w:sz w:val="24"/>
                <w:szCs w:val="24"/>
                <w:lang w:val="en-IE"/>
              </w:rPr>
              <w:t>Quantum</w:t>
            </w:r>
            <w:r w:rsidRPr="002F7018">
              <w:rPr>
                <w:rFonts w:ascii="Times New Roman" w:hAnsi="Times New Roman"/>
                <w:sz w:val="24"/>
                <w:szCs w:val="24"/>
                <w:lang w:val="en-IE"/>
              </w:rPr>
              <w:t xml:space="preserve"> Strategy, the Commission will continue to work with Member States and stakeholders to strengthen the ecosystem, support technology transfer, and facilitate the emergence of competitive European supply chains. The Commission also takes note of the Committee’s suggestions regarding demand-side measures (including the role of procurement) and will continue exploring, together with relevant services and Member States, how public and private demand can better stimulate early deployment and validation of quantum solutions, while ensuring value for money and compliance with applicable rules.</w:t>
            </w:r>
            <w:r w:rsidR="00871A40" w:rsidRPr="00D00CCD">
              <w:rPr>
                <w:rFonts w:ascii="Times New Roman" w:hAnsi="Times New Roman"/>
                <w:sz w:val="24"/>
                <w:szCs w:val="24"/>
              </w:rPr>
              <w:t xml:space="preserve"> </w:t>
            </w:r>
            <w:r w:rsidR="00871A40" w:rsidRPr="002F7018">
              <w:rPr>
                <w:rFonts w:ascii="Times New Roman" w:hAnsi="Times New Roman"/>
                <w:sz w:val="24"/>
                <w:szCs w:val="24"/>
                <w:lang w:val="en-IE"/>
              </w:rPr>
              <w:t>The upcoming European Innovation Act will</w:t>
            </w:r>
            <w:r w:rsidR="00246961" w:rsidRPr="002F7018">
              <w:rPr>
                <w:rFonts w:ascii="Times New Roman" w:hAnsi="Times New Roman"/>
                <w:sz w:val="24"/>
                <w:szCs w:val="24"/>
                <w:lang w:val="en-IE"/>
              </w:rPr>
              <w:t xml:space="preserve"> potentially</w:t>
            </w:r>
            <w:r w:rsidR="00871A40" w:rsidRPr="002F7018">
              <w:rPr>
                <w:rFonts w:ascii="Times New Roman" w:hAnsi="Times New Roman"/>
                <w:sz w:val="24"/>
                <w:szCs w:val="24"/>
                <w:lang w:val="en-IE"/>
              </w:rPr>
              <w:t xml:space="preserve"> set out an EU framework for pre-commercial procurement </w:t>
            </w:r>
            <w:r w:rsidR="00246961" w:rsidRPr="002F7018">
              <w:rPr>
                <w:rFonts w:ascii="Times New Roman" w:hAnsi="Times New Roman"/>
                <w:sz w:val="24"/>
                <w:szCs w:val="24"/>
                <w:lang w:val="en-IE"/>
              </w:rPr>
              <w:t>and</w:t>
            </w:r>
            <w:r w:rsidR="00871A40" w:rsidRPr="002F7018">
              <w:rPr>
                <w:rFonts w:ascii="Times New Roman" w:hAnsi="Times New Roman"/>
                <w:sz w:val="24"/>
                <w:szCs w:val="24"/>
                <w:lang w:val="en-IE"/>
              </w:rPr>
              <w:t xml:space="preserve"> </w:t>
            </w:r>
            <w:r w:rsidR="00246961" w:rsidRPr="002F7018">
              <w:rPr>
                <w:rFonts w:ascii="Times New Roman" w:hAnsi="Times New Roman"/>
                <w:sz w:val="24"/>
                <w:szCs w:val="24"/>
                <w:lang w:val="en-IE"/>
              </w:rPr>
              <w:t>provide</w:t>
            </w:r>
            <w:r w:rsidR="00392EE0" w:rsidRPr="002F7018">
              <w:rPr>
                <w:rFonts w:ascii="Times New Roman" w:hAnsi="Times New Roman"/>
                <w:sz w:val="24"/>
                <w:szCs w:val="24"/>
                <w:lang w:val="en-IE"/>
              </w:rPr>
              <w:t xml:space="preserve"> </w:t>
            </w:r>
            <w:r w:rsidR="00871A40" w:rsidRPr="002F7018">
              <w:rPr>
                <w:rFonts w:ascii="Times New Roman" w:hAnsi="Times New Roman"/>
                <w:sz w:val="24"/>
                <w:szCs w:val="24"/>
                <w:lang w:val="en-IE"/>
              </w:rPr>
              <w:t>the tools to engage in joint, cross-border pre-commercial procurements to create sufficient scale</w:t>
            </w:r>
            <w:r w:rsidR="00246961" w:rsidRPr="002F7018">
              <w:rPr>
                <w:rFonts w:ascii="Times New Roman" w:hAnsi="Times New Roman"/>
                <w:sz w:val="24"/>
                <w:szCs w:val="24"/>
                <w:lang w:val="en-IE"/>
              </w:rPr>
              <w:t>.</w:t>
            </w:r>
          </w:p>
          <w:p w14:paraId="3D31D983" w14:textId="58A26046" w:rsidR="00A80DE1" w:rsidRPr="002F7018" w:rsidRDefault="00A80DE1" w:rsidP="002F7018">
            <w:pPr>
              <w:widowControl w:val="0"/>
              <w:spacing w:before="120" w:after="120"/>
              <w:jc w:val="both"/>
              <w:rPr>
                <w:rFonts w:ascii="Times New Roman" w:hAnsi="Times New Roman"/>
                <w:sz w:val="24"/>
                <w:szCs w:val="24"/>
                <w:lang w:val="en-IE"/>
              </w:rPr>
            </w:pPr>
            <w:bookmarkStart w:id="0" w:name="Slide_2"/>
            <w:bookmarkEnd w:id="0"/>
            <w:r w:rsidRPr="002F7018">
              <w:rPr>
                <w:rFonts w:ascii="Times New Roman" w:hAnsi="Times New Roman"/>
                <w:sz w:val="24"/>
                <w:szCs w:val="24"/>
                <w:lang w:val="en-IE"/>
              </w:rPr>
              <w:t xml:space="preserve">The Commission is working closely with the European Defence Agency and with Member States to strengthen coherence and synergies across civil and defence-related quantum efforts, including through joint </w:t>
            </w:r>
            <w:r w:rsidR="002740AF" w:rsidRPr="002F7018">
              <w:rPr>
                <w:rFonts w:ascii="Times New Roman" w:hAnsi="Times New Roman"/>
                <w:sz w:val="24"/>
                <w:szCs w:val="24"/>
                <w:lang w:val="en-IE"/>
              </w:rPr>
              <w:t>road mapping</w:t>
            </w:r>
            <w:r w:rsidRPr="002F7018">
              <w:rPr>
                <w:rFonts w:ascii="Times New Roman" w:hAnsi="Times New Roman"/>
                <w:sz w:val="24"/>
                <w:szCs w:val="24"/>
                <w:lang w:val="en-IE"/>
              </w:rPr>
              <w:t xml:space="preserve"> and strategic agenda-setting, and by facilitating appropriate </w:t>
            </w:r>
            <w:r w:rsidR="0033354C">
              <w:rPr>
                <w:rFonts w:ascii="Times New Roman" w:hAnsi="Times New Roman"/>
                <w:sz w:val="24"/>
                <w:szCs w:val="24"/>
                <w:lang w:val="en-IE"/>
              </w:rPr>
              <w:t>'</w:t>
            </w:r>
            <w:r w:rsidRPr="002F7018">
              <w:rPr>
                <w:rFonts w:ascii="Times New Roman" w:hAnsi="Times New Roman"/>
                <w:sz w:val="24"/>
                <w:szCs w:val="24"/>
                <w:lang w:val="en-IE"/>
              </w:rPr>
              <w:t>spin-in</w:t>
            </w:r>
            <w:r w:rsidR="0033354C">
              <w:rPr>
                <w:rFonts w:ascii="Times New Roman" w:hAnsi="Times New Roman"/>
                <w:sz w:val="24"/>
                <w:szCs w:val="24"/>
                <w:lang w:val="en-IE"/>
              </w:rPr>
              <w:t>’</w:t>
            </w:r>
            <w:r w:rsidRPr="002F7018">
              <w:rPr>
                <w:rFonts w:ascii="Times New Roman" w:hAnsi="Times New Roman"/>
                <w:sz w:val="24"/>
                <w:szCs w:val="24"/>
                <w:lang w:val="en-IE"/>
              </w:rPr>
              <w:t xml:space="preserve"> pathways for civil companies and academia into defence applications.</w:t>
            </w:r>
          </w:p>
          <w:p w14:paraId="3C7252C1" w14:textId="15203A1C" w:rsidR="00A80DE1" w:rsidRPr="002F7018" w:rsidRDefault="00A80DE1" w:rsidP="002F7018">
            <w:pPr>
              <w:widowControl w:val="0"/>
              <w:spacing w:before="120" w:after="120"/>
              <w:jc w:val="both"/>
              <w:rPr>
                <w:rFonts w:ascii="Times New Roman" w:hAnsi="Times New Roman"/>
                <w:sz w:val="24"/>
                <w:szCs w:val="24"/>
                <w:lang w:val="en-IE"/>
              </w:rPr>
            </w:pPr>
            <w:r w:rsidRPr="002F7018">
              <w:rPr>
                <w:rFonts w:ascii="Times New Roman" w:hAnsi="Times New Roman"/>
                <w:sz w:val="24"/>
                <w:szCs w:val="24"/>
                <w:lang w:val="en-IE"/>
              </w:rPr>
              <w:t xml:space="preserve">Through the European Defence Fund and related initiatives, the EU supports the development, testing and maturation of quantum technologies relevant for defence, involving SMEs, </w:t>
            </w:r>
            <w:r w:rsidR="00D473D1">
              <w:rPr>
                <w:rFonts w:ascii="Times New Roman" w:hAnsi="Times New Roman"/>
                <w:sz w:val="24"/>
                <w:szCs w:val="24"/>
                <w:lang w:val="en-IE"/>
              </w:rPr>
              <w:t>Research and Technology Organisations (</w:t>
            </w:r>
            <w:r w:rsidRPr="002F7018">
              <w:rPr>
                <w:rFonts w:ascii="Times New Roman" w:hAnsi="Times New Roman"/>
                <w:sz w:val="24"/>
                <w:szCs w:val="24"/>
                <w:lang w:val="en-IE"/>
              </w:rPr>
              <w:t>RTOs</w:t>
            </w:r>
            <w:r w:rsidR="00D473D1">
              <w:rPr>
                <w:rFonts w:ascii="Times New Roman" w:hAnsi="Times New Roman"/>
                <w:sz w:val="24"/>
                <w:szCs w:val="24"/>
                <w:lang w:val="en-IE"/>
              </w:rPr>
              <w:t>)</w:t>
            </w:r>
            <w:r w:rsidRPr="002F7018">
              <w:rPr>
                <w:rFonts w:ascii="Times New Roman" w:hAnsi="Times New Roman"/>
                <w:sz w:val="24"/>
                <w:szCs w:val="24"/>
                <w:lang w:val="en-IE"/>
              </w:rPr>
              <w:t xml:space="preserve">, academia and industry, and contributing to stronger European capabilities and supply chains. Support to defence innovators is complemented by the EU Defence Innovation Scheme (EUDIS) and by the EU Defence Industry Transformation Roadmap, including actions to improve access to finance, testing facilities and skills, and to accelerate innovation cycles (including the planned AGILE programme). The Commission is also working with Member States and </w:t>
            </w:r>
            <w:r w:rsidR="008F3E91">
              <w:rPr>
                <w:rFonts w:ascii="Times New Roman" w:hAnsi="Times New Roman"/>
                <w:sz w:val="24"/>
                <w:szCs w:val="24"/>
                <w:lang w:val="en-IE"/>
              </w:rPr>
              <w:t>European Economic Area (</w:t>
            </w:r>
            <w:r w:rsidRPr="002F7018">
              <w:rPr>
                <w:rFonts w:ascii="Times New Roman" w:hAnsi="Times New Roman"/>
                <w:sz w:val="24"/>
                <w:szCs w:val="24"/>
                <w:lang w:val="en-IE"/>
              </w:rPr>
              <w:t>EEA</w:t>
            </w:r>
            <w:r w:rsidR="008F3E91">
              <w:rPr>
                <w:rFonts w:ascii="Times New Roman" w:hAnsi="Times New Roman"/>
                <w:sz w:val="24"/>
                <w:szCs w:val="24"/>
                <w:lang w:val="en-IE"/>
              </w:rPr>
              <w:t>)</w:t>
            </w:r>
            <w:r w:rsidRPr="002F7018">
              <w:rPr>
                <w:rFonts w:ascii="Times New Roman" w:hAnsi="Times New Roman"/>
                <w:sz w:val="24"/>
                <w:szCs w:val="24"/>
                <w:lang w:val="en-IE"/>
              </w:rPr>
              <w:t xml:space="preserve"> countries on a roadmap for quantum space gravimetry, including to foster uptake among potential users and applications.</w:t>
            </w:r>
          </w:p>
          <w:p w14:paraId="696B3BA5" w14:textId="77777777" w:rsidR="0033354C" w:rsidRDefault="00EF03FE" w:rsidP="002F7018">
            <w:pPr>
              <w:widowControl w:val="0"/>
              <w:spacing w:before="120" w:after="120"/>
              <w:jc w:val="both"/>
              <w:rPr>
                <w:rFonts w:ascii="Times New Roman" w:hAnsi="Times New Roman"/>
                <w:sz w:val="24"/>
                <w:szCs w:val="24"/>
                <w:lang w:val="en-IE"/>
              </w:rPr>
            </w:pPr>
            <w:r w:rsidRPr="002F7018">
              <w:rPr>
                <w:rFonts w:ascii="Times New Roman" w:hAnsi="Times New Roman"/>
                <w:b/>
                <w:bCs/>
                <w:sz w:val="24"/>
                <w:szCs w:val="24"/>
                <w:lang w:val="en-IE"/>
              </w:rPr>
              <w:t>Infrastructure and access to experimentation</w:t>
            </w:r>
          </w:p>
          <w:p w14:paraId="05CBED5C" w14:textId="68544787" w:rsidR="00A80DE1" w:rsidRPr="002F7018" w:rsidRDefault="00EF03FE" w:rsidP="002F7018">
            <w:pPr>
              <w:widowControl w:val="0"/>
              <w:spacing w:before="120" w:after="120"/>
              <w:jc w:val="both"/>
              <w:rPr>
                <w:rFonts w:ascii="Times New Roman" w:hAnsi="Times New Roman"/>
                <w:sz w:val="24"/>
                <w:szCs w:val="24"/>
              </w:rPr>
            </w:pPr>
            <w:r w:rsidRPr="002F7018">
              <w:rPr>
                <w:rFonts w:ascii="Times New Roman" w:hAnsi="Times New Roman"/>
                <w:sz w:val="24"/>
                <w:szCs w:val="24"/>
                <w:lang w:val="en-IE"/>
              </w:rPr>
              <w:t>The Commission welcomes the Committee’s support for stepping up investment in quantum infrastructures and for ensuring fair and broad access to experimentation resources across Europe, including for SMEs and startups. In line with the Strategy, the Commission supports the objective of building an open and accessible European landscape of testing and experimentation capabilities, so that innovators can develop, test and validate quantum solutions more rapidly and move from research to deployment</w:t>
            </w:r>
            <w:r w:rsidR="00A80DE1" w:rsidRPr="00D00CCD">
              <w:rPr>
                <w:rFonts w:ascii="Times New Roman" w:hAnsi="Times New Roman"/>
                <w:sz w:val="24"/>
                <w:szCs w:val="24"/>
              </w:rPr>
              <w:t>.</w:t>
            </w:r>
            <w:r w:rsidR="00A80DE1" w:rsidRPr="002F7018">
              <w:rPr>
                <w:rFonts w:ascii="Times New Roman" w:hAnsi="Times New Roman"/>
                <w:sz w:val="24"/>
                <w:szCs w:val="24"/>
              </w:rPr>
              <w:t>This includes flagship initiatives such as EQUIP-G, a major EU technological and infrastructure project for quantum sensing, aimed at strengthening testing and experimentation capabilities and enabling broader access for users.</w:t>
            </w:r>
          </w:p>
          <w:p w14:paraId="4540F192" w14:textId="7BECA552" w:rsidR="00EF03FE" w:rsidRPr="002F7018" w:rsidRDefault="00820E48" w:rsidP="002F7018">
            <w:pPr>
              <w:widowControl w:val="0"/>
              <w:spacing w:before="120" w:after="120"/>
              <w:jc w:val="both"/>
              <w:rPr>
                <w:rFonts w:ascii="Times New Roman" w:hAnsi="Times New Roman"/>
                <w:sz w:val="24"/>
                <w:szCs w:val="24"/>
              </w:rPr>
            </w:pPr>
            <w:r w:rsidRPr="002F7018">
              <w:rPr>
                <w:rFonts w:ascii="Times New Roman" w:hAnsi="Times New Roman"/>
                <w:sz w:val="24"/>
                <w:szCs w:val="24"/>
                <w:lang w:val="en-IE"/>
              </w:rPr>
              <w:t xml:space="preserve"> Furthermore, as announced in the EU Startup and Scaleup Strategy, the Commission </w:t>
            </w:r>
            <w:r w:rsidR="00871A40" w:rsidRPr="002F7018">
              <w:rPr>
                <w:rFonts w:ascii="Times New Roman" w:hAnsi="Times New Roman"/>
                <w:sz w:val="24"/>
                <w:szCs w:val="24"/>
                <w:lang w:val="en-IE"/>
              </w:rPr>
              <w:t xml:space="preserve">i) put forward </w:t>
            </w:r>
            <w:r w:rsidRPr="002F7018">
              <w:rPr>
                <w:rFonts w:ascii="Times New Roman" w:hAnsi="Times New Roman"/>
                <w:sz w:val="24"/>
                <w:szCs w:val="24"/>
                <w:lang w:val="en-IE"/>
              </w:rPr>
              <w:t>a European Strategy for Research and Technology Infrastructures including actions to map available facilities and ensur</w:t>
            </w:r>
            <w:r w:rsidR="0033354C">
              <w:rPr>
                <w:rFonts w:ascii="Times New Roman" w:hAnsi="Times New Roman"/>
                <w:sz w:val="24"/>
                <w:szCs w:val="24"/>
                <w:lang w:val="en-IE"/>
              </w:rPr>
              <w:t>e</w:t>
            </w:r>
            <w:r w:rsidRPr="002F7018">
              <w:rPr>
                <w:rFonts w:ascii="Times New Roman" w:hAnsi="Times New Roman"/>
                <w:sz w:val="24"/>
                <w:szCs w:val="24"/>
                <w:lang w:val="en-IE"/>
              </w:rPr>
              <w:t xml:space="preserve"> that infrastructures remain world-class, more accessible, and better aligned with the needs of scientists, innovators and industry and ii) </w:t>
            </w:r>
            <w:r w:rsidR="00871A40" w:rsidRPr="002F7018">
              <w:rPr>
                <w:rFonts w:ascii="Times New Roman" w:hAnsi="Times New Roman"/>
                <w:sz w:val="24"/>
                <w:szCs w:val="24"/>
                <w:lang w:val="en-IE"/>
              </w:rPr>
              <w:t xml:space="preserve">will be proposing in </w:t>
            </w:r>
            <w:r w:rsidR="008F3E91">
              <w:rPr>
                <w:rFonts w:ascii="Times New Roman" w:hAnsi="Times New Roman"/>
                <w:sz w:val="24"/>
                <w:szCs w:val="24"/>
                <w:lang w:val="en-IE"/>
              </w:rPr>
              <w:t xml:space="preserve">the first quarter of </w:t>
            </w:r>
            <w:r w:rsidR="00871A40" w:rsidRPr="002F7018">
              <w:rPr>
                <w:rFonts w:ascii="Times New Roman" w:hAnsi="Times New Roman"/>
                <w:sz w:val="24"/>
                <w:szCs w:val="24"/>
                <w:lang w:val="en-IE"/>
              </w:rPr>
              <w:t>2026 a</w:t>
            </w:r>
            <w:r w:rsidRPr="002F7018">
              <w:rPr>
                <w:rFonts w:ascii="Times New Roman" w:hAnsi="Times New Roman"/>
                <w:sz w:val="24"/>
                <w:szCs w:val="24"/>
                <w:lang w:val="en-IE"/>
              </w:rPr>
              <w:t xml:space="preserve"> Charter of access to Research and Technology Infrastructures for industrial users to make it much easier and faster for companies to know and use available services. Furthermore, the Charter</w:t>
            </w:r>
            <w:r w:rsidR="00392EE0" w:rsidRPr="002F7018">
              <w:rPr>
                <w:rFonts w:ascii="Times New Roman" w:hAnsi="Times New Roman"/>
                <w:sz w:val="24"/>
                <w:szCs w:val="24"/>
                <w:lang w:val="en-IE"/>
              </w:rPr>
              <w:t xml:space="preserve"> will</w:t>
            </w:r>
            <w:r w:rsidRPr="002F7018">
              <w:rPr>
                <w:rFonts w:ascii="Times New Roman" w:hAnsi="Times New Roman"/>
                <w:sz w:val="24"/>
                <w:szCs w:val="24"/>
                <w:lang w:val="en-IE"/>
              </w:rPr>
              <w:t xml:space="preserve"> </w:t>
            </w:r>
            <w:r w:rsidR="00871A40" w:rsidRPr="002F7018">
              <w:rPr>
                <w:rFonts w:ascii="Times New Roman" w:hAnsi="Times New Roman"/>
                <w:sz w:val="24"/>
                <w:szCs w:val="24"/>
                <w:lang w:val="en-IE"/>
              </w:rPr>
              <w:t>aim</w:t>
            </w:r>
            <w:r w:rsidR="00392EE0" w:rsidRPr="002F7018">
              <w:rPr>
                <w:rFonts w:ascii="Times New Roman" w:hAnsi="Times New Roman"/>
                <w:sz w:val="24"/>
                <w:szCs w:val="24"/>
                <w:lang w:val="en-IE"/>
              </w:rPr>
              <w:t xml:space="preserve"> </w:t>
            </w:r>
            <w:r w:rsidR="00871A40" w:rsidRPr="002F7018">
              <w:rPr>
                <w:rFonts w:ascii="Times New Roman" w:hAnsi="Times New Roman"/>
                <w:sz w:val="24"/>
                <w:szCs w:val="24"/>
                <w:lang w:val="en-IE"/>
              </w:rPr>
              <w:t xml:space="preserve">to </w:t>
            </w:r>
            <w:r w:rsidRPr="002F7018">
              <w:rPr>
                <w:rFonts w:ascii="Times New Roman" w:hAnsi="Times New Roman"/>
                <w:sz w:val="24"/>
                <w:szCs w:val="24"/>
                <w:lang w:val="en-IE"/>
              </w:rPr>
              <w:t xml:space="preserve">propose tailored support for EU companies and encourages </w:t>
            </w:r>
            <w:r w:rsidRPr="002F7018">
              <w:rPr>
                <w:rFonts w:ascii="Times New Roman" w:hAnsi="Times New Roman"/>
                <w:sz w:val="24"/>
                <w:szCs w:val="24"/>
                <w:lang w:val="en-IE"/>
              </w:rPr>
              <w:lastRenderedPageBreak/>
              <w:t>collaboration among different infrastructures, leading to wider access to a variety of services and data, beyond borders and sectors.</w:t>
            </w:r>
            <w:r w:rsidR="00246961" w:rsidRPr="002F7018">
              <w:rPr>
                <w:rFonts w:ascii="Times New Roman" w:hAnsi="Times New Roman"/>
                <w:sz w:val="24"/>
                <w:szCs w:val="24"/>
                <w:lang w:val="en-IE"/>
              </w:rPr>
              <w:t xml:space="preserve"> The upcoming European Innovation Act </w:t>
            </w:r>
            <w:r w:rsidR="00246961" w:rsidRPr="002F7018">
              <w:rPr>
                <w:rFonts w:ascii="Times New Roman" w:hAnsi="Times New Roman"/>
                <w:sz w:val="24"/>
                <w:szCs w:val="24"/>
              </w:rPr>
              <w:t>will further promote the access of innovative companies to European research and technology infrastructures through legislative measures.</w:t>
            </w:r>
          </w:p>
          <w:p w14:paraId="1DB81116" w14:textId="408F33F3" w:rsidR="000411C3" w:rsidRPr="002F7018" w:rsidRDefault="00A80DE1" w:rsidP="002F7018">
            <w:pPr>
              <w:widowControl w:val="0"/>
              <w:spacing w:before="120" w:after="120"/>
              <w:jc w:val="both"/>
              <w:rPr>
                <w:rFonts w:ascii="Times New Roman" w:hAnsi="Times New Roman"/>
                <w:sz w:val="24"/>
                <w:szCs w:val="24"/>
              </w:rPr>
            </w:pPr>
            <w:r w:rsidRPr="002F7018">
              <w:rPr>
                <w:rFonts w:ascii="Times New Roman" w:hAnsi="Times New Roman"/>
                <w:sz w:val="24"/>
                <w:szCs w:val="24"/>
              </w:rPr>
              <w:t xml:space="preserve">The Commission is investing into quantum communication infrastructures and the future quantum internet. In the space policy domain, this includes support to the </w:t>
            </w:r>
            <w:proofErr w:type="spellStart"/>
            <w:r w:rsidRPr="002F7018">
              <w:rPr>
                <w:rFonts w:ascii="Times New Roman" w:hAnsi="Times New Roman"/>
                <w:sz w:val="24"/>
                <w:szCs w:val="24"/>
              </w:rPr>
              <w:t>EuroQCI</w:t>
            </w:r>
            <w:proofErr w:type="spellEnd"/>
            <w:r w:rsidRPr="002F7018">
              <w:rPr>
                <w:rFonts w:ascii="Times New Roman" w:hAnsi="Times New Roman"/>
                <w:sz w:val="24"/>
                <w:szCs w:val="24"/>
              </w:rPr>
              <w:t xml:space="preserve"> initiative, notably through the Eagle-1 satellite as a first European in-orbit demonstration of Quantum Key Distribution, complemented by actions (including under </w:t>
            </w:r>
            <w:r w:rsidR="008F3E91">
              <w:rPr>
                <w:rFonts w:ascii="Times New Roman" w:hAnsi="Times New Roman"/>
                <w:sz w:val="24"/>
                <w:szCs w:val="24"/>
              </w:rPr>
              <w:t>Connecting Europe Facility (</w:t>
            </w:r>
            <w:r w:rsidRPr="002F7018">
              <w:rPr>
                <w:rFonts w:ascii="Times New Roman" w:hAnsi="Times New Roman"/>
                <w:sz w:val="24"/>
                <w:szCs w:val="24"/>
              </w:rPr>
              <w:t>CEF</w:t>
            </w:r>
            <w:r w:rsidR="008F3E91">
              <w:rPr>
                <w:rFonts w:ascii="Times New Roman" w:hAnsi="Times New Roman"/>
                <w:sz w:val="24"/>
                <w:szCs w:val="24"/>
              </w:rPr>
              <w:t>)</w:t>
            </w:r>
            <w:r w:rsidRPr="002F7018">
              <w:rPr>
                <w:rFonts w:ascii="Times New Roman" w:hAnsi="Times New Roman"/>
                <w:sz w:val="24"/>
                <w:szCs w:val="24"/>
              </w:rPr>
              <w:t>) supporting Member States’ ground segment and testing capacities.</w:t>
            </w:r>
          </w:p>
          <w:p w14:paraId="0F7FB020" w14:textId="77777777" w:rsidR="0033354C" w:rsidRDefault="00EF03FE" w:rsidP="002F7018">
            <w:pPr>
              <w:widowControl w:val="0"/>
              <w:spacing w:before="120" w:after="120"/>
              <w:jc w:val="both"/>
              <w:rPr>
                <w:rFonts w:ascii="Times New Roman" w:hAnsi="Times New Roman"/>
                <w:sz w:val="24"/>
                <w:szCs w:val="24"/>
                <w:lang w:val="en-IE"/>
              </w:rPr>
            </w:pPr>
            <w:r w:rsidRPr="002F7018">
              <w:rPr>
                <w:rFonts w:ascii="Times New Roman" w:hAnsi="Times New Roman"/>
                <w:b/>
                <w:bCs/>
                <w:sz w:val="24"/>
                <w:szCs w:val="24"/>
                <w:lang w:val="en-IE"/>
              </w:rPr>
              <w:t>Skills, talent development and mobility</w:t>
            </w:r>
          </w:p>
          <w:p w14:paraId="678054B0" w14:textId="50C8C02D" w:rsidR="00EF03FE" w:rsidRPr="002F7018" w:rsidRDefault="00EF03FE" w:rsidP="002F7018">
            <w:pPr>
              <w:widowControl w:val="0"/>
              <w:spacing w:before="120" w:after="120"/>
              <w:jc w:val="both"/>
              <w:rPr>
                <w:rFonts w:ascii="Times New Roman" w:hAnsi="Times New Roman"/>
                <w:sz w:val="24"/>
                <w:szCs w:val="24"/>
                <w:lang w:val="en-IE"/>
              </w:rPr>
            </w:pPr>
            <w:r w:rsidRPr="002F7018">
              <w:rPr>
                <w:rFonts w:ascii="Times New Roman" w:hAnsi="Times New Roman"/>
                <w:sz w:val="24"/>
                <w:szCs w:val="24"/>
                <w:lang w:val="en-IE"/>
              </w:rPr>
              <w:t xml:space="preserve">The Commission shares the Committee’s assessment that skills and talent are decisive for Europe’s capacity to industrialise quantum technologies and deploy them responsibly across sectors. </w:t>
            </w:r>
            <w:r w:rsidR="2347B529" w:rsidRPr="002F7018">
              <w:rPr>
                <w:rFonts w:ascii="Times New Roman" w:hAnsi="Times New Roman"/>
                <w:sz w:val="24"/>
                <w:szCs w:val="24"/>
                <w:lang w:val="en-IE"/>
              </w:rPr>
              <w:t>In line with the efforts to achieve the European Education Area and with the Union of Skills Communication, t</w:t>
            </w:r>
            <w:r w:rsidRPr="002F7018">
              <w:rPr>
                <w:rFonts w:ascii="Times New Roman" w:hAnsi="Times New Roman"/>
                <w:sz w:val="24"/>
                <w:szCs w:val="24"/>
                <w:lang w:val="en-IE"/>
              </w:rPr>
              <w:t>he Commission takes note of the Committee’s recommendations on identifying market-relevant skills needs, supporting talent retention and mobility, and strengthening collaboration between academia, research, industry and startups. In implementing the Strategy, the Commission will pursue actions to raise visibility of quantum career pathways, reinforce training and up-skilling opportunities, and support collaboration mechanisms that facilitate knowledge transfer and practical experience for students and early-career researchers.</w:t>
            </w:r>
          </w:p>
          <w:p w14:paraId="6BC9D92C" w14:textId="77777777" w:rsidR="0033354C" w:rsidRDefault="1F18DC1D" w:rsidP="002F7018">
            <w:pPr>
              <w:widowControl w:val="0"/>
              <w:spacing w:before="120" w:after="120"/>
              <w:jc w:val="both"/>
              <w:rPr>
                <w:rFonts w:ascii="Times New Roman" w:hAnsi="Times New Roman"/>
                <w:sz w:val="24"/>
                <w:szCs w:val="24"/>
                <w:lang w:val="en-IE"/>
              </w:rPr>
            </w:pPr>
            <w:r w:rsidRPr="002F7018">
              <w:rPr>
                <w:rFonts w:ascii="Times New Roman" w:hAnsi="Times New Roman"/>
                <w:b/>
                <w:bCs/>
                <w:sz w:val="24"/>
                <w:szCs w:val="24"/>
                <w:lang w:val="en-IE"/>
              </w:rPr>
              <w:t>Governance, monitoring, standardisation and strategic interests</w:t>
            </w:r>
          </w:p>
          <w:p w14:paraId="413DDE4C" w14:textId="40816274" w:rsidR="00EF03FE" w:rsidRPr="002F7018" w:rsidRDefault="1F18DC1D" w:rsidP="002F7018">
            <w:pPr>
              <w:widowControl w:val="0"/>
              <w:spacing w:before="120" w:after="120"/>
              <w:jc w:val="both"/>
              <w:rPr>
                <w:rFonts w:ascii="Times New Roman" w:hAnsi="Times New Roman"/>
                <w:sz w:val="24"/>
                <w:szCs w:val="24"/>
                <w:lang w:val="en-IE"/>
              </w:rPr>
            </w:pPr>
            <w:r w:rsidRPr="002F7018">
              <w:rPr>
                <w:rFonts w:ascii="Times New Roman" w:hAnsi="Times New Roman"/>
                <w:sz w:val="24"/>
                <w:szCs w:val="24"/>
                <w:lang w:val="en-IE"/>
              </w:rPr>
              <w:t>The Commission notes the Committee’s call for inclusive governance and improved coordination of quantum investments, as well as for the use of appropriate indicators and monitoring systems to track progress and outcomes. In line with the Strategy’s objectives, the Commission will continue to work with Member States and stakeholders to improve coordination, reduce fragmentation and monitor implementation progress, including by drawing on available evidence and analysis to assess competitiveness, innovation dynamics and investment trends.</w:t>
            </w:r>
            <w:r w:rsidR="6D74BC41" w:rsidRPr="002F7018">
              <w:rPr>
                <w:rFonts w:ascii="Times New Roman" w:hAnsi="Times New Roman"/>
                <w:sz w:val="24"/>
                <w:szCs w:val="24"/>
                <w:lang w:val="en-IE"/>
              </w:rPr>
              <w:t xml:space="preserve"> As part of this enabling approach, the envisaged Quantum Act would focus on governance, coordination and ecosystem support measures, rather than technology-specific regulation.</w:t>
            </w:r>
          </w:p>
          <w:p w14:paraId="7D85D4D5" w14:textId="77777777" w:rsidR="00EF03FE" w:rsidRPr="002F7018" w:rsidRDefault="00EF03FE" w:rsidP="002F7018">
            <w:pPr>
              <w:widowControl w:val="0"/>
              <w:spacing w:before="120" w:after="120"/>
              <w:jc w:val="both"/>
              <w:rPr>
                <w:rFonts w:ascii="Times New Roman" w:hAnsi="Times New Roman"/>
                <w:sz w:val="24"/>
                <w:szCs w:val="24"/>
                <w:lang w:val="en-IE"/>
              </w:rPr>
            </w:pPr>
            <w:r w:rsidRPr="002F7018">
              <w:rPr>
                <w:rFonts w:ascii="Times New Roman" w:hAnsi="Times New Roman"/>
                <w:sz w:val="24"/>
                <w:szCs w:val="24"/>
                <w:lang w:val="en-IE"/>
              </w:rPr>
              <w:t>The Commission also takes note of the Committee’s emphasis on Europe’s leadership in technological standardisation and will continue to promote European and international engagement in relevant standardisation activities, to support interoperability, trust and market development while safeguarding European values and interests.</w:t>
            </w:r>
          </w:p>
          <w:p w14:paraId="30D14481" w14:textId="4DF70CB6" w:rsidR="0049246C" w:rsidRPr="002F7018" w:rsidRDefault="00EF03FE" w:rsidP="002F7018">
            <w:pPr>
              <w:widowControl w:val="0"/>
              <w:spacing w:before="120" w:after="120"/>
              <w:jc w:val="both"/>
              <w:rPr>
                <w:rFonts w:ascii="Times New Roman" w:hAnsi="Times New Roman"/>
                <w:sz w:val="24"/>
                <w:szCs w:val="24"/>
                <w:lang w:val="en-IE"/>
              </w:rPr>
            </w:pPr>
            <w:r w:rsidRPr="002F7018">
              <w:rPr>
                <w:rFonts w:ascii="Times New Roman" w:hAnsi="Times New Roman"/>
                <w:sz w:val="24"/>
                <w:szCs w:val="24"/>
                <w:lang w:val="en-IE"/>
              </w:rPr>
              <w:t>Finally, the Commission acknowledges the Committee’s recommendations on dual-use governance and on ensuring that the EU’s strategic interests are protected in a clear and transparent manner, while avoiding disproportionate burdens on SMEs. In implementing the Strategy</w:t>
            </w:r>
            <w:r w:rsidR="0033354C">
              <w:rPr>
                <w:rFonts w:ascii="Times New Roman" w:hAnsi="Times New Roman"/>
                <w:sz w:val="24"/>
                <w:szCs w:val="24"/>
                <w:lang w:val="en-IE"/>
              </w:rPr>
              <w:t>,</w:t>
            </w:r>
            <w:r w:rsidRPr="002F7018">
              <w:rPr>
                <w:rFonts w:ascii="Times New Roman" w:hAnsi="Times New Roman"/>
                <w:sz w:val="24"/>
                <w:szCs w:val="24"/>
                <w:lang w:val="en-IE"/>
              </w:rPr>
              <w:t xml:space="preserve"> and in cooperation with the services concerned and Member States, the Commission will continue to support a balanced approach that promotes innovation and industrial growth, strengthens resilience, and takes due account of security considerations and applicable frameworks.</w:t>
            </w:r>
            <w:r w:rsidR="00F17497" w:rsidRPr="00D00CCD">
              <w:rPr>
                <w:rFonts w:ascii="Times New Roman" w:hAnsi="Times New Roman"/>
                <w:b/>
                <w:bCs/>
                <w:sz w:val="24"/>
                <w:szCs w:val="24"/>
                <w:lang w:val="en-IE"/>
              </w:rPr>
              <w:t xml:space="preserve"> </w:t>
            </w:r>
          </w:p>
        </w:tc>
      </w:tr>
    </w:tbl>
    <w:p w14:paraId="4B31F071" w14:textId="77777777" w:rsidR="00077C4F" w:rsidRPr="00EF03FE" w:rsidRDefault="00077C4F" w:rsidP="00077C4F">
      <w:pPr>
        <w:rPr>
          <w:rFonts w:ascii="Times New Roman" w:hAnsi="Times New Roman"/>
          <w:sz w:val="24"/>
          <w:szCs w:val="24"/>
          <w:lang w:val="en-IE"/>
        </w:rPr>
      </w:pPr>
    </w:p>
    <w:sectPr w:rsidR="00077C4F" w:rsidRPr="00EF03F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5893" w14:textId="77777777" w:rsidR="00D50EA0" w:rsidRDefault="00D50EA0" w:rsidP="00FF63EA">
      <w:pPr>
        <w:spacing w:after="0" w:line="240" w:lineRule="auto"/>
      </w:pPr>
      <w:r>
        <w:separator/>
      </w:r>
    </w:p>
  </w:endnote>
  <w:endnote w:type="continuationSeparator" w:id="0">
    <w:p w14:paraId="1485A564" w14:textId="77777777" w:rsidR="00D50EA0" w:rsidRDefault="00D50EA0"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4D67" w14:textId="77777777" w:rsidR="00327FA5" w:rsidRDefault="00327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39E18" w14:textId="77777777" w:rsidR="00D50EA0" w:rsidRDefault="00D50EA0" w:rsidP="00FF63EA">
      <w:pPr>
        <w:spacing w:after="0" w:line="240" w:lineRule="auto"/>
      </w:pPr>
      <w:r>
        <w:separator/>
      </w:r>
    </w:p>
  </w:footnote>
  <w:footnote w:type="continuationSeparator" w:id="0">
    <w:p w14:paraId="730E4596" w14:textId="77777777" w:rsidR="00D50EA0" w:rsidRDefault="00D50EA0" w:rsidP="00FF63EA">
      <w:pPr>
        <w:spacing w:after="0" w:line="240" w:lineRule="auto"/>
      </w:pPr>
      <w:r>
        <w:continuationSeparator/>
      </w:r>
    </w:p>
  </w:footnote>
  <w:footnote w:id="1">
    <w:p w14:paraId="341D477D" w14:textId="53FB0869" w:rsidR="002F7018" w:rsidRPr="00D00CCD" w:rsidRDefault="002F7018" w:rsidP="00D00CCD">
      <w:pPr>
        <w:pStyle w:val="FootnoteText"/>
        <w:widowControl w:val="0"/>
        <w:spacing w:after="0" w:line="240" w:lineRule="auto"/>
        <w:jc w:val="both"/>
        <w:rPr>
          <w:rFonts w:ascii="Times New Roman" w:hAnsi="Times New Roman"/>
          <w:lang w:val="pt-PT"/>
        </w:rPr>
      </w:pPr>
      <w:r w:rsidRPr="00D00CCD">
        <w:rPr>
          <w:rStyle w:val="FootnoteReference"/>
          <w:rFonts w:ascii="Times New Roman" w:hAnsi="Times New Roman"/>
        </w:rPr>
        <w:footnoteRef/>
      </w:r>
      <w:r w:rsidRPr="00D00CCD">
        <w:rPr>
          <w:rFonts w:ascii="Times New Roman" w:hAnsi="Times New Roman"/>
          <w:lang w:val="pt-PT"/>
        </w:rPr>
        <w:t xml:space="preserve"> </w:t>
      </w:r>
      <w:r w:rsidRPr="00D00CCD">
        <w:rPr>
          <w:rFonts w:ascii="Times New Roman" w:hAnsi="Times New Roman"/>
          <w:lang w:val="pt-PT"/>
        </w:rPr>
        <w:tab/>
      </w:r>
      <w:proofErr w:type="gramStart"/>
      <w:r w:rsidRPr="00D00CCD">
        <w:rPr>
          <w:rFonts w:ascii="Times New Roman" w:hAnsi="Times New Roman"/>
          <w:lang w:val="pt-PT"/>
        </w:rPr>
        <w:t>COM(</w:t>
      </w:r>
      <w:proofErr w:type="gramEnd"/>
      <w:r w:rsidRPr="00D00CCD">
        <w:rPr>
          <w:rFonts w:ascii="Times New Roman" w:hAnsi="Times New Roman"/>
          <w:lang w:val="pt-PT"/>
        </w:rPr>
        <w:t>2025) 363 final (https://eur-lex.europa.eu/legal-content/EN/TXT/?uri=celex:52025DC0363).</w:t>
      </w:r>
    </w:p>
  </w:footnote>
  <w:footnote w:id="2">
    <w:p w14:paraId="3BF25F85" w14:textId="35AE632C" w:rsidR="008F3E91" w:rsidRPr="00D00CCD" w:rsidRDefault="008F3E91" w:rsidP="00D00CCD">
      <w:pPr>
        <w:pStyle w:val="FootnoteText"/>
        <w:jc w:val="both"/>
        <w:rPr>
          <w:lang w:val="fr-BE"/>
        </w:rPr>
      </w:pPr>
      <w:r w:rsidRPr="00D00CCD">
        <w:rPr>
          <w:rStyle w:val="FootnoteReference"/>
          <w:rFonts w:ascii="Times New Roman" w:hAnsi="Times New Roman"/>
        </w:rPr>
        <w:footnoteRef/>
      </w:r>
      <w:r w:rsidRPr="00D00CCD">
        <w:rPr>
          <w:rFonts w:ascii="Times New Roman" w:hAnsi="Times New Roman"/>
          <w:lang w:val="fr-BE"/>
        </w:rPr>
        <w:t xml:space="preserve"> </w:t>
      </w:r>
      <w:r w:rsidRPr="00D00CCD">
        <w:rPr>
          <w:rFonts w:ascii="Times New Roman" w:hAnsi="Times New Roman"/>
          <w:lang w:val="fr-BE"/>
        </w:rPr>
        <w:tab/>
      </w:r>
      <w:proofErr w:type="gramStart"/>
      <w:r w:rsidRPr="00D00CCD">
        <w:rPr>
          <w:rFonts w:ascii="Times New Roman" w:hAnsi="Times New Roman"/>
          <w:lang w:val="fr-BE"/>
        </w:rPr>
        <w:t>COM(</w:t>
      </w:r>
      <w:proofErr w:type="gramEnd"/>
      <w:r w:rsidRPr="00D00CCD">
        <w:rPr>
          <w:rFonts w:ascii="Times New Roman" w:hAnsi="Times New Roman"/>
          <w:lang w:val="fr-BE"/>
        </w:rPr>
        <w:t>2025) 270 final (</w:t>
      </w:r>
      <w:hyperlink r:id="rId1" w:history="1">
        <w:r w:rsidRPr="00D00CCD">
          <w:rPr>
            <w:rStyle w:val="Hyperlink"/>
            <w:rFonts w:ascii="Times New Roman" w:hAnsi="Times New Roman"/>
            <w:lang w:val="fr-BE"/>
          </w:rPr>
          <w:t>EUR-Lex - 52025DC0270 - EN - EUR-Lex</w:t>
        </w:r>
      </w:hyperlink>
      <w:r w:rsidRPr="00D00CCD">
        <w:rPr>
          <w:rFonts w:ascii="Times New Roman" w:hAnsi="Times New Roman"/>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74D0" w14:textId="77777777" w:rsidR="00327FA5" w:rsidRDefault="00327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F1BFB"/>
    <w:multiLevelType w:val="hybridMultilevel"/>
    <w:tmpl w:val="3F749D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82747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1095"/>
    <w:rsid w:val="00012A37"/>
    <w:rsid w:val="000411C3"/>
    <w:rsid w:val="00041C74"/>
    <w:rsid w:val="00046B15"/>
    <w:rsid w:val="00050DC7"/>
    <w:rsid w:val="000605A1"/>
    <w:rsid w:val="00060F86"/>
    <w:rsid w:val="00076109"/>
    <w:rsid w:val="00077C4F"/>
    <w:rsid w:val="0008020A"/>
    <w:rsid w:val="000846B3"/>
    <w:rsid w:val="000864C7"/>
    <w:rsid w:val="0009015C"/>
    <w:rsid w:val="000E16EC"/>
    <w:rsid w:val="000F5FD8"/>
    <w:rsid w:val="00104EB1"/>
    <w:rsid w:val="001167C0"/>
    <w:rsid w:val="00135C2A"/>
    <w:rsid w:val="001401F0"/>
    <w:rsid w:val="00144B73"/>
    <w:rsid w:val="00147B67"/>
    <w:rsid w:val="00153059"/>
    <w:rsid w:val="00160C72"/>
    <w:rsid w:val="00164757"/>
    <w:rsid w:val="0018213C"/>
    <w:rsid w:val="00192927"/>
    <w:rsid w:val="001B0E0B"/>
    <w:rsid w:val="001B30D8"/>
    <w:rsid w:val="001B410E"/>
    <w:rsid w:val="001C4138"/>
    <w:rsid w:val="001E1ED2"/>
    <w:rsid w:val="001F2042"/>
    <w:rsid w:val="001F2358"/>
    <w:rsid w:val="001F2EC6"/>
    <w:rsid w:val="001F3FE2"/>
    <w:rsid w:val="001F65D0"/>
    <w:rsid w:val="0020085A"/>
    <w:rsid w:val="002033CC"/>
    <w:rsid w:val="00214BE5"/>
    <w:rsid w:val="00217E59"/>
    <w:rsid w:val="00223965"/>
    <w:rsid w:val="00230ABB"/>
    <w:rsid w:val="002343A2"/>
    <w:rsid w:val="00246961"/>
    <w:rsid w:val="00254BCC"/>
    <w:rsid w:val="00267271"/>
    <w:rsid w:val="002740AF"/>
    <w:rsid w:val="002A6301"/>
    <w:rsid w:val="002F03FA"/>
    <w:rsid w:val="002F7018"/>
    <w:rsid w:val="003004D2"/>
    <w:rsid w:val="00317344"/>
    <w:rsid w:val="00327FA5"/>
    <w:rsid w:val="003300CC"/>
    <w:rsid w:val="0033354C"/>
    <w:rsid w:val="003349A3"/>
    <w:rsid w:val="00341777"/>
    <w:rsid w:val="00377967"/>
    <w:rsid w:val="00381FDC"/>
    <w:rsid w:val="00386143"/>
    <w:rsid w:val="003910FD"/>
    <w:rsid w:val="00392EE0"/>
    <w:rsid w:val="003B3596"/>
    <w:rsid w:val="003B58DC"/>
    <w:rsid w:val="003D1F5A"/>
    <w:rsid w:val="003F686E"/>
    <w:rsid w:val="00400A4A"/>
    <w:rsid w:val="00423267"/>
    <w:rsid w:val="00442552"/>
    <w:rsid w:val="00455A1C"/>
    <w:rsid w:val="004675B5"/>
    <w:rsid w:val="00475762"/>
    <w:rsid w:val="004770D6"/>
    <w:rsid w:val="0049246C"/>
    <w:rsid w:val="004A74DE"/>
    <w:rsid w:val="004A7A9E"/>
    <w:rsid w:val="004B6E88"/>
    <w:rsid w:val="004C5065"/>
    <w:rsid w:val="004F6117"/>
    <w:rsid w:val="004F63F1"/>
    <w:rsid w:val="004F651E"/>
    <w:rsid w:val="0052596B"/>
    <w:rsid w:val="00537A19"/>
    <w:rsid w:val="00542647"/>
    <w:rsid w:val="00552D47"/>
    <w:rsid w:val="00554D8D"/>
    <w:rsid w:val="00573835"/>
    <w:rsid w:val="005764AB"/>
    <w:rsid w:val="00581306"/>
    <w:rsid w:val="005926AE"/>
    <w:rsid w:val="005C3105"/>
    <w:rsid w:val="005D7E7B"/>
    <w:rsid w:val="005F1046"/>
    <w:rsid w:val="006160B8"/>
    <w:rsid w:val="00632824"/>
    <w:rsid w:val="006332C2"/>
    <w:rsid w:val="006419ED"/>
    <w:rsid w:val="00654A9C"/>
    <w:rsid w:val="00683A43"/>
    <w:rsid w:val="00692C2F"/>
    <w:rsid w:val="00695797"/>
    <w:rsid w:val="00695FF8"/>
    <w:rsid w:val="00696A5E"/>
    <w:rsid w:val="006A1879"/>
    <w:rsid w:val="006B3B69"/>
    <w:rsid w:val="006B465A"/>
    <w:rsid w:val="006E1BBF"/>
    <w:rsid w:val="006F0689"/>
    <w:rsid w:val="00734613"/>
    <w:rsid w:val="00751910"/>
    <w:rsid w:val="00751E60"/>
    <w:rsid w:val="007547B5"/>
    <w:rsid w:val="007738CA"/>
    <w:rsid w:val="00786288"/>
    <w:rsid w:val="00792A4C"/>
    <w:rsid w:val="00795A9E"/>
    <w:rsid w:val="007A606D"/>
    <w:rsid w:val="007C2214"/>
    <w:rsid w:val="007D4E29"/>
    <w:rsid w:val="007E7268"/>
    <w:rsid w:val="007E7CFB"/>
    <w:rsid w:val="00804C06"/>
    <w:rsid w:val="00807B48"/>
    <w:rsid w:val="00812219"/>
    <w:rsid w:val="008135CA"/>
    <w:rsid w:val="0081584F"/>
    <w:rsid w:val="00816F9B"/>
    <w:rsid w:val="00820E48"/>
    <w:rsid w:val="008236FE"/>
    <w:rsid w:val="00855DEE"/>
    <w:rsid w:val="00861613"/>
    <w:rsid w:val="008703BF"/>
    <w:rsid w:val="00871A40"/>
    <w:rsid w:val="008925CE"/>
    <w:rsid w:val="008B195E"/>
    <w:rsid w:val="008C4D41"/>
    <w:rsid w:val="008E178A"/>
    <w:rsid w:val="008E3D0E"/>
    <w:rsid w:val="008E5676"/>
    <w:rsid w:val="008F3E91"/>
    <w:rsid w:val="00904499"/>
    <w:rsid w:val="0093049F"/>
    <w:rsid w:val="00940D26"/>
    <w:rsid w:val="00956C3A"/>
    <w:rsid w:val="009650C5"/>
    <w:rsid w:val="00981F45"/>
    <w:rsid w:val="00984371"/>
    <w:rsid w:val="00994D12"/>
    <w:rsid w:val="009A08DE"/>
    <w:rsid w:val="009A1256"/>
    <w:rsid w:val="009B128B"/>
    <w:rsid w:val="009C57CE"/>
    <w:rsid w:val="009D4645"/>
    <w:rsid w:val="009F291E"/>
    <w:rsid w:val="00A03FBD"/>
    <w:rsid w:val="00A16F07"/>
    <w:rsid w:val="00A5124C"/>
    <w:rsid w:val="00A61EFC"/>
    <w:rsid w:val="00A62C7B"/>
    <w:rsid w:val="00A63E7C"/>
    <w:rsid w:val="00A64A06"/>
    <w:rsid w:val="00A7709A"/>
    <w:rsid w:val="00A80DE1"/>
    <w:rsid w:val="00A93E57"/>
    <w:rsid w:val="00AC21E0"/>
    <w:rsid w:val="00AD270C"/>
    <w:rsid w:val="00AE1842"/>
    <w:rsid w:val="00AE3C7C"/>
    <w:rsid w:val="00B31306"/>
    <w:rsid w:val="00B42814"/>
    <w:rsid w:val="00B65807"/>
    <w:rsid w:val="00B71943"/>
    <w:rsid w:val="00B83936"/>
    <w:rsid w:val="00BA3C49"/>
    <w:rsid w:val="00BB3E80"/>
    <w:rsid w:val="00BB611A"/>
    <w:rsid w:val="00BB7AEA"/>
    <w:rsid w:val="00BD6EB7"/>
    <w:rsid w:val="00C0219B"/>
    <w:rsid w:val="00C1431B"/>
    <w:rsid w:val="00C44F98"/>
    <w:rsid w:val="00C54328"/>
    <w:rsid w:val="00C54D27"/>
    <w:rsid w:val="00C76EEB"/>
    <w:rsid w:val="00C91557"/>
    <w:rsid w:val="00C96DB8"/>
    <w:rsid w:val="00CA75BB"/>
    <w:rsid w:val="00CD7E26"/>
    <w:rsid w:val="00CF3ED0"/>
    <w:rsid w:val="00D00CCD"/>
    <w:rsid w:val="00D01F5A"/>
    <w:rsid w:val="00D03710"/>
    <w:rsid w:val="00D06B8A"/>
    <w:rsid w:val="00D1716E"/>
    <w:rsid w:val="00D22338"/>
    <w:rsid w:val="00D23233"/>
    <w:rsid w:val="00D473D1"/>
    <w:rsid w:val="00D50EA0"/>
    <w:rsid w:val="00D64E05"/>
    <w:rsid w:val="00D66199"/>
    <w:rsid w:val="00D82F96"/>
    <w:rsid w:val="00D92FD3"/>
    <w:rsid w:val="00DA3B6E"/>
    <w:rsid w:val="00DB06E8"/>
    <w:rsid w:val="00DB7581"/>
    <w:rsid w:val="00DC6969"/>
    <w:rsid w:val="00DC70C1"/>
    <w:rsid w:val="00DD0B13"/>
    <w:rsid w:val="00E16EB0"/>
    <w:rsid w:val="00E23886"/>
    <w:rsid w:val="00E2726B"/>
    <w:rsid w:val="00E3192E"/>
    <w:rsid w:val="00E51830"/>
    <w:rsid w:val="00E53B03"/>
    <w:rsid w:val="00E73884"/>
    <w:rsid w:val="00E83C12"/>
    <w:rsid w:val="00E85F65"/>
    <w:rsid w:val="00E904C8"/>
    <w:rsid w:val="00E91E63"/>
    <w:rsid w:val="00EA1BBF"/>
    <w:rsid w:val="00EB29A9"/>
    <w:rsid w:val="00EB41EA"/>
    <w:rsid w:val="00EB77D2"/>
    <w:rsid w:val="00EC0930"/>
    <w:rsid w:val="00EC7275"/>
    <w:rsid w:val="00EE2896"/>
    <w:rsid w:val="00EE37EB"/>
    <w:rsid w:val="00EF03FE"/>
    <w:rsid w:val="00F04E4E"/>
    <w:rsid w:val="00F0645B"/>
    <w:rsid w:val="00F17497"/>
    <w:rsid w:val="00F316C8"/>
    <w:rsid w:val="00F3266A"/>
    <w:rsid w:val="00F47CBB"/>
    <w:rsid w:val="00F518D9"/>
    <w:rsid w:val="00F632DE"/>
    <w:rsid w:val="00F674FC"/>
    <w:rsid w:val="00F735E4"/>
    <w:rsid w:val="00F93F25"/>
    <w:rsid w:val="00F94461"/>
    <w:rsid w:val="00FB58D9"/>
    <w:rsid w:val="00FB7834"/>
    <w:rsid w:val="00FD4B6A"/>
    <w:rsid w:val="00FE0F88"/>
    <w:rsid w:val="00FE6D63"/>
    <w:rsid w:val="00FF03A8"/>
    <w:rsid w:val="00FF532F"/>
    <w:rsid w:val="00FF63EA"/>
    <w:rsid w:val="02012F0B"/>
    <w:rsid w:val="025F2034"/>
    <w:rsid w:val="041C3080"/>
    <w:rsid w:val="0525A9C7"/>
    <w:rsid w:val="06650A79"/>
    <w:rsid w:val="08D60B25"/>
    <w:rsid w:val="0C92FF69"/>
    <w:rsid w:val="0EF0E507"/>
    <w:rsid w:val="135F23EA"/>
    <w:rsid w:val="151E3C50"/>
    <w:rsid w:val="165B8F0F"/>
    <w:rsid w:val="16988C52"/>
    <w:rsid w:val="17338490"/>
    <w:rsid w:val="18D48D27"/>
    <w:rsid w:val="18F8FAF0"/>
    <w:rsid w:val="1B24E281"/>
    <w:rsid w:val="1BCBE4A6"/>
    <w:rsid w:val="1EAFD4C9"/>
    <w:rsid w:val="1F18DC1D"/>
    <w:rsid w:val="208C81F6"/>
    <w:rsid w:val="20D2EEEE"/>
    <w:rsid w:val="2347B529"/>
    <w:rsid w:val="2495087E"/>
    <w:rsid w:val="27A5D9AB"/>
    <w:rsid w:val="295F8FDC"/>
    <w:rsid w:val="311B2613"/>
    <w:rsid w:val="322C32FF"/>
    <w:rsid w:val="362DC4AA"/>
    <w:rsid w:val="37A72804"/>
    <w:rsid w:val="39B44C19"/>
    <w:rsid w:val="39DAE874"/>
    <w:rsid w:val="3B0F7B7B"/>
    <w:rsid w:val="3B3A9323"/>
    <w:rsid w:val="3D1FB67D"/>
    <w:rsid w:val="42407F1D"/>
    <w:rsid w:val="434CA9B6"/>
    <w:rsid w:val="46990E02"/>
    <w:rsid w:val="4929DCC7"/>
    <w:rsid w:val="4938F3E9"/>
    <w:rsid w:val="51DB1BEC"/>
    <w:rsid w:val="5BAD5217"/>
    <w:rsid w:val="5D2AC999"/>
    <w:rsid w:val="6050FA33"/>
    <w:rsid w:val="63960A93"/>
    <w:rsid w:val="63FAB5CD"/>
    <w:rsid w:val="6793C220"/>
    <w:rsid w:val="6B633D0C"/>
    <w:rsid w:val="6D74BC41"/>
    <w:rsid w:val="6ED15E8A"/>
    <w:rsid w:val="74BE5C49"/>
    <w:rsid w:val="75F7B351"/>
    <w:rsid w:val="7845AEEE"/>
    <w:rsid w:val="79EBFACE"/>
    <w:rsid w:val="7BAE6560"/>
    <w:rsid w:val="7C40EFAA"/>
    <w:rsid w:val="7CAF754F"/>
    <w:rsid w:val="7F78E2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39B8686E-953D-49B3-900C-AAC60570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2">
    <w:name w:val="heading 2"/>
    <w:basedOn w:val="Normal"/>
    <w:next w:val="Normal"/>
    <w:link w:val="Heading2Char"/>
    <w:uiPriority w:val="9"/>
    <w:unhideWhenUsed/>
    <w:qFormat/>
    <w:rsid w:val="00223965"/>
    <w:pPr>
      <w:keepNext/>
      <w:keepLines/>
      <w:spacing w:before="160" w:after="80" w:line="259" w:lineRule="auto"/>
      <w:outlineLvl w:val="1"/>
    </w:pPr>
    <w:rPr>
      <w:rFonts w:ascii="Aptos Display" w:eastAsia="Times New Roman" w:hAnsi="Aptos Display"/>
      <w:color w:val="0F4761"/>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7497"/>
    <w:pPr>
      <w:autoSpaceDE w:val="0"/>
      <w:autoSpaceDN w:val="0"/>
      <w:adjustRightInd w:val="0"/>
    </w:pPr>
    <w:rPr>
      <w:rFonts w:ascii="Times New Roman" w:hAnsi="Times New Roman"/>
      <w:color w:val="000000"/>
      <w:sz w:val="24"/>
      <w:szCs w:val="24"/>
      <w:lang w:eastAsia="en-GB"/>
    </w:rPr>
  </w:style>
  <w:style w:type="paragraph" w:styleId="Header">
    <w:name w:val="header"/>
    <w:basedOn w:val="Normal"/>
    <w:link w:val="HeaderChar"/>
    <w:uiPriority w:val="99"/>
    <w:unhideWhenUsed/>
    <w:rsid w:val="009D4645"/>
    <w:pPr>
      <w:tabs>
        <w:tab w:val="center" w:pos="4680"/>
        <w:tab w:val="right" w:pos="9360"/>
      </w:tabs>
    </w:pPr>
  </w:style>
  <w:style w:type="character" w:customStyle="1" w:styleId="HeaderChar">
    <w:name w:val="Header Char"/>
    <w:link w:val="Header"/>
    <w:uiPriority w:val="99"/>
    <w:rsid w:val="009D4645"/>
    <w:rPr>
      <w:sz w:val="22"/>
      <w:szCs w:val="22"/>
      <w:lang w:val="en-GB" w:eastAsia="en-US"/>
    </w:rPr>
  </w:style>
  <w:style w:type="paragraph" w:styleId="Footer">
    <w:name w:val="footer"/>
    <w:basedOn w:val="Normal"/>
    <w:link w:val="FooterChar"/>
    <w:uiPriority w:val="99"/>
    <w:unhideWhenUsed/>
    <w:rsid w:val="009D4645"/>
    <w:pPr>
      <w:tabs>
        <w:tab w:val="center" w:pos="4680"/>
        <w:tab w:val="right" w:pos="9360"/>
      </w:tabs>
    </w:pPr>
  </w:style>
  <w:style w:type="character" w:customStyle="1" w:styleId="FooterChar">
    <w:name w:val="Footer Char"/>
    <w:link w:val="Footer"/>
    <w:uiPriority w:val="99"/>
    <w:rsid w:val="009D4645"/>
    <w:rPr>
      <w:sz w:val="22"/>
      <w:szCs w:val="22"/>
      <w:lang w:val="en-GB" w:eastAsia="en-US"/>
    </w:rPr>
  </w:style>
  <w:style w:type="paragraph" w:styleId="Revision">
    <w:name w:val="Revision"/>
    <w:hidden/>
    <w:uiPriority w:val="99"/>
    <w:semiHidden/>
    <w:rsid w:val="00BB3E80"/>
    <w:rPr>
      <w:sz w:val="22"/>
      <w:szCs w:val="22"/>
      <w:lang w:val="en-GB" w:eastAsia="en-US"/>
    </w:rPr>
  </w:style>
  <w:style w:type="character" w:customStyle="1" w:styleId="Heading2Char">
    <w:name w:val="Heading 2 Char"/>
    <w:basedOn w:val="DefaultParagraphFont"/>
    <w:link w:val="Heading2"/>
    <w:uiPriority w:val="9"/>
    <w:rsid w:val="00223965"/>
    <w:rPr>
      <w:rFonts w:ascii="Aptos Display" w:eastAsia="Times New Roman" w:hAnsi="Aptos Display"/>
      <w:color w:val="0F4761"/>
      <w:kern w:val="2"/>
      <w:sz w:val="32"/>
      <w:szCs w:val="32"/>
      <w:lang w:val="en-GB" w:eastAsia="en-US"/>
    </w:rPr>
  </w:style>
  <w:style w:type="paragraph" w:styleId="FootnoteText">
    <w:name w:val="footnote text"/>
    <w:basedOn w:val="Normal"/>
    <w:link w:val="FootnoteTextChar"/>
    <w:uiPriority w:val="99"/>
    <w:semiHidden/>
    <w:unhideWhenUsed/>
    <w:rsid w:val="00223965"/>
    <w:rPr>
      <w:sz w:val="20"/>
      <w:szCs w:val="20"/>
    </w:rPr>
  </w:style>
  <w:style w:type="character" w:customStyle="1" w:styleId="FootnoteTextChar">
    <w:name w:val="Footnote Text Char"/>
    <w:basedOn w:val="DefaultParagraphFont"/>
    <w:link w:val="FootnoteText"/>
    <w:uiPriority w:val="99"/>
    <w:semiHidden/>
    <w:rsid w:val="00223965"/>
    <w:rPr>
      <w:lang w:val="en-GB" w:eastAsia="en-US"/>
    </w:rPr>
  </w:style>
  <w:style w:type="character" w:styleId="FootnoteReference">
    <w:name w:val="footnote reference"/>
    <w:uiPriority w:val="99"/>
    <w:semiHidden/>
    <w:unhideWhenUsed/>
    <w:rsid w:val="00223965"/>
    <w:rPr>
      <w:vertAlign w:val="superscript"/>
    </w:rPr>
  </w:style>
  <w:style w:type="character" w:styleId="CommentReference">
    <w:name w:val="annotation reference"/>
    <w:uiPriority w:val="99"/>
    <w:semiHidden/>
    <w:unhideWhenUsed/>
    <w:rsid w:val="00223965"/>
    <w:rPr>
      <w:sz w:val="16"/>
      <w:szCs w:val="16"/>
    </w:rPr>
  </w:style>
  <w:style w:type="paragraph" w:styleId="CommentText">
    <w:name w:val="annotation text"/>
    <w:basedOn w:val="Normal"/>
    <w:link w:val="CommentTextChar"/>
    <w:uiPriority w:val="99"/>
    <w:unhideWhenUsed/>
    <w:rsid w:val="00AC21E0"/>
    <w:rPr>
      <w:sz w:val="20"/>
      <w:szCs w:val="20"/>
    </w:rPr>
  </w:style>
  <w:style w:type="character" w:customStyle="1" w:styleId="CommentTextChar">
    <w:name w:val="Comment Text Char"/>
    <w:basedOn w:val="DefaultParagraphFont"/>
    <w:link w:val="CommentText"/>
    <w:uiPriority w:val="99"/>
    <w:rsid w:val="00223965"/>
    <w:rPr>
      <w:lang w:val="en-GB" w:eastAsia="en-US"/>
    </w:rPr>
  </w:style>
  <w:style w:type="paragraph" w:styleId="CommentSubject">
    <w:name w:val="annotation subject"/>
    <w:basedOn w:val="CommentText"/>
    <w:next w:val="CommentText"/>
    <w:link w:val="CommentSubjectChar"/>
    <w:uiPriority w:val="99"/>
    <w:semiHidden/>
    <w:unhideWhenUsed/>
    <w:rsid w:val="00223965"/>
    <w:rPr>
      <w:b/>
      <w:bCs/>
    </w:rPr>
  </w:style>
  <w:style w:type="character" w:customStyle="1" w:styleId="CommentSubjectChar">
    <w:name w:val="Comment Subject Char"/>
    <w:basedOn w:val="CommentTextChar"/>
    <w:link w:val="CommentSubject"/>
    <w:uiPriority w:val="99"/>
    <w:semiHidden/>
    <w:rsid w:val="00223965"/>
    <w:rPr>
      <w:b/>
      <w:bCs/>
      <w:lang w:val="en-GB" w:eastAsia="en-US"/>
    </w:rPr>
  </w:style>
  <w:style w:type="character" w:styleId="Hyperlink">
    <w:name w:val="Hyperlink"/>
    <w:basedOn w:val="DefaultParagraphFont"/>
    <w:uiPriority w:val="99"/>
    <w:unhideWhenUsed/>
    <w:rsid w:val="008F3E91"/>
    <w:rPr>
      <w:color w:val="0563C1" w:themeColor="hyperlink"/>
      <w:u w:val="single"/>
    </w:rPr>
  </w:style>
  <w:style w:type="character" w:styleId="UnresolvedMention">
    <w:name w:val="Unresolved Mention"/>
    <w:basedOn w:val="DefaultParagraphFont"/>
    <w:uiPriority w:val="99"/>
    <w:semiHidden/>
    <w:unhideWhenUsed/>
    <w:rsid w:val="008F3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4467">
      <w:bodyDiv w:val="1"/>
      <w:marLeft w:val="0"/>
      <w:marRight w:val="0"/>
      <w:marTop w:val="0"/>
      <w:marBottom w:val="0"/>
      <w:divBdr>
        <w:top w:val="none" w:sz="0" w:space="0" w:color="auto"/>
        <w:left w:val="none" w:sz="0" w:space="0" w:color="auto"/>
        <w:bottom w:val="none" w:sz="0" w:space="0" w:color="auto"/>
        <w:right w:val="none" w:sz="0" w:space="0" w:color="auto"/>
      </w:divBdr>
    </w:div>
    <w:div w:id="356589365">
      <w:bodyDiv w:val="1"/>
      <w:marLeft w:val="0"/>
      <w:marRight w:val="0"/>
      <w:marTop w:val="0"/>
      <w:marBottom w:val="0"/>
      <w:divBdr>
        <w:top w:val="none" w:sz="0" w:space="0" w:color="auto"/>
        <w:left w:val="none" w:sz="0" w:space="0" w:color="auto"/>
        <w:bottom w:val="none" w:sz="0" w:space="0" w:color="auto"/>
        <w:right w:val="none" w:sz="0" w:space="0" w:color="auto"/>
      </w:divBdr>
    </w:div>
    <w:div w:id="952783344">
      <w:bodyDiv w:val="1"/>
      <w:marLeft w:val="0"/>
      <w:marRight w:val="0"/>
      <w:marTop w:val="0"/>
      <w:marBottom w:val="0"/>
      <w:divBdr>
        <w:top w:val="none" w:sz="0" w:space="0" w:color="auto"/>
        <w:left w:val="none" w:sz="0" w:space="0" w:color="auto"/>
        <w:bottom w:val="none" w:sz="0" w:space="0" w:color="auto"/>
        <w:right w:val="none" w:sz="0" w:space="0" w:color="auto"/>
      </w:divBdr>
    </w:div>
    <w:div w:id="1083113632">
      <w:bodyDiv w:val="1"/>
      <w:marLeft w:val="0"/>
      <w:marRight w:val="0"/>
      <w:marTop w:val="0"/>
      <w:marBottom w:val="0"/>
      <w:divBdr>
        <w:top w:val="none" w:sz="0" w:space="0" w:color="auto"/>
        <w:left w:val="none" w:sz="0" w:space="0" w:color="auto"/>
        <w:bottom w:val="none" w:sz="0" w:space="0" w:color="auto"/>
        <w:right w:val="none" w:sz="0" w:space="0" w:color="auto"/>
      </w:divBdr>
    </w:div>
    <w:div w:id="1090663870">
      <w:bodyDiv w:val="1"/>
      <w:marLeft w:val="0"/>
      <w:marRight w:val="0"/>
      <w:marTop w:val="0"/>
      <w:marBottom w:val="0"/>
      <w:divBdr>
        <w:top w:val="none" w:sz="0" w:space="0" w:color="auto"/>
        <w:left w:val="none" w:sz="0" w:space="0" w:color="auto"/>
        <w:bottom w:val="none" w:sz="0" w:space="0" w:color="auto"/>
        <w:right w:val="none" w:sz="0" w:space="0" w:color="auto"/>
      </w:divBdr>
    </w:div>
    <w:div w:id="1383210724">
      <w:bodyDiv w:val="1"/>
      <w:marLeft w:val="0"/>
      <w:marRight w:val="0"/>
      <w:marTop w:val="0"/>
      <w:marBottom w:val="0"/>
      <w:divBdr>
        <w:top w:val="none" w:sz="0" w:space="0" w:color="auto"/>
        <w:left w:val="none" w:sz="0" w:space="0" w:color="auto"/>
        <w:bottom w:val="none" w:sz="0" w:space="0" w:color="auto"/>
        <w:right w:val="none" w:sz="0" w:space="0" w:color="auto"/>
      </w:divBdr>
    </w:div>
    <w:div w:id="1402100463">
      <w:bodyDiv w:val="1"/>
      <w:marLeft w:val="0"/>
      <w:marRight w:val="0"/>
      <w:marTop w:val="0"/>
      <w:marBottom w:val="0"/>
      <w:divBdr>
        <w:top w:val="none" w:sz="0" w:space="0" w:color="auto"/>
        <w:left w:val="none" w:sz="0" w:space="0" w:color="auto"/>
        <w:bottom w:val="none" w:sz="0" w:space="0" w:color="auto"/>
        <w:right w:val="none" w:sz="0" w:space="0" w:color="auto"/>
      </w:divBdr>
    </w:div>
    <w:div w:id="202304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5DC0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99A588E0F14746BFAC081FD6A566B8" ma:contentTypeVersion="24" ma:contentTypeDescription="Create a new document." ma:contentTypeScope="" ma:versionID="45797bca835a01d1b0ded9ea95451c34">
  <xsd:schema xmlns:xsd="http://www.w3.org/2001/XMLSchema" xmlns:xs="http://www.w3.org/2001/XMLSchema" xmlns:p="http://schemas.microsoft.com/office/2006/metadata/properties" xmlns:ns1="http://schemas.microsoft.com/sharepoint/v3" xmlns:ns2="a280f3ed-f921-4226-9525-27fa6d577539" xmlns:ns3="278287c8-5be4-4613-8138-480f9be48247" xmlns:ns4="http://schemas.microsoft.com/sharepoint/v4" targetNamespace="http://schemas.microsoft.com/office/2006/metadata/properties" ma:root="true" ma:fieldsID="ae514d215b8372b616209097eb4e6517" ns1:_="" ns2:_="" ns3:_="" ns4:_="">
    <xsd:import namespace="http://schemas.microsoft.com/sharepoint/v3"/>
    <xsd:import namespace="a280f3ed-f921-4226-9525-27fa6d577539"/>
    <xsd:import namespace="278287c8-5be4-4613-8138-480f9be4824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Details" minOccurs="0"/>
                <xsd:element ref="ns3:SharedWithUsers" minOccurs="0"/>
                <xsd:element ref="ns2:lcf76f155ced4ddcb4097134ff3c332f" minOccurs="0"/>
                <xsd:element ref="ns3:TaxCatchAll" minOccurs="0"/>
                <xsd:element ref="ns2:MediaServiceObjectDetectorVersions" minOccurs="0"/>
                <xsd:element ref="ns2:MediaServiceSearchProperties" minOccurs="0"/>
                <xsd:element ref="ns3:EC_ARES_NUMBER" minOccurs="0"/>
                <xsd:element ref="ns3:EC_ARES_DATE_TRANSFERRED" minOccurs="0"/>
                <xsd:element ref="ns3:EC_ARES_TRANSFERRED_BY" minOccurs="0"/>
                <xsd:element ref="ns4:IconOverlay" minOccurs="0"/>
                <xsd:element ref="ns1:_vti_ItemDeclaredRecord" minOccurs="0"/>
                <xsd:element ref="ns1:_vti_ItemHoldRecord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80f3ed-f921-4226-9525-27fa6d577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287c8-5be4-4613-8138-480f9be48247"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1" nillable="true" ma:displayName="Taxonomy Catch All Column" ma:hidden="true" ma:list="{03ac72e2-97ce-4cc7-a917-47074297667e}" ma:internalName="TaxCatchAll" ma:showField="CatchAllData" ma:web="278287c8-5be4-4613-8138-480f9be48247">
      <xsd:complexType>
        <xsd:complexContent>
          <xsd:extension base="dms:MultiChoiceLookup">
            <xsd:sequence>
              <xsd:element name="Value" type="dms:Lookup" maxOccurs="unbounded" minOccurs="0" nillable="true"/>
            </xsd:sequence>
          </xsd:extension>
        </xsd:complexContent>
      </xsd:complexType>
    </xsd:element>
    <xsd:element name="EC_ARES_NUMBER" ma:index="24"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5" nillable="true" ma:displayName="Transferred to Ares" ma:format="DateTime" ma:hidden="true" ma:internalName="EC_ARES_DATE_TRANSFERRED">
      <xsd:simpleType>
        <xsd:restriction base="dms:DateTime"/>
      </xsd:simpleType>
    </xsd:element>
    <xsd:element name="EC_ARES_TRANSFERRED_BY" ma:index="26"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0342D2F5EDC8947AB1CB48BCF7FF082" ma:contentTypeVersion="4" ma:contentTypeDescription="Create a new document." ma:contentTypeScope="" ma:versionID="6449aa5520d744c5ad4a75c1b9d63579">
  <xsd:schema xmlns:xsd="http://www.w3.org/2001/XMLSchema" xmlns:xs="http://www.w3.org/2001/XMLSchema" xmlns:p="http://schemas.microsoft.com/office/2006/metadata/properties" xmlns:ns2="bf46ec6c-a286-4146-8ec5-63d0edea22e8" targetNamespace="http://schemas.microsoft.com/office/2006/metadata/properties" ma:root="true" ma:fieldsID="3e584dd469766762c832c54745aeea63" ns2:_="">
    <xsd:import namespace="bf46ec6c-a286-4146-8ec5-63d0edea22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6ec6c-a286-4146-8ec5-63d0edea2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21" ma:contentTypeDescription="Create a new document." ma:contentTypeScope="" ma:versionID="447f04ed54a6dffe25118b3a1362e2a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776e0a398020e014f5dfed867378383b"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personn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personne" ma:index="26"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9143cf-0ee4-465f-bb63-cb25db99c6eb}"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3F2D3-7EA4-4D76-8DE3-1FE757DEA6C5}">
  <ds:schemaRefs>
    <ds:schemaRef ds:uri="http://schemas.openxmlformats.org/officeDocument/2006/bibliography"/>
  </ds:schemaRefs>
</ds:datastoreItem>
</file>

<file path=customXml/itemProps2.xml><?xml version="1.0" encoding="utf-8"?>
<ds:datastoreItem xmlns:ds="http://schemas.openxmlformats.org/officeDocument/2006/customXml" ds:itemID="{76690C63-2A96-4CB6-A394-2B50AD111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80f3ed-f921-4226-9525-27fa6d577539"/>
    <ds:schemaRef ds:uri="278287c8-5be4-4613-8138-480f9be4824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25159-D1B7-44C1-8E3E-373022D185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B60D95-CC3B-44AE-9C4C-76684493936A}">
  <ds:schemaRefs>
    <ds:schemaRef ds:uri="http://schemas.microsoft.com/sharepoint/v3/contenttype/forms"/>
  </ds:schemaRefs>
</ds:datastoreItem>
</file>

<file path=customXml/itemProps5.xml><?xml version="1.0" encoding="utf-8"?>
<ds:datastoreItem xmlns:ds="http://schemas.openxmlformats.org/officeDocument/2006/customXml" ds:itemID="{37C95F30-2A11-4111-AAAE-B9BC4E3B4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6ec6c-a286-4146-8ec5-63d0edea2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20CD1F-401E-403E-8B7E-43901205F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1303</Words>
  <Characters>8341</Characters>
  <Application>Microsoft Office Word</Application>
  <DocSecurity>0</DocSecurity>
  <Lines>117</Lines>
  <Paragraphs>23</Paragraphs>
  <ScaleCrop>false</ScaleCrop>
  <Company>European Commission</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2013-02-27T18:02:00Z</cp:lastPrinted>
  <dcterms:created xsi:type="dcterms:W3CDTF">2026-03-31T07:34:00Z</dcterms:created>
  <dcterms:modified xsi:type="dcterms:W3CDTF">2026-03-31T07:34:00Z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0x01010060342D2F5EDC8947AB1CB48BCF7FF082</vt:lpwstr>
  </property>
  <property fmtid="{D5CDD505-2E9C-101B-9397-08002B2CF9AE}" pid="10" name="MediaServiceImageTags">
    <vt:lpwstr/>
  </property>
</Properties>
</file>