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3"/>
      </w:tblGrid>
      <w:tr w:rsidR="00574C9B" w:rsidRPr="002B4F9E" w14:paraId="61382A4B" w14:textId="77777777" w:rsidTr="008E4CC5">
        <w:trPr>
          <w:jc w:val="center"/>
        </w:trPr>
        <w:tc>
          <w:tcPr>
            <w:tcW w:w="5000" w:type="pct"/>
            <w:vAlign w:val="center"/>
          </w:tcPr>
          <w:p w14:paraId="18CBE5B6" w14:textId="77777777" w:rsidR="00574C9B" w:rsidRPr="002B4F9E" w:rsidRDefault="00574C9B" w:rsidP="006125A1">
            <w:pPr>
              <w:jc w:val="center"/>
              <w:rPr>
                <w:b/>
                <w:sz w:val="72"/>
                <w:szCs w:val="72"/>
              </w:rPr>
            </w:pPr>
            <w:r>
              <w:rPr>
                <w:b/>
                <w:sz w:val="72"/>
              </w:rPr>
              <w:t>AVIS</w:t>
            </w:r>
          </w:p>
        </w:tc>
      </w:tr>
      <w:tr w:rsidR="00574C9B" w:rsidRPr="002B4F9E" w14:paraId="28AE8EA8" w14:textId="77777777" w:rsidTr="008E4CC5">
        <w:trPr>
          <w:trHeight w:val="567"/>
          <w:jc w:val="center"/>
        </w:trPr>
        <w:tc>
          <w:tcPr>
            <w:tcW w:w="5000" w:type="pct"/>
            <w:vAlign w:val="center"/>
          </w:tcPr>
          <w:p w14:paraId="42BB5B68" w14:textId="77777777" w:rsidR="00574C9B" w:rsidRPr="002B4F9E" w:rsidRDefault="00574C9B" w:rsidP="006125A1">
            <w:pPr>
              <w:jc w:val="center"/>
              <w:rPr>
                <w:sz w:val="24"/>
                <w:szCs w:val="24"/>
              </w:rPr>
            </w:pPr>
            <w:r>
              <w:rPr>
                <w:sz w:val="24"/>
              </w:rPr>
              <w:t>Comité économique et social européen</w:t>
            </w:r>
          </w:p>
        </w:tc>
      </w:tr>
      <w:tr w:rsidR="00574C9B" w:rsidRPr="002B4F9E" w14:paraId="5CCEDF50" w14:textId="77777777" w:rsidTr="008E4CC5">
        <w:trPr>
          <w:jc w:val="center"/>
        </w:trPr>
        <w:tc>
          <w:tcPr>
            <w:tcW w:w="5000" w:type="pct"/>
            <w:vAlign w:val="center"/>
          </w:tcPr>
          <w:p w14:paraId="4BA38FC2" w14:textId="164A8826" w:rsidR="00574C9B" w:rsidRPr="00C073E1" w:rsidRDefault="00F82F1A" w:rsidP="006125A1">
            <w:pPr>
              <w:jc w:val="center"/>
              <w:rPr>
                <w:b/>
                <w:sz w:val="44"/>
                <w:szCs w:val="44"/>
              </w:rPr>
            </w:pPr>
            <w:r w:rsidRPr="00F82F1A">
              <w:rPr>
                <w:b/>
                <w:sz w:val="44"/>
              </w:rPr>
              <w:t>Agenda du consommateur</w:t>
            </w:r>
            <w:r w:rsidR="00732F15">
              <w:rPr>
                <w:b/>
                <w:sz w:val="44"/>
              </w:rPr>
              <w:t> </w:t>
            </w:r>
            <w:r w:rsidRPr="00F82F1A">
              <w:rPr>
                <w:b/>
                <w:sz w:val="44"/>
              </w:rPr>
              <w:t>2030</w:t>
            </w:r>
          </w:p>
        </w:tc>
      </w:tr>
      <w:tr w:rsidR="00574C9B" w:rsidRPr="002B4F9E" w14:paraId="218FB079" w14:textId="77777777" w:rsidTr="008E4CC5">
        <w:trPr>
          <w:jc w:val="center"/>
        </w:trPr>
        <w:tc>
          <w:tcPr>
            <w:tcW w:w="5000" w:type="pct"/>
            <w:vAlign w:val="center"/>
          </w:tcPr>
          <w:p w14:paraId="0759F81A" w14:textId="77777777" w:rsidR="00574C9B" w:rsidRPr="00667F09" w:rsidRDefault="00574C9B" w:rsidP="006125A1">
            <w:pPr>
              <w:overflowPunct w:val="0"/>
              <w:autoSpaceDE w:val="0"/>
              <w:autoSpaceDN w:val="0"/>
              <w:adjustRightInd w:val="0"/>
              <w:jc w:val="center"/>
              <w:textAlignment w:val="baseline"/>
              <w:rPr>
                <w:b/>
                <w:position w:val="24"/>
                <w:sz w:val="24"/>
                <w:szCs w:val="24"/>
              </w:rPr>
            </w:pPr>
            <w:r>
              <w:rPr>
                <w:sz w:val="24"/>
              </w:rPr>
              <w:t>_____________</w:t>
            </w:r>
          </w:p>
        </w:tc>
      </w:tr>
      <w:tr w:rsidR="00574C9B" w:rsidRPr="002B4F9E" w14:paraId="0EEE2EFF" w14:textId="77777777" w:rsidTr="008E4CC5">
        <w:trPr>
          <w:jc w:val="center"/>
        </w:trPr>
        <w:tc>
          <w:tcPr>
            <w:tcW w:w="5000" w:type="pct"/>
            <w:vAlign w:val="center"/>
          </w:tcPr>
          <w:p w14:paraId="0F818892" w14:textId="29D3BECA" w:rsidR="00F502AE" w:rsidRDefault="0078606E" w:rsidP="00914683">
            <w:pPr>
              <w:jc w:val="center"/>
              <w:rPr>
                <w:sz w:val="24"/>
              </w:rPr>
            </w:pPr>
            <w:r w:rsidRPr="0078606E">
              <w:rPr>
                <w:sz w:val="24"/>
              </w:rPr>
              <w:t>Communication de la Commission au Parlement européen, au Conseil, au Comité économique et social européen et au Comité des régions — Agenda du consommateur</w:t>
            </w:r>
            <w:r w:rsidR="00732F15">
              <w:rPr>
                <w:sz w:val="24"/>
              </w:rPr>
              <w:t> </w:t>
            </w:r>
            <w:r w:rsidRPr="0078606E">
              <w:rPr>
                <w:sz w:val="24"/>
              </w:rPr>
              <w:t>2030 et plan d’action relatif aux consommateurs dans le marché unique —</w:t>
            </w:r>
            <w:proofErr w:type="gramStart"/>
            <w:r w:rsidRPr="0078606E">
              <w:rPr>
                <w:sz w:val="24"/>
              </w:rPr>
              <w:t xml:space="preserve"> «Une</w:t>
            </w:r>
            <w:proofErr w:type="gramEnd"/>
            <w:r w:rsidRPr="0078606E">
              <w:rPr>
                <w:sz w:val="24"/>
              </w:rPr>
              <w:t xml:space="preserve"> impulsion nouvelle pour la protection des consommateurs, la compétitivité et la croissance </w:t>
            </w:r>
            <w:proofErr w:type="gramStart"/>
            <w:r w:rsidRPr="0078606E">
              <w:rPr>
                <w:sz w:val="24"/>
              </w:rPr>
              <w:t>durable»</w:t>
            </w:r>
            <w:proofErr w:type="gramEnd"/>
          </w:p>
          <w:p w14:paraId="5FEF182C" w14:textId="64268951" w:rsidR="00F502AE" w:rsidRPr="00DE059E" w:rsidRDefault="00F502AE" w:rsidP="00914683">
            <w:pPr>
              <w:jc w:val="center"/>
              <w:rPr>
                <w:b/>
                <w:bCs/>
              </w:rPr>
            </w:pPr>
          </w:p>
          <w:p w14:paraId="4BB236D4" w14:textId="4C6F1AE0" w:rsidR="00574C9B" w:rsidRPr="00787837" w:rsidRDefault="0078606E" w:rsidP="00914683">
            <w:pPr>
              <w:jc w:val="center"/>
              <w:rPr>
                <w:sz w:val="24"/>
                <w:szCs w:val="24"/>
              </w:rPr>
            </w:pPr>
            <w:r w:rsidRPr="00581419">
              <w:rPr>
                <w:lang w:val="fr-BE"/>
              </w:rPr>
              <w:t>[</w:t>
            </w:r>
            <w:proofErr w:type="gramStart"/>
            <w:r w:rsidRPr="00581419">
              <w:rPr>
                <w:lang w:val="fr-BE"/>
              </w:rPr>
              <w:t>COM(</w:t>
            </w:r>
            <w:proofErr w:type="gramEnd"/>
            <w:r w:rsidRPr="00581419">
              <w:rPr>
                <w:lang w:val="fr-BE"/>
              </w:rPr>
              <w:t>2025)</w:t>
            </w:r>
            <w:r>
              <w:rPr>
                <w:lang w:val="fr-BE"/>
              </w:rPr>
              <w:t> </w:t>
            </w:r>
            <w:r w:rsidRPr="00581419">
              <w:rPr>
                <w:lang w:val="fr-BE"/>
              </w:rPr>
              <w:t>848</w:t>
            </w:r>
            <w:r>
              <w:rPr>
                <w:lang w:val="fr-BE"/>
              </w:rPr>
              <w:t> </w:t>
            </w:r>
            <w:r w:rsidRPr="00581419">
              <w:rPr>
                <w:lang w:val="fr-BE"/>
              </w:rPr>
              <w:t>final]</w:t>
            </w:r>
          </w:p>
        </w:tc>
      </w:tr>
      <w:tr w:rsidR="00574C9B" w:rsidRPr="002B4F9E" w14:paraId="6F527E0C" w14:textId="77777777" w:rsidTr="008E4CC5">
        <w:trPr>
          <w:jc w:val="center"/>
        </w:trPr>
        <w:tc>
          <w:tcPr>
            <w:tcW w:w="5000" w:type="pct"/>
            <w:vAlign w:val="center"/>
          </w:tcPr>
          <w:p w14:paraId="628DA727" w14:textId="77777777" w:rsidR="00574C9B" w:rsidRPr="00C073E1" w:rsidRDefault="00574C9B" w:rsidP="006125A1">
            <w:pPr>
              <w:jc w:val="center"/>
              <w:rPr>
                <w:sz w:val="24"/>
                <w:szCs w:val="24"/>
                <w:lang w:val="en-GB"/>
              </w:rPr>
            </w:pPr>
          </w:p>
        </w:tc>
      </w:tr>
      <w:tr w:rsidR="00574C9B" w:rsidRPr="002B4F9E" w14:paraId="71F4774C" w14:textId="77777777" w:rsidTr="008E4CC5">
        <w:trPr>
          <w:jc w:val="center"/>
        </w:trPr>
        <w:tc>
          <w:tcPr>
            <w:tcW w:w="5000" w:type="pct"/>
            <w:vAlign w:val="center"/>
          </w:tcPr>
          <w:p w14:paraId="4ABA8E5E" w14:textId="266F6E98" w:rsidR="00574C9B" w:rsidRPr="00C073E1" w:rsidRDefault="0078606E" w:rsidP="006125A1">
            <w:pPr>
              <w:jc w:val="center"/>
              <w:rPr>
                <w:b/>
                <w:sz w:val="24"/>
                <w:szCs w:val="24"/>
              </w:rPr>
            </w:pPr>
            <w:r>
              <w:rPr>
                <w:b/>
                <w:sz w:val="24"/>
              </w:rPr>
              <w:t>INT/1107</w:t>
            </w:r>
          </w:p>
        </w:tc>
      </w:tr>
      <w:tr w:rsidR="00574C9B" w:rsidRPr="002B4F9E" w14:paraId="50977719" w14:textId="77777777" w:rsidTr="008E4CC5">
        <w:trPr>
          <w:jc w:val="center"/>
        </w:trPr>
        <w:tc>
          <w:tcPr>
            <w:tcW w:w="5000" w:type="pct"/>
            <w:vAlign w:val="center"/>
          </w:tcPr>
          <w:p w14:paraId="4A91A5EE" w14:textId="77777777" w:rsidR="00574C9B" w:rsidRPr="00C073E1" w:rsidRDefault="00574C9B" w:rsidP="006125A1">
            <w:pPr>
              <w:jc w:val="center"/>
              <w:rPr>
                <w:sz w:val="24"/>
                <w:szCs w:val="24"/>
                <w:lang w:val="en-GB"/>
              </w:rPr>
            </w:pPr>
          </w:p>
        </w:tc>
      </w:tr>
      <w:tr w:rsidR="00574C9B" w:rsidRPr="002B4F9E" w14:paraId="4A666CB5" w14:textId="77777777" w:rsidTr="008E4CC5">
        <w:trPr>
          <w:jc w:val="center"/>
        </w:trPr>
        <w:tc>
          <w:tcPr>
            <w:tcW w:w="5000" w:type="pct"/>
            <w:vAlign w:val="center"/>
          </w:tcPr>
          <w:p w14:paraId="5DC0D98A" w14:textId="3B4B08D3" w:rsidR="00574C9B" w:rsidRPr="00C073E1" w:rsidRDefault="00574C9B" w:rsidP="006125A1">
            <w:pPr>
              <w:jc w:val="center"/>
              <w:rPr>
                <w:sz w:val="24"/>
                <w:szCs w:val="24"/>
              </w:rPr>
            </w:pPr>
            <w:proofErr w:type="gramStart"/>
            <w:r>
              <w:rPr>
                <w:sz w:val="24"/>
              </w:rPr>
              <w:t>Rapporteur:</w:t>
            </w:r>
            <w:proofErr w:type="gramEnd"/>
            <w:r>
              <w:rPr>
                <w:sz w:val="24"/>
              </w:rPr>
              <w:t xml:space="preserve"> </w:t>
            </w:r>
            <w:r w:rsidR="0078606E" w:rsidRPr="00090789">
              <w:rPr>
                <w:b/>
                <w:lang w:val="fr-BE"/>
              </w:rPr>
              <w:t>Thierry</w:t>
            </w:r>
            <w:r w:rsidR="00732F15">
              <w:rPr>
                <w:b/>
                <w:lang w:val="fr-BE"/>
              </w:rPr>
              <w:t> </w:t>
            </w:r>
            <w:r w:rsidR="0078606E" w:rsidRPr="00090789">
              <w:rPr>
                <w:b/>
                <w:lang w:val="fr-BE"/>
              </w:rPr>
              <w:t>LIBAERT</w:t>
            </w:r>
          </w:p>
        </w:tc>
      </w:tr>
      <w:tr w:rsidR="00CB7CD0" w:rsidRPr="002B4F9E" w14:paraId="03613E6C" w14:textId="77777777" w:rsidTr="008E4CC5">
        <w:trPr>
          <w:jc w:val="center"/>
        </w:trPr>
        <w:tc>
          <w:tcPr>
            <w:tcW w:w="5000" w:type="pct"/>
            <w:vAlign w:val="center"/>
          </w:tcPr>
          <w:p w14:paraId="566532F8" w14:textId="6D30070F" w:rsidR="00CB7CD0" w:rsidRPr="00C073E1" w:rsidRDefault="00CB7CD0" w:rsidP="006125A1">
            <w:pPr>
              <w:jc w:val="center"/>
              <w:rPr>
                <w:sz w:val="24"/>
                <w:szCs w:val="24"/>
              </w:rPr>
            </w:pPr>
          </w:p>
        </w:tc>
      </w:tr>
    </w:tbl>
    <w:p w14:paraId="44A45F0B" w14:textId="77777777" w:rsidR="00574C9B" w:rsidRPr="002B4F9E" w:rsidRDefault="00574C9B" w:rsidP="00574C9B">
      <w:r>
        <w:rPr>
          <w:noProof/>
          <w:sz w:val="20"/>
          <w:lang w:val="en-US"/>
        </w:rPr>
        <mc:AlternateContent>
          <mc:Choice Requires="wps">
            <w:drawing>
              <wp:anchor distT="0" distB="0" distL="114300" distR="114300" simplePos="0" relativeHeight="251659264" behindDoc="1" locked="0" layoutInCell="0" allowOverlap="1" wp14:anchorId="074071D3" wp14:editId="4E5B5FCD">
                <wp:simplePos x="0" y="0"/>
                <wp:positionH relativeFrom="rightMargin">
                  <wp:posOffset>-201930</wp:posOffset>
                </wp:positionH>
                <wp:positionV relativeFrom="page">
                  <wp:posOffset>9486900</wp:posOffset>
                </wp:positionV>
                <wp:extent cx="741600" cy="432000"/>
                <wp:effectExtent l="0" t="0" r="0" b="635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43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298DA" w14:textId="77777777" w:rsidR="00574C9B" w:rsidRDefault="00574C9B" w:rsidP="00574C9B">
                            <w:pPr>
                              <w:jc w:val="center"/>
                            </w:pPr>
                            <w:r>
                              <w:rPr>
                                <w:rFonts w:ascii="Arial" w:hAnsi="Arial"/>
                                <w:b/>
                                <w:sz w:val="48"/>
                              </w:rPr>
                              <w:t>FR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4071D3" id="_x0000_t202" coordsize="21600,21600" o:spt="202" path="m,l,21600r21600,l21600,xe">
                <v:stroke joinstyle="miter"/>
                <v:path gradientshapeok="t" o:connecttype="rect"/>
              </v:shapetype>
              <v:shape id="Text Box 17" o:spid="_x0000_s1026" type="#_x0000_t202" style="position:absolute;left:0;text-align:left;margin-left:-15.9pt;margin-top:747pt;width:58.4pt;height:34pt;z-index:-2516572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" o:allowincell="f" filled="f" stroked="f">
                <v:textbox>
                  <w:txbxContent>
                    <w:p w14:paraId="544298DA" w14:textId="77777777" w:rsidR="00574C9B" w:rsidRDefault="00574C9B" w:rsidP="00574C9B">
                      <w:pPr>
                        <w:jc w:val="center"/>
                      </w:pPr>
                      <w:r>
                        <w:rPr>
                          <w:rFonts w:ascii="Arial" w:hAnsi="Arial"/>
                          <w:b/>
                          <w:sz w:val="48"/>
                        </w:rPr>
                        <w:t>FR</w:t>
                      </w:r>
                    </w:p>
                  </w:txbxContent>
                </v:textbox>
                <w10:wrap anchorx="margin" anchory="page"/>
              </v:shape>
            </w:pict>
          </mc:Fallback>
        </mc:AlternateContent>
      </w:r>
    </w:p>
    <w:p w14:paraId="70DF1078" w14:textId="77777777" w:rsidR="00574C9B" w:rsidRPr="002B4F9E" w:rsidRDefault="00574C9B" w:rsidP="00574C9B">
      <w:pPr>
        <w:rPr>
          <w:lang w:val="en-GB"/>
        </w:rPr>
      </w:pPr>
    </w:p>
    <w:p w14:paraId="3887C5E1" w14:textId="77777777" w:rsidR="00574C9B" w:rsidRPr="002B4F9E" w:rsidRDefault="00574C9B" w:rsidP="00574C9B">
      <w:pPr>
        <w:rPr>
          <w:lang w:val="en-GB"/>
        </w:rPr>
        <w:sectPr w:rsidR="00574C9B" w:rsidRPr="002B4F9E" w:rsidSect="00327EEB">
          <w:headerReference w:type="even" r:id="rId11"/>
          <w:headerReference w:type="default" r:id="rId12"/>
          <w:footerReference w:type="even" r:id="rId13"/>
          <w:footerReference w:type="default" r:id="rId14"/>
          <w:headerReference w:type="first" r:id="rId15"/>
          <w:footerReference w:type="first" r:id="rId16"/>
          <w:pgSz w:w="11907" w:h="16839" w:code="9"/>
          <w:pgMar w:top="5669" w:right="1417" w:bottom="1417" w:left="1417" w:header="709" w:footer="709" w:gutter="0"/>
          <w:cols w:space="720"/>
          <w:docGrid w:linePitch="360"/>
        </w:sectPr>
      </w:pPr>
    </w:p>
    <w:tbl>
      <w:tblPr>
        <w:tblpPr w:leftFromText="181" w:rightFromText="181" w:tblpYSpec="bottom"/>
        <w:tblOverlap w:val="never"/>
        <w:tblW w:w="9289" w:type="dxa"/>
        <w:tblLayout w:type="fixed"/>
        <w:tblLook w:val="04A0" w:firstRow="1" w:lastRow="0" w:firstColumn="1" w:lastColumn="0" w:noHBand="0" w:noVBand="1"/>
      </w:tblPr>
      <w:tblGrid>
        <w:gridCol w:w="3085"/>
        <w:gridCol w:w="6204"/>
      </w:tblGrid>
      <w:tr w:rsidR="00914683" w:rsidRPr="00AC5114" w14:paraId="0CA2D692" w14:textId="77777777" w:rsidTr="00E15BF4">
        <w:tc>
          <w:tcPr>
            <w:tcW w:w="3085" w:type="dxa"/>
          </w:tcPr>
          <w:p w14:paraId="4BBF0CFF" w14:textId="04A3CDDF" w:rsidR="00914683" w:rsidRDefault="00F502AE" w:rsidP="0058411F">
            <w:pPr>
              <w:autoSpaceDE w:val="0"/>
              <w:autoSpaceDN w:val="0"/>
              <w:jc w:val="left"/>
              <w:rPr>
                <w:szCs w:val="20"/>
              </w:rPr>
            </w:pPr>
            <w:r>
              <w:lastRenderedPageBreak/>
              <w:t>C</w:t>
            </w:r>
            <w:r w:rsidR="00914683">
              <w:t>onseillère</w:t>
            </w:r>
          </w:p>
        </w:tc>
        <w:tc>
          <w:tcPr>
            <w:tcW w:w="6204" w:type="dxa"/>
            <w:vAlign w:val="bottom"/>
          </w:tcPr>
          <w:p w14:paraId="7B627EAE" w14:textId="2BB9C0DE" w:rsidR="00914683" w:rsidRPr="002B4F9E" w:rsidRDefault="00DE5182" w:rsidP="0058411F">
            <w:pPr>
              <w:autoSpaceDE w:val="0"/>
              <w:autoSpaceDN w:val="0"/>
              <w:jc w:val="left"/>
            </w:pPr>
            <w:r w:rsidRPr="00090789">
              <w:rPr>
                <w:lang w:val="fr-BE"/>
              </w:rPr>
              <w:t>Guénaëlle</w:t>
            </w:r>
            <w:r w:rsidR="00732F15">
              <w:rPr>
                <w:lang w:val="fr-BE"/>
              </w:rPr>
              <w:t> </w:t>
            </w:r>
            <w:r w:rsidRPr="00090789">
              <w:rPr>
                <w:lang w:val="fr-BE"/>
              </w:rPr>
              <w:t>GAULT (pour le rapporteur)</w:t>
            </w:r>
          </w:p>
        </w:tc>
      </w:tr>
      <w:tr w:rsidR="00914683" w:rsidRPr="00AC5114" w14:paraId="6A86CCDB" w14:textId="77777777" w:rsidTr="00E15BF4">
        <w:tc>
          <w:tcPr>
            <w:tcW w:w="3085" w:type="dxa"/>
          </w:tcPr>
          <w:p w14:paraId="5E0E4E2B" w14:textId="77777777" w:rsidR="00914683" w:rsidRPr="00DE5182" w:rsidRDefault="00914683" w:rsidP="0058411F">
            <w:pPr>
              <w:autoSpaceDE w:val="0"/>
              <w:autoSpaceDN w:val="0"/>
              <w:jc w:val="left"/>
              <w:rPr>
                <w:szCs w:val="20"/>
                <w:lang w:val="fr-BE"/>
              </w:rPr>
            </w:pPr>
          </w:p>
        </w:tc>
        <w:tc>
          <w:tcPr>
            <w:tcW w:w="6204" w:type="dxa"/>
            <w:vAlign w:val="bottom"/>
          </w:tcPr>
          <w:p w14:paraId="65D9AB20" w14:textId="77777777" w:rsidR="00914683" w:rsidRPr="00DE5182" w:rsidRDefault="00914683" w:rsidP="0058411F">
            <w:pPr>
              <w:autoSpaceDE w:val="0"/>
              <w:autoSpaceDN w:val="0"/>
              <w:jc w:val="left"/>
              <w:rPr>
                <w:lang w:val="fr-BE"/>
              </w:rPr>
            </w:pPr>
          </w:p>
        </w:tc>
      </w:tr>
      <w:tr w:rsidR="00DE5182" w:rsidRPr="00AC5114" w14:paraId="30196007" w14:textId="77777777" w:rsidTr="003C2FD3">
        <w:tc>
          <w:tcPr>
            <w:tcW w:w="3085" w:type="dxa"/>
          </w:tcPr>
          <w:p w14:paraId="4EFAAB8E" w14:textId="77777777" w:rsidR="00DE5182" w:rsidRDefault="00DE5182" w:rsidP="00DE5182">
            <w:pPr>
              <w:autoSpaceDE w:val="0"/>
              <w:autoSpaceDN w:val="0"/>
              <w:jc w:val="left"/>
              <w:rPr>
                <w:szCs w:val="20"/>
              </w:rPr>
            </w:pPr>
            <w:r>
              <w:t>Consultation</w:t>
            </w:r>
          </w:p>
        </w:tc>
        <w:tc>
          <w:tcPr>
            <w:tcW w:w="6204" w:type="dxa"/>
          </w:tcPr>
          <w:p w14:paraId="019444A0" w14:textId="0C08CDFF" w:rsidR="00DE5182" w:rsidRPr="002B4F9E" w:rsidRDefault="00DE5182" w:rsidP="00DE5182">
            <w:pPr>
              <w:autoSpaceDE w:val="0"/>
              <w:autoSpaceDN w:val="0"/>
              <w:jc w:val="left"/>
            </w:pPr>
            <w:r>
              <w:rPr>
                <w:lang w:val="fr-BE"/>
              </w:rPr>
              <w:t>Commission européenne, 22</w:t>
            </w:r>
            <w:r w:rsidRPr="00090789">
              <w:rPr>
                <w:lang w:val="fr-BE"/>
              </w:rPr>
              <w:t>/</w:t>
            </w:r>
            <w:r>
              <w:rPr>
                <w:lang w:val="fr-BE"/>
              </w:rPr>
              <w:t>12</w:t>
            </w:r>
            <w:r w:rsidRPr="00090789">
              <w:rPr>
                <w:lang w:val="fr-BE"/>
              </w:rPr>
              <w:t>/</w:t>
            </w:r>
            <w:r>
              <w:rPr>
                <w:lang w:val="fr-BE"/>
              </w:rPr>
              <w:t>2025</w:t>
            </w:r>
          </w:p>
        </w:tc>
      </w:tr>
      <w:tr w:rsidR="00DE5182" w:rsidRPr="00AC5114" w14:paraId="01511B77" w14:textId="77777777" w:rsidTr="00E15BF4">
        <w:tc>
          <w:tcPr>
            <w:tcW w:w="3085" w:type="dxa"/>
          </w:tcPr>
          <w:p w14:paraId="5885C555" w14:textId="77777777" w:rsidR="00DE5182" w:rsidRPr="00AC5114" w:rsidRDefault="00DE5182" w:rsidP="00DE5182">
            <w:pPr>
              <w:autoSpaceDE w:val="0"/>
              <w:autoSpaceDN w:val="0"/>
              <w:jc w:val="left"/>
              <w:rPr>
                <w:szCs w:val="20"/>
              </w:rPr>
            </w:pPr>
            <w:r>
              <w:t>Base juridique</w:t>
            </w:r>
          </w:p>
        </w:tc>
        <w:tc>
          <w:tcPr>
            <w:tcW w:w="6204" w:type="dxa"/>
            <w:vAlign w:val="bottom"/>
          </w:tcPr>
          <w:p w14:paraId="1EF03C96" w14:textId="69675774" w:rsidR="00DE5182" w:rsidRPr="00AC5114" w:rsidRDefault="00DE5182" w:rsidP="00DE5182">
            <w:pPr>
              <w:autoSpaceDE w:val="0"/>
              <w:autoSpaceDN w:val="0"/>
              <w:jc w:val="left"/>
              <w:rPr>
                <w:szCs w:val="20"/>
              </w:rPr>
            </w:pPr>
            <w:r>
              <w:t>Article 304 du traité sur le fonctionnement de l’Union européenne</w:t>
            </w:r>
          </w:p>
        </w:tc>
      </w:tr>
      <w:tr w:rsidR="00DE5182" w:rsidRPr="00AC5114" w14:paraId="09B3F396" w14:textId="77777777" w:rsidTr="00E15BF4">
        <w:tc>
          <w:tcPr>
            <w:tcW w:w="3085" w:type="dxa"/>
          </w:tcPr>
          <w:p w14:paraId="1F9756F6" w14:textId="77777777" w:rsidR="00DE5182" w:rsidRPr="00AC5114" w:rsidRDefault="00DE5182" w:rsidP="00DE5182">
            <w:pPr>
              <w:autoSpaceDE w:val="0"/>
              <w:autoSpaceDN w:val="0"/>
              <w:jc w:val="left"/>
            </w:pPr>
            <w:r>
              <w:t>Compétence</w:t>
            </w:r>
          </w:p>
        </w:tc>
        <w:tc>
          <w:tcPr>
            <w:tcW w:w="6204" w:type="dxa"/>
            <w:vAlign w:val="bottom"/>
          </w:tcPr>
          <w:p w14:paraId="0BEFCDB9" w14:textId="56F87F0B" w:rsidR="00DE5182" w:rsidRPr="00AC5114" w:rsidRDefault="00DE5182" w:rsidP="00DE5182">
            <w:pPr>
              <w:autoSpaceDE w:val="0"/>
              <w:autoSpaceDN w:val="0"/>
              <w:jc w:val="left"/>
            </w:pPr>
            <w:r w:rsidRPr="00090789">
              <w:rPr>
                <w:lang w:val="fr-BE"/>
              </w:rPr>
              <w:t>Section</w:t>
            </w:r>
            <w:proofErr w:type="gramStart"/>
            <w:r w:rsidRPr="00090789">
              <w:rPr>
                <w:lang w:val="fr-BE"/>
              </w:rPr>
              <w:t xml:space="preserve"> «Marché</w:t>
            </w:r>
            <w:proofErr w:type="gramEnd"/>
            <w:r w:rsidRPr="00090789">
              <w:rPr>
                <w:lang w:val="fr-BE"/>
              </w:rPr>
              <w:t xml:space="preserve"> unique, production et </w:t>
            </w:r>
            <w:proofErr w:type="gramStart"/>
            <w:r w:rsidRPr="00090789">
              <w:rPr>
                <w:lang w:val="fr-BE"/>
              </w:rPr>
              <w:t>consommation»</w:t>
            </w:r>
            <w:proofErr w:type="gramEnd"/>
          </w:p>
        </w:tc>
      </w:tr>
      <w:tr w:rsidR="00DE5182" w:rsidRPr="00AC5114" w14:paraId="392A8DAB" w14:textId="77777777" w:rsidTr="00E15BF4">
        <w:tc>
          <w:tcPr>
            <w:tcW w:w="3085" w:type="dxa"/>
          </w:tcPr>
          <w:p w14:paraId="57947441" w14:textId="77777777" w:rsidR="00DE5182" w:rsidRPr="002B4F9E" w:rsidRDefault="00DE5182" w:rsidP="00DE5182">
            <w:pPr>
              <w:autoSpaceDE w:val="0"/>
              <w:autoSpaceDN w:val="0"/>
              <w:jc w:val="left"/>
            </w:pPr>
            <w:r>
              <w:t>Adoption en section</w:t>
            </w:r>
          </w:p>
        </w:tc>
        <w:tc>
          <w:tcPr>
            <w:tcW w:w="6204" w:type="dxa"/>
            <w:vAlign w:val="bottom"/>
          </w:tcPr>
          <w:p w14:paraId="753CD0FE" w14:textId="795BFE2E" w:rsidR="00DE5182" w:rsidRDefault="00DE5182" w:rsidP="00DE5182">
            <w:pPr>
              <w:autoSpaceDE w:val="0"/>
              <w:autoSpaceDN w:val="0"/>
              <w:jc w:val="left"/>
            </w:pPr>
            <w:r>
              <w:t>15/4/2026</w:t>
            </w:r>
          </w:p>
        </w:tc>
      </w:tr>
      <w:tr w:rsidR="00DE5182" w:rsidRPr="00AC5114" w14:paraId="021D0B18" w14:textId="77777777" w:rsidTr="00E15BF4">
        <w:tc>
          <w:tcPr>
            <w:tcW w:w="3085" w:type="dxa"/>
          </w:tcPr>
          <w:p w14:paraId="3089BA74" w14:textId="77777777" w:rsidR="00DE5182" w:rsidRPr="002B4F9E" w:rsidRDefault="00DE5182" w:rsidP="00DE5182">
            <w:pPr>
              <w:autoSpaceDE w:val="0"/>
              <w:autoSpaceDN w:val="0"/>
              <w:jc w:val="left"/>
            </w:pPr>
            <w:r>
              <w:t>Adoption en session plénière</w:t>
            </w:r>
          </w:p>
        </w:tc>
        <w:tc>
          <w:tcPr>
            <w:tcW w:w="6204" w:type="dxa"/>
            <w:vAlign w:val="bottom"/>
          </w:tcPr>
          <w:p w14:paraId="2EC2CC1C" w14:textId="7D92EA29" w:rsidR="00DE5182" w:rsidRDefault="00BB317A" w:rsidP="00DE5182">
            <w:pPr>
              <w:autoSpaceDE w:val="0"/>
              <w:autoSpaceDN w:val="0"/>
              <w:jc w:val="left"/>
            </w:pPr>
            <w:r>
              <w:t>29</w:t>
            </w:r>
            <w:r w:rsidR="00DE5182">
              <w:t>/</w:t>
            </w:r>
            <w:r>
              <w:t>4</w:t>
            </w:r>
            <w:r w:rsidR="00DE5182">
              <w:t>/</w:t>
            </w:r>
            <w:r>
              <w:t>2026</w:t>
            </w:r>
          </w:p>
        </w:tc>
      </w:tr>
      <w:tr w:rsidR="00DE5182" w:rsidRPr="00AC5114" w14:paraId="4D698465" w14:textId="77777777" w:rsidTr="00E15BF4">
        <w:tc>
          <w:tcPr>
            <w:tcW w:w="3085" w:type="dxa"/>
          </w:tcPr>
          <w:p w14:paraId="2F3F3EAF" w14:textId="77777777" w:rsidR="00DE5182" w:rsidRDefault="00DE5182" w:rsidP="00DE5182">
            <w:pPr>
              <w:autoSpaceDE w:val="0"/>
              <w:autoSpaceDN w:val="0"/>
              <w:jc w:val="left"/>
            </w:pPr>
            <w:r>
              <w:t>Session plénière nº</w:t>
            </w:r>
          </w:p>
        </w:tc>
        <w:tc>
          <w:tcPr>
            <w:tcW w:w="6204" w:type="dxa"/>
            <w:vAlign w:val="bottom"/>
          </w:tcPr>
          <w:p w14:paraId="28548470" w14:textId="082E206F" w:rsidR="00DE5182" w:rsidRPr="002B4F9E" w:rsidRDefault="00BB317A" w:rsidP="00DE5182">
            <w:pPr>
              <w:autoSpaceDE w:val="0"/>
              <w:autoSpaceDN w:val="0"/>
              <w:jc w:val="left"/>
            </w:pPr>
            <w:r>
              <w:t>605</w:t>
            </w:r>
          </w:p>
        </w:tc>
      </w:tr>
      <w:tr w:rsidR="00DE5182" w:rsidRPr="00AC5114" w14:paraId="1DF7D32B" w14:textId="77777777" w:rsidTr="00E15BF4">
        <w:tc>
          <w:tcPr>
            <w:tcW w:w="3085" w:type="dxa"/>
          </w:tcPr>
          <w:p w14:paraId="6408EA03" w14:textId="77777777" w:rsidR="00DE5182" w:rsidRPr="002B4F9E" w:rsidRDefault="00DE5182" w:rsidP="00DE5182">
            <w:pPr>
              <w:autoSpaceDE w:val="0"/>
              <w:autoSpaceDN w:val="0"/>
              <w:jc w:val="left"/>
            </w:pPr>
            <w:r>
              <w:t>Résultat du vote</w:t>
            </w:r>
            <w:r>
              <w:br/>
              <w:t>(pour/contre/abstentions)</w:t>
            </w:r>
          </w:p>
        </w:tc>
        <w:tc>
          <w:tcPr>
            <w:tcW w:w="6204" w:type="dxa"/>
            <w:vAlign w:val="bottom"/>
          </w:tcPr>
          <w:p w14:paraId="45064E54" w14:textId="2A3F78FA" w:rsidR="00DE5182" w:rsidRDefault="00F674A6" w:rsidP="00DE5182">
            <w:pPr>
              <w:autoSpaceDE w:val="0"/>
              <w:autoSpaceDN w:val="0"/>
              <w:jc w:val="left"/>
            </w:pPr>
            <w:r>
              <w:t>191</w:t>
            </w:r>
            <w:r w:rsidR="00DE5182">
              <w:t>/</w:t>
            </w:r>
            <w:r>
              <w:t>1</w:t>
            </w:r>
            <w:r w:rsidR="00DE5182">
              <w:t>/</w:t>
            </w:r>
            <w:r>
              <w:t>1</w:t>
            </w:r>
          </w:p>
        </w:tc>
      </w:tr>
    </w:tbl>
    <w:p w14:paraId="476CEC9E" w14:textId="77777777" w:rsidR="00AC5114" w:rsidRDefault="00AC5114" w:rsidP="00574C9B">
      <w:pPr>
        <w:rPr>
          <w:lang w:val="en-GB"/>
        </w:rPr>
      </w:pPr>
    </w:p>
    <w:p w14:paraId="38BE34A1" w14:textId="77777777" w:rsidR="00AC5114" w:rsidRPr="002B4F9E" w:rsidRDefault="00AC5114" w:rsidP="00574C9B">
      <w:pPr>
        <w:rPr>
          <w:lang w:val="en-GB"/>
        </w:rPr>
        <w:sectPr w:rsidR="00AC5114" w:rsidRPr="002B4F9E" w:rsidSect="00327EEB">
          <w:headerReference w:type="even" r:id="rId17"/>
          <w:headerReference w:type="default" r:id="rId18"/>
          <w:footerReference w:type="default" r:id="rId19"/>
          <w:headerReference w:type="first" r:id="rId20"/>
          <w:pgSz w:w="11907" w:h="16839" w:code="9"/>
          <w:pgMar w:top="5669" w:right="1418" w:bottom="1418" w:left="1418" w:header="709" w:footer="709" w:gutter="0"/>
          <w:cols w:space="720"/>
          <w:docGrid w:linePitch="360"/>
        </w:sectPr>
      </w:pPr>
    </w:p>
    <w:p w14:paraId="73F5C60C" w14:textId="77777777" w:rsidR="00E2376B" w:rsidRPr="0059130C" w:rsidRDefault="00E2376B" w:rsidP="00BD134D">
      <w:pPr>
        <w:pStyle w:val="Heading1"/>
        <w:keepNext/>
        <w:overflowPunct w:val="0"/>
        <w:autoSpaceDE w:val="0"/>
        <w:autoSpaceDN w:val="0"/>
        <w:adjustRightInd w:val="0"/>
        <w:textAlignment w:val="baseline"/>
        <w:rPr>
          <w:b/>
        </w:rPr>
      </w:pPr>
      <w:r>
        <w:rPr>
          <w:b/>
        </w:rPr>
        <w:lastRenderedPageBreak/>
        <w:t>Conclusions et recommandations</w:t>
      </w:r>
    </w:p>
    <w:p w14:paraId="36BBB817" w14:textId="77777777" w:rsidR="00E2376B" w:rsidRPr="0059130C" w:rsidRDefault="00E2376B" w:rsidP="00BD134D">
      <w:pPr>
        <w:keepNext/>
        <w:ind w:left="142" w:hanging="142"/>
        <w:jc w:val="left"/>
      </w:pPr>
    </w:p>
    <w:p w14:paraId="3B83D3C0" w14:textId="6010C96A" w:rsidR="00E01EE8" w:rsidRPr="00A746BB" w:rsidRDefault="00E01EE8" w:rsidP="00BD134D">
      <w:pPr>
        <w:pStyle w:val="Heading2"/>
        <w:keepNext/>
        <w:rPr>
          <w:lang w:val="fr-BE"/>
        </w:rPr>
      </w:pPr>
      <w:r w:rsidRPr="00A746BB">
        <w:rPr>
          <w:lang w:val="fr-BE"/>
        </w:rPr>
        <w:t xml:space="preserve">Le Comité économique et </w:t>
      </w:r>
      <w:r>
        <w:rPr>
          <w:lang w:val="fr-BE"/>
        </w:rPr>
        <w:t>s</w:t>
      </w:r>
      <w:r w:rsidRPr="00A746BB">
        <w:rPr>
          <w:lang w:val="fr-BE"/>
        </w:rPr>
        <w:t xml:space="preserve">ocial </w:t>
      </w:r>
      <w:r>
        <w:rPr>
          <w:lang w:val="fr-BE"/>
        </w:rPr>
        <w:t>e</w:t>
      </w:r>
      <w:r w:rsidRPr="00A746BB">
        <w:rPr>
          <w:lang w:val="fr-BE"/>
        </w:rPr>
        <w:t xml:space="preserve">uropéen </w:t>
      </w:r>
      <w:r>
        <w:rPr>
          <w:lang w:val="fr-BE"/>
        </w:rPr>
        <w:t xml:space="preserve">(CESE) </w:t>
      </w:r>
      <w:r w:rsidRPr="00A746BB">
        <w:rPr>
          <w:lang w:val="fr-BE"/>
        </w:rPr>
        <w:t>salue l’agenda du consommateur</w:t>
      </w:r>
      <w:r w:rsidR="00732F15">
        <w:rPr>
          <w:lang w:val="fr-BE"/>
        </w:rPr>
        <w:t> </w:t>
      </w:r>
      <w:r w:rsidRPr="00A746BB">
        <w:rPr>
          <w:lang w:val="fr-BE"/>
        </w:rPr>
        <w:t>2025-2030. Tant sur la forme que sur le contenu, il s’agit d’un excellent texte de cadrage en matière de protection des consommateurs pour les années à venir. Le CESE reconnaît que la Commission européenne a relevé son niveau d’</w:t>
      </w:r>
      <w:r>
        <w:rPr>
          <w:lang w:val="fr-BE"/>
        </w:rPr>
        <w:t>intérêt</w:t>
      </w:r>
      <w:r w:rsidRPr="00A746BB">
        <w:rPr>
          <w:lang w:val="fr-BE"/>
        </w:rPr>
        <w:t xml:space="preserve"> en la matière.</w:t>
      </w:r>
    </w:p>
    <w:p w14:paraId="4B5F5161" w14:textId="77777777" w:rsidR="00E01EE8" w:rsidRPr="00A746BB" w:rsidRDefault="00E01EE8" w:rsidP="00E01EE8">
      <w:pPr>
        <w:rPr>
          <w:lang w:val="fr-BE"/>
        </w:rPr>
      </w:pPr>
    </w:p>
    <w:p w14:paraId="22C1CDE8" w14:textId="77777777" w:rsidR="00E01EE8" w:rsidRDefault="00E01EE8" w:rsidP="00E01EE8">
      <w:pPr>
        <w:pStyle w:val="Heading2"/>
        <w:rPr>
          <w:lang w:val="fr-BE"/>
        </w:rPr>
      </w:pPr>
      <w:r w:rsidRPr="00A746BB">
        <w:rPr>
          <w:lang w:val="fr-BE"/>
        </w:rPr>
        <w:t xml:space="preserve">Le CESE souhaite que la Commission puisse proposer une vision plus globale du consommateur qui ne se réduise pas à une question de droits. </w:t>
      </w:r>
      <w:r>
        <w:rPr>
          <w:lang w:val="fr-BE"/>
        </w:rPr>
        <w:t>I</w:t>
      </w:r>
      <w:r w:rsidRPr="00A746BB">
        <w:rPr>
          <w:lang w:val="fr-BE"/>
        </w:rPr>
        <w:t>l serait souhaitable de pouvoir disposer d’une</w:t>
      </w:r>
      <w:proofErr w:type="gramStart"/>
      <w:r w:rsidRPr="00A746BB">
        <w:rPr>
          <w:lang w:val="fr-BE"/>
        </w:rPr>
        <w:t xml:space="preserve"> «politique</w:t>
      </w:r>
      <w:proofErr w:type="gramEnd"/>
      <w:r w:rsidRPr="00A746BB">
        <w:rPr>
          <w:lang w:val="fr-BE"/>
        </w:rPr>
        <w:t>» du consommateur précisant le rôle que l’Union européenne entend faire jouer au consommateur et à sa capacité d’agir à différents niveaux.</w:t>
      </w:r>
    </w:p>
    <w:p w14:paraId="000504B1" w14:textId="77777777" w:rsidR="00E01EE8" w:rsidRPr="00A746BB" w:rsidRDefault="00E01EE8" w:rsidP="00E01EE8">
      <w:pPr>
        <w:rPr>
          <w:lang w:val="fr-BE"/>
        </w:rPr>
      </w:pPr>
    </w:p>
    <w:p w14:paraId="5B91B1BF" w14:textId="77777777" w:rsidR="00E01EE8" w:rsidRPr="00A746BB" w:rsidRDefault="00E01EE8" w:rsidP="00E01EE8">
      <w:pPr>
        <w:pStyle w:val="Heading2"/>
        <w:rPr>
          <w:lang w:val="fr-BE"/>
        </w:rPr>
      </w:pPr>
      <w:r w:rsidRPr="00A746BB">
        <w:rPr>
          <w:lang w:val="fr-BE"/>
        </w:rPr>
        <w:t xml:space="preserve">Pour </w:t>
      </w:r>
      <w:r>
        <w:rPr>
          <w:lang w:val="fr-BE"/>
        </w:rPr>
        <w:t>procéder à</w:t>
      </w:r>
      <w:r w:rsidRPr="00A746BB">
        <w:rPr>
          <w:lang w:val="fr-BE"/>
        </w:rPr>
        <w:t xml:space="preserve"> une évaluation plus exhaustive </w:t>
      </w:r>
      <w:r>
        <w:rPr>
          <w:lang w:val="fr-BE"/>
        </w:rPr>
        <w:t>de</w:t>
      </w:r>
      <w:r w:rsidRPr="00A746BB">
        <w:rPr>
          <w:lang w:val="fr-BE"/>
        </w:rPr>
        <w:t xml:space="preserve"> l’agenda du consommateur, </w:t>
      </w:r>
      <w:r>
        <w:rPr>
          <w:lang w:val="fr-BE"/>
        </w:rPr>
        <w:t>l</w:t>
      </w:r>
      <w:r w:rsidRPr="00A746BB">
        <w:rPr>
          <w:lang w:val="fr-BE"/>
        </w:rPr>
        <w:t>e CESE apprécierait de pouvoir disposer d’un bilan structuré, détaillé et chiffré de l’agenda précédent.</w:t>
      </w:r>
    </w:p>
    <w:p w14:paraId="7F5CD61C" w14:textId="77777777" w:rsidR="00E01EE8" w:rsidRPr="00A746BB" w:rsidRDefault="00E01EE8" w:rsidP="00E01EE8">
      <w:pPr>
        <w:rPr>
          <w:lang w:val="fr-BE"/>
        </w:rPr>
      </w:pPr>
    </w:p>
    <w:p w14:paraId="278EE330" w14:textId="77777777" w:rsidR="00E01EE8" w:rsidRPr="00A746BB" w:rsidRDefault="00E01EE8" w:rsidP="00E01EE8">
      <w:pPr>
        <w:pStyle w:val="Heading2"/>
        <w:rPr>
          <w:lang w:val="fr-BE"/>
        </w:rPr>
      </w:pPr>
      <w:r w:rsidRPr="00A746BB">
        <w:rPr>
          <w:lang w:val="fr-BE"/>
        </w:rPr>
        <w:t xml:space="preserve">Si le CESE est favorable aux mesures de simplification, il insiste sur le fait qu’aucune </w:t>
      </w:r>
      <w:r>
        <w:rPr>
          <w:lang w:val="fr-BE"/>
        </w:rPr>
        <w:t>de celles-ci</w:t>
      </w:r>
      <w:r w:rsidRPr="00A746BB">
        <w:rPr>
          <w:lang w:val="fr-BE"/>
        </w:rPr>
        <w:t xml:space="preserve"> ne pourra avoir pour effet de réduire la protection du consommateur.</w:t>
      </w:r>
    </w:p>
    <w:p w14:paraId="2FAE7B62" w14:textId="77777777" w:rsidR="00E01EE8" w:rsidRPr="00A746BB" w:rsidRDefault="00E01EE8" w:rsidP="00E01EE8">
      <w:pPr>
        <w:rPr>
          <w:lang w:val="fr-BE"/>
        </w:rPr>
      </w:pPr>
    </w:p>
    <w:p w14:paraId="53C03B5D" w14:textId="77777777" w:rsidR="00E01EE8" w:rsidRPr="00A746BB" w:rsidRDefault="00E01EE8" w:rsidP="00E01EE8">
      <w:pPr>
        <w:pStyle w:val="Heading2"/>
        <w:rPr>
          <w:lang w:val="fr-BE"/>
        </w:rPr>
      </w:pPr>
      <w:r w:rsidRPr="00A746BB">
        <w:rPr>
          <w:lang w:val="fr-BE"/>
        </w:rPr>
        <w:t xml:space="preserve">La protection du consommateur doit nécessairement prendre en compte la diversité des situations, notamment </w:t>
      </w:r>
      <w:r>
        <w:rPr>
          <w:lang w:val="fr-BE"/>
        </w:rPr>
        <w:t xml:space="preserve">en ce qui concerne les </w:t>
      </w:r>
      <w:r w:rsidRPr="00A746BB">
        <w:rPr>
          <w:lang w:val="fr-BE"/>
        </w:rPr>
        <w:t xml:space="preserve">déserts commerciaux et </w:t>
      </w:r>
      <w:r>
        <w:rPr>
          <w:lang w:val="fr-BE"/>
        </w:rPr>
        <w:t>la</w:t>
      </w:r>
      <w:r w:rsidRPr="00A746BB">
        <w:rPr>
          <w:lang w:val="fr-BE"/>
        </w:rPr>
        <w:t xml:space="preserve"> vulnérabilité de certains types de consommateurs.</w:t>
      </w:r>
    </w:p>
    <w:p w14:paraId="10B233AF" w14:textId="77777777" w:rsidR="00E01EE8" w:rsidRPr="00A746BB" w:rsidRDefault="00E01EE8" w:rsidP="00E01EE8">
      <w:pPr>
        <w:rPr>
          <w:lang w:val="fr-BE"/>
        </w:rPr>
      </w:pPr>
    </w:p>
    <w:p w14:paraId="1F756C56" w14:textId="77777777" w:rsidR="00E01EE8" w:rsidRDefault="00E01EE8" w:rsidP="00E01EE8">
      <w:pPr>
        <w:pStyle w:val="Heading2"/>
        <w:rPr>
          <w:lang w:val="fr-BE"/>
        </w:rPr>
      </w:pPr>
      <w:r w:rsidRPr="00A746BB">
        <w:rPr>
          <w:lang w:val="fr-BE"/>
        </w:rPr>
        <w:t xml:space="preserve">Le CESE souhaite un approfondissement en </w:t>
      </w:r>
      <w:r>
        <w:rPr>
          <w:lang w:val="fr-BE"/>
        </w:rPr>
        <w:t>matière</w:t>
      </w:r>
      <w:r w:rsidRPr="00A746BB">
        <w:rPr>
          <w:lang w:val="fr-BE"/>
        </w:rPr>
        <w:t xml:space="preserve"> de rapidité et d’intensité </w:t>
      </w:r>
      <w:r>
        <w:rPr>
          <w:lang w:val="fr-BE"/>
        </w:rPr>
        <w:t>pour le contrôle de</w:t>
      </w:r>
      <w:r w:rsidRPr="00A746BB">
        <w:rPr>
          <w:lang w:val="fr-BE"/>
        </w:rPr>
        <w:t xml:space="preserve"> </w:t>
      </w:r>
      <w:r>
        <w:rPr>
          <w:lang w:val="fr-BE"/>
        </w:rPr>
        <w:t xml:space="preserve">la </w:t>
      </w:r>
      <w:r w:rsidRPr="00A746BB">
        <w:rPr>
          <w:lang w:val="fr-BE"/>
        </w:rPr>
        <w:t>dangerosité des produits importés</w:t>
      </w:r>
      <w:r>
        <w:rPr>
          <w:lang w:val="fr-BE"/>
        </w:rPr>
        <w:t>,</w:t>
      </w:r>
      <w:r w:rsidRPr="00A746BB">
        <w:rPr>
          <w:lang w:val="fr-BE"/>
        </w:rPr>
        <w:t xml:space="preserve"> notamment </w:t>
      </w:r>
      <w:r>
        <w:rPr>
          <w:lang w:val="fr-BE"/>
        </w:rPr>
        <w:t>par l’intermédiaire d</w:t>
      </w:r>
      <w:r w:rsidRPr="00A746BB">
        <w:rPr>
          <w:lang w:val="fr-BE"/>
        </w:rPr>
        <w:t>es plateformes de commerce</w:t>
      </w:r>
      <w:r>
        <w:rPr>
          <w:lang w:val="fr-BE"/>
        </w:rPr>
        <w:t xml:space="preserve"> en ligne situées en dehors de l’Union européenne. Il </w:t>
      </w:r>
      <w:r w:rsidRPr="00A746BB">
        <w:rPr>
          <w:lang w:val="fr-BE"/>
        </w:rPr>
        <w:t xml:space="preserve">en </w:t>
      </w:r>
      <w:r>
        <w:rPr>
          <w:lang w:val="fr-BE"/>
        </w:rPr>
        <w:t>va</w:t>
      </w:r>
      <w:r w:rsidRPr="00A746BB">
        <w:rPr>
          <w:lang w:val="fr-BE"/>
        </w:rPr>
        <w:t xml:space="preserve"> de même </w:t>
      </w:r>
      <w:r>
        <w:rPr>
          <w:lang w:val="fr-BE"/>
        </w:rPr>
        <w:t>pour</w:t>
      </w:r>
      <w:r w:rsidRPr="00A746BB">
        <w:rPr>
          <w:lang w:val="fr-BE"/>
        </w:rPr>
        <w:t xml:space="preserve"> la lutte contre la contrefaçon. Il préconise également une attention plus soutenue envers les pratiques de </w:t>
      </w:r>
      <w:proofErr w:type="spellStart"/>
      <w:r w:rsidRPr="00A746BB">
        <w:rPr>
          <w:lang w:val="fr-BE"/>
        </w:rPr>
        <w:t>microjustice</w:t>
      </w:r>
      <w:proofErr w:type="spellEnd"/>
      <w:r w:rsidRPr="00A746BB">
        <w:rPr>
          <w:lang w:val="fr-BE"/>
        </w:rPr>
        <w:t xml:space="preserve"> afin de régler les litiges portant sur de petites sommes.</w:t>
      </w:r>
    </w:p>
    <w:p w14:paraId="76C9D5B6" w14:textId="77777777" w:rsidR="00E01EE8" w:rsidRPr="008553EA" w:rsidRDefault="00E01EE8" w:rsidP="00E01EE8">
      <w:pPr>
        <w:rPr>
          <w:lang w:val="fr-BE"/>
        </w:rPr>
      </w:pPr>
    </w:p>
    <w:p w14:paraId="3818A958" w14:textId="77777777" w:rsidR="00E01EE8" w:rsidRPr="00A746BB" w:rsidRDefault="00E01EE8" w:rsidP="00E01EE8">
      <w:pPr>
        <w:pStyle w:val="Heading2"/>
        <w:rPr>
          <w:lang w:val="fr-BE"/>
        </w:rPr>
      </w:pPr>
      <w:r>
        <w:rPr>
          <w:lang w:val="fr-BE"/>
        </w:rPr>
        <w:t>Le CESE souligne l’importance de la future révision du règlement relatif à la coopération en matière de protection des consommateurs (CPC) afin de renforcer l’application de la législation, et de garantir des conditions de concurrence équitables qui protègent les professionnels respectueux de la législation et les consommateurs contre les acteurs du marché qui ne respectent pas ces règles.</w:t>
      </w:r>
    </w:p>
    <w:p w14:paraId="2525631F" w14:textId="77777777" w:rsidR="00E01EE8" w:rsidRPr="00A746BB" w:rsidRDefault="00E01EE8" w:rsidP="00E01EE8">
      <w:pPr>
        <w:rPr>
          <w:lang w:val="fr-BE"/>
        </w:rPr>
      </w:pPr>
    </w:p>
    <w:p w14:paraId="2658610C" w14:textId="77777777" w:rsidR="00E01EE8" w:rsidRPr="00A746BB" w:rsidRDefault="00E01EE8" w:rsidP="00E01EE8">
      <w:pPr>
        <w:pStyle w:val="Heading2"/>
        <w:rPr>
          <w:lang w:val="fr-BE"/>
        </w:rPr>
      </w:pPr>
      <w:r w:rsidRPr="00A746BB">
        <w:rPr>
          <w:lang w:val="fr-BE"/>
        </w:rPr>
        <w:t>Le CESE soutient les mesures de numérisation</w:t>
      </w:r>
      <w:r>
        <w:rPr>
          <w:lang w:val="fr-BE"/>
        </w:rPr>
        <w:t>, tout en</w:t>
      </w:r>
      <w:r w:rsidRPr="00A746BB">
        <w:rPr>
          <w:lang w:val="fr-BE"/>
        </w:rPr>
        <w:t xml:space="preserve"> met</w:t>
      </w:r>
      <w:r>
        <w:rPr>
          <w:lang w:val="fr-BE"/>
        </w:rPr>
        <w:t xml:space="preserve">tant </w:t>
      </w:r>
      <w:r w:rsidRPr="00A746BB">
        <w:rPr>
          <w:lang w:val="fr-BE"/>
        </w:rPr>
        <w:t xml:space="preserve">toutefois en garde </w:t>
      </w:r>
      <w:r>
        <w:rPr>
          <w:lang w:val="fr-BE"/>
        </w:rPr>
        <w:t>contre</w:t>
      </w:r>
      <w:r w:rsidRPr="00A746BB">
        <w:rPr>
          <w:lang w:val="fr-BE"/>
        </w:rPr>
        <w:t xml:space="preserve"> </w:t>
      </w:r>
      <w:r>
        <w:rPr>
          <w:lang w:val="fr-BE"/>
        </w:rPr>
        <w:t>les</w:t>
      </w:r>
      <w:r w:rsidRPr="00A746BB">
        <w:rPr>
          <w:lang w:val="fr-BE"/>
        </w:rPr>
        <w:t xml:space="preserve"> risques de la multiplication des cyberattaques et ce</w:t>
      </w:r>
      <w:r>
        <w:rPr>
          <w:lang w:val="fr-BE"/>
        </w:rPr>
        <w:t xml:space="preserve">ux </w:t>
      </w:r>
      <w:r w:rsidRPr="00A746BB">
        <w:rPr>
          <w:lang w:val="fr-BE"/>
        </w:rPr>
        <w:t>de la déshumanisation des relations.</w:t>
      </w:r>
      <w:r>
        <w:rPr>
          <w:lang w:val="fr-BE"/>
        </w:rPr>
        <w:t xml:space="preserve"> I</w:t>
      </w:r>
      <w:r w:rsidRPr="00A746BB">
        <w:rPr>
          <w:lang w:val="fr-BE"/>
        </w:rPr>
        <w:t>l demande que</w:t>
      </w:r>
      <w:r>
        <w:rPr>
          <w:lang w:val="fr-BE"/>
        </w:rPr>
        <w:t>,</w:t>
      </w:r>
      <w:r w:rsidRPr="00A746BB">
        <w:rPr>
          <w:lang w:val="fr-BE"/>
        </w:rPr>
        <w:t xml:space="preserve"> pour toute réclamation, le consommateur puisse toujours disposer </w:t>
      </w:r>
      <w:r>
        <w:rPr>
          <w:lang w:val="fr-BE"/>
        </w:rPr>
        <w:t>en dernier recours</w:t>
      </w:r>
      <w:r w:rsidRPr="00A746BB">
        <w:rPr>
          <w:lang w:val="fr-BE"/>
        </w:rPr>
        <w:t xml:space="preserve"> d’un interlocuteur humain pour répondre à ses interrogations.</w:t>
      </w:r>
    </w:p>
    <w:p w14:paraId="278FD976" w14:textId="77777777" w:rsidR="00E01EE8" w:rsidRPr="00A746BB" w:rsidRDefault="00E01EE8" w:rsidP="00E01EE8">
      <w:pPr>
        <w:rPr>
          <w:lang w:val="fr-BE"/>
        </w:rPr>
      </w:pPr>
    </w:p>
    <w:p w14:paraId="54963E03" w14:textId="77777777" w:rsidR="00E01EE8" w:rsidRDefault="00E01EE8" w:rsidP="00E01EE8">
      <w:pPr>
        <w:pStyle w:val="Heading2"/>
        <w:rPr>
          <w:lang w:val="fr-BE"/>
        </w:rPr>
      </w:pPr>
      <w:r w:rsidRPr="00A746BB">
        <w:rPr>
          <w:lang w:val="fr-BE"/>
        </w:rPr>
        <w:t>Le CESE met en garde contre le risque de surtransposition de certaines directives</w:t>
      </w:r>
      <w:r>
        <w:rPr>
          <w:lang w:val="fr-BE"/>
        </w:rPr>
        <w:t>, sachant que</w:t>
      </w:r>
      <w:r w:rsidRPr="00A746BB">
        <w:rPr>
          <w:lang w:val="fr-BE"/>
        </w:rPr>
        <w:t xml:space="preserve"> </w:t>
      </w:r>
      <w:r>
        <w:rPr>
          <w:lang w:val="fr-BE"/>
        </w:rPr>
        <w:t>c</w:t>
      </w:r>
      <w:r w:rsidRPr="00A746BB">
        <w:rPr>
          <w:lang w:val="fr-BE"/>
        </w:rPr>
        <w:t xml:space="preserve">elle-ci contribue à la fragmentation des marchés, </w:t>
      </w:r>
      <w:r>
        <w:rPr>
          <w:lang w:val="fr-BE"/>
        </w:rPr>
        <w:t>prive</w:t>
      </w:r>
      <w:r w:rsidRPr="00A746BB">
        <w:rPr>
          <w:lang w:val="fr-BE"/>
        </w:rPr>
        <w:t xml:space="preserve"> les consommateurs </w:t>
      </w:r>
      <w:r>
        <w:rPr>
          <w:lang w:val="fr-BE"/>
        </w:rPr>
        <w:t xml:space="preserve">de la possibilité </w:t>
      </w:r>
      <w:r w:rsidRPr="00A746BB">
        <w:rPr>
          <w:lang w:val="fr-BE"/>
        </w:rPr>
        <w:t>d’accéder à certains services transfrontaliers et dissuade l’offre de certains produits et services.</w:t>
      </w:r>
    </w:p>
    <w:p w14:paraId="22D5D122" w14:textId="77777777" w:rsidR="00E01EE8" w:rsidRDefault="00E01EE8" w:rsidP="00E01EE8">
      <w:pPr>
        <w:rPr>
          <w:lang w:val="fr-BE"/>
        </w:rPr>
      </w:pPr>
    </w:p>
    <w:p w14:paraId="7FC4C93C" w14:textId="77777777" w:rsidR="00E01EE8" w:rsidRPr="0079598B" w:rsidRDefault="00E01EE8" w:rsidP="00E01EE8">
      <w:pPr>
        <w:pStyle w:val="Heading2"/>
        <w:rPr>
          <w:lang w:val="fr-BE"/>
        </w:rPr>
      </w:pPr>
      <w:r>
        <w:rPr>
          <w:lang w:val="fr-BE"/>
        </w:rPr>
        <w:t>Le CESE demande à la Commission de relever son niveau d’intérêt en matière de circularité et de durabilité des produits. La partie</w:t>
      </w:r>
      <w:proofErr w:type="gramStart"/>
      <w:r>
        <w:rPr>
          <w:lang w:val="fr-BE"/>
        </w:rPr>
        <w:t xml:space="preserve"> «consommation</w:t>
      </w:r>
      <w:proofErr w:type="gramEnd"/>
      <w:r>
        <w:rPr>
          <w:lang w:val="fr-BE"/>
        </w:rPr>
        <w:t xml:space="preserve"> </w:t>
      </w:r>
      <w:proofErr w:type="gramStart"/>
      <w:r>
        <w:rPr>
          <w:lang w:val="fr-BE"/>
        </w:rPr>
        <w:t>durable»</w:t>
      </w:r>
      <w:proofErr w:type="gramEnd"/>
      <w:r>
        <w:rPr>
          <w:lang w:val="fr-BE"/>
        </w:rPr>
        <w:t xml:space="preserve"> de cet agenda marque une forte réduction des objectifs alors même que les enjeux de la transition écologique n’ont jamais été aussi importants.</w:t>
      </w:r>
    </w:p>
    <w:p w14:paraId="3B68F25E" w14:textId="77777777" w:rsidR="00E01EE8" w:rsidRPr="00A746BB" w:rsidRDefault="00E01EE8" w:rsidP="00E01EE8">
      <w:pPr>
        <w:rPr>
          <w:lang w:val="fr-BE"/>
        </w:rPr>
      </w:pPr>
    </w:p>
    <w:p w14:paraId="4426C575" w14:textId="77777777" w:rsidR="00E01EE8" w:rsidRPr="00BC5E9F" w:rsidRDefault="00E01EE8" w:rsidP="00E01EE8">
      <w:pPr>
        <w:pStyle w:val="Heading2"/>
        <w:rPr>
          <w:lang w:val="fr-BE"/>
        </w:rPr>
      </w:pPr>
      <w:r w:rsidRPr="00BC5E9F">
        <w:rPr>
          <w:lang w:val="fr-BE"/>
        </w:rPr>
        <w:t>Le CESE recommande de mettre en place une politique forte de protection des consommateurs contre les messages commerciaux émanant d’influenceurs,</w:t>
      </w:r>
      <w:r>
        <w:rPr>
          <w:lang w:val="fr-BE"/>
        </w:rPr>
        <w:t xml:space="preserve"> notamment lorsqu’ils sont adressés à des enfants</w:t>
      </w:r>
      <w:r w:rsidRPr="00BC5E9F">
        <w:rPr>
          <w:lang w:val="fr-BE"/>
        </w:rPr>
        <w:t>. Ces messages n’indiquent souvent pas les liens financiers de l’influenceur et portent souvent sur des pratiques contestées ou dangereuses (par exemple</w:t>
      </w:r>
      <w:r>
        <w:rPr>
          <w:lang w:val="fr-BE"/>
        </w:rPr>
        <w:t>,</w:t>
      </w:r>
      <w:r w:rsidRPr="00BC5E9F">
        <w:rPr>
          <w:lang w:val="fr-BE"/>
        </w:rPr>
        <w:t xml:space="preserve"> les cryptomonnaies ou la chirurgie esthétique).</w:t>
      </w:r>
    </w:p>
    <w:p w14:paraId="1E71F405" w14:textId="77777777" w:rsidR="00E01EE8" w:rsidRDefault="00E01EE8" w:rsidP="00E01EE8">
      <w:pPr>
        <w:rPr>
          <w:lang w:val="fr-BE"/>
        </w:rPr>
      </w:pPr>
    </w:p>
    <w:p w14:paraId="14AB277B" w14:textId="77777777" w:rsidR="00E01EE8" w:rsidRDefault="00E01EE8" w:rsidP="00E01EE8">
      <w:pPr>
        <w:pStyle w:val="Heading2"/>
        <w:rPr>
          <w:lang w:val="fr-BE"/>
        </w:rPr>
      </w:pPr>
      <w:r w:rsidRPr="00922AF4">
        <w:rPr>
          <w:lang w:val="fr-BE"/>
        </w:rPr>
        <w:t>Le CESE souhaite que la Commission renforce son processus de consultation en l’ouvrant à toutes les politiques de consommation pertinentes et en élargissant davantage son groupe consultatif européen des consommateurs.</w:t>
      </w:r>
    </w:p>
    <w:p w14:paraId="05164DFD" w14:textId="77777777" w:rsidR="00E01EE8" w:rsidRDefault="00E01EE8" w:rsidP="00E01EE8">
      <w:pPr>
        <w:rPr>
          <w:lang w:val="fr-BE"/>
        </w:rPr>
      </w:pPr>
    </w:p>
    <w:p w14:paraId="43BA8E25" w14:textId="77777777" w:rsidR="00E01EE8" w:rsidRPr="0060023D" w:rsidRDefault="00E01EE8" w:rsidP="00E01EE8">
      <w:pPr>
        <w:pStyle w:val="Heading2"/>
        <w:rPr>
          <w:lang w:val="fr-BE"/>
        </w:rPr>
      </w:pPr>
      <w:r>
        <w:rPr>
          <w:lang w:val="fr-BE"/>
        </w:rPr>
        <w:t>Le CESE encourage les États membres à soutenir les associations de consommateurs, notamment au moyen d’amendes perçues sur des pratiques illégales, afin de renforcer leur capacité d’action, particulièrement au travers de la pratique des tests comparatifs.</w:t>
      </w:r>
    </w:p>
    <w:p w14:paraId="66EBF3DC" w14:textId="77777777" w:rsidR="00E01EE8" w:rsidRPr="00457B20" w:rsidRDefault="00E01EE8" w:rsidP="00E01EE8">
      <w:pPr>
        <w:pStyle w:val="Heading2"/>
        <w:numPr>
          <w:ilvl w:val="0"/>
          <w:numId w:val="0"/>
        </w:numPr>
        <w:rPr>
          <w:lang w:val="fr-BE"/>
        </w:rPr>
      </w:pPr>
    </w:p>
    <w:p w14:paraId="04F737A3" w14:textId="77777777" w:rsidR="00E01EE8" w:rsidRPr="00090789" w:rsidRDefault="00E01EE8" w:rsidP="00732F15">
      <w:pPr>
        <w:pStyle w:val="Heading1"/>
        <w:keepNext/>
        <w:keepLines/>
        <w:rPr>
          <w:b/>
          <w:bCs/>
          <w:lang w:val="fr-BE"/>
        </w:rPr>
      </w:pPr>
      <w:r w:rsidRPr="00090789">
        <w:rPr>
          <w:b/>
          <w:lang w:val="fr-BE"/>
        </w:rPr>
        <w:t>Contexte de l’avis</w:t>
      </w:r>
    </w:p>
    <w:p w14:paraId="1B1E0D3B" w14:textId="77777777" w:rsidR="00E01EE8" w:rsidRPr="00090789" w:rsidRDefault="00E01EE8" w:rsidP="00732F15">
      <w:pPr>
        <w:keepNext/>
        <w:keepLines/>
        <w:rPr>
          <w:lang w:val="fr-BE"/>
        </w:rPr>
      </w:pPr>
    </w:p>
    <w:p w14:paraId="6AEE5FEE" w14:textId="77777777" w:rsidR="00E01EE8" w:rsidRPr="008D6078" w:rsidRDefault="00E01EE8" w:rsidP="00BD134D">
      <w:pPr>
        <w:pStyle w:val="Heading2"/>
        <w:keepNext/>
        <w:rPr>
          <w:lang w:val="fr-BE"/>
        </w:rPr>
      </w:pPr>
      <w:r w:rsidRPr="00090789">
        <w:rPr>
          <w:lang w:val="fr-BE"/>
        </w:rPr>
        <w:t>Le 19</w:t>
      </w:r>
      <w:r>
        <w:rPr>
          <w:lang w:val="fr-BE"/>
        </w:rPr>
        <w:t> </w:t>
      </w:r>
      <w:r w:rsidRPr="00090789">
        <w:rPr>
          <w:lang w:val="fr-BE"/>
        </w:rPr>
        <w:t xml:space="preserve">novembre 2025, </w:t>
      </w:r>
      <w:r>
        <w:rPr>
          <w:lang w:val="fr-BE"/>
        </w:rPr>
        <w:t>l</w:t>
      </w:r>
      <w:r w:rsidRPr="00090789">
        <w:rPr>
          <w:lang w:val="fr-BE"/>
        </w:rPr>
        <w:t>a Commission européenne a adopté l’agenda du consommateur pour la période</w:t>
      </w:r>
      <w:r>
        <w:rPr>
          <w:lang w:val="fr-BE"/>
        </w:rPr>
        <w:t> </w:t>
      </w:r>
      <w:r w:rsidRPr="00090789">
        <w:rPr>
          <w:lang w:val="fr-BE"/>
        </w:rPr>
        <w:t xml:space="preserve">2025-2030. Ce document fixe le cadre stratégique en matière de politique pour les consommateurs pour les </w:t>
      </w:r>
      <w:r>
        <w:rPr>
          <w:lang w:val="fr-BE"/>
        </w:rPr>
        <w:t>prochaines</w:t>
      </w:r>
      <w:r w:rsidRPr="00090789">
        <w:rPr>
          <w:lang w:val="fr-BE"/>
        </w:rPr>
        <w:t xml:space="preserve"> années. Il souscrit au constat que les dépenses de consommation représentent la part la plus importante de l’activité économique européenne et que, </w:t>
      </w:r>
      <w:r w:rsidRPr="008D6078">
        <w:rPr>
          <w:lang w:val="fr-BE"/>
        </w:rPr>
        <w:t>comme l’indiquait le rapport Letta, la protection des consommateurs bénéficie autant aux consommateurs qu’aux entreprises.</w:t>
      </w:r>
    </w:p>
    <w:p w14:paraId="55E322F3" w14:textId="77777777" w:rsidR="00E01EE8" w:rsidRPr="008D6078" w:rsidRDefault="00E01EE8" w:rsidP="00E01EE8">
      <w:pPr>
        <w:rPr>
          <w:lang w:val="fr-BE"/>
        </w:rPr>
      </w:pPr>
    </w:p>
    <w:p w14:paraId="05C096ED" w14:textId="77777777" w:rsidR="00E01EE8" w:rsidRPr="008D6078" w:rsidRDefault="00E01EE8" w:rsidP="00BD134D">
      <w:pPr>
        <w:pStyle w:val="Heading2"/>
        <w:keepNext/>
        <w:rPr>
          <w:lang w:val="fr-BE"/>
        </w:rPr>
      </w:pPr>
      <w:r w:rsidRPr="00A66C7F">
        <w:t xml:space="preserve">Afin de renforcer la protection des consommateurs, la Commission structure son action autour de cinq orientations </w:t>
      </w:r>
      <w:proofErr w:type="gramStart"/>
      <w:r w:rsidRPr="00A66C7F">
        <w:t>principales</w:t>
      </w:r>
      <w:r w:rsidRPr="008D6078">
        <w:rPr>
          <w:lang w:val="fr-BE"/>
        </w:rPr>
        <w:t>:</w:t>
      </w:r>
      <w:proofErr w:type="gramEnd"/>
    </w:p>
    <w:p w14:paraId="486AC2FC" w14:textId="77777777" w:rsidR="00E01EE8" w:rsidRPr="008D6078" w:rsidRDefault="00E01EE8" w:rsidP="00BD134D">
      <w:pPr>
        <w:pStyle w:val="Heading2"/>
        <w:keepNext/>
        <w:numPr>
          <w:ilvl w:val="0"/>
          <w:numId w:val="0"/>
        </w:numPr>
        <w:rPr>
          <w:lang w:val="fr-BE"/>
        </w:rPr>
      </w:pPr>
    </w:p>
    <w:p w14:paraId="42C722ED" w14:textId="77777777" w:rsidR="00E01EE8" w:rsidRPr="008D6078" w:rsidRDefault="00E01EE8" w:rsidP="00BD134D">
      <w:pPr>
        <w:pStyle w:val="Heading3"/>
        <w:keepNext/>
        <w:rPr>
          <w:lang w:val="fr-BE"/>
        </w:rPr>
      </w:pPr>
      <w:r w:rsidRPr="008D6078">
        <w:rPr>
          <w:lang w:val="fr-BE"/>
        </w:rPr>
        <w:t>Créer un plan d’action pour le consommateur au sein du marché unique</w:t>
      </w:r>
    </w:p>
    <w:p w14:paraId="6C93AEB8" w14:textId="77777777" w:rsidR="00E01EE8" w:rsidRPr="008D6078" w:rsidRDefault="00E01EE8" w:rsidP="00BD134D">
      <w:pPr>
        <w:keepNext/>
        <w:rPr>
          <w:lang w:val="fr-BE"/>
        </w:rPr>
      </w:pPr>
    </w:p>
    <w:p w14:paraId="78A2B3C3" w14:textId="77777777" w:rsidR="00E01EE8" w:rsidRPr="008D6078" w:rsidRDefault="00E01EE8" w:rsidP="00BD134D">
      <w:pPr>
        <w:keepNext/>
        <w:ind w:left="567"/>
      </w:pPr>
      <w:r w:rsidRPr="008D6078">
        <w:t xml:space="preserve">Ce plan vise à compléter la stratégie pour le marché unique en tenant compte des enjeux spécifiques affectant les consommateurs. Il prévoit </w:t>
      </w:r>
      <w:proofErr w:type="gramStart"/>
      <w:r w:rsidRPr="008D6078">
        <w:t>notamment:</w:t>
      </w:r>
      <w:proofErr w:type="gramEnd"/>
    </w:p>
    <w:p w14:paraId="14D747D6" w14:textId="77777777" w:rsidR="00E01EE8" w:rsidRPr="008D6078" w:rsidRDefault="00E01EE8" w:rsidP="00BD134D">
      <w:pPr>
        <w:keepNext/>
      </w:pPr>
    </w:p>
    <w:p w14:paraId="21EBAA4C" w14:textId="77777777" w:rsidR="00E01EE8" w:rsidRPr="008F6073" w:rsidRDefault="00E01EE8" w:rsidP="00BD134D">
      <w:pPr>
        <w:keepNext/>
        <w:numPr>
          <w:ilvl w:val="0"/>
          <w:numId w:val="3"/>
        </w:numPr>
      </w:pPr>
      <w:proofErr w:type="gramStart"/>
      <w:r w:rsidRPr="008F6073">
        <w:t>une</w:t>
      </w:r>
      <w:proofErr w:type="gramEnd"/>
      <w:r w:rsidRPr="008F6073">
        <w:t xml:space="preserve"> évaluation du règlement sur le blocage géographique afin d’améliorer l’accès transfrontière aux biens et </w:t>
      </w:r>
      <w:proofErr w:type="gramStart"/>
      <w:r w:rsidRPr="008F6073">
        <w:t>services;</w:t>
      </w:r>
      <w:proofErr w:type="gramEnd"/>
    </w:p>
    <w:p w14:paraId="68F0D902" w14:textId="77777777" w:rsidR="00E01EE8" w:rsidRPr="008F6073" w:rsidRDefault="00E01EE8" w:rsidP="00E01EE8">
      <w:pPr>
        <w:numPr>
          <w:ilvl w:val="0"/>
          <w:numId w:val="3"/>
        </w:numPr>
      </w:pPr>
      <w:proofErr w:type="gramStart"/>
      <w:r w:rsidRPr="008F6073">
        <w:t>le</w:t>
      </w:r>
      <w:proofErr w:type="gramEnd"/>
      <w:r w:rsidRPr="008F6073">
        <w:t xml:space="preserve"> développement des services financiers transfrontaliers et la facilitation de l’investissement de détail sur les marchés des </w:t>
      </w:r>
      <w:proofErr w:type="gramStart"/>
      <w:r w:rsidRPr="008F6073">
        <w:t>capitaux;</w:t>
      </w:r>
      <w:proofErr w:type="gramEnd"/>
    </w:p>
    <w:p w14:paraId="7AC212CA" w14:textId="77777777" w:rsidR="00E01EE8" w:rsidRPr="008F6073" w:rsidRDefault="00E01EE8" w:rsidP="00E01EE8">
      <w:pPr>
        <w:numPr>
          <w:ilvl w:val="0"/>
          <w:numId w:val="3"/>
        </w:numPr>
      </w:pPr>
      <w:proofErr w:type="gramStart"/>
      <w:r w:rsidRPr="008F6073">
        <w:t>le</w:t>
      </w:r>
      <w:proofErr w:type="gramEnd"/>
      <w:r w:rsidRPr="008F6073">
        <w:t xml:space="preserve"> déploiement des portefeuilles européens d’identité numérique comme outil sûr et fiable.</w:t>
      </w:r>
    </w:p>
    <w:p w14:paraId="0257D343" w14:textId="77777777" w:rsidR="00E01EE8" w:rsidRPr="00090789" w:rsidRDefault="00E01EE8" w:rsidP="00E01EE8">
      <w:pPr>
        <w:pStyle w:val="Heading2"/>
        <w:numPr>
          <w:ilvl w:val="0"/>
          <w:numId w:val="0"/>
        </w:numPr>
        <w:rPr>
          <w:lang w:val="fr-BE"/>
        </w:rPr>
      </w:pPr>
    </w:p>
    <w:p w14:paraId="7E5058D3" w14:textId="77777777" w:rsidR="00E01EE8" w:rsidRPr="00090789" w:rsidRDefault="00E01EE8" w:rsidP="00E01EE8">
      <w:pPr>
        <w:pStyle w:val="Heading3"/>
        <w:keepNext/>
        <w:rPr>
          <w:lang w:val="fr-BE"/>
        </w:rPr>
      </w:pPr>
      <w:r w:rsidRPr="00090789">
        <w:rPr>
          <w:lang w:val="fr-BE"/>
        </w:rPr>
        <w:t>Renforcer la protection des consommateurs en ligne</w:t>
      </w:r>
    </w:p>
    <w:p w14:paraId="6B6C8C4A" w14:textId="77777777" w:rsidR="00E01EE8" w:rsidRPr="00090789" w:rsidRDefault="00E01EE8" w:rsidP="00E01EE8">
      <w:pPr>
        <w:keepNext/>
        <w:rPr>
          <w:lang w:val="fr-BE"/>
        </w:rPr>
      </w:pPr>
    </w:p>
    <w:p w14:paraId="3E4EEA8B" w14:textId="77777777" w:rsidR="00E01EE8" w:rsidRDefault="00E01EE8" w:rsidP="00E01EE8">
      <w:pPr>
        <w:keepNext/>
        <w:ind w:left="567"/>
      </w:pPr>
      <w:r w:rsidRPr="008F6073">
        <w:t xml:space="preserve">La Commission souhaite adapter la législation européenne aux évolutions rapides du commerce numérique. Trois actions principales sont </w:t>
      </w:r>
      <w:proofErr w:type="gramStart"/>
      <w:r w:rsidRPr="008F6073">
        <w:t>annoncées:</w:t>
      </w:r>
      <w:proofErr w:type="gramEnd"/>
    </w:p>
    <w:p w14:paraId="7488B37B" w14:textId="77777777" w:rsidR="00E01EE8" w:rsidRPr="008F6073" w:rsidRDefault="00E01EE8" w:rsidP="00E01EE8">
      <w:pPr>
        <w:keepNext/>
      </w:pPr>
    </w:p>
    <w:p w14:paraId="3B5A5F7C" w14:textId="77777777" w:rsidR="00E01EE8" w:rsidRPr="008F6073" w:rsidRDefault="00E01EE8" w:rsidP="00E01EE8">
      <w:pPr>
        <w:keepNext/>
        <w:numPr>
          <w:ilvl w:val="0"/>
          <w:numId w:val="4"/>
        </w:numPr>
      </w:pPr>
      <w:proofErr w:type="gramStart"/>
      <w:r>
        <w:t>un</w:t>
      </w:r>
      <w:proofErr w:type="gramEnd"/>
      <w:r>
        <w:t xml:space="preserve"> acte législatif</w:t>
      </w:r>
      <w:r w:rsidRPr="008F6073">
        <w:t xml:space="preserve"> sur l’équité numérique visant à lutter contre les pratiques commerciales déloyales, notamment à l’égard des </w:t>
      </w:r>
      <w:proofErr w:type="gramStart"/>
      <w:r w:rsidRPr="008F6073">
        <w:t>mineurs;</w:t>
      </w:r>
      <w:proofErr w:type="gramEnd"/>
    </w:p>
    <w:p w14:paraId="150DDDCF" w14:textId="77777777" w:rsidR="00E01EE8" w:rsidRPr="008F6073" w:rsidRDefault="00E01EE8" w:rsidP="00E01EE8">
      <w:pPr>
        <w:keepNext/>
        <w:numPr>
          <w:ilvl w:val="0"/>
          <w:numId w:val="4"/>
        </w:numPr>
      </w:pPr>
      <w:proofErr w:type="gramStart"/>
      <w:r w:rsidRPr="008F6073">
        <w:t>un</w:t>
      </w:r>
      <w:proofErr w:type="gramEnd"/>
      <w:r w:rsidRPr="008F6073">
        <w:t xml:space="preserve"> renforcement de la protection contre la fraude numérique et une meilleure assistance aux </w:t>
      </w:r>
      <w:proofErr w:type="gramStart"/>
      <w:r w:rsidRPr="008F6073">
        <w:t>victimes;</w:t>
      </w:r>
      <w:proofErr w:type="gramEnd"/>
    </w:p>
    <w:p w14:paraId="500305CC" w14:textId="77777777" w:rsidR="00E01EE8" w:rsidRPr="008F6073" w:rsidRDefault="00E01EE8" w:rsidP="00E01EE8">
      <w:pPr>
        <w:keepNext/>
        <w:numPr>
          <w:ilvl w:val="0"/>
          <w:numId w:val="4"/>
        </w:numPr>
      </w:pPr>
      <w:proofErr w:type="gramStart"/>
      <w:r w:rsidRPr="008F6073">
        <w:t>la</w:t>
      </w:r>
      <w:proofErr w:type="gramEnd"/>
      <w:r w:rsidRPr="008F6073">
        <w:t xml:space="preserve"> promotion d’une utilisation équitable et transparente de l’intelligence artificielle dans les marchés de consommation.</w:t>
      </w:r>
    </w:p>
    <w:p w14:paraId="1F023469" w14:textId="77777777" w:rsidR="00E01EE8" w:rsidRPr="00090789" w:rsidRDefault="00E01EE8" w:rsidP="00E01EE8">
      <w:pPr>
        <w:pStyle w:val="Heading2"/>
        <w:numPr>
          <w:ilvl w:val="0"/>
          <w:numId w:val="0"/>
        </w:numPr>
        <w:rPr>
          <w:lang w:val="fr-BE"/>
        </w:rPr>
      </w:pPr>
    </w:p>
    <w:p w14:paraId="32A156B2" w14:textId="77777777" w:rsidR="00E01EE8" w:rsidRPr="00090789" w:rsidRDefault="00E01EE8" w:rsidP="00BD134D">
      <w:pPr>
        <w:pStyle w:val="Heading3"/>
        <w:keepNext/>
        <w:rPr>
          <w:lang w:val="fr-BE"/>
        </w:rPr>
      </w:pPr>
      <w:r w:rsidRPr="00090789">
        <w:rPr>
          <w:lang w:val="fr-BE"/>
        </w:rPr>
        <w:t>Soutenir la dynamique pour une consommation durable</w:t>
      </w:r>
    </w:p>
    <w:p w14:paraId="7287A721" w14:textId="77777777" w:rsidR="00E01EE8" w:rsidRPr="00090789" w:rsidRDefault="00E01EE8" w:rsidP="00BD134D">
      <w:pPr>
        <w:keepNext/>
        <w:rPr>
          <w:lang w:val="fr-BE"/>
        </w:rPr>
      </w:pPr>
    </w:p>
    <w:p w14:paraId="59238D3B" w14:textId="77777777" w:rsidR="00E01EE8" w:rsidRDefault="00E01EE8" w:rsidP="00BD134D">
      <w:pPr>
        <w:keepNext/>
        <w:ind w:left="567"/>
      </w:pPr>
      <w:r w:rsidRPr="008F6073">
        <w:t xml:space="preserve">La Commission constate l’intérêt croissant des consommateurs pour l’impact environnemental de leurs achats, tout en soulignant les obstacles qui subsistent. Elle </w:t>
      </w:r>
      <w:proofErr w:type="gramStart"/>
      <w:r w:rsidRPr="008F6073">
        <w:t>entend:</w:t>
      </w:r>
      <w:proofErr w:type="gramEnd"/>
    </w:p>
    <w:p w14:paraId="43EDEE2B" w14:textId="77777777" w:rsidR="00E01EE8" w:rsidRPr="008F6073" w:rsidRDefault="00E01EE8" w:rsidP="00BD134D">
      <w:pPr>
        <w:keepNext/>
      </w:pPr>
    </w:p>
    <w:p w14:paraId="19D6CA61" w14:textId="77777777" w:rsidR="00E01EE8" w:rsidRPr="008F6073" w:rsidRDefault="00E01EE8" w:rsidP="00BD134D">
      <w:pPr>
        <w:keepNext/>
        <w:numPr>
          <w:ilvl w:val="0"/>
          <w:numId w:val="5"/>
        </w:numPr>
      </w:pPr>
      <w:proofErr w:type="gramStart"/>
      <w:r w:rsidRPr="008F6073">
        <w:t>accompagner</w:t>
      </w:r>
      <w:proofErr w:type="gramEnd"/>
      <w:r w:rsidRPr="008F6073">
        <w:t xml:space="preserve"> les États membres dans la mise en œuvre des directives relatives à la consommation </w:t>
      </w:r>
      <w:proofErr w:type="gramStart"/>
      <w:r w:rsidRPr="008F6073">
        <w:t>durable;</w:t>
      </w:r>
      <w:proofErr w:type="gramEnd"/>
    </w:p>
    <w:p w14:paraId="601EAE26" w14:textId="77777777" w:rsidR="00E01EE8" w:rsidRPr="008F6073" w:rsidRDefault="00E01EE8" w:rsidP="00E01EE8">
      <w:pPr>
        <w:numPr>
          <w:ilvl w:val="0"/>
          <w:numId w:val="5"/>
        </w:numPr>
      </w:pPr>
      <w:proofErr w:type="gramStart"/>
      <w:r w:rsidRPr="008F6073">
        <w:t>promouvoir</w:t>
      </w:r>
      <w:proofErr w:type="gramEnd"/>
      <w:r w:rsidRPr="008F6073">
        <w:t xml:space="preserve"> une information harmonisée sur la garantie légale et la durabilité des </w:t>
      </w:r>
      <w:proofErr w:type="gramStart"/>
      <w:r w:rsidRPr="008F6073">
        <w:t>produits;</w:t>
      </w:r>
      <w:proofErr w:type="gramEnd"/>
    </w:p>
    <w:p w14:paraId="140BC984" w14:textId="77777777" w:rsidR="00E01EE8" w:rsidRPr="008F6073" w:rsidRDefault="00E01EE8" w:rsidP="00E01EE8">
      <w:pPr>
        <w:numPr>
          <w:ilvl w:val="0"/>
          <w:numId w:val="5"/>
        </w:numPr>
      </w:pPr>
      <w:proofErr w:type="gramStart"/>
      <w:r w:rsidRPr="008F6073">
        <w:t>soutenir</w:t>
      </w:r>
      <w:proofErr w:type="gramEnd"/>
      <w:r w:rsidRPr="008F6073">
        <w:t xml:space="preserve"> l’économie circulaire, notamment les marchés de la réparation et de la seconde main.</w:t>
      </w:r>
    </w:p>
    <w:p w14:paraId="233E7B09" w14:textId="77777777" w:rsidR="00E01EE8" w:rsidRPr="00090789" w:rsidRDefault="00E01EE8" w:rsidP="00E01EE8">
      <w:pPr>
        <w:pStyle w:val="Heading2"/>
        <w:numPr>
          <w:ilvl w:val="0"/>
          <w:numId w:val="0"/>
        </w:numPr>
        <w:rPr>
          <w:lang w:val="fr-BE"/>
        </w:rPr>
      </w:pPr>
    </w:p>
    <w:p w14:paraId="2F02D6F2" w14:textId="77777777" w:rsidR="00E01EE8" w:rsidRPr="00090789" w:rsidRDefault="00E01EE8" w:rsidP="00BD134D">
      <w:pPr>
        <w:pStyle w:val="Heading3"/>
        <w:keepNext/>
        <w:rPr>
          <w:lang w:val="fr-BE"/>
        </w:rPr>
      </w:pPr>
      <w:r w:rsidRPr="00090789">
        <w:rPr>
          <w:lang w:val="fr-BE"/>
        </w:rPr>
        <w:t>Améliorer l’application effective des droits et recours</w:t>
      </w:r>
    </w:p>
    <w:p w14:paraId="1AFCD11E" w14:textId="77777777" w:rsidR="00E01EE8" w:rsidRDefault="00E01EE8" w:rsidP="00BD134D">
      <w:pPr>
        <w:pStyle w:val="NormalWeb"/>
        <w:keepNext/>
        <w:spacing w:before="0" w:beforeAutospacing="0" w:after="0" w:afterAutospacing="0" w:line="288" w:lineRule="auto"/>
        <w:jc w:val="both"/>
        <w:rPr>
          <w:color w:val="000000"/>
          <w:sz w:val="22"/>
          <w:szCs w:val="22"/>
        </w:rPr>
      </w:pPr>
    </w:p>
    <w:p w14:paraId="6FEF1F26" w14:textId="77777777" w:rsidR="00E01EE8" w:rsidRDefault="00E01EE8" w:rsidP="00BD134D">
      <w:pPr>
        <w:pStyle w:val="NormalWeb"/>
        <w:keepNext/>
        <w:spacing w:before="0" w:beforeAutospacing="0" w:after="0" w:afterAutospacing="0" w:line="288" w:lineRule="auto"/>
        <w:ind w:left="567"/>
        <w:jc w:val="both"/>
        <w:rPr>
          <w:color w:val="000000"/>
          <w:sz w:val="22"/>
          <w:szCs w:val="22"/>
        </w:rPr>
      </w:pPr>
      <w:r w:rsidRPr="006D171B">
        <w:rPr>
          <w:color w:val="000000"/>
          <w:sz w:val="22"/>
          <w:szCs w:val="22"/>
        </w:rPr>
        <w:t xml:space="preserve">La Commission rappelle que l’effectivité de la protection des consommateurs dépend de systèmes de contrôle et de sanction efficaces. Les actions envisagées </w:t>
      </w:r>
      <w:proofErr w:type="gramStart"/>
      <w:r w:rsidRPr="006D171B">
        <w:rPr>
          <w:color w:val="000000"/>
          <w:sz w:val="22"/>
          <w:szCs w:val="22"/>
        </w:rPr>
        <w:t>comprennent:</w:t>
      </w:r>
      <w:proofErr w:type="gramEnd"/>
    </w:p>
    <w:p w14:paraId="438AD7EF" w14:textId="77777777" w:rsidR="00E01EE8" w:rsidRPr="006D171B" w:rsidRDefault="00E01EE8" w:rsidP="00BD134D">
      <w:pPr>
        <w:pStyle w:val="NormalWeb"/>
        <w:keepNext/>
        <w:spacing w:before="0" w:beforeAutospacing="0" w:after="0" w:afterAutospacing="0" w:line="288" w:lineRule="auto"/>
        <w:jc w:val="both"/>
        <w:rPr>
          <w:color w:val="000000"/>
          <w:sz w:val="22"/>
          <w:szCs w:val="22"/>
        </w:rPr>
      </w:pPr>
    </w:p>
    <w:p w14:paraId="408AD1A7" w14:textId="77777777" w:rsidR="00E01EE8" w:rsidRPr="006D171B" w:rsidRDefault="00E01EE8" w:rsidP="00BD134D">
      <w:pPr>
        <w:pStyle w:val="NormalWeb"/>
        <w:keepNext/>
        <w:numPr>
          <w:ilvl w:val="0"/>
          <w:numId w:val="6"/>
        </w:numPr>
        <w:spacing w:before="0" w:beforeAutospacing="0" w:after="0" w:afterAutospacing="0" w:line="288" w:lineRule="auto"/>
        <w:ind w:left="924" w:hanging="357"/>
        <w:jc w:val="both"/>
        <w:rPr>
          <w:color w:val="000000"/>
          <w:sz w:val="22"/>
          <w:szCs w:val="22"/>
        </w:rPr>
      </w:pPr>
      <w:proofErr w:type="gramStart"/>
      <w:r w:rsidRPr="006D171B">
        <w:rPr>
          <w:color w:val="000000"/>
          <w:sz w:val="22"/>
          <w:szCs w:val="22"/>
        </w:rPr>
        <w:t>le</w:t>
      </w:r>
      <w:proofErr w:type="gramEnd"/>
      <w:r w:rsidRPr="006D171B">
        <w:rPr>
          <w:color w:val="000000"/>
          <w:sz w:val="22"/>
          <w:szCs w:val="22"/>
        </w:rPr>
        <w:t xml:space="preserve"> renforcement de l’application des textes </w:t>
      </w:r>
      <w:proofErr w:type="gramStart"/>
      <w:r w:rsidRPr="006D171B">
        <w:rPr>
          <w:color w:val="000000"/>
          <w:sz w:val="22"/>
          <w:szCs w:val="22"/>
        </w:rPr>
        <w:t>existants;</w:t>
      </w:r>
      <w:proofErr w:type="gramEnd"/>
    </w:p>
    <w:p w14:paraId="2899C7BD" w14:textId="77777777" w:rsidR="00E01EE8" w:rsidRPr="006D171B" w:rsidRDefault="00E01EE8" w:rsidP="00E01EE8">
      <w:pPr>
        <w:pStyle w:val="NormalWeb"/>
        <w:numPr>
          <w:ilvl w:val="0"/>
          <w:numId w:val="6"/>
        </w:numPr>
        <w:spacing w:before="0" w:beforeAutospacing="0" w:after="0" w:afterAutospacing="0" w:line="288" w:lineRule="auto"/>
        <w:ind w:left="924" w:hanging="357"/>
        <w:jc w:val="both"/>
        <w:rPr>
          <w:color w:val="000000"/>
          <w:sz w:val="22"/>
          <w:szCs w:val="22"/>
        </w:rPr>
      </w:pPr>
      <w:proofErr w:type="gramStart"/>
      <w:r w:rsidRPr="006D171B">
        <w:rPr>
          <w:color w:val="000000"/>
          <w:sz w:val="22"/>
          <w:szCs w:val="22"/>
        </w:rPr>
        <w:t>l’utilisation</w:t>
      </w:r>
      <w:proofErr w:type="gramEnd"/>
      <w:r w:rsidRPr="006D171B">
        <w:rPr>
          <w:color w:val="000000"/>
          <w:sz w:val="22"/>
          <w:szCs w:val="22"/>
        </w:rPr>
        <w:t xml:space="preserve"> accrue de l’intelligence artificielle pour la surveillance du </w:t>
      </w:r>
      <w:proofErr w:type="gramStart"/>
      <w:r w:rsidRPr="006D171B">
        <w:rPr>
          <w:color w:val="000000"/>
          <w:sz w:val="22"/>
          <w:szCs w:val="22"/>
        </w:rPr>
        <w:t>marché;</w:t>
      </w:r>
      <w:proofErr w:type="gramEnd"/>
    </w:p>
    <w:p w14:paraId="2E906FDC" w14:textId="77777777" w:rsidR="00E01EE8" w:rsidRPr="006D171B" w:rsidRDefault="00E01EE8" w:rsidP="00E01EE8">
      <w:pPr>
        <w:pStyle w:val="NormalWeb"/>
        <w:numPr>
          <w:ilvl w:val="0"/>
          <w:numId w:val="6"/>
        </w:numPr>
        <w:spacing w:before="0" w:beforeAutospacing="0" w:after="0" w:afterAutospacing="0" w:line="288" w:lineRule="auto"/>
        <w:ind w:left="924" w:hanging="357"/>
        <w:jc w:val="both"/>
        <w:rPr>
          <w:color w:val="000000"/>
          <w:sz w:val="22"/>
          <w:szCs w:val="22"/>
        </w:rPr>
      </w:pPr>
      <w:proofErr w:type="gramStart"/>
      <w:r w:rsidRPr="006D171B">
        <w:rPr>
          <w:color w:val="000000"/>
          <w:sz w:val="22"/>
          <w:szCs w:val="22"/>
        </w:rPr>
        <w:t>une</w:t>
      </w:r>
      <w:proofErr w:type="gramEnd"/>
      <w:r w:rsidRPr="006D171B">
        <w:rPr>
          <w:color w:val="000000"/>
          <w:sz w:val="22"/>
          <w:szCs w:val="22"/>
        </w:rPr>
        <w:t xml:space="preserve"> meilleure information des entreprises établies </w:t>
      </w:r>
      <w:r>
        <w:rPr>
          <w:color w:val="000000"/>
          <w:sz w:val="22"/>
          <w:szCs w:val="22"/>
        </w:rPr>
        <w:t>en de</w:t>
      </w:r>
      <w:r w:rsidRPr="006D171B">
        <w:rPr>
          <w:color w:val="000000"/>
          <w:sz w:val="22"/>
          <w:szCs w:val="22"/>
        </w:rPr>
        <w:t>hors de l’Union sur les exigences européennes.</w:t>
      </w:r>
    </w:p>
    <w:p w14:paraId="7620085C" w14:textId="77777777" w:rsidR="00E01EE8" w:rsidRPr="00090789" w:rsidRDefault="00E01EE8" w:rsidP="00E01EE8">
      <w:pPr>
        <w:pStyle w:val="Heading2"/>
        <w:numPr>
          <w:ilvl w:val="0"/>
          <w:numId w:val="0"/>
        </w:numPr>
        <w:rPr>
          <w:lang w:val="fr-BE"/>
        </w:rPr>
      </w:pPr>
    </w:p>
    <w:p w14:paraId="45EDAF87" w14:textId="77777777" w:rsidR="00E01EE8" w:rsidRPr="00090789" w:rsidRDefault="00E01EE8" w:rsidP="00BD134D">
      <w:pPr>
        <w:pStyle w:val="Heading3"/>
        <w:keepNext/>
        <w:rPr>
          <w:lang w:val="fr-BE"/>
        </w:rPr>
      </w:pPr>
      <w:r w:rsidRPr="00090789">
        <w:rPr>
          <w:lang w:val="fr-BE"/>
        </w:rPr>
        <w:t>Mettre en place un système de gouvernance</w:t>
      </w:r>
    </w:p>
    <w:p w14:paraId="4A739C7E" w14:textId="77777777" w:rsidR="00E01EE8" w:rsidRPr="00090789" w:rsidRDefault="00E01EE8" w:rsidP="00BD134D">
      <w:pPr>
        <w:keepNext/>
        <w:rPr>
          <w:lang w:val="fr-BE"/>
        </w:rPr>
      </w:pPr>
    </w:p>
    <w:p w14:paraId="50476E6E" w14:textId="77777777" w:rsidR="00E01EE8" w:rsidRDefault="00E01EE8" w:rsidP="00BD134D">
      <w:pPr>
        <w:pStyle w:val="NormalWeb"/>
        <w:keepNext/>
        <w:spacing w:before="0" w:beforeAutospacing="0" w:after="0" w:afterAutospacing="0" w:line="288" w:lineRule="auto"/>
        <w:ind w:left="567"/>
        <w:jc w:val="both"/>
        <w:rPr>
          <w:color w:val="000000"/>
          <w:sz w:val="22"/>
          <w:szCs w:val="22"/>
        </w:rPr>
      </w:pPr>
      <w:r w:rsidRPr="006D171B">
        <w:rPr>
          <w:color w:val="000000"/>
          <w:sz w:val="22"/>
          <w:szCs w:val="22"/>
        </w:rPr>
        <w:t xml:space="preserve">Ce cadre vise à renforcer la coopération entre les parties prenantes grâce </w:t>
      </w:r>
      <w:proofErr w:type="gramStart"/>
      <w:r w:rsidRPr="006D171B">
        <w:rPr>
          <w:color w:val="000000"/>
          <w:sz w:val="22"/>
          <w:szCs w:val="22"/>
        </w:rPr>
        <w:t>à:</w:t>
      </w:r>
      <w:proofErr w:type="gramEnd"/>
    </w:p>
    <w:p w14:paraId="5F6457F0" w14:textId="77777777" w:rsidR="00E01EE8" w:rsidRPr="006D171B" w:rsidRDefault="00E01EE8" w:rsidP="00BD134D">
      <w:pPr>
        <w:pStyle w:val="NormalWeb"/>
        <w:keepNext/>
        <w:spacing w:before="0" w:beforeAutospacing="0" w:after="0" w:afterAutospacing="0" w:line="288" w:lineRule="auto"/>
        <w:jc w:val="both"/>
        <w:rPr>
          <w:color w:val="000000"/>
          <w:sz w:val="22"/>
          <w:szCs w:val="22"/>
        </w:rPr>
      </w:pPr>
    </w:p>
    <w:p w14:paraId="278E7432" w14:textId="77777777" w:rsidR="00E01EE8" w:rsidRPr="006D171B" w:rsidRDefault="00E01EE8" w:rsidP="00BD134D">
      <w:pPr>
        <w:pStyle w:val="NormalWeb"/>
        <w:keepNext/>
        <w:numPr>
          <w:ilvl w:val="0"/>
          <w:numId w:val="7"/>
        </w:numPr>
        <w:spacing w:before="0" w:beforeAutospacing="0" w:after="0" w:afterAutospacing="0" w:line="288" w:lineRule="auto"/>
        <w:ind w:left="924" w:hanging="357"/>
        <w:jc w:val="both"/>
        <w:rPr>
          <w:color w:val="000000"/>
          <w:sz w:val="22"/>
          <w:szCs w:val="22"/>
        </w:rPr>
      </w:pPr>
      <w:proofErr w:type="gramStart"/>
      <w:r w:rsidRPr="006D171B">
        <w:rPr>
          <w:color w:val="000000"/>
          <w:sz w:val="22"/>
          <w:szCs w:val="22"/>
        </w:rPr>
        <w:t>un</w:t>
      </w:r>
      <w:proofErr w:type="gramEnd"/>
      <w:r w:rsidRPr="006D171B">
        <w:rPr>
          <w:color w:val="000000"/>
          <w:sz w:val="22"/>
          <w:szCs w:val="22"/>
        </w:rPr>
        <w:t xml:space="preserve"> forum ministériel consacré à la protection des </w:t>
      </w:r>
      <w:proofErr w:type="gramStart"/>
      <w:r w:rsidRPr="006D171B">
        <w:rPr>
          <w:color w:val="000000"/>
          <w:sz w:val="22"/>
          <w:szCs w:val="22"/>
        </w:rPr>
        <w:t>consommateurs;</w:t>
      </w:r>
      <w:proofErr w:type="gramEnd"/>
    </w:p>
    <w:p w14:paraId="1F0C6C1F" w14:textId="77777777" w:rsidR="00E01EE8" w:rsidRPr="006D171B" w:rsidRDefault="00E01EE8" w:rsidP="00E01EE8">
      <w:pPr>
        <w:pStyle w:val="NormalWeb"/>
        <w:numPr>
          <w:ilvl w:val="0"/>
          <w:numId w:val="7"/>
        </w:numPr>
        <w:spacing w:before="0" w:beforeAutospacing="0" w:after="0" w:afterAutospacing="0" w:line="288" w:lineRule="auto"/>
        <w:ind w:left="924" w:hanging="357"/>
        <w:jc w:val="both"/>
        <w:rPr>
          <w:color w:val="000000"/>
          <w:sz w:val="22"/>
          <w:szCs w:val="22"/>
        </w:rPr>
      </w:pPr>
      <w:proofErr w:type="gramStart"/>
      <w:r w:rsidRPr="006D171B">
        <w:rPr>
          <w:color w:val="000000"/>
          <w:sz w:val="22"/>
          <w:szCs w:val="22"/>
        </w:rPr>
        <w:t>un</w:t>
      </w:r>
      <w:proofErr w:type="gramEnd"/>
      <w:r w:rsidRPr="006D171B">
        <w:rPr>
          <w:color w:val="000000"/>
          <w:sz w:val="22"/>
          <w:szCs w:val="22"/>
        </w:rPr>
        <w:t xml:space="preserve"> dialogue visant à associer davantage les </w:t>
      </w:r>
      <w:proofErr w:type="gramStart"/>
      <w:r w:rsidRPr="006D171B">
        <w:rPr>
          <w:color w:val="000000"/>
          <w:sz w:val="22"/>
          <w:szCs w:val="22"/>
        </w:rPr>
        <w:t>jeunes;</w:t>
      </w:r>
      <w:proofErr w:type="gramEnd"/>
    </w:p>
    <w:p w14:paraId="3A9C9F74" w14:textId="77777777" w:rsidR="00E01EE8" w:rsidRDefault="00E01EE8" w:rsidP="00E01EE8">
      <w:pPr>
        <w:pStyle w:val="NormalWeb"/>
        <w:numPr>
          <w:ilvl w:val="0"/>
          <w:numId w:val="7"/>
        </w:numPr>
        <w:spacing w:before="0" w:beforeAutospacing="0" w:after="0" w:afterAutospacing="0" w:line="288" w:lineRule="auto"/>
        <w:ind w:left="924" w:hanging="357"/>
        <w:jc w:val="both"/>
        <w:rPr>
          <w:color w:val="000000"/>
          <w:sz w:val="22"/>
          <w:szCs w:val="22"/>
        </w:rPr>
      </w:pPr>
      <w:proofErr w:type="gramStart"/>
      <w:r w:rsidRPr="006D171B">
        <w:rPr>
          <w:color w:val="000000"/>
          <w:sz w:val="22"/>
          <w:szCs w:val="22"/>
        </w:rPr>
        <w:t>des</w:t>
      </w:r>
      <w:proofErr w:type="gramEnd"/>
      <w:r w:rsidRPr="006D171B">
        <w:rPr>
          <w:color w:val="000000"/>
          <w:sz w:val="22"/>
          <w:szCs w:val="22"/>
        </w:rPr>
        <w:t xml:space="preserve"> échanges réguliers sur l’évolution et la révision des règles existantes.</w:t>
      </w:r>
    </w:p>
    <w:p w14:paraId="259DF5D7" w14:textId="77777777" w:rsidR="00E01EE8" w:rsidRPr="006D171B" w:rsidRDefault="00E01EE8" w:rsidP="00E01EE8">
      <w:pPr>
        <w:pStyle w:val="NormalWeb"/>
        <w:spacing w:before="0" w:beforeAutospacing="0" w:after="0" w:afterAutospacing="0" w:line="288" w:lineRule="auto"/>
        <w:jc w:val="both"/>
        <w:rPr>
          <w:color w:val="000000"/>
          <w:sz w:val="22"/>
          <w:szCs w:val="22"/>
        </w:rPr>
      </w:pPr>
    </w:p>
    <w:p w14:paraId="37ED04A2" w14:textId="77777777" w:rsidR="00E01EE8" w:rsidRPr="00090789" w:rsidRDefault="00E01EE8" w:rsidP="00732F15">
      <w:pPr>
        <w:pStyle w:val="Heading1"/>
        <w:keepNext/>
        <w:rPr>
          <w:b/>
          <w:bCs/>
          <w:lang w:val="fr-BE"/>
        </w:rPr>
      </w:pPr>
      <w:r w:rsidRPr="00090789">
        <w:rPr>
          <w:b/>
          <w:bCs/>
          <w:lang w:val="fr-BE"/>
        </w:rPr>
        <w:t>Observations générales</w:t>
      </w:r>
    </w:p>
    <w:p w14:paraId="1AD7984A" w14:textId="77777777" w:rsidR="00E01EE8" w:rsidRPr="00090789" w:rsidRDefault="00E01EE8" w:rsidP="00732F15">
      <w:pPr>
        <w:pStyle w:val="Heading2"/>
        <w:keepNext/>
        <w:numPr>
          <w:ilvl w:val="0"/>
          <w:numId w:val="0"/>
        </w:numPr>
        <w:rPr>
          <w:lang w:val="fr-BE"/>
        </w:rPr>
      </w:pPr>
    </w:p>
    <w:p w14:paraId="5BFA15C3" w14:textId="77777777" w:rsidR="00E01EE8" w:rsidRPr="00090789" w:rsidRDefault="00E01EE8" w:rsidP="00BD134D">
      <w:pPr>
        <w:pStyle w:val="Heading2"/>
        <w:keepNext/>
        <w:rPr>
          <w:lang w:val="fr-BE"/>
        </w:rPr>
      </w:pPr>
      <w:r w:rsidRPr="00090789">
        <w:rPr>
          <w:lang w:val="fr-BE"/>
        </w:rPr>
        <w:t xml:space="preserve">Le CESE </w:t>
      </w:r>
      <w:r>
        <w:rPr>
          <w:lang w:val="fr-BE"/>
        </w:rPr>
        <w:t>salue</w:t>
      </w:r>
      <w:r w:rsidRPr="00090789">
        <w:rPr>
          <w:lang w:val="fr-BE"/>
        </w:rPr>
        <w:t xml:space="preserve"> la Commission européenne pour la qualité de l’agenda du consommateur</w:t>
      </w:r>
      <w:r>
        <w:rPr>
          <w:lang w:val="fr-BE"/>
        </w:rPr>
        <w:t> </w:t>
      </w:r>
      <w:r w:rsidRPr="00090789">
        <w:rPr>
          <w:lang w:val="fr-BE"/>
        </w:rPr>
        <w:t>2025-2030.</w:t>
      </w:r>
    </w:p>
    <w:p w14:paraId="2421D39A" w14:textId="77777777" w:rsidR="00E01EE8" w:rsidRPr="00090789" w:rsidRDefault="00E01EE8" w:rsidP="00E01EE8">
      <w:pPr>
        <w:pStyle w:val="Heading2"/>
        <w:numPr>
          <w:ilvl w:val="0"/>
          <w:numId w:val="0"/>
        </w:numPr>
        <w:rPr>
          <w:lang w:val="fr-BE"/>
        </w:rPr>
      </w:pPr>
    </w:p>
    <w:p w14:paraId="40BF74CA" w14:textId="77777777" w:rsidR="00E01EE8" w:rsidRPr="00090789" w:rsidRDefault="00E01EE8" w:rsidP="00E01EE8">
      <w:pPr>
        <w:pStyle w:val="Heading2"/>
        <w:rPr>
          <w:lang w:val="fr-BE"/>
        </w:rPr>
      </w:pPr>
      <w:r w:rsidRPr="00090789">
        <w:rPr>
          <w:lang w:val="fr-BE"/>
        </w:rPr>
        <w:t xml:space="preserve">Le Comité reconnaît que la Commission a </w:t>
      </w:r>
      <w:r>
        <w:rPr>
          <w:lang w:val="fr-BE"/>
        </w:rPr>
        <w:t>accru son intérêt en matière de protection des consommateurs,</w:t>
      </w:r>
      <w:r w:rsidRPr="00090789">
        <w:rPr>
          <w:lang w:val="fr-BE"/>
        </w:rPr>
        <w:t xml:space="preserve"> comme en témoignent les nombreux textes publiés ces dernières années.</w:t>
      </w:r>
    </w:p>
    <w:p w14:paraId="0BF04BEB" w14:textId="77777777" w:rsidR="00E01EE8" w:rsidRPr="00090789" w:rsidRDefault="00E01EE8" w:rsidP="00E01EE8">
      <w:pPr>
        <w:pStyle w:val="Heading2"/>
        <w:numPr>
          <w:ilvl w:val="0"/>
          <w:numId w:val="0"/>
        </w:numPr>
        <w:rPr>
          <w:lang w:val="fr-BE"/>
        </w:rPr>
      </w:pPr>
    </w:p>
    <w:p w14:paraId="1C9D2461" w14:textId="77777777" w:rsidR="00E01EE8" w:rsidRPr="00090789" w:rsidRDefault="00E01EE8" w:rsidP="00E01EE8">
      <w:pPr>
        <w:pStyle w:val="Heading2"/>
        <w:rPr>
          <w:lang w:val="fr-BE"/>
        </w:rPr>
      </w:pPr>
      <w:r w:rsidRPr="00090789">
        <w:rPr>
          <w:lang w:val="fr-BE"/>
        </w:rPr>
        <w:t>Le CESE observe que l’agenda, bien que riche et détaillé, reste très technique et sectoriel (transport, numérique, finance)</w:t>
      </w:r>
      <w:r>
        <w:rPr>
          <w:lang w:val="fr-BE"/>
        </w:rPr>
        <w:t>, même si certains secteurs sont peu traités, à l’exemple des sujets relatifs à l</w:t>
      </w:r>
      <w:r w:rsidRPr="00090789">
        <w:rPr>
          <w:lang w:val="fr-BE"/>
        </w:rPr>
        <w:t>’</w:t>
      </w:r>
      <w:r>
        <w:rPr>
          <w:lang w:val="fr-BE"/>
        </w:rPr>
        <w:t>agriculture et à l</w:t>
      </w:r>
      <w:r w:rsidRPr="00090789">
        <w:rPr>
          <w:lang w:val="fr-BE"/>
        </w:rPr>
        <w:t>’</w:t>
      </w:r>
      <w:r>
        <w:rPr>
          <w:lang w:val="fr-BE"/>
        </w:rPr>
        <w:t>alimentation</w:t>
      </w:r>
      <w:r w:rsidRPr="00090789">
        <w:rPr>
          <w:lang w:val="fr-BE"/>
        </w:rPr>
        <w:t xml:space="preserve">. Il lui manque une philosophie </w:t>
      </w:r>
      <w:proofErr w:type="gramStart"/>
      <w:r w:rsidRPr="00090789">
        <w:rPr>
          <w:lang w:val="fr-BE"/>
        </w:rPr>
        <w:t>d’ensemble:</w:t>
      </w:r>
      <w:proofErr w:type="gramEnd"/>
      <w:r w:rsidRPr="00090789">
        <w:rPr>
          <w:lang w:val="fr-BE"/>
        </w:rPr>
        <w:t xml:space="preserve"> </w:t>
      </w:r>
      <w:r>
        <w:rPr>
          <w:lang w:val="fr-BE"/>
        </w:rPr>
        <w:t>quelle politique de consommation</w:t>
      </w:r>
      <w:r w:rsidRPr="00090789">
        <w:rPr>
          <w:lang w:val="fr-BE"/>
        </w:rPr>
        <w:t xml:space="preserve"> l’Union européenne souhaite-t-elle </w:t>
      </w:r>
      <w:proofErr w:type="gramStart"/>
      <w:r w:rsidRPr="00090789">
        <w:rPr>
          <w:lang w:val="fr-BE"/>
        </w:rPr>
        <w:t>promouvoir?</w:t>
      </w:r>
      <w:proofErr w:type="gramEnd"/>
      <w:r w:rsidRPr="00090789">
        <w:rPr>
          <w:lang w:val="fr-BE"/>
        </w:rPr>
        <w:t xml:space="preserve"> Le Comité regrette l’absence d’un cadrage </w:t>
      </w:r>
      <w:proofErr w:type="gramStart"/>
      <w:r w:rsidRPr="00090789">
        <w:rPr>
          <w:lang w:val="fr-BE"/>
        </w:rPr>
        <w:t>clair:</w:t>
      </w:r>
      <w:proofErr w:type="gramEnd"/>
      <w:r w:rsidRPr="00090789">
        <w:rPr>
          <w:lang w:val="fr-BE"/>
        </w:rPr>
        <w:t xml:space="preserve"> la</w:t>
      </w:r>
      <w:proofErr w:type="gramStart"/>
      <w:r w:rsidRPr="00090789">
        <w:rPr>
          <w:lang w:val="fr-BE"/>
        </w:rPr>
        <w:t xml:space="preserve"> «politique</w:t>
      </w:r>
      <w:proofErr w:type="gramEnd"/>
      <w:r w:rsidRPr="00090789">
        <w:rPr>
          <w:lang w:val="fr-BE"/>
        </w:rPr>
        <w:t xml:space="preserve"> du </w:t>
      </w:r>
      <w:proofErr w:type="gramStart"/>
      <w:r w:rsidRPr="00090789">
        <w:rPr>
          <w:lang w:val="fr-BE"/>
        </w:rPr>
        <w:t>consommateur»</w:t>
      </w:r>
      <w:proofErr w:type="gramEnd"/>
      <w:r w:rsidRPr="00090789">
        <w:rPr>
          <w:lang w:val="fr-BE"/>
        </w:rPr>
        <w:t xml:space="preserve"> est réduite ici à la protection, sans lien avec la capacité d’agir des </w:t>
      </w:r>
      <w:r>
        <w:rPr>
          <w:lang w:val="fr-BE"/>
        </w:rPr>
        <w:t>consommateurs</w:t>
      </w:r>
      <w:r w:rsidRPr="00090789">
        <w:rPr>
          <w:lang w:val="fr-BE"/>
        </w:rPr>
        <w:t xml:space="preserve"> dans les transitions économique, écologique et numérique</w:t>
      </w:r>
      <w:r>
        <w:rPr>
          <w:lang w:val="fr-BE"/>
        </w:rPr>
        <w:t>, et avec une trop faible prise en compte de l’écosystème</w:t>
      </w:r>
      <w:proofErr w:type="gramStart"/>
      <w:r>
        <w:rPr>
          <w:lang w:val="fr-BE"/>
        </w:rPr>
        <w:t xml:space="preserve"> «consommation</w:t>
      </w:r>
      <w:proofErr w:type="gramEnd"/>
      <w:r>
        <w:rPr>
          <w:lang w:val="fr-BE"/>
        </w:rPr>
        <w:t>» (producteurs, distributeurs, consommateurs)</w:t>
      </w:r>
      <w:r w:rsidRPr="00090789">
        <w:rPr>
          <w:lang w:val="fr-BE"/>
        </w:rPr>
        <w:t>.</w:t>
      </w:r>
    </w:p>
    <w:p w14:paraId="538964F2" w14:textId="77777777" w:rsidR="00E01EE8" w:rsidRPr="00090789" w:rsidRDefault="00E01EE8" w:rsidP="00E01EE8">
      <w:pPr>
        <w:pStyle w:val="Heading2"/>
        <w:numPr>
          <w:ilvl w:val="0"/>
          <w:numId w:val="0"/>
        </w:numPr>
        <w:rPr>
          <w:lang w:val="fr-BE"/>
        </w:rPr>
      </w:pPr>
    </w:p>
    <w:p w14:paraId="58F26B3C" w14:textId="77777777" w:rsidR="00E01EE8" w:rsidRPr="00090789" w:rsidRDefault="00E01EE8" w:rsidP="00E01EE8">
      <w:pPr>
        <w:pStyle w:val="Heading2"/>
        <w:rPr>
          <w:lang w:val="fr-BE"/>
        </w:rPr>
      </w:pPr>
      <w:r w:rsidRPr="00090789">
        <w:rPr>
          <w:lang w:val="fr-BE"/>
        </w:rPr>
        <w:t xml:space="preserve">Le CESE s’interroge sur l’efficacité des mesures centrées sur l’information du consommateur. Les études en sciences comportementales documentent un écart structurel entre intentions déclarées et comportements effectifs. L’affichage environnemental, les labels et les passeports numériques des produits ne suffiront pas à transformer les pratiques. Le CESE recommande d’agir sur les contextes de décision </w:t>
      </w:r>
      <w:r>
        <w:rPr>
          <w:lang w:val="fr-BE"/>
        </w:rPr>
        <w:t>(</w:t>
      </w:r>
      <w:r w:rsidRPr="00090789">
        <w:rPr>
          <w:lang w:val="fr-BE"/>
        </w:rPr>
        <w:t>options par défaut, linéaires, parcours en ligne —</w:t>
      </w:r>
      <w:r>
        <w:rPr>
          <w:lang w:val="fr-BE"/>
        </w:rPr>
        <w:t>,</w:t>
      </w:r>
      <w:r w:rsidRPr="00090789">
        <w:rPr>
          <w:lang w:val="fr-BE"/>
        </w:rPr>
        <w:t xml:space="preserve"> plutôt que sur la </w:t>
      </w:r>
      <w:r>
        <w:rPr>
          <w:lang w:val="fr-BE"/>
        </w:rPr>
        <w:t xml:space="preserve">seule </w:t>
      </w:r>
      <w:r w:rsidRPr="00090789">
        <w:rPr>
          <w:lang w:val="fr-BE"/>
        </w:rPr>
        <w:t>responsabilisation individuelle.</w:t>
      </w:r>
    </w:p>
    <w:p w14:paraId="6708B609" w14:textId="77777777" w:rsidR="00E01EE8" w:rsidRPr="00090789" w:rsidRDefault="00E01EE8" w:rsidP="00E01EE8">
      <w:pPr>
        <w:pStyle w:val="Heading2"/>
        <w:numPr>
          <w:ilvl w:val="0"/>
          <w:numId w:val="0"/>
        </w:numPr>
        <w:rPr>
          <w:lang w:val="fr-BE"/>
        </w:rPr>
      </w:pPr>
    </w:p>
    <w:p w14:paraId="543C5DEC" w14:textId="77777777" w:rsidR="00E01EE8" w:rsidRPr="00090789" w:rsidRDefault="00E01EE8" w:rsidP="00E01EE8">
      <w:pPr>
        <w:pStyle w:val="Heading2"/>
        <w:rPr>
          <w:lang w:val="fr-BE"/>
        </w:rPr>
      </w:pPr>
      <w:r w:rsidRPr="00090789">
        <w:rPr>
          <w:lang w:val="fr-BE"/>
        </w:rPr>
        <w:t>Le CESE met en garde contre le risque de surtransposition de certaines directives</w:t>
      </w:r>
      <w:r>
        <w:rPr>
          <w:lang w:val="fr-BE"/>
        </w:rPr>
        <w:t xml:space="preserve"> — une pratique qui</w:t>
      </w:r>
      <w:r w:rsidRPr="00090789">
        <w:rPr>
          <w:lang w:val="fr-BE"/>
        </w:rPr>
        <w:t xml:space="preserve"> contribue à la fragmentation des marchés</w:t>
      </w:r>
      <w:r>
        <w:rPr>
          <w:lang w:val="fr-BE"/>
        </w:rPr>
        <w:t>,</w:t>
      </w:r>
      <w:r w:rsidRPr="00090789">
        <w:rPr>
          <w:lang w:val="fr-BE"/>
        </w:rPr>
        <w:t xml:space="preserve"> à l’impossibilité pour les consommateurs d’obtenir certains services transfrontaliers</w:t>
      </w:r>
      <w:r>
        <w:rPr>
          <w:lang w:val="fr-BE"/>
        </w:rPr>
        <w:t xml:space="preserve"> et qui produit</w:t>
      </w:r>
      <w:r w:rsidRPr="001707D8">
        <w:rPr>
          <w:lang w:val="fr-BE"/>
        </w:rPr>
        <w:t xml:space="preserve"> un effet dissuasif sur l’offre de </w:t>
      </w:r>
      <w:r>
        <w:rPr>
          <w:lang w:val="fr-BE"/>
        </w:rPr>
        <w:t>biens</w:t>
      </w:r>
      <w:r w:rsidRPr="001707D8">
        <w:rPr>
          <w:lang w:val="fr-BE"/>
        </w:rPr>
        <w:t xml:space="preserve"> et </w:t>
      </w:r>
      <w:r>
        <w:rPr>
          <w:lang w:val="fr-BE"/>
        </w:rPr>
        <w:t xml:space="preserve">de </w:t>
      </w:r>
      <w:r w:rsidRPr="001707D8">
        <w:rPr>
          <w:lang w:val="fr-BE"/>
        </w:rPr>
        <w:t>services</w:t>
      </w:r>
      <w:r w:rsidRPr="00090789">
        <w:rPr>
          <w:lang w:val="fr-BE"/>
        </w:rPr>
        <w:t>.</w:t>
      </w:r>
    </w:p>
    <w:p w14:paraId="2AEBFABB" w14:textId="77777777" w:rsidR="00E01EE8" w:rsidRPr="00090789" w:rsidRDefault="00E01EE8" w:rsidP="00E01EE8">
      <w:pPr>
        <w:pStyle w:val="Heading2"/>
        <w:numPr>
          <w:ilvl w:val="0"/>
          <w:numId w:val="0"/>
        </w:numPr>
        <w:rPr>
          <w:lang w:val="fr-BE"/>
        </w:rPr>
      </w:pPr>
    </w:p>
    <w:p w14:paraId="39FEA32A" w14:textId="77777777" w:rsidR="00E01EE8" w:rsidRPr="00090789" w:rsidRDefault="00E01EE8" w:rsidP="00E01EE8">
      <w:pPr>
        <w:pStyle w:val="Heading2"/>
        <w:rPr>
          <w:lang w:val="fr-BE"/>
        </w:rPr>
      </w:pPr>
      <w:r w:rsidRPr="00090789">
        <w:rPr>
          <w:lang w:val="fr-BE"/>
        </w:rPr>
        <w:t>Le CESE s’interroge sur l’adéquation entre l’agenda du consommateur</w:t>
      </w:r>
      <w:r>
        <w:rPr>
          <w:lang w:val="fr-BE"/>
        </w:rPr>
        <w:t> </w:t>
      </w:r>
      <w:r w:rsidRPr="00090789">
        <w:rPr>
          <w:lang w:val="fr-BE"/>
        </w:rPr>
        <w:t xml:space="preserve">2025-2030 et </w:t>
      </w:r>
      <w:r>
        <w:rPr>
          <w:lang w:val="fr-BE"/>
        </w:rPr>
        <w:t>une</w:t>
      </w:r>
      <w:r w:rsidRPr="00090789">
        <w:rPr>
          <w:lang w:val="fr-BE"/>
        </w:rPr>
        <w:t xml:space="preserve"> dérégulation </w:t>
      </w:r>
      <w:r>
        <w:rPr>
          <w:lang w:val="fr-BE"/>
        </w:rPr>
        <w:t>de trop grande ampleur</w:t>
      </w:r>
      <w:r w:rsidRPr="00090789">
        <w:rPr>
          <w:lang w:val="fr-BE"/>
        </w:rPr>
        <w:t xml:space="preserve">. Il considère que la simplification administrative énoncée à de nombreuses reprises dans le document devra </w:t>
      </w:r>
      <w:r>
        <w:rPr>
          <w:lang w:val="fr-BE"/>
        </w:rPr>
        <w:t>inclure le souci constant de</w:t>
      </w:r>
      <w:r w:rsidRPr="00090789">
        <w:rPr>
          <w:lang w:val="fr-BE"/>
        </w:rPr>
        <w:t xml:space="preserve"> la protection du consommateur.</w:t>
      </w:r>
    </w:p>
    <w:p w14:paraId="78C643D1" w14:textId="77777777" w:rsidR="00E01EE8" w:rsidRPr="00090789" w:rsidRDefault="00E01EE8" w:rsidP="00E01EE8">
      <w:pPr>
        <w:pStyle w:val="Heading2"/>
        <w:numPr>
          <w:ilvl w:val="0"/>
          <w:numId w:val="0"/>
        </w:numPr>
        <w:rPr>
          <w:lang w:val="fr-BE"/>
        </w:rPr>
      </w:pPr>
    </w:p>
    <w:p w14:paraId="6924A6A7" w14:textId="77777777" w:rsidR="00E01EE8" w:rsidRPr="00090789" w:rsidRDefault="00E01EE8" w:rsidP="00E01EE8">
      <w:pPr>
        <w:pStyle w:val="Heading2"/>
        <w:rPr>
          <w:lang w:val="fr-BE"/>
        </w:rPr>
      </w:pPr>
      <w:r w:rsidRPr="00090789">
        <w:rPr>
          <w:lang w:val="fr-BE"/>
        </w:rPr>
        <w:t xml:space="preserve">Le CESE regrette que l’agenda traite d’enjeux actuels sans anticiper les transformations à </w:t>
      </w:r>
      <w:proofErr w:type="gramStart"/>
      <w:r w:rsidRPr="00090789">
        <w:rPr>
          <w:lang w:val="fr-BE"/>
        </w:rPr>
        <w:t>venir:</w:t>
      </w:r>
      <w:proofErr w:type="gramEnd"/>
      <w:r w:rsidRPr="00090789">
        <w:rPr>
          <w:lang w:val="fr-BE"/>
        </w:rPr>
        <w:t xml:space="preserve"> consommation automatisée, agents IA d’achat, robotisation des décisions, vieillissement massif des consommateurs. Un horizon</w:t>
      </w:r>
      <w:r>
        <w:rPr>
          <w:lang w:val="fr-BE"/>
        </w:rPr>
        <w:t> </w:t>
      </w:r>
      <w:r w:rsidRPr="00090789">
        <w:rPr>
          <w:lang w:val="fr-BE"/>
        </w:rPr>
        <w:t xml:space="preserve">2035-2040 serait nécessaire, possiblement </w:t>
      </w:r>
      <w:r>
        <w:rPr>
          <w:lang w:val="fr-BE"/>
        </w:rPr>
        <w:t>au moyen</w:t>
      </w:r>
      <w:r w:rsidRPr="00090789">
        <w:rPr>
          <w:lang w:val="fr-BE"/>
        </w:rPr>
        <w:t xml:space="preserve"> </w:t>
      </w:r>
      <w:r>
        <w:rPr>
          <w:lang w:val="fr-BE"/>
        </w:rPr>
        <w:t>d’</w:t>
      </w:r>
      <w:r w:rsidRPr="00090789">
        <w:rPr>
          <w:lang w:val="fr-BE"/>
        </w:rPr>
        <w:t>un programme de prospective intégré au Centre commun de recherche.</w:t>
      </w:r>
    </w:p>
    <w:p w14:paraId="3E1A4D14" w14:textId="77777777" w:rsidR="00E01EE8" w:rsidRPr="00090789" w:rsidRDefault="00E01EE8" w:rsidP="00E01EE8">
      <w:pPr>
        <w:pStyle w:val="Heading2"/>
        <w:numPr>
          <w:ilvl w:val="0"/>
          <w:numId w:val="0"/>
        </w:numPr>
        <w:rPr>
          <w:lang w:val="fr-BE"/>
        </w:rPr>
      </w:pPr>
    </w:p>
    <w:p w14:paraId="120BCE23" w14:textId="77777777" w:rsidR="00E01EE8" w:rsidRPr="00090789" w:rsidRDefault="00E01EE8" w:rsidP="00E01EE8">
      <w:pPr>
        <w:pStyle w:val="Heading2"/>
        <w:rPr>
          <w:lang w:val="fr-BE"/>
        </w:rPr>
      </w:pPr>
      <w:r w:rsidRPr="00090789">
        <w:rPr>
          <w:lang w:val="fr-BE"/>
        </w:rPr>
        <w:t xml:space="preserve">Le CESE apprécierait à l’avenir qu’avant de se prononcer sur un nouvel agenda, la Commission prenne l’initiative de dresser un bilan structuré incluant des indicateurs de résultats portant sur l’agenda de la période écoulée. Le CESE recommande que l’agenda assorti d’indicateurs de résultats aille au-delà </w:t>
      </w:r>
      <w:r>
        <w:rPr>
          <w:lang w:val="fr-BE"/>
        </w:rPr>
        <w:t xml:space="preserve">des déclarations de confiance, et comprenne notamment les éléments </w:t>
      </w:r>
      <w:proofErr w:type="gramStart"/>
      <w:r>
        <w:rPr>
          <w:lang w:val="fr-BE"/>
        </w:rPr>
        <w:t>suivants:</w:t>
      </w:r>
      <w:proofErr w:type="gramEnd"/>
      <w:r>
        <w:rPr>
          <w:lang w:val="fr-BE"/>
        </w:rPr>
        <w:t xml:space="preserve"> </w:t>
      </w:r>
      <w:r w:rsidRPr="00090789">
        <w:rPr>
          <w:lang w:val="fr-BE"/>
        </w:rPr>
        <w:t>taux de réclamations abouties, durée de vie moyenne des produits, taux de réparation</w:t>
      </w:r>
      <w:r>
        <w:rPr>
          <w:lang w:val="fr-BE"/>
        </w:rPr>
        <w:t xml:space="preserve">/taux de </w:t>
      </w:r>
      <w:r w:rsidRPr="00090789">
        <w:rPr>
          <w:lang w:val="fr-BE"/>
        </w:rPr>
        <w:t>remplacement</w:t>
      </w:r>
      <w:r>
        <w:rPr>
          <w:lang w:val="fr-BE"/>
        </w:rPr>
        <w:t xml:space="preserve">. </w:t>
      </w:r>
      <w:r w:rsidRPr="00090789">
        <w:rPr>
          <w:lang w:val="fr-BE"/>
        </w:rPr>
        <w:t>La Commission pourrait tirer parti des travaux d’évaluation réalisés par notre Comité</w:t>
      </w:r>
      <w:r w:rsidRPr="00090789">
        <w:rPr>
          <w:rStyle w:val="FootnoteReference"/>
          <w:lang w:val="fr-BE"/>
        </w:rPr>
        <w:footnoteReference w:id="1"/>
      </w:r>
      <w:r w:rsidRPr="00090789">
        <w:rPr>
          <w:lang w:val="fr-BE"/>
        </w:rPr>
        <w:t>.</w:t>
      </w:r>
    </w:p>
    <w:p w14:paraId="69EFCE55" w14:textId="77777777" w:rsidR="00E01EE8" w:rsidRPr="00090789" w:rsidRDefault="00E01EE8" w:rsidP="00E01EE8">
      <w:pPr>
        <w:pStyle w:val="Heading2"/>
        <w:numPr>
          <w:ilvl w:val="0"/>
          <w:numId w:val="0"/>
        </w:numPr>
        <w:rPr>
          <w:lang w:val="fr-BE"/>
        </w:rPr>
      </w:pPr>
    </w:p>
    <w:p w14:paraId="2FCB86DF" w14:textId="77777777" w:rsidR="00E01EE8" w:rsidRPr="00090789" w:rsidRDefault="00E01EE8" w:rsidP="00C175A0">
      <w:pPr>
        <w:pStyle w:val="Heading1"/>
        <w:keepNext/>
        <w:keepLines/>
        <w:rPr>
          <w:b/>
          <w:bCs/>
          <w:lang w:val="fr-BE"/>
        </w:rPr>
      </w:pPr>
      <w:r w:rsidRPr="00090789">
        <w:rPr>
          <w:b/>
          <w:bCs/>
          <w:lang w:val="fr-BE"/>
        </w:rPr>
        <w:t>Observations particulières</w:t>
      </w:r>
    </w:p>
    <w:p w14:paraId="2E01D362" w14:textId="77777777" w:rsidR="00E01EE8" w:rsidRPr="00090789" w:rsidRDefault="00E01EE8" w:rsidP="00C175A0">
      <w:pPr>
        <w:pStyle w:val="Heading2"/>
        <w:keepNext/>
        <w:keepLines/>
        <w:numPr>
          <w:ilvl w:val="0"/>
          <w:numId w:val="0"/>
        </w:numPr>
        <w:rPr>
          <w:lang w:val="fr-BE"/>
        </w:rPr>
      </w:pPr>
    </w:p>
    <w:p w14:paraId="17171D30" w14:textId="77777777" w:rsidR="00E01EE8" w:rsidRPr="00090789" w:rsidRDefault="00E01EE8" w:rsidP="00C175A0">
      <w:pPr>
        <w:pStyle w:val="Heading2"/>
        <w:keepNext/>
        <w:keepLines/>
        <w:rPr>
          <w:u w:val="single"/>
          <w:lang w:val="fr-BE"/>
        </w:rPr>
      </w:pPr>
      <w:r w:rsidRPr="00090789">
        <w:rPr>
          <w:u w:val="single"/>
          <w:lang w:val="fr-BE"/>
        </w:rPr>
        <w:t>Compléter le marché unique</w:t>
      </w:r>
    </w:p>
    <w:p w14:paraId="6CC771F5" w14:textId="77777777" w:rsidR="00E01EE8" w:rsidRPr="00090789" w:rsidRDefault="00E01EE8" w:rsidP="00C175A0">
      <w:pPr>
        <w:pStyle w:val="Heading2"/>
        <w:keepNext/>
        <w:keepLines/>
        <w:numPr>
          <w:ilvl w:val="0"/>
          <w:numId w:val="0"/>
        </w:numPr>
        <w:rPr>
          <w:lang w:val="fr-BE"/>
        </w:rPr>
      </w:pPr>
    </w:p>
    <w:p w14:paraId="3A6BB4B2" w14:textId="77777777" w:rsidR="00E01EE8" w:rsidRPr="00090789" w:rsidRDefault="00E01EE8" w:rsidP="00BD134D">
      <w:pPr>
        <w:pStyle w:val="Heading3"/>
        <w:keepNext/>
        <w:rPr>
          <w:lang w:val="fr-BE"/>
        </w:rPr>
      </w:pPr>
      <w:r w:rsidRPr="00090789">
        <w:rPr>
          <w:lang w:val="fr-BE"/>
        </w:rPr>
        <w:t xml:space="preserve">Le CESE soutient l’idée d’un portefeuille numérique d’identité, </w:t>
      </w:r>
      <w:r>
        <w:rPr>
          <w:lang w:val="fr-BE"/>
        </w:rPr>
        <w:t>qui</w:t>
      </w:r>
      <w:r w:rsidRPr="00090789">
        <w:rPr>
          <w:lang w:val="fr-BE"/>
        </w:rPr>
        <w:t xml:space="preserve"> facilitera les déplacements et achats transfrontières. Il demande </w:t>
      </w:r>
      <w:r>
        <w:rPr>
          <w:lang w:val="fr-BE"/>
        </w:rPr>
        <w:t xml:space="preserve">une </w:t>
      </w:r>
      <w:r w:rsidRPr="00090789">
        <w:rPr>
          <w:lang w:val="fr-BE"/>
        </w:rPr>
        <w:t>extrême vigilance face aux risques de piratage de données et plus globalement de cyberattaques.</w:t>
      </w:r>
    </w:p>
    <w:p w14:paraId="50FFF1B2" w14:textId="77777777" w:rsidR="00E01EE8" w:rsidRPr="00090789" w:rsidRDefault="00E01EE8" w:rsidP="00E01EE8">
      <w:pPr>
        <w:pStyle w:val="Heading2"/>
        <w:numPr>
          <w:ilvl w:val="0"/>
          <w:numId w:val="0"/>
        </w:numPr>
        <w:ind w:left="567"/>
        <w:rPr>
          <w:lang w:val="fr-BE"/>
        </w:rPr>
      </w:pPr>
      <w:r w:rsidRPr="00090789">
        <w:rPr>
          <w:lang w:val="fr-BE"/>
        </w:rPr>
        <w:t>Il importe également</w:t>
      </w:r>
      <w:r>
        <w:rPr>
          <w:lang w:val="fr-BE"/>
        </w:rPr>
        <w:t>,</w:t>
      </w:r>
      <w:r w:rsidRPr="00090789">
        <w:rPr>
          <w:lang w:val="fr-BE"/>
        </w:rPr>
        <w:t xml:space="preserve"> dans le même objectif</w:t>
      </w:r>
      <w:r>
        <w:rPr>
          <w:lang w:val="fr-BE"/>
        </w:rPr>
        <w:t>,</w:t>
      </w:r>
      <w:r w:rsidRPr="00090789">
        <w:rPr>
          <w:lang w:val="fr-BE"/>
        </w:rPr>
        <w:t xml:space="preserve"> d’assurer la compatibilité entre les différents réseaux d’identification aux systèmes nationaux d’identification électronique.</w:t>
      </w:r>
    </w:p>
    <w:p w14:paraId="05E81C20" w14:textId="77777777" w:rsidR="00E01EE8" w:rsidRPr="00090789" w:rsidRDefault="00E01EE8" w:rsidP="00E01EE8">
      <w:pPr>
        <w:pStyle w:val="Heading2"/>
        <w:numPr>
          <w:ilvl w:val="0"/>
          <w:numId w:val="0"/>
        </w:numPr>
        <w:rPr>
          <w:lang w:val="fr-BE"/>
        </w:rPr>
      </w:pPr>
    </w:p>
    <w:p w14:paraId="348B9EAA" w14:textId="77777777" w:rsidR="00E01EE8" w:rsidRPr="00090789" w:rsidRDefault="00E01EE8" w:rsidP="00E01EE8">
      <w:pPr>
        <w:pStyle w:val="Heading3"/>
        <w:rPr>
          <w:lang w:val="fr-BE"/>
        </w:rPr>
      </w:pPr>
      <w:r w:rsidRPr="00090789">
        <w:rPr>
          <w:lang w:val="fr-BE"/>
        </w:rPr>
        <w:t>Le CESE souligne l’absence quasi</w:t>
      </w:r>
      <w:r>
        <w:rPr>
          <w:lang w:val="fr-BE"/>
        </w:rPr>
        <w:t xml:space="preserve"> </w:t>
      </w:r>
      <w:r w:rsidRPr="00090789">
        <w:rPr>
          <w:lang w:val="fr-BE"/>
        </w:rPr>
        <w:t>totale dans l’agenda de réflexion sur le</w:t>
      </w:r>
      <w:r>
        <w:rPr>
          <w:lang w:val="fr-BE"/>
        </w:rPr>
        <w:t>s</w:t>
      </w:r>
      <w:r w:rsidRPr="00090789">
        <w:rPr>
          <w:lang w:val="fr-BE"/>
        </w:rPr>
        <w:t xml:space="preserve"> prix, alors qu</w:t>
      </w:r>
      <w:r>
        <w:rPr>
          <w:lang w:val="fr-BE"/>
        </w:rPr>
        <w:t>e ceux-ci</w:t>
      </w:r>
      <w:r w:rsidRPr="00090789">
        <w:rPr>
          <w:lang w:val="fr-BE"/>
        </w:rPr>
        <w:t xml:space="preserve"> constitue</w:t>
      </w:r>
      <w:r>
        <w:rPr>
          <w:lang w:val="fr-BE"/>
        </w:rPr>
        <w:t>nt</w:t>
      </w:r>
      <w:r w:rsidRPr="00090789">
        <w:rPr>
          <w:lang w:val="fr-BE"/>
        </w:rPr>
        <w:t xml:space="preserve"> le principal signal de marché pour les consommateurs. Le CESE recommande d’intégrer une politique de transparence </w:t>
      </w:r>
      <w:r>
        <w:rPr>
          <w:lang w:val="fr-BE"/>
        </w:rPr>
        <w:t>des</w:t>
      </w:r>
      <w:r w:rsidRPr="00090789">
        <w:rPr>
          <w:lang w:val="fr-BE"/>
        </w:rPr>
        <w:t xml:space="preserve"> prix</w:t>
      </w:r>
      <w:r>
        <w:rPr>
          <w:lang w:val="fr-BE"/>
        </w:rPr>
        <w:t xml:space="preserve"> et</w:t>
      </w:r>
      <w:r w:rsidRPr="00090789">
        <w:rPr>
          <w:lang w:val="fr-BE"/>
        </w:rPr>
        <w:t xml:space="preserve"> de lutte contre les pratiques d’illusion tarifaire (fausses promotions, prix de référence manipulés)</w:t>
      </w:r>
      <w:r>
        <w:rPr>
          <w:lang w:val="fr-BE"/>
        </w:rPr>
        <w:t>.</w:t>
      </w:r>
    </w:p>
    <w:p w14:paraId="6B52AB95" w14:textId="77777777" w:rsidR="00E01EE8" w:rsidRDefault="00E01EE8" w:rsidP="00E01EE8">
      <w:pPr>
        <w:pStyle w:val="Heading2"/>
        <w:numPr>
          <w:ilvl w:val="0"/>
          <w:numId w:val="0"/>
        </w:numPr>
        <w:rPr>
          <w:lang w:val="fr-BE"/>
        </w:rPr>
      </w:pPr>
    </w:p>
    <w:p w14:paraId="5D8D6C70" w14:textId="77777777" w:rsidR="00E01EE8" w:rsidRDefault="00E01EE8" w:rsidP="00E01EE8">
      <w:pPr>
        <w:pStyle w:val="Heading3"/>
        <w:rPr>
          <w:lang w:val="fr-BE"/>
        </w:rPr>
      </w:pPr>
      <w:r w:rsidRPr="00057B16">
        <w:rPr>
          <w:lang w:val="fr-BE"/>
        </w:rPr>
        <w:t>Le CESE souligne l</w:t>
      </w:r>
      <w:r>
        <w:rPr>
          <w:lang w:val="fr-BE"/>
        </w:rPr>
        <w:t>’</w:t>
      </w:r>
      <w:r w:rsidRPr="00057B16">
        <w:rPr>
          <w:lang w:val="fr-BE"/>
        </w:rPr>
        <w:t xml:space="preserve">importance des normes européennes en matière de sécurité et de protection des consommateurs, ainsi que </w:t>
      </w:r>
      <w:r>
        <w:rPr>
          <w:lang w:val="fr-BE"/>
        </w:rPr>
        <w:t>la nécessité</w:t>
      </w:r>
      <w:r w:rsidRPr="00057B16">
        <w:rPr>
          <w:lang w:val="fr-BE"/>
        </w:rPr>
        <w:t xml:space="preserve"> de la participation des consommateurs à la normalisation. Cela inclut un financement adéquat pour l</w:t>
      </w:r>
      <w:r>
        <w:rPr>
          <w:lang w:val="fr-BE"/>
        </w:rPr>
        <w:t>’</w:t>
      </w:r>
      <w:r w:rsidRPr="00057B16">
        <w:rPr>
          <w:lang w:val="fr-BE"/>
        </w:rPr>
        <w:t>ANEC et l</w:t>
      </w:r>
      <w:r>
        <w:rPr>
          <w:lang w:val="fr-BE"/>
        </w:rPr>
        <w:t>’</w:t>
      </w:r>
      <w:r w:rsidRPr="00057B16">
        <w:rPr>
          <w:lang w:val="fr-BE"/>
        </w:rPr>
        <w:t>encouragement des États membres à soutenir la participation des consommateurs à la normalisation.</w:t>
      </w:r>
    </w:p>
    <w:p w14:paraId="1585E187" w14:textId="77777777" w:rsidR="00E01EE8" w:rsidRPr="00057B16" w:rsidRDefault="00E01EE8" w:rsidP="00E01EE8">
      <w:pPr>
        <w:rPr>
          <w:lang w:val="fr-BE"/>
        </w:rPr>
      </w:pPr>
    </w:p>
    <w:p w14:paraId="4C29AD8B" w14:textId="77777777" w:rsidR="00E01EE8" w:rsidRDefault="00E01EE8" w:rsidP="00C175A0">
      <w:pPr>
        <w:pStyle w:val="Heading2"/>
        <w:keepNext/>
        <w:keepLines/>
        <w:rPr>
          <w:u w:val="single"/>
          <w:lang w:val="fr-BE"/>
        </w:rPr>
      </w:pPr>
      <w:r w:rsidRPr="00090789">
        <w:rPr>
          <w:u w:val="single"/>
          <w:lang w:val="fr-BE"/>
        </w:rPr>
        <w:t>Protéger le consommateur en ligne</w:t>
      </w:r>
    </w:p>
    <w:p w14:paraId="75F37B7E" w14:textId="77777777" w:rsidR="00E01EE8" w:rsidRPr="00193C8A" w:rsidRDefault="00E01EE8" w:rsidP="00BD134D">
      <w:pPr>
        <w:pStyle w:val="Heading3"/>
        <w:keepNext/>
        <w:numPr>
          <w:ilvl w:val="0"/>
          <w:numId w:val="0"/>
        </w:numPr>
        <w:rPr>
          <w:lang w:val="fr-BE"/>
        </w:rPr>
      </w:pPr>
    </w:p>
    <w:p w14:paraId="18D5945A" w14:textId="77777777" w:rsidR="00E01EE8" w:rsidRDefault="00E01EE8" w:rsidP="00BD134D">
      <w:pPr>
        <w:pStyle w:val="Heading3"/>
        <w:keepNext/>
        <w:rPr>
          <w:lang w:val="fr-BE"/>
        </w:rPr>
      </w:pPr>
      <w:r w:rsidRPr="00193C8A">
        <w:rPr>
          <w:lang w:val="fr-BE"/>
        </w:rPr>
        <w:t>Le CESE relève la contradiction qui existe entre la volonté de la Commission d’améliorer la possibilité pour le consommateur de payer en espèces, et la raréfaction croissante des distributeurs automatiques de billets. L’accès à des liquidités est essentiel pour de nombreux groupes de consommateurs vulnérables aujourd’hui, et pour tous les consommateurs en temps de crise</w:t>
      </w:r>
      <w:r>
        <w:rPr>
          <w:lang w:val="fr-BE"/>
        </w:rPr>
        <w:t>.</w:t>
      </w:r>
    </w:p>
    <w:p w14:paraId="54A8F2AC" w14:textId="77777777" w:rsidR="00E01EE8" w:rsidRPr="00FB23A8" w:rsidRDefault="00E01EE8" w:rsidP="00E01EE8">
      <w:pPr>
        <w:rPr>
          <w:lang w:val="fr-BE"/>
        </w:rPr>
      </w:pPr>
    </w:p>
    <w:p w14:paraId="7072903D" w14:textId="77777777" w:rsidR="00E01EE8" w:rsidRPr="00090789" w:rsidRDefault="00E01EE8" w:rsidP="00E01EE8">
      <w:pPr>
        <w:pStyle w:val="Heading3"/>
        <w:rPr>
          <w:lang w:val="fr-BE"/>
        </w:rPr>
      </w:pPr>
      <w:r>
        <w:rPr>
          <w:lang w:val="fr-BE"/>
        </w:rPr>
        <w:t>En ce qui concerne</w:t>
      </w:r>
      <w:r w:rsidRPr="00090789">
        <w:rPr>
          <w:lang w:val="fr-BE"/>
        </w:rPr>
        <w:t xml:space="preserve"> </w:t>
      </w:r>
      <w:r>
        <w:rPr>
          <w:lang w:val="fr-BE"/>
        </w:rPr>
        <w:t xml:space="preserve">la question de </w:t>
      </w:r>
      <w:r w:rsidRPr="00090789">
        <w:rPr>
          <w:lang w:val="fr-BE"/>
        </w:rPr>
        <w:t>la surcharge informationnelle</w:t>
      </w:r>
      <w:r>
        <w:rPr>
          <w:lang w:val="fr-BE"/>
        </w:rPr>
        <w:t>,</w:t>
      </w:r>
      <w:r w:rsidRPr="00090789">
        <w:rPr>
          <w:lang w:val="fr-BE"/>
        </w:rPr>
        <w:t xml:space="preserve"> le CESE observe que l’agenda multiplie les obligations d’information sans traiter le problème central de la surcharge cognitive du consommateur. Le CESE recommande une stratégie européenne de lisibilité des marchés, incluant des tests systématiques de compréhension réelle et non seulement des obligations formelles de transparence.</w:t>
      </w:r>
    </w:p>
    <w:p w14:paraId="7614799B" w14:textId="77777777" w:rsidR="00E01EE8" w:rsidRPr="00090789" w:rsidRDefault="00E01EE8" w:rsidP="00E01EE8">
      <w:pPr>
        <w:pStyle w:val="Heading2"/>
        <w:numPr>
          <w:ilvl w:val="0"/>
          <w:numId w:val="0"/>
        </w:numPr>
        <w:rPr>
          <w:lang w:val="fr-BE"/>
        </w:rPr>
      </w:pPr>
    </w:p>
    <w:p w14:paraId="0A8A1C7C" w14:textId="77777777" w:rsidR="00E01EE8" w:rsidRPr="00090789" w:rsidRDefault="00E01EE8" w:rsidP="00E01EE8">
      <w:pPr>
        <w:pStyle w:val="Heading3"/>
        <w:rPr>
          <w:lang w:val="fr-BE"/>
        </w:rPr>
      </w:pPr>
      <w:r>
        <w:rPr>
          <w:lang w:val="fr-BE"/>
        </w:rPr>
        <w:t>Pour ce qui est de</w:t>
      </w:r>
      <w:r w:rsidRPr="00090789">
        <w:rPr>
          <w:lang w:val="fr-BE"/>
        </w:rPr>
        <w:t xml:space="preserve"> l’étiquetage numérique</w:t>
      </w:r>
      <w:r>
        <w:rPr>
          <w:lang w:val="fr-BE"/>
        </w:rPr>
        <w:t>,</w:t>
      </w:r>
      <w:r w:rsidRPr="00090789">
        <w:rPr>
          <w:lang w:val="fr-BE"/>
        </w:rPr>
        <w:t xml:space="preserve"> le CESE alerte sur la tendance à remplacer les étiquettes physiques par des outils numériques (QR codes). Les outils </w:t>
      </w:r>
      <w:r>
        <w:rPr>
          <w:lang w:val="fr-BE"/>
        </w:rPr>
        <w:t>numériques</w:t>
      </w:r>
      <w:r w:rsidRPr="00090789">
        <w:rPr>
          <w:lang w:val="fr-BE"/>
        </w:rPr>
        <w:t xml:space="preserve"> ne peuvent se substituer aux étiquettes sur emballage pour les informations </w:t>
      </w:r>
      <w:proofErr w:type="gramStart"/>
      <w:r w:rsidRPr="00090789">
        <w:rPr>
          <w:lang w:val="fr-BE"/>
        </w:rPr>
        <w:t>essentielles:</w:t>
      </w:r>
      <w:proofErr w:type="gramEnd"/>
      <w:r w:rsidRPr="00090789">
        <w:rPr>
          <w:lang w:val="fr-BE"/>
        </w:rPr>
        <w:t xml:space="preserve"> cette évolution exclu</w:t>
      </w:r>
      <w:r>
        <w:rPr>
          <w:lang w:val="fr-BE"/>
        </w:rPr>
        <w:t>t</w:t>
      </w:r>
      <w:r w:rsidRPr="00090789">
        <w:rPr>
          <w:lang w:val="fr-BE"/>
        </w:rPr>
        <w:t xml:space="preserve"> les consommateurs vulnérables, </w:t>
      </w:r>
      <w:r>
        <w:rPr>
          <w:lang w:val="fr-BE"/>
        </w:rPr>
        <w:t xml:space="preserve">les personnes porteuses de handicaps et </w:t>
      </w:r>
      <w:r w:rsidRPr="00090789">
        <w:rPr>
          <w:lang w:val="fr-BE"/>
        </w:rPr>
        <w:t xml:space="preserve">les personnes âgées, et rend l’accès à l’information plus coûteux en temps et en attention. Le CESE recommande que l’étiquetage numérique soit conçu comme un complément, </w:t>
      </w:r>
      <w:r>
        <w:rPr>
          <w:lang w:val="fr-BE"/>
        </w:rPr>
        <w:t xml:space="preserve">et </w:t>
      </w:r>
      <w:r w:rsidRPr="00090789">
        <w:rPr>
          <w:lang w:val="fr-BE"/>
        </w:rPr>
        <w:t xml:space="preserve">non un substitut, à l’information physique </w:t>
      </w:r>
      <w:r>
        <w:rPr>
          <w:lang w:val="fr-BE"/>
        </w:rPr>
        <w:t xml:space="preserve">apposée </w:t>
      </w:r>
      <w:r w:rsidRPr="00090789">
        <w:rPr>
          <w:lang w:val="fr-BE"/>
        </w:rPr>
        <w:t>sur les produits.</w:t>
      </w:r>
    </w:p>
    <w:p w14:paraId="6F73672F" w14:textId="77777777" w:rsidR="00E01EE8" w:rsidRDefault="00E01EE8" w:rsidP="00E01EE8">
      <w:pPr>
        <w:pStyle w:val="Heading2"/>
        <w:numPr>
          <w:ilvl w:val="0"/>
          <w:numId w:val="0"/>
        </w:numPr>
        <w:rPr>
          <w:lang w:val="fr-BE"/>
        </w:rPr>
      </w:pPr>
    </w:p>
    <w:p w14:paraId="394A615F" w14:textId="77777777" w:rsidR="00E01EE8" w:rsidRDefault="00E01EE8" w:rsidP="00E01EE8">
      <w:pPr>
        <w:pStyle w:val="Heading3"/>
        <w:rPr>
          <w:lang w:val="fr-BE"/>
        </w:rPr>
      </w:pPr>
      <w:r w:rsidRPr="001C7059">
        <w:rPr>
          <w:lang w:val="fr-BE"/>
        </w:rPr>
        <w:t xml:space="preserve">Le CESE </w:t>
      </w:r>
      <w:r>
        <w:rPr>
          <w:lang w:val="fr-BE"/>
        </w:rPr>
        <w:t>deman</w:t>
      </w:r>
      <w:r w:rsidRPr="001C7059">
        <w:rPr>
          <w:lang w:val="fr-BE"/>
        </w:rPr>
        <w:t>de d’accro</w:t>
      </w:r>
      <w:r>
        <w:rPr>
          <w:lang w:val="fr-BE"/>
        </w:rPr>
        <w:t>î</w:t>
      </w:r>
      <w:r w:rsidRPr="001C7059">
        <w:rPr>
          <w:lang w:val="fr-BE"/>
        </w:rPr>
        <w:t>tre la transparence et la possibilité offerte au consommateur de s’opposer au traçage et au profilage à des fins publicitaires.</w:t>
      </w:r>
    </w:p>
    <w:p w14:paraId="7586578B" w14:textId="77777777" w:rsidR="00E01EE8" w:rsidRPr="001C7059" w:rsidRDefault="00E01EE8" w:rsidP="00E01EE8">
      <w:pPr>
        <w:rPr>
          <w:lang w:val="fr-BE"/>
        </w:rPr>
      </w:pPr>
    </w:p>
    <w:p w14:paraId="3DD96E20" w14:textId="77777777" w:rsidR="00E01EE8" w:rsidRPr="00090789" w:rsidRDefault="00E01EE8" w:rsidP="00C175A0">
      <w:pPr>
        <w:pStyle w:val="Heading2"/>
        <w:keepNext/>
        <w:keepLines/>
        <w:rPr>
          <w:u w:val="single"/>
          <w:lang w:val="fr-BE"/>
        </w:rPr>
      </w:pPr>
      <w:r w:rsidRPr="00090789">
        <w:rPr>
          <w:u w:val="single"/>
          <w:lang w:val="fr-BE"/>
        </w:rPr>
        <w:t>Dynamiser la consommation durable</w:t>
      </w:r>
    </w:p>
    <w:p w14:paraId="59629A90" w14:textId="77777777" w:rsidR="00E01EE8" w:rsidRPr="00090789" w:rsidRDefault="00E01EE8" w:rsidP="00C175A0">
      <w:pPr>
        <w:pStyle w:val="Heading2"/>
        <w:keepNext/>
        <w:keepLines/>
        <w:numPr>
          <w:ilvl w:val="0"/>
          <w:numId w:val="0"/>
        </w:numPr>
        <w:rPr>
          <w:lang w:val="fr-BE"/>
        </w:rPr>
      </w:pPr>
    </w:p>
    <w:p w14:paraId="36D07775" w14:textId="77777777" w:rsidR="00E01EE8" w:rsidRPr="005C62B4" w:rsidRDefault="00E01EE8" w:rsidP="00BD134D">
      <w:pPr>
        <w:pStyle w:val="Heading3"/>
        <w:keepNext/>
        <w:numPr>
          <w:ilvl w:val="0"/>
          <w:numId w:val="0"/>
        </w:numPr>
        <w:ind w:left="567"/>
        <w:rPr>
          <w:lang w:val="fr-BE"/>
        </w:rPr>
      </w:pPr>
      <w:r w:rsidRPr="005C62B4">
        <w:rPr>
          <w:lang w:val="fr-BE"/>
        </w:rPr>
        <w:t>La Commission semble avoir fortement réduit son intérêt en la matière. L’agenda du consommateur ne comporte aucune indication précise sur le rôle du marketing et de la publicité dans les incitations permanentes à consommer, sur l’information relative à la durabilité et la réparabilité des produits, sur l’affichage environnemental, sur le devenir de la directive relative aux allégations environnementales ou encore sur le rôle des influenceurs, et notamment ceux opérant depuis des États situés en dehors de l’Union européenne. Le sujet de la consommation équitable (commerce équitable) aurait dû être intégré.</w:t>
      </w:r>
      <w:r>
        <w:rPr>
          <w:lang w:val="fr-BE"/>
        </w:rPr>
        <w:t xml:space="preserve"> </w:t>
      </w:r>
      <w:r w:rsidRPr="005C62B4">
        <w:rPr>
          <w:lang w:val="fr-BE"/>
        </w:rPr>
        <w:t>Si le CESE se félicite du lancement en 2028 d’une plateforme européenne pour la réparation, il note que celle-ci était déjà prévue par la directive de 2024 sur le droit à la réparation.</w:t>
      </w:r>
    </w:p>
    <w:p w14:paraId="7683819E" w14:textId="77777777" w:rsidR="00E01EE8" w:rsidRPr="00090789" w:rsidRDefault="00E01EE8" w:rsidP="00E01EE8">
      <w:pPr>
        <w:pStyle w:val="Heading2"/>
        <w:numPr>
          <w:ilvl w:val="0"/>
          <w:numId w:val="0"/>
        </w:numPr>
        <w:ind w:left="567"/>
        <w:rPr>
          <w:lang w:val="fr-BE"/>
        </w:rPr>
      </w:pPr>
      <w:r>
        <w:rPr>
          <w:lang w:val="fr-BE"/>
        </w:rPr>
        <w:t>Par ailleurs, l</w:t>
      </w:r>
      <w:r w:rsidRPr="00090789">
        <w:rPr>
          <w:lang w:val="fr-BE"/>
        </w:rPr>
        <w:t xml:space="preserve">e réemploi demanderait à être davantage soutenu comme cela existe déjà dans certains pays, notamment </w:t>
      </w:r>
      <w:r>
        <w:rPr>
          <w:lang w:val="fr-BE"/>
        </w:rPr>
        <w:t xml:space="preserve">dans </w:t>
      </w:r>
      <w:r w:rsidRPr="00090789">
        <w:rPr>
          <w:lang w:val="fr-BE"/>
        </w:rPr>
        <w:t xml:space="preserve">le secteur automobile </w:t>
      </w:r>
      <w:r>
        <w:rPr>
          <w:lang w:val="fr-BE"/>
        </w:rPr>
        <w:t>en ce qui concerne</w:t>
      </w:r>
      <w:r w:rsidRPr="009B21B0">
        <w:rPr>
          <w:lang w:val="fr-BE"/>
        </w:rPr>
        <w:t xml:space="preserve"> </w:t>
      </w:r>
      <w:r>
        <w:rPr>
          <w:lang w:val="fr-BE"/>
        </w:rPr>
        <w:t>l</w:t>
      </w:r>
      <w:r w:rsidRPr="00090789">
        <w:rPr>
          <w:lang w:val="fr-BE"/>
        </w:rPr>
        <w:t>es pièces de récupération.</w:t>
      </w:r>
    </w:p>
    <w:p w14:paraId="2E107A7E" w14:textId="77777777" w:rsidR="00E01EE8" w:rsidRPr="005244EF" w:rsidRDefault="00E01EE8" w:rsidP="00E01EE8">
      <w:pPr>
        <w:pStyle w:val="Heading2"/>
        <w:numPr>
          <w:ilvl w:val="0"/>
          <w:numId w:val="0"/>
        </w:numPr>
        <w:rPr>
          <w:lang w:val="fr-BE"/>
        </w:rPr>
      </w:pPr>
    </w:p>
    <w:p w14:paraId="4938036C" w14:textId="77777777" w:rsidR="00E01EE8" w:rsidRPr="00090789" w:rsidRDefault="00E01EE8" w:rsidP="00E01EE8">
      <w:pPr>
        <w:pStyle w:val="Heading3"/>
        <w:rPr>
          <w:lang w:val="fr-BE"/>
        </w:rPr>
      </w:pPr>
      <w:r>
        <w:rPr>
          <w:lang w:val="fr-BE"/>
        </w:rPr>
        <w:t>Pour ce qui est de</w:t>
      </w:r>
      <w:r w:rsidRPr="00090789">
        <w:rPr>
          <w:lang w:val="fr-BE"/>
        </w:rPr>
        <w:t xml:space="preserve"> la publicité</w:t>
      </w:r>
      <w:r>
        <w:rPr>
          <w:lang w:val="fr-BE"/>
        </w:rPr>
        <w:t>,</w:t>
      </w:r>
      <w:r w:rsidRPr="00090789">
        <w:rPr>
          <w:lang w:val="fr-BE"/>
        </w:rPr>
        <w:t xml:space="preserve"> le CESE regrette l’absence de toute réflexion sur le rôle de </w:t>
      </w:r>
      <w:r>
        <w:rPr>
          <w:lang w:val="fr-BE"/>
        </w:rPr>
        <w:t>cette dernière</w:t>
      </w:r>
      <w:r w:rsidRPr="00090789">
        <w:rPr>
          <w:lang w:val="fr-BE"/>
        </w:rPr>
        <w:t xml:space="preserve"> dans la formation des comportements. Alors que l’agenda vise à</w:t>
      </w:r>
      <w:proofErr w:type="gramStart"/>
      <w:r w:rsidRPr="00090789">
        <w:rPr>
          <w:lang w:val="fr-BE"/>
        </w:rPr>
        <w:t xml:space="preserve"> «autonomiser</w:t>
      </w:r>
      <w:proofErr w:type="gramEnd"/>
      <w:r w:rsidRPr="00090789">
        <w:rPr>
          <w:lang w:val="fr-BE"/>
        </w:rPr>
        <w:t>» le consommateur, le</w:t>
      </w:r>
      <w:r>
        <w:rPr>
          <w:lang w:val="fr-BE"/>
        </w:rPr>
        <w:t xml:space="preserve"> problème de</w:t>
      </w:r>
      <w:r w:rsidRPr="00090789">
        <w:rPr>
          <w:lang w:val="fr-BE"/>
        </w:rPr>
        <w:t>s incitations permanentes à la surconsommation</w:t>
      </w:r>
      <w:r>
        <w:rPr>
          <w:lang w:val="fr-BE"/>
        </w:rPr>
        <w:t xml:space="preserve"> est ignoré</w:t>
      </w:r>
      <w:r w:rsidRPr="00090789">
        <w:rPr>
          <w:lang w:val="fr-BE"/>
        </w:rPr>
        <w:t xml:space="preserve">. </w:t>
      </w:r>
      <w:r w:rsidRPr="005A3262">
        <w:rPr>
          <w:lang w:val="fr-BE"/>
        </w:rPr>
        <w:t xml:space="preserve">Ce point devra être pris en compte dans </w:t>
      </w:r>
      <w:r>
        <w:rPr>
          <w:lang w:val="fr-BE"/>
        </w:rPr>
        <w:t>la législation</w:t>
      </w:r>
      <w:r w:rsidRPr="000D1F37">
        <w:t xml:space="preserve"> sur l’équité numérique</w:t>
      </w:r>
      <w:r w:rsidRPr="005A3262">
        <w:rPr>
          <w:lang w:val="fr-BE"/>
        </w:rPr>
        <w:t>, notamment avec la question des interfaces numériques manipulatrices (</w:t>
      </w:r>
      <w:r w:rsidRPr="00B94068">
        <w:rPr>
          <w:i/>
          <w:iCs/>
          <w:lang w:val="fr-BE"/>
        </w:rPr>
        <w:t>Dark Patterns</w:t>
      </w:r>
      <w:r w:rsidRPr="005A3262">
        <w:rPr>
          <w:lang w:val="fr-BE"/>
        </w:rPr>
        <w:t xml:space="preserve">). </w:t>
      </w:r>
      <w:r w:rsidRPr="00090789">
        <w:rPr>
          <w:lang w:val="fr-BE"/>
        </w:rPr>
        <w:t>Le CESE recommande d’étudier l’encadrement de la publicité pour les produits à forte empreinte environnementale, à l’instar des restrictions existantes</w:t>
      </w:r>
      <w:r>
        <w:rPr>
          <w:lang w:val="fr-BE"/>
        </w:rPr>
        <w:t>,</w:t>
      </w:r>
      <w:r w:rsidRPr="00090789">
        <w:rPr>
          <w:lang w:val="fr-BE"/>
        </w:rPr>
        <w:t xml:space="preserve"> </w:t>
      </w:r>
      <w:r>
        <w:rPr>
          <w:lang w:val="fr-BE"/>
        </w:rPr>
        <w:t>comme pour</w:t>
      </w:r>
      <w:r w:rsidRPr="00090789">
        <w:rPr>
          <w:lang w:val="fr-BE"/>
        </w:rPr>
        <w:t xml:space="preserve"> le tabac.</w:t>
      </w:r>
    </w:p>
    <w:p w14:paraId="04E8234D" w14:textId="77777777" w:rsidR="00E01EE8" w:rsidRPr="00090789" w:rsidRDefault="00E01EE8" w:rsidP="00E01EE8">
      <w:pPr>
        <w:pStyle w:val="Heading2"/>
        <w:numPr>
          <w:ilvl w:val="0"/>
          <w:numId w:val="0"/>
        </w:numPr>
        <w:rPr>
          <w:lang w:val="fr-BE"/>
        </w:rPr>
      </w:pPr>
    </w:p>
    <w:p w14:paraId="589EE503" w14:textId="3D0604A8" w:rsidR="00E01EE8" w:rsidRDefault="00E01EE8" w:rsidP="00E01EE8">
      <w:pPr>
        <w:pStyle w:val="Heading3"/>
        <w:rPr>
          <w:lang w:val="fr-BE"/>
        </w:rPr>
      </w:pPr>
      <w:r>
        <w:rPr>
          <w:lang w:val="fr-BE"/>
        </w:rPr>
        <w:t>Concernant</w:t>
      </w:r>
      <w:r w:rsidRPr="00090789">
        <w:rPr>
          <w:lang w:val="fr-BE"/>
        </w:rPr>
        <w:t xml:space="preserve"> l’infrastructure de l’économie circulaire</w:t>
      </w:r>
      <w:r>
        <w:rPr>
          <w:lang w:val="fr-BE"/>
        </w:rPr>
        <w:t>,</w:t>
      </w:r>
      <w:r w:rsidRPr="00090789">
        <w:rPr>
          <w:lang w:val="fr-BE"/>
        </w:rPr>
        <w:t xml:space="preserve"> le CESE observe que les pratiques d’économie circulaire </w:t>
      </w:r>
      <w:proofErr w:type="gramStart"/>
      <w:r w:rsidRPr="00090789">
        <w:rPr>
          <w:lang w:val="fr-BE"/>
        </w:rPr>
        <w:t>(</w:t>
      </w:r>
      <w:r>
        <w:rPr>
          <w:lang w:val="fr-BE"/>
        </w:rPr>
        <w:t>«</w:t>
      </w:r>
      <w:proofErr w:type="spellStart"/>
      <w:r w:rsidRPr="00090789">
        <w:rPr>
          <w:lang w:val="fr-BE"/>
        </w:rPr>
        <w:t>repair</w:t>
      </w:r>
      <w:proofErr w:type="spellEnd"/>
      <w:proofErr w:type="gramEnd"/>
      <w:r w:rsidRPr="00090789">
        <w:rPr>
          <w:lang w:val="fr-BE"/>
        </w:rPr>
        <w:t xml:space="preserve"> </w:t>
      </w:r>
      <w:proofErr w:type="gramStart"/>
      <w:r w:rsidRPr="00090789">
        <w:rPr>
          <w:lang w:val="fr-BE"/>
        </w:rPr>
        <w:t>cafés</w:t>
      </w:r>
      <w:r>
        <w:rPr>
          <w:lang w:val="fr-BE"/>
        </w:rPr>
        <w:t>»</w:t>
      </w:r>
      <w:proofErr w:type="gramEnd"/>
      <w:r w:rsidRPr="00090789">
        <w:rPr>
          <w:lang w:val="fr-BE"/>
        </w:rPr>
        <w:t xml:space="preserve">, ressourceries) reposent aujourd’hui sur l’engagement de citoyens et d’associations, sans soutien structurel. Le CESE recommande que les États membres développent une infrastructure publique de la </w:t>
      </w:r>
      <w:proofErr w:type="gramStart"/>
      <w:r w:rsidRPr="00090789">
        <w:rPr>
          <w:lang w:val="fr-BE"/>
        </w:rPr>
        <w:t>circularité:</w:t>
      </w:r>
      <w:proofErr w:type="gramEnd"/>
      <w:r w:rsidRPr="00090789">
        <w:rPr>
          <w:lang w:val="fr-BE"/>
        </w:rPr>
        <w:t xml:space="preserve"> intégration de services de prêt et de réparation dans les </w:t>
      </w:r>
      <w:r>
        <w:rPr>
          <w:lang w:val="fr-BE"/>
        </w:rPr>
        <w:t>installations</w:t>
      </w:r>
      <w:r w:rsidRPr="00090789">
        <w:rPr>
          <w:lang w:val="fr-BE"/>
        </w:rPr>
        <w:t xml:space="preserve"> municipa</w:t>
      </w:r>
      <w:r>
        <w:rPr>
          <w:lang w:val="fr-BE"/>
        </w:rPr>
        <w:t>les</w:t>
      </w:r>
      <w:r w:rsidRPr="00090789">
        <w:rPr>
          <w:lang w:val="fr-BE"/>
        </w:rPr>
        <w:t xml:space="preserve"> (sur le modèle des bibliothèques publiques), soutien financier aux initiatives citoyennes </w:t>
      </w:r>
      <w:r>
        <w:rPr>
          <w:lang w:val="fr-BE"/>
        </w:rPr>
        <w:t>ou encore</w:t>
      </w:r>
      <w:r w:rsidRPr="00090789">
        <w:rPr>
          <w:lang w:val="fr-BE"/>
        </w:rPr>
        <w:t xml:space="preserve"> maillage territorial garantissant l’accès de </w:t>
      </w:r>
      <w:r>
        <w:rPr>
          <w:lang w:val="fr-BE"/>
        </w:rPr>
        <w:t xml:space="preserve">toutes et de </w:t>
      </w:r>
      <w:r w:rsidRPr="00090789">
        <w:rPr>
          <w:lang w:val="fr-BE"/>
        </w:rPr>
        <w:t>tous aux pratiques de réemploi et de réparation.</w:t>
      </w:r>
    </w:p>
    <w:p w14:paraId="62C48C17" w14:textId="77777777" w:rsidR="00E01EE8" w:rsidRPr="0084634B" w:rsidRDefault="00E01EE8" w:rsidP="00E01EE8">
      <w:pPr>
        <w:ind w:left="567"/>
        <w:rPr>
          <w:lang w:val="fr-BE"/>
        </w:rPr>
      </w:pPr>
      <w:r>
        <w:rPr>
          <w:lang w:val="fr-BE"/>
        </w:rPr>
        <w:t>Le CESE rappelle son souhait que soit lancée une vaste campagne de formation aux métiers de la réparation. Le métier a profondément changé, n’est pas délocalisable et représente un important gisement d’emploi.</w:t>
      </w:r>
    </w:p>
    <w:p w14:paraId="293F2CB1" w14:textId="77777777" w:rsidR="00E01EE8" w:rsidRPr="00090789" w:rsidRDefault="00E01EE8" w:rsidP="00E01EE8">
      <w:pPr>
        <w:pStyle w:val="Heading2"/>
        <w:numPr>
          <w:ilvl w:val="0"/>
          <w:numId w:val="0"/>
        </w:numPr>
        <w:rPr>
          <w:lang w:val="fr-BE"/>
        </w:rPr>
      </w:pPr>
    </w:p>
    <w:p w14:paraId="77A25013" w14:textId="77777777" w:rsidR="00E01EE8" w:rsidRPr="00090789" w:rsidRDefault="00E01EE8" w:rsidP="00E01EE8">
      <w:pPr>
        <w:pStyle w:val="Heading3"/>
        <w:rPr>
          <w:lang w:val="fr-BE"/>
        </w:rPr>
      </w:pPr>
      <w:r w:rsidRPr="0077687E">
        <w:rPr>
          <w:lang w:val="fr-BE"/>
        </w:rPr>
        <w:t>Le CESE appelle de ses vœux une mise en œuvre rapide du règlement sur l’écoconception</w:t>
      </w:r>
      <w:r>
        <w:rPr>
          <w:rStyle w:val="FootnoteReference"/>
          <w:lang w:val="fr-BE"/>
        </w:rPr>
        <w:footnoteReference w:id="2"/>
      </w:r>
      <w:r>
        <w:rPr>
          <w:lang w:val="fr-BE"/>
        </w:rPr>
        <w:t xml:space="preserve"> et</w:t>
      </w:r>
      <w:r w:rsidRPr="0077687E">
        <w:rPr>
          <w:lang w:val="fr-BE"/>
        </w:rPr>
        <w:t xml:space="preserve"> la mise en place de la plateforme européenne de réparation prévue dans la directive</w:t>
      </w:r>
      <w:r w:rsidRPr="000D1F37">
        <w:rPr>
          <w:lang w:val="fr-BE"/>
        </w:rPr>
        <w:t xml:space="preserve"> </w:t>
      </w:r>
      <w:r w:rsidRPr="0077687E">
        <w:rPr>
          <w:lang w:val="fr-BE"/>
        </w:rPr>
        <w:t>du 13</w:t>
      </w:r>
      <w:r>
        <w:rPr>
          <w:lang w:val="fr-BE"/>
        </w:rPr>
        <w:t> </w:t>
      </w:r>
      <w:r w:rsidRPr="0077687E">
        <w:rPr>
          <w:lang w:val="fr-BE"/>
        </w:rPr>
        <w:t xml:space="preserve">juin 2024 </w:t>
      </w:r>
      <w:r>
        <w:rPr>
          <w:lang w:val="fr-BE"/>
        </w:rPr>
        <w:t>sur le d</w:t>
      </w:r>
      <w:r w:rsidRPr="0077687E">
        <w:rPr>
          <w:lang w:val="fr-BE"/>
        </w:rPr>
        <w:t>roit à la réparation</w:t>
      </w:r>
      <w:r>
        <w:rPr>
          <w:rStyle w:val="FootnoteReference"/>
          <w:lang w:val="fr-BE"/>
        </w:rPr>
        <w:footnoteReference w:id="3"/>
      </w:r>
      <w:r>
        <w:rPr>
          <w:lang w:val="fr-BE"/>
        </w:rPr>
        <w:t>.</w:t>
      </w:r>
    </w:p>
    <w:p w14:paraId="28E6D793" w14:textId="77777777" w:rsidR="00E01EE8" w:rsidRPr="00090789" w:rsidRDefault="00E01EE8" w:rsidP="00E01EE8">
      <w:pPr>
        <w:pStyle w:val="Heading2"/>
        <w:numPr>
          <w:ilvl w:val="0"/>
          <w:numId w:val="0"/>
        </w:numPr>
        <w:rPr>
          <w:lang w:val="fr-BE"/>
        </w:rPr>
      </w:pPr>
    </w:p>
    <w:p w14:paraId="3AE8E0D1" w14:textId="77777777" w:rsidR="00E01EE8" w:rsidRPr="00090789" w:rsidRDefault="00E01EE8" w:rsidP="00C175A0">
      <w:pPr>
        <w:pStyle w:val="Heading2"/>
        <w:keepNext/>
        <w:keepLines/>
        <w:rPr>
          <w:u w:val="single"/>
          <w:lang w:val="fr-BE"/>
        </w:rPr>
      </w:pPr>
      <w:r w:rsidRPr="00090789">
        <w:rPr>
          <w:u w:val="single"/>
          <w:lang w:val="fr-BE"/>
        </w:rPr>
        <w:t>Rendre plus efficace</w:t>
      </w:r>
      <w:r>
        <w:rPr>
          <w:u w:val="single"/>
          <w:lang w:val="fr-BE"/>
        </w:rPr>
        <w:t>s</w:t>
      </w:r>
      <w:r w:rsidRPr="00090789">
        <w:rPr>
          <w:u w:val="single"/>
          <w:lang w:val="fr-BE"/>
        </w:rPr>
        <w:t xml:space="preserve"> les dispositifs de </w:t>
      </w:r>
      <w:r>
        <w:rPr>
          <w:u w:val="single"/>
          <w:lang w:val="fr-BE"/>
        </w:rPr>
        <w:t xml:space="preserve">réparation et de </w:t>
      </w:r>
      <w:r w:rsidRPr="00090789">
        <w:rPr>
          <w:u w:val="single"/>
          <w:lang w:val="fr-BE"/>
        </w:rPr>
        <w:t>sanction</w:t>
      </w:r>
    </w:p>
    <w:p w14:paraId="13059788" w14:textId="77777777" w:rsidR="00E01EE8" w:rsidRPr="00090789" w:rsidRDefault="00E01EE8" w:rsidP="00C175A0">
      <w:pPr>
        <w:pStyle w:val="Heading2"/>
        <w:keepNext/>
        <w:keepLines/>
        <w:numPr>
          <w:ilvl w:val="0"/>
          <w:numId w:val="0"/>
        </w:numPr>
        <w:rPr>
          <w:lang w:val="fr-BE"/>
        </w:rPr>
      </w:pPr>
    </w:p>
    <w:p w14:paraId="5892FB92" w14:textId="77777777" w:rsidR="00E01EE8" w:rsidRPr="00090789" w:rsidRDefault="00E01EE8" w:rsidP="00BD134D">
      <w:pPr>
        <w:pStyle w:val="Heading3"/>
        <w:keepNext/>
        <w:rPr>
          <w:lang w:val="fr-BE"/>
        </w:rPr>
      </w:pPr>
      <w:r>
        <w:rPr>
          <w:lang w:val="fr-BE"/>
        </w:rPr>
        <w:t>Le CESE</w:t>
      </w:r>
      <w:r w:rsidRPr="00090789">
        <w:rPr>
          <w:lang w:val="fr-BE"/>
        </w:rPr>
        <w:t xml:space="preserve"> se félicite de l’amélioration annoncée du dispositif de sanction, mais s’étonne toutefois des termes employés</w:t>
      </w:r>
      <w:r>
        <w:rPr>
          <w:lang w:val="fr-BE"/>
        </w:rPr>
        <w:t xml:space="preserve"> tels que</w:t>
      </w:r>
      <w:proofErr w:type="gramStart"/>
      <w:r>
        <w:rPr>
          <w:lang w:val="fr-BE"/>
        </w:rPr>
        <w:t xml:space="preserve"> «</w:t>
      </w:r>
      <w:r w:rsidRPr="00090789">
        <w:rPr>
          <w:lang w:val="fr-BE"/>
        </w:rPr>
        <w:t>coopérer</w:t>
      </w:r>
      <w:proofErr w:type="gramEnd"/>
      <w:r>
        <w:rPr>
          <w:lang w:val="fr-BE"/>
        </w:rPr>
        <w:t>» ou</w:t>
      </w:r>
      <w:proofErr w:type="gramStart"/>
      <w:r w:rsidRPr="00090789">
        <w:rPr>
          <w:lang w:val="fr-BE"/>
        </w:rPr>
        <w:t xml:space="preserve"> </w:t>
      </w:r>
      <w:r>
        <w:rPr>
          <w:lang w:val="fr-BE"/>
        </w:rPr>
        <w:t>«</w:t>
      </w:r>
      <w:r w:rsidRPr="00090789">
        <w:rPr>
          <w:lang w:val="fr-BE"/>
        </w:rPr>
        <w:t>renforcer</w:t>
      </w:r>
      <w:proofErr w:type="gramEnd"/>
      <w:r>
        <w:rPr>
          <w:lang w:val="fr-BE"/>
        </w:rPr>
        <w:t>».</w:t>
      </w:r>
      <w:r w:rsidRPr="00090789">
        <w:rPr>
          <w:lang w:val="fr-BE"/>
        </w:rPr>
        <w:t xml:space="preserve"> Les données disponibles, notamment en matière de dangerosité des produits importés</w:t>
      </w:r>
      <w:r>
        <w:rPr>
          <w:lang w:val="fr-BE"/>
        </w:rPr>
        <w:t>,</w:t>
      </w:r>
      <w:r w:rsidRPr="00090789">
        <w:rPr>
          <w:lang w:val="fr-BE"/>
        </w:rPr>
        <w:t xml:space="preserve"> notamment </w:t>
      </w:r>
      <w:r>
        <w:rPr>
          <w:lang w:val="fr-BE"/>
        </w:rPr>
        <w:t xml:space="preserve">par l’intermédiaire de </w:t>
      </w:r>
      <w:r w:rsidRPr="00090789">
        <w:rPr>
          <w:lang w:val="fr-BE"/>
        </w:rPr>
        <w:t>plateformes de commerce</w:t>
      </w:r>
      <w:r>
        <w:rPr>
          <w:lang w:val="fr-BE"/>
        </w:rPr>
        <w:t xml:space="preserve"> en ligne</w:t>
      </w:r>
      <w:r>
        <w:rPr>
          <w:rStyle w:val="FootnoteReference"/>
          <w:lang w:val="fr-BE"/>
        </w:rPr>
        <w:footnoteReference w:id="4"/>
      </w:r>
      <w:r w:rsidRPr="00090789">
        <w:rPr>
          <w:lang w:val="fr-BE"/>
        </w:rPr>
        <w:t xml:space="preserve">, </w:t>
      </w:r>
      <w:r>
        <w:rPr>
          <w:lang w:val="fr-BE"/>
        </w:rPr>
        <w:t>font apparaître</w:t>
      </w:r>
      <w:r w:rsidRPr="00090789">
        <w:rPr>
          <w:lang w:val="fr-BE"/>
        </w:rPr>
        <w:t xml:space="preserve"> qu’un danger grave et immédiat </w:t>
      </w:r>
      <w:r>
        <w:rPr>
          <w:lang w:val="fr-BE"/>
        </w:rPr>
        <w:t xml:space="preserve">existe, </w:t>
      </w:r>
      <w:r w:rsidRPr="00090789">
        <w:rPr>
          <w:lang w:val="fr-BE"/>
        </w:rPr>
        <w:t xml:space="preserve">et </w:t>
      </w:r>
      <w:r>
        <w:rPr>
          <w:lang w:val="fr-BE"/>
        </w:rPr>
        <w:t xml:space="preserve">qu’il est même </w:t>
      </w:r>
      <w:r w:rsidRPr="00090789">
        <w:rPr>
          <w:lang w:val="fr-BE"/>
        </w:rPr>
        <w:t>en forte augmentation (+52</w:t>
      </w:r>
      <w:r>
        <w:rPr>
          <w:lang w:val="fr-BE"/>
        </w:rPr>
        <w:t> </w:t>
      </w:r>
      <w:r w:rsidRPr="00090789">
        <w:rPr>
          <w:lang w:val="fr-BE"/>
        </w:rPr>
        <w:t xml:space="preserve">% depuis 2019). Le CESE préconise d’accroître et de préciser le dispositif de sanction afin de </w:t>
      </w:r>
      <w:r>
        <w:rPr>
          <w:lang w:val="fr-BE"/>
        </w:rPr>
        <w:t>contrecarrer</w:t>
      </w:r>
      <w:r w:rsidRPr="00090789">
        <w:rPr>
          <w:lang w:val="fr-BE"/>
        </w:rPr>
        <w:t xml:space="preserve"> ce phénomène. </w:t>
      </w:r>
      <w:r>
        <w:rPr>
          <w:lang w:val="fr-BE"/>
        </w:rPr>
        <w:t xml:space="preserve">Des contrôles plus stricts sont indispensables. </w:t>
      </w:r>
      <w:r w:rsidRPr="00090789">
        <w:rPr>
          <w:lang w:val="fr-BE"/>
        </w:rPr>
        <w:t xml:space="preserve">Il en </w:t>
      </w:r>
      <w:r>
        <w:rPr>
          <w:lang w:val="fr-BE"/>
        </w:rPr>
        <w:t>va</w:t>
      </w:r>
      <w:r w:rsidRPr="00090789">
        <w:rPr>
          <w:lang w:val="fr-BE"/>
        </w:rPr>
        <w:t xml:space="preserve"> de même </w:t>
      </w:r>
      <w:r>
        <w:rPr>
          <w:lang w:val="fr-BE"/>
        </w:rPr>
        <w:t>pour</w:t>
      </w:r>
      <w:r w:rsidRPr="00090789">
        <w:rPr>
          <w:lang w:val="fr-BE"/>
        </w:rPr>
        <w:t xml:space="preserve"> la lutte contre la contrefaçon</w:t>
      </w:r>
      <w:r>
        <w:rPr>
          <w:lang w:val="fr-BE"/>
        </w:rPr>
        <w:t>,</w:t>
      </w:r>
      <w:r w:rsidRPr="00090789">
        <w:rPr>
          <w:lang w:val="fr-BE"/>
        </w:rPr>
        <w:t xml:space="preserve"> qui doit devenir une priorité de l’Office européen de lutte antifraude et d’Europol</w:t>
      </w:r>
      <w:r w:rsidRPr="00090789">
        <w:rPr>
          <w:rStyle w:val="FootnoteReference"/>
          <w:lang w:val="fr-BE"/>
        </w:rPr>
        <w:footnoteReference w:id="5"/>
      </w:r>
      <w:r w:rsidRPr="00090789">
        <w:rPr>
          <w:lang w:val="fr-BE"/>
        </w:rPr>
        <w:t>.</w:t>
      </w:r>
    </w:p>
    <w:p w14:paraId="19C9EE9A" w14:textId="77777777" w:rsidR="00E01EE8" w:rsidRDefault="00E01EE8" w:rsidP="00E01EE8">
      <w:pPr>
        <w:pStyle w:val="Heading2"/>
        <w:numPr>
          <w:ilvl w:val="0"/>
          <w:numId w:val="0"/>
        </w:numPr>
        <w:rPr>
          <w:lang w:val="fr-BE"/>
        </w:rPr>
      </w:pPr>
    </w:p>
    <w:p w14:paraId="72D34643" w14:textId="77777777" w:rsidR="00E01EE8" w:rsidRDefault="00E01EE8" w:rsidP="00E01EE8">
      <w:pPr>
        <w:pStyle w:val="Heading3"/>
        <w:rPr>
          <w:lang w:val="fr-BE"/>
        </w:rPr>
      </w:pPr>
      <w:r w:rsidRPr="009F3935">
        <w:rPr>
          <w:lang w:val="fr-BE"/>
        </w:rPr>
        <w:t>Ce qui fait défaut, ce ne sont pas seulement de meilleures règles en matière de sanctions, mais aussi un système permettant une application centralisée pour certains types d</w:t>
      </w:r>
      <w:r>
        <w:rPr>
          <w:lang w:val="fr-BE"/>
        </w:rPr>
        <w:t>’</w:t>
      </w:r>
      <w:r w:rsidRPr="009F3935">
        <w:rPr>
          <w:lang w:val="fr-BE"/>
        </w:rPr>
        <w:t>affaires (ayant une pertinence pour l</w:t>
      </w:r>
      <w:r>
        <w:rPr>
          <w:lang w:val="fr-BE"/>
        </w:rPr>
        <w:t>’</w:t>
      </w:r>
      <w:r w:rsidRPr="009F3935">
        <w:rPr>
          <w:lang w:val="fr-BE"/>
        </w:rPr>
        <w:t>UE). Le CESE soutient la prochaine révision du règlement CPC et la création de pouvoirs centralisés de sanction et d</w:t>
      </w:r>
      <w:r>
        <w:rPr>
          <w:lang w:val="fr-BE"/>
        </w:rPr>
        <w:t>’</w:t>
      </w:r>
      <w:r w:rsidRPr="009F3935">
        <w:rPr>
          <w:lang w:val="fr-BE"/>
        </w:rPr>
        <w:t>enquête.</w:t>
      </w:r>
      <w:r>
        <w:rPr>
          <w:lang w:val="fr-BE"/>
        </w:rPr>
        <w:t xml:space="preserve"> </w:t>
      </w:r>
      <w:r w:rsidRPr="00BF4372">
        <w:rPr>
          <w:lang w:val="fr-BE"/>
        </w:rPr>
        <w:t>Le CESE appelle à identifier des mécanismes supplémentaires pour lutter contre les opérateurs non européens ciblant les consommateurs de l</w:t>
      </w:r>
      <w:r>
        <w:rPr>
          <w:lang w:val="fr-BE"/>
        </w:rPr>
        <w:t>’</w:t>
      </w:r>
      <w:r w:rsidRPr="00BF4372">
        <w:rPr>
          <w:lang w:val="fr-BE"/>
        </w:rPr>
        <w:t>UE, étant donné que ces derniers restent exposés lorsqu</w:t>
      </w:r>
      <w:r>
        <w:rPr>
          <w:lang w:val="fr-BE"/>
        </w:rPr>
        <w:t>’</w:t>
      </w:r>
      <w:r w:rsidRPr="00BF4372">
        <w:rPr>
          <w:lang w:val="fr-BE"/>
        </w:rPr>
        <w:t>ils achètent auprès de pays tiers et que les autorités nationales compétentes disposent de pouvoirs limités pour faire appliquer la législation à l</w:t>
      </w:r>
      <w:r>
        <w:rPr>
          <w:lang w:val="fr-BE"/>
        </w:rPr>
        <w:t>’</w:t>
      </w:r>
      <w:r w:rsidRPr="00BF4372">
        <w:rPr>
          <w:lang w:val="fr-BE"/>
        </w:rPr>
        <w:t>encontre de ces opérateurs.</w:t>
      </w:r>
    </w:p>
    <w:p w14:paraId="2E3B5AA6" w14:textId="77777777" w:rsidR="00E01EE8" w:rsidRPr="009F3935" w:rsidRDefault="00E01EE8" w:rsidP="00E01EE8">
      <w:pPr>
        <w:rPr>
          <w:lang w:val="fr-BE"/>
        </w:rPr>
      </w:pPr>
    </w:p>
    <w:p w14:paraId="361151C5" w14:textId="2AED8669" w:rsidR="00E01EE8" w:rsidRPr="00090789" w:rsidRDefault="00E01EE8" w:rsidP="00E01EE8">
      <w:pPr>
        <w:pStyle w:val="Heading3"/>
        <w:rPr>
          <w:lang w:val="fr-BE"/>
        </w:rPr>
      </w:pPr>
      <w:r w:rsidRPr="00090789">
        <w:rPr>
          <w:lang w:val="fr-BE"/>
        </w:rPr>
        <w:t>Le CESE souhaite que soit poursuivie la voie du règlement extrajudiciaire des litiges lorsque des consommateurs cherchent à obtenir réparation des dommages que des professionnels ont pu leur causer</w:t>
      </w:r>
      <w:r w:rsidRPr="00090789">
        <w:rPr>
          <w:rStyle w:val="FootnoteReference"/>
          <w:lang w:val="fr-BE"/>
        </w:rPr>
        <w:footnoteReference w:id="6"/>
      </w:r>
      <w:r>
        <w:rPr>
          <w:lang w:val="fr-BE"/>
        </w:rPr>
        <w:t>. Quant à la question de</w:t>
      </w:r>
      <w:r w:rsidRPr="00090789">
        <w:rPr>
          <w:lang w:val="fr-BE"/>
        </w:rPr>
        <w:t xml:space="preserve"> la </w:t>
      </w:r>
      <w:proofErr w:type="spellStart"/>
      <w:r w:rsidRPr="00090789">
        <w:rPr>
          <w:lang w:val="fr-BE"/>
        </w:rPr>
        <w:t>microjustice</w:t>
      </w:r>
      <w:proofErr w:type="spellEnd"/>
      <w:r>
        <w:rPr>
          <w:lang w:val="fr-BE"/>
        </w:rPr>
        <w:t>, l</w:t>
      </w:r>
      <w:r w:rsidRPr="00090789">
        <w:rPr>
          <w:lang w:val="fr-BE"/>
        </w:rPr>
        <w:t xml:space="preserve">e CESE souligne que la majorité des litiges </w:t>
      </w:r>
      <w:r>
        <w:rPr>
          <w:lang w:val="fr-BE"/>
        </w:rPr>
        <w:t xml:space="preserve">en matière </w:t>
      </w:r>
      <w:r w:rsidRPr="00090789">
        <w:rPr>
          <w:lang w:val="fr-BE"/>
        </w:rPr>
        <w:t>de consommation portent sur de petites sommes que les consommateurs renoncent à contester. Le CESE recommande d’étudier des mécanismes de justice ultrarapide (48</w:t>
      </w:r>
      <w:r>
        <w:rPr>
          <w:lang w:val="fr-BE"/>
        </w:rPr>
        <w:t> </w:t>
      </w:r>
      <w:r w:rsidRPr="00090789">
        <w:rPr>
          <w:lang w:val="fr-BE"/>
        </w:rPr>
        <w:t>h</w:t>
      </w:r>
      <w:r>
        <w:rPr>
          <w:lang w:val="fr-BE"/>
        </w:rPr>
        <w:t>eures</w:t>
      </w:r>
      <w:r w:rsidRPr="00090789">
        <w:rPr>
          <w:lang w:val="fr-BE"/>
        </w:rPr>
        <w:t>, en ligne) et de compensation automatique pour les pratiques trompeuses avérées.</w:t>
      </w:r>
      <w:r>
        <w:rPr>
          <w:lang w:val="fr-BE"/>
        </w:rPr>
        <w:t xml:space="preserve"> La Commission pourrait s’inspirer de l’exemple irlandais de la </w:t>
      </w:r>
      <w:r w:rsidRPr="002468DB">
        <w:rPr>
          <w:lang w:val="fr-BE"/>
        </w:rPr>
        <w:t>procédure de règlement des petits litiges</w:t>
      </w:r>
      <w:r>
        <w:rPr>
          <w:lang w:val="fr-BE"/>
        </w:rPr>
        <w:t xml:space="preserve"> (</w:t>
      </w:r>
      <w:r w:rsidRPr="006D171B">
        <w:rPr>
          <w:i/>
          <w:iCs/>
          <w:lang w:val="fr-BE"/>
        </w:rPr>
        <w:t xml:space="preserve">Small claims </w:t>
      </w:r>
      <w:proofErr w:type="spellStart"/>
      <w:r w:rsidRPr="006D171B">
        <w:rPr>
          <w:i/>
          <w:iCs/>
          <w:lang w:val="fr-BE"/>
        </w:rPr>
        <w:t>procedure</w:t>
      </w:r>
      <w:proofErr w:type="spellEnd"/>
      <w:r>
        <w:rPr>
          <w:i/>
          <w:iCs/>
          <w:lang w:val="fr-BE"/>
        </w:rPr>
        <w:t>)</w:t>
      </w:r>
      <w:r>
        <w:rPr>
          <w:lang w:val="fr-BE"/>
        </w:rPr>
        <w:t>.</w:t>
      </w:r>
    </w:p>
    <w:p w14:paraId="517AC6A3" w14:textId="77777777" w:rsidR="00E01EE8" w:rsidRPr="00090789" w:rsidRDefault="00E01EE8" w:rsidP="00E01EE8">
      <w:pPr>
        <w:pStyle w:val="Heading2"/>
        <w:numPr>
          <w:ilvl w:val="0"/>
          <w:numId w:val="0"/>
        </w:numPr>
        <w:rPr>
          <w:lang w:val="fr-BE"/>
        </w:rPr>
      </w:pPr>
    </w:p>
    <w:p w14:paraId="6E232D69" w14:textId="77777777" w:rsidR="00E01EE8" w:rsidRPr="00090789" w:rsidRDefault="00E01EE8" w:rsidP="00C175A0">
      <w:pPr>
        <w:pStyle w:val="Heading2"/>
        <w:keepNext/>
        <w:keepLines/>
        <w:rPr>
          <w:u w:val="single"/>
          <w:lang w:val="fr-BE"/>
        </w:rPr>
      </w:pPr>
      <w:r w:rsidRPr="00090789">
        <w:rPr>
          <w:u w:val="single"/>
          <w:lang w:val="fr-BE"/>
        </w:rPr>
        <w:t>Améliorer la gouvernance et la coopération</w:t>
      </w:r>
    </w:p>
    <w:p w14:paraId="5691F8F3" w14:textId="77777777" w:rsidR="00E01EE8" w:rsidRPr="00090789" w:rsidRDefault="00E01EE8" w:rsidP="00C175A0">
      <w:pPr>
        <w:pStyle w:val="Heading2"/>
        <w:keepNext/>
        <w:keepLines/>
        <w:numPr>
          <w:ilvl w:val="0"/>
          <w:numId w:val="0"/>
        </w:numPr>
        <w:rPr>
          <w:lang w:val="fr-BE"/>
        </w:rPr>
      </w:pPr>
    </w:p>
    <w:p w14:paraId="39085A05" w14:textId="77777777" w:rsidR="00E01EE8" w:rsidRPr="00090789" w:rsidRDefault="00E01EE8" w:rsidP="00BD134D">
      <w:pPr>
        <w:pStyle w:val="Heading3"/>
        <w:keepNext/>
        <w:rPr>
          <w:lang w:val="fr-BE"/>
        </w:rPr>
      </w:pPr>
      <w:r>
        <w:rPr>
          <w:lang w:val="fr-BE"/>
        </w:rPr>
        <w:t>En matière d’</w:t>
      </w:r>
      <w:r w:rsidRPr="00090789">
        <w:rPr>
          <w:lang w:val="fr-BE"/>
        </w:rPr>
        <w:t xml:space="preserve">inégalités et </w:t>
      </w:r>
      <w:r>
        <w:rPr>
          <w:lang w:val="fr-BE"/>
        </w:rPr>
        <w:t xml:space="preserve">de </w:t>
      </w:r>
      <w:r w:rsidRPr="00090789">
        <w:rPr>
          <w:lang w:val="fr-BE"/>
        </w:rPr>
        <w:t>vulnérabilités territoriales</w:t>
      </w:r>
      <w:r>
        <w:rPr>
          <w:lang w:val="fr-BE"/>
        </w:rPr>
        <w:t>, l</w:t>
      </w:r>
      <w:r w:rsidRPr="00090789">
        <w:rPr>
          <w:lang w:val="fr-BE"/>
        </w:rPr>
        <w:t xml:space="preserve">e CESE regrette que l’agenda ne pense pas les inégalités de consommation comme un enjeu transversal. Le CESE recommande une approche territoriale intégrant les zones rurales, les périphéries urbaines, les </w:t>
      </w:r>
      <w:r>
        <w:rPr>
          <w:lang w:val="fr-BE"/>
        </w:rPr>
        <w:t>régions ultramarines</w:t>
      </w:r>
      <w:r w:rsidRPr="00090789">
        <w:rPr>
          <w:lang w:val="fr-BE"/>
        </w:rPr>
        <w:t xml:space="preserve"> et les régions transfrontalières. Une cartographie européenne des vulnérabilités consommatoires (déserts commerciaux, fracture numérique, précarités énergétique et alimentaire) permettrait des plans d’action ciblés.</w:t>
      </w:r>
    </w:p>
    <w:p w14:paraId="10724032" w14:textId="77777777" w:rsidR="00E01EE8" w:rsidRPr="00090789" w:rsidRDefault="00E01EE8" w:rsidP="00E01EE8">
      <w:pPr>
        <w:pStyle w:val="Heading2"/>
        <w:numPr>
          <w:ilvl w:val="0"/>
          <w:numId w:val="0"/>
        </w:numPr>
        <w:rPr>
          <w:lang w:val="fr-BE"/>
        </w:rPr>
      </w:pPr>
    </w:p>
    <w:p w14:paraId="0A15717E" w14:textId="77777777" w:rsidR="00E01EE8" w:rsidRPr="00090789" w:rsidRDefault="00E01EE8" w:rsidP="00E01EE8">
      <w:pPr>
        <w:pStyle w:val="Heading3"/>
        <w:rPr>
          <w:lang w:val="fr-BE"/>
        </w:rPr>
      </w:pPr>
      <w:r>
        <w:rPr>
          <w:lang w:val="fr-BE"/>
        </w:rPr>
        <w:t>Au sujet des</w:t>
      </w:r>
      <w:r w:rsidRPr="00090789">
        <w:rPr>
          <w:lang w:val="fr-BE"/>
        </w:rPr>
        <w:t xml:space="preserve"> associations de consommateurs</w:t>
      </w:r>
      <w:r>
        <w:rPr>
          <w:lang w:val="fr-BE"/>
        </w:rPr>
        <w:t>,</w:t>
      </w:r>
      <w:r w:rsidRPr="00090789">
        <w:rPr>
          <w:lang w:val="fr-BE"/>
        </w:rPr>
        <w:t xml:space="preserve"> le CESE souligne le rôle irremplaçable </w:t>
      </w:r>
      <w:r>
        <w:rPr>
          <w:lang w:val="fr-BE"/>
        </w:rPr>
        <w:t>de ces dernières</w:t>
      </w:r>
      <w:r w:rsidRPr="00090789">
        <w:rPr>
          <w:lang w:val="fr-BE"/>
        </w:rPr>
        <w:t xml:space="preserve"> dans la défense des droits, l’éducation et la </w:t>
      </w:r>
      <w:r>
        <w:rPr>
          <w:lang w:val="fr-BE"/>
        </w:rPr>
        <w:t>surveillance d</w:t>
      </w:r>
      <w:r w:rsidRPr="00090789">
        <w:rPr>
          <w:lang w:val="fr-BE"/>
        </w:rPr>
        <w:t xml:space="preserve">es pratiques commerciales. Le CESE </w:t>
      </w:r>
      <w:r>
        <w:rPr>
          <w:lang w:val="fr-BE"/>
        </w:rPr>
        <w:t>souhaite</w:t>
      </w:r>
      <w:r w:rsidRPr="00090789">
        <w:rPr>
          <w:lang w:val="fr-BE"/>
        </w:rPr>
        <w:t xml:space="preserve"> un renforcement de leur financement européen et de leurs capacités d’action, notamment pour leur permettre de mener des tests comparatifs indépendants, des actions collectives et une veille sur les marchés numériques.</w:t>
      </w:r>
      <w:r>
        <w:rPr>
          <w:lang w:val="fr-BE"/>
        </w:rPr>
        <w:t xml:space="preserve"> Des actions communes réunissant des associations de consommateurs et des entreprises de production et de distribution pourraient être encouragées.</w:t>
      </w:r>
    </w:p>
    <w:p w14:paraId="366006DC" w14:textId="77777777" w:rsidR="00E01EE8" w:rsidRPr="00090789" w:rsidRDefault="00E01EE8" w:rsidP="00E01EE8">
      <w:pPr>
        <w:pStyle w:val="Heading3"/>
        <w:rPr>
          <w:lang w:val="fr-BE"/>
        </w:rPr>
      </w:pPr>
      <w:r>
        <w:rPr>
          <w:lang w:val="fr-BE"/>
        </w:rPr>
        <w:t>Quant au</w:t>
      </w:r>
      <w:r w:rsidRPr="00090789">
        <w:rPr>
          <w:lang w:val="fr-BE"/>
        </w:rPr>
        <w:t xml:space="preserve"> financement des associations de consommateurs</w:t>
      </w:r>
      <w:r>
        <w:rPr>
          <w:lang w:val="fr-BE"/>
        </w:rPr>
        <w:t>,</w:t>
      </w:r>
      <w:r w:rsidRPr="00090789">
        <w:rPr>
          <w:lang w:val="fr-BE"/>
        </w:rPr>
        <w:t xml:space="preserve"> le CESE recommande aux États membres de créer des fonds publics dédiés au soutien des organisations de consommateurs, alimentés p</w:t>
      </w:r>
      <w:r>
        <w:rPr>
          <w:lang w:val="fr-BE"/>
        </w:rPr>
        <w:t xml:space="preserve">our </w:t>
      </w:r>
      <w:r w:rsidRPr="00090789">
        <w:rPr>
          <w:lang w:val="fr-BE"/>
        </w:rPr>
        <w:t>part</w:t>
      </w:r>
      <w:r>
        <w:rPr>
          <w:lang w:val="fr-BE"/>
        </w:rPr>
        <w:t>ie</w:t>
      </w:r>
      <w:r w:rsidRPr="00090789">
        <w:rPr>
          <w:lang w:val="fr-BE"/>
        </w:rPr>
        <w:t xml:space="preserve"> </w:t>
      </w:r>
      <w:r>
        <w:rPr>
          <w:lang w:val="fr-BE"/>
        </w:rPr>
        <w:t>par l</w:t>
      </w:r>
      <w:r w:rsidRPr="00090789">
        <w:rPr>
          <w:lang w:val="fr-BE"/>
        </w:rPr>
        <w:t xml:space="preserve">es amendes infligées </w:t>
      </w:r>
      <w:r>
        <w:rPr>
          <w:lang w:val="fr-BE"/>
        </w:rPr>
        <w:t>en cas d</w:t>
      </w:r>
      <w:r w:rsidRPr="00090789">
        <w:rPr>
          <w:lang w:val="fr-BE"/>
        </w:rPr>
        <w:t>’infractions au droit de la consommation, au droit numérique (DSA, DMA) et au droit de la concurrence. Ce modèle, déjà en vigueur en Italie (15</w:t>
      </w:r>
      <w:r>
        <w:rPr>
          <w:lang w:val="fr-BE"/>
        </w:rPr>
        <w:t> </w:t>
      </w:r>
      <w:r w:rsidRPr="00090789">
        <w:rPr>
          <w:lang w:val="fr-BE"/>
        </w:rPr>
        <w:t>millions d’</w:t>
      </w:r>
      <w:r>
        <w:rPr>
          <w:lang w:val="fr-BE"/>
        </w:rPr>
        <w:t>EUR</w:t>
      </w:r>
      <w:r w:rsidRPr="00090789">
        <w:rPr>
          <w:lang w:val="fr-BE"/>
        </w:rPr>
        <w:t xml:space="preserve"> </w:t>
      </w:r>
      <w:r>
        <w:rPr>
          <w:lang w:val="fr-BE"/>
        </w:rPr>
        <w:t>pour la période </w:t>
      </w:r>
      <w:r w:rsidRPr="00090789">
        <w:rPr>
          <w:lang w:val="fr-BE"/>
        </w:rPr>
        <w:t xml:space="preserve">2022-2024), au Québec et au Brésil, permettrait de </w:t>
      </w:r>
      <w:r>
        <w:rPr>
          <w:lang w:val="fr-BE"/>
        </w:rPr>
        <w:t xml:space="preserve">réprimer les atteintes aux droits des consommateurs, de </w:t>
      </w:r>
      <w:r w:rsidRPr="00090789">
        <w:rPr>
          <w:lang w:val="fr-BE"/>
        </w:rPr>
        <w:t>compenser le préjudice causé à l’intérêt général des consommateurs et de renforcer durablement les capacités d’action de la société civile</w:t>
      </w:r>
      <w:r>
        <w:rPr>
          <w:lang w:val="fr-BE"/>
        </w:rPr>
        <w:t xml:space="preserve"> au service des objectifs de la politique de consommation définis dans le programme des institutions</w:t>
      </w:r>
      <w:r w:rsidRPr="00090789">
        <w:rPr>
          <w:lang w:val="fr-BE"/>
        </w:rPr>
        <w:t>.</w:t>
      </w:r>
    </w:p>
    <w:p w14:paraId="1CF3F37A" w14:textId="77777777" w:rsidR="00E01EE8" w:rsidRPr="00090789" w:rsidRDefault="00E01EE8" w:rsidP="00E01EE8">
      <w:pPr>
        <w:pStyle w:val="Heading2"/>
        <w:numPr>
          <w:ilvl w:val="0"/>
          <w:numId w:val="0"/>
        </w:numPr>
        <w:rPr>
          <w:lang w:val="fr-BE"/>
        </w:rPr>
      </w:pPr>
    </w:p>
    <w:p w14:paraId="55D042B8" w14:textId="77777777" w:rsidR="00E01EE8" w:rsidRPr="00090789" w:rsidRDefault="00E01EE8" w:rsidP="00E01EE8">
      <w:pPr>
        <w:pStyle w:val="Heading3"/>
        <w:rPr>
          <w:lang w:val="fr-BE"/>
        </w:rPr>
      </w:pPr>
      <w:r>
        <w:rPr>
          <w:lang w:val="fr-BE"/>
        </w:rPr>
        <w:t>En matière de</w:t>
      </w:r>
      <w:r w:rsidRPr="00090789">
        <w:rPr>
          <w:lang w:val="fr-BE"/>
        </w:rPr>
        <w:t xml:space="preserve"> consultation</w:t>
      </w:r>
      <w:r>
        <w:rPr>
          <w:lang w:val="fr-BE"/>
        </w:rPr>
        <w:t>,</w:t>
      </w:r>
      <w:r w:rsidRPr="00090789">
        <w:rPr>
          <w:lang w:val="fr-BE"/>
        </w:rPr>
        <w:t xml:space="preserve"> le CESE recommande à la Commission de </w:t>
      </w:r>
      <w:r w:rsidRPr="00834F03">
        <w:rPr>
          <w:lang w:val="fr-BE"/>
        </w:rPr>
        <w:t>faire preuve de discernement envers</w:t>
      </w:r>
      <w:r w:rsidRPr="00090789">
        <w:rPr>
          <w:lang w:val="fr-BE"/>
        </w:rPr>
        <w:t xml:space="preserve"> des consultations purement numériques et de renforcer ses relations de travail avec le Comité économique et social européen, notamment </w:t>
      </w:r>
      <w:r>
        <w:rPr>
          <w:lang w:val="fr-BE"/>
        </w:rPr>
        <w:t>par le truchement</w:t>
      </w:r>
      <w:r w:rsidRPr="00090789">
        <w:rPr>
          <w:lang w:val="fr-BE"/>
        </w:rPr>
        <w:t xml:space="preserve"> de sa section</w:t>
      </w:r>
      <w:proofErr w:type="gramStart"/>
      <w:r w:rsidRPr="00090789">
        <w:rPr>
          <w:lang w:val="fr-BE"/>
        </w:rPr>
        <w:t xml:space="preserve"> «Marché</w:t>
      </w:r>
      <w:proofErr w:type="gramEnd"/>
      <w:r w:rsidRPr="00090789">
        <w:rPr>
          <w:lang w:val="fr-BE"/>
        </w:rPr>
        <w:t xml:space="preserve"> unique, production et </w:t>
      </w:r>
      <w:proofErr w:type="gramStart"/>
      <w:r w:rsidRPr="00090789">
        <w:rPr>
          <w:lang w:val="fr-BE"/>
        </w:rPr>
        <w:t>consommation»</w:t>
      </w:r>
      <w:proofErr w:type="gramEnd"/>
      <w:r w:rsidRPr="00090789">
        <w:rPr>
          <w:lang w:val="fr-BE"/>
        </w:rPr>
        <w:t xml:space="preserve"> et de sa catégorie</w:t>
      </w:r>
      <w:proofErr w:type="gramStart"/>
      <w:r w:rsidRPr="00090789">
        <w:rPr>
          <w:lang w:val="fr-BE"/>
        </w:rPr>
        <w:t xml:space="preserve"> «Consommateurs</w:t>
      </w:r>
      <w:proofErr w:type="gramEnd"/>
      <w:r w:rsidRPr="00090789">
        <w:rPr>
          <w:lang w:val="fr-BE"/>
        </w:rPr>
        <w:t xml:space="preserve"> et </w:t>
      </w:r>
      <w:proofErr w:type="gramStart"/>
      <w:r w:rsidRPr="00090789">
        <w:rPr>
          <w:lang w:val="fr-BE"/>
        </w:rPr>
        <w:t>environnement»</w:t>
      </w:r>
      <w:proofErr w:type="gramEnd"/>
      <w:r w:rsidRPr="00090789">
        <w:rPr>
          <w:lang w:val="fr-BE"/>
        </w:rPr>
        <w:t>.</w:t>
      </w:r>
    </w:p>
    <w:p w14:paraId="319C7DE9" w14:textId="77777777" w:rsidR="00E01EE8" w:rsidRPr="00090789" w:rsidRDefault="00E01EE8" w:rsidP="00E01EE8">
      <w:pPr>
        <w:pStyle w:val="Heading2"/>
        <w:numPr>
          <w:ilvl w:val="0"/>
          <w:numId w:val="0"/>
        </w:numPr>
        <w:rPr>
          <w:lang w:val="fr-BE"/>
        </w:rPr>
      </w:pPr>
    </w:p>
    <w:p w14:paraId="5B973127" w14:textId="77777777" w:rsidR="00E01EE8" w:rsidRPr="00090789" w:rsidRDefault="00E01EE8" w:rsidP="00E01EE8">
      <w:pPr>
        <w:pStyle w:val="Heading3"/>
        <w:rPr>
          <w:lang w:val="fr-BE"/>
        </w:rPr>
      </w:pPr>
      <w:r>
        <w:rPr>
          <w:lang w:val="fr-BE"/>
        </w:rPr>
        <w:t>Pour ce qui est de</w:t>
      </w:r>
      <w:r w:rsidRPr="00090789">
        <w:rPr>
          <w:lang w:val="fr-BE"/>
        </w:rPr>
        <w:t xml:space="preserve"> la représentation institutionnelle</w:t>
      </w:r>
      <w:r>
        <w:rPr>
          <w:lang w:val="fr-BE"/>
        </w:rPr>
        <w:t xml:space="preserve">, </w:t>
      </w:r>
      <w:r w:rsidRPr="00090789">
        <w:rPr>
          <w:lang w:val="fr-BE"/>
        </w:rPr>
        <w:t xml:space="preserve">le CESE recommande </w:t>
      </w:r>
      <w:r w:rsidRPr="00C34B40">
        <w:rPr>
          <w:lang w:val="fr-BE"/>
        </w:rPr>
        <w:t xml:space="preserve">l’ouverture et le renforcement du </w:t>
      </w:r>
      <w:r w:rsidRPr="003957E5">
        <w:t>groupe consultatif sur la politique des consommateurs</w:t>
      </w:r>
      <w:r w:rsidRPr="00A66C7F">
        <w:rPr>
          <w:lang w:val="fr-BE"/>
        </w:rPr>
        <w:t xml:space="preserve"> </w:t>
      </w:r>
      <w:r w:rsidRPr="006D171B">
        <w:rPr>
          <w:lang w:val="fr-BE"/>
        </w:rPr>
        <w:t>(Consumer Policy Advisory Group — CPAG)</w:t>
      </w:r>
      <w:r w:rsidRPr="003957E5">
        <w:rPr>
          <w:lang w:val="fr-BE"/>
        </w:rPr>
        <w:t xml:space="preserve"> </w:t>
      </w:r>
      <w:r w:rsidRPr="00C34B40">
        <w:rPr>
          <w:lang w:val="fr-BE"/>
        </w:rPr>
        <w:t>afin d’en faire un outil plus performant au service des politiques de consommation</w:t>
      </w:r>
      <w:r w:rsidRPr="00090789">
        <w:rPr>
          <w:lang w:val="fr-BE"/>
        </w:rPr>
        <w:t xml:space="preserve">. Ce </w:t>
      </w:r>
      <w:r>
        <w:rPr>
          <w:lang w:val="fr-BE"/>
        </w:rPr>
        <w:t xml:space="preserve">groupe élargi et renforcé </w:t>
      </w:r>
      <w:r w:rsidRPr="00090789">
        <w:rPr>
          <w:lang w:val="fr-BE"/>
        </w:rPr>
        <w:t>permettrait de dépasser les consultations ponctuelles et d’inscrire l</w:t>
      </w:r>
      <w:r>
        <w:rPr>
          <w:lang w:val="fr-BE"/>
        </w:rPr>
        <w:t xml:space="preserve">e point de vue </w:t>
      </w:r>
      <w:r w:rsidRPr="00090789">
        <w:rPr>
          <w:lang w:val="fr-BE"/>
        </w:rPr>
        <w:t xml:space="preserve">des consommateurs dans </w:t>
      </w:r>
      <w:r>
        <w:rPr>
          <w:lang w:val="fr-BE"/>
        </w:rPr>
        <w:t>l</w:t>
      </w:r>
      <w:r w:rsidRPr="00C34B40">
        <w:rPr>
          <w:lang w:val="fr-BE"/>
        </w:rPr>
        <w:t>’</w:t>
      </w:r>
      <w:r>
        <w:rPr>
          <w:lang w:val="fr-BE"/>
        </w:rPr>
        <w:t>élaboration</w:t>
      </w:r>
      <w:r w:rsidRPr="00090789">
        <w:rPr>
          <w:lang w:val="fr-BE"/>
        </w:rPr>
        <w:t xml:space="preserve"> même des </w:t>
      </w:r>
      <w:r>
        <w:rPr>
          <w:lang w:val="fr-BE"/>
        </w:rPr>
        <w:t>réglementations</w:t>
      </w:r>
      <w:r w:rsidRPr="00090789">
        <w:rPr>
          <w:lang w:val="fr-BE"/>
        </w:rPr>
        <w:t>,</w:t>
      </w:r>
      <w:r>
        <w:rPr>
          <w:lang w:val="fr-BE"/>
        </w:rPr>
        <w:t xml:space="preserve"> par l’entremise</w:t>
      </w:r>
      <w:r w:rsidRPr="00090789">
        <w:rPr>
          <w:lang w:val="fr-BE"/>
        </w:rPr>
        <w:t xml:space="preserve"> de mécanismes de cocréation incluant des panels</w:t>
      </w:r>
      <w:r w:rsidRPr="003957E5">
        <w:rPr>
          <w:lang w:val="fr-BE"/>
        </w:rPr>
        <w:t xml:space="preserve"> </w:t>
      </w:r>
      <w:r w:rsidRPr="00090789">
        <w:rPr>
          <w:lang w:val="fr-BE"/>
        </w:rPr>
        <w:t xml:space="preserve">permanents </w:t>
      </w:r>
      <w:r>
        <w:rPr>
          <w:lang w:val="fr-BE"/>
        </w:rPr>
        <w:t xml:space="preserve">de </w:t>
      </w:r>
      <w:r w:rsidRPr="00090789">
        <w:rPr>
          <w:lang w:val="fr-BE"/>
        </w:rPr>
        <w:t>citoyens</w:t>
      </w:r>
      <w:r w:rsidRPr="00383E47">
        <w:rPr>
          <w:lang w:val="fr-BE"/>
        </w:rPr>
        <w:t>, des ONG environnementales, des distributeurs</w:t>
      </w:r>
      <w:r>
        <w:rPr>
          <w:lang w:val="fr-BE"/>
        </w:rPr>
        <w:t xml:space="preserve"> et des organisations représentatives de personnes vulnérables</w:t>
      </w:r>
      <w:r w:rsidRPr="00383E47">
        <w:rPr>
          <w:lang w:val="fr-BE"/>
        </w:rPr>
        <w:t>. La participation d’un repr</w:t>
      </w:r>
      <w:r>
        <w:rPr>
          <w:lang w:val="fr-BE"/>
        </w:rPr>
        <w:t>é</w:t>
      </w:r>
      <w:r w:rsidRPr="00383E47">
        <w:rPr>
          <w:lang w:val="fr-BE"/>
        </w:rPr>
        <w:t>sentant du CESE serait constructive</w:t>
      </w:r>
      <w:r w:rsidRPr="00090789">
        <w:rPr>
          <w:lang w:val="fr-BE"/>
        </w:rPr>
        <w:t>.</w:t>
      </w:r>
    </w:p>
    <w:p w14:paraId="52459962" w14:textId="77777777" w:rsidR="00E01EE8" w:rsidRDefault="00E01EE8" w:rsidP="00E01EE8">
      <w:pPr>
        <w:rPr>
          <w:lang w:val="fr-BE"/>
        </w:rPr>
      </w:pPr>
    </w:p>
    <w:p w14:paraId="531A13E0" w14:textId="6A841941" w:rsidR="00E01EE8" w:rsidRPr="006A66FB" w:rsidRDefault="00E01EE8" w:rsidP="00E01EE8">
      <w:r>
        <w:t xml:space="preserve">Bruxelles, le </w:t>
      </w:r>
      <w:r w:rsidR="00BB317A">
        <w:t>29</w:t>
      </w:r>
      <w:r w:rsidR="00732F15">
        <w:t> </w:t>
      </w:r>
      <w:r>
        <w:t>avril 2026</w:t>
      </w:r>
    </w:p>
    <w:p w14:paraId="2A7958F6" w14:textId="77777777" w:rsidR="00E01EE8" w:rsidRPr="00A66C7F" w:rsidRDefault="00E01EE8" w:rsidP="00E01EE8">
      <w:pPr>
        <w:rPr>
          <w:lang w:val="fr-BE"/>
        </w:rPr>
      </w:pPr>
    </w:p>
    <w:p w14:paraId="0C568E04" w14:textId="77777777" w:rsidR="00E01EE8" w:rsidRPr="00A66C7F" w:rsidRDefault="00E01EE8" w:rsidP="00E01EE8">
      <w:pPr>
        <w:rPr>
          <w:lang w:val="fr-BE"/>
        </w:rPr>
      </w:pPr>
    </w:p>
    <w:p w14:paraId="6F92EF37" w14:textId="75E0B271" w:rsidR="00E01EE8" w:rsidRPr="006A66FB" w:rsidRDefault="00E01EE8" w:rsidP="00E01EE8">
      <w:pPr>
        <w:jc w:val="left"/>
      </w:pPr>
      <w:r>
        <w:rPr>
          <w:i/>
          <w:iCs/>
        </w:rPr>
        <w:t>L</w:t>
      </w:r>
      <w:r w:rsidR="00BB317A">
        <w:rPr>
          <w:i/>
          <w:iCs/>
        </w:rPr>
        <w:t>e</w:t>
      </w:r>
      <w:r w:rsidRPr="002822AD">
        <w:rPr>
          <w:i/>
          <w:iCs/>
        </w:rPr>
        <w:t xml:space="preserve"> président </w:t>
      </w:r>
      <w:r w:rsidR="00BB317A">
        <w:rPr>
          <w:i/>
        </w:rPr>
        <w:t>du Comité économique et social européen</w:t>
      </w:r>
    </w:p>
    <w:p w14:paraId="72F000EC" w14:textId="178236E5" w:rsidR="00E01EE8" w:rsidRDefault="00BB317A" w:rsidP="00E01EE8">
      <w:r>
        <w:t>Séamus</w:t>
      </w:r>
      <w:r w:rsidR="00C175A0">
        <w:t> </w:t>
      </w:r>
      <w:r>
        <w:t>BOLAND</w:t>
      </w:r>
    </w:p>
    <w:p w14:paraId="2FB1B3FC" w14:textId="3107F77B" w:rsidR="00185E99" w:rsidRPr="007E50BF" w:rsidRDefault="00185E99" w:rsidP="00E01EE8"/>
    <w:p w14:paraId="4184305F" w14:textId="77777777" w:rsidR="00F53370" w:rsidRPr="00574C9B" w:rsidRDefault="00E2376B" w:rsidP="00DB7F50">
      <w:pPr>
        <w:jc w:val="center"/>
      </w:pPr>
      <w:r>
        <w:t>_____________</w:t>
      </w:r>
    </w:p>
    <w:sectPr w:rsidR="00F53370" w:rsidRPr="00574C9B" w:rsidSect="001E74A1">
      <w:headerReference w:type="even" r:id="rId21"/>
      <w:headerReference w:type="default" r:id="rId22"/>
      <w:footerReference w:type="default" r:id="rId23"/>
      <w:headerReference w:type="first" r:id="rId24"/>
      <w:pgSz w:w="11907" w:h="16839" w:code="9"/>
      <w:pgMar w:top="1418" w:right="1418" w:bottom="1418" w:left="1418"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F1408" w14:textId="77777777" w:rsidR="00AE0B76" w:rsidRDefault="00AE0B76" w:rsidP="00F53370">
      <w:pPr>
        <w:spacing w:line="240" w:lineRule="auto"/>
      </w:pPr>
      <w:r>
        <w:separator/>
      </w:r>
    </w:p>
  </w:endnote>
  <w:endnote w:type="continuationSeparator" w:id="0">
    <w:p w14:paraId="0D8592B5" w14:textId="77777777" w:rsidR="00AE0B76" w:rsidRDefault="00AE0B76" w:rsidP="00F533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5A9F8" w14:textId="77777777" w:rsidR="00732F15" w:rsidRDefault="00732F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E0F2C" w14:textId="77777777" w:rsidR="00732F15" w:rsidRDefault="00732F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270D0" w14:textId="77777777" w:rsidR="00732F15" w:rsidRDefault="00732F1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89DBF" w14:textId="77777777" w:rsidR="00574C9B" w:rsidRDefault="00574C9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0D0A4" w14:textId="40C5D39E" w:rsidR="00DE5182" w:rsidRPr="003065C9" w:rsidRDefault="00327EEB" w:rsidP="00327EEB">
    <w:pPr>
      <w:pStyle w:val="Footer"/>
      <w:jc w:val="left"/>
    </w:pPr>
    <w:r>
      <w:t xml:space="preserve">INT/1107 – EESC-2025-03969-00-00-AC-TRA (FR) </w:t>
    </w:r>
    <w:r>
      <w:fldChar w:fldCharType="begin"/>
    </w:r>
    <w:r>
      <w:instrText xml:space="preserve"> PAGE  \* Arabic  \* MERGEFORMAT </w:instrText>
    </w:r>
    <w:r>
      <w:fldChar w:fldCharType="separate"/>
    </w:r>
    <w:r>
      <w:rPr>
        <w:noProof/>
      </w:rPr>
      <w:t>8</w:t>
    </w:r>
    <w:r>
      <w:fldChar w:fldCharType="end"/>
    </w:r>
    <w:r>
      <w:t>/</w:t>
    </w:r>
    <w:r>
      <w:fldChar w:fldCharType="begin"/>
    </w:r>
    <w:r>
      <w:instrText xml:space="preserve"> = </w:instrText>
    </w:r>
    <w:r w:rsidR="00B73C78">
      <w:fldChar w:fldCharType="begin"/>
    </w:r>
    <w:r w:rsidR="00B73C78">
      <w:instrText xml:space="preserve"> NUMPAGES </w:instrText>
    </w:r>
    <w:r w:rsidR="00B73C78">
      <w:fldChar w:fldCharType="separate"/>
    </w:r>
    <w:r w:rsidR="004545CC">
      <w:rPr>
        <w:noProof/>
      </w:rPr>
      <w:instrText>10</w:instrText>
    </w:r>
    <w:r w:rsidR="00B73C78">
      <w:rPr>
        <w:noProof/>
      </w:rPr>
      <w:fldChar w:fldCharType="end"/>
    </w:r>
    <w:r>
      <w:instrText xml:space="preserve"> - 2 </w:instrText>
    </w:r>
    <w:r>
      <w:fldChar w:fldCharType="separate"/>
    </w:r>
    <w:r w:rsidR="004545CC">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AA445" w14:textId="77777777" w:rsidR="00AE0B76" w:rsidRDefault="00AE0B76" w:rsidP="00F53370">
      <w:pPr>
        <w:spacing w:line="240" w:lineRule="auto"/>
      </w:pPr>
      <w:r>
        <w:separator/>
      </w:r>
    </w:p>
  </w:footnote>
  <w:footnote w:type="continuationSeparator" w:id="0">
    <w:p w14:paraId="2F63BEC3" w14:textId="77777777" w:rsidR="00AE0B76" w:rsidRDefault="00AE0B76" w:rsidP="00F53370">
      <w:pPr>
        <w:spacing w:line="240" w:lineRule="auto"/>
      </w:pPr>
      <w:r>
        <w:continuationSeparator/>
      </w:r>
    </w:p>
  </w:footnote>
  <w:footnote w:id="1">
    <w:p w14:paraId="7C6045F5" w14:textId="77777777" w:rsidR="00E01EE8" w:rsidRPr="00FE1CB5" w:rsidRDefault="00E01EE8" w:rsidP="00E01EE8">
      <w:pPr>
        <w:pStyle w:val="FootnoteText"/>
      </w:pPr>
      <w:r>
        <w:rPr>
          <w:rStyle w:val="FootnoteReference"/>
        </w:rPr>
        <w:footnoteRef/>
      </w:r>
      <w:r>
        <w:t xml:space="preserve"> </w:t>
      </w:r>
      <w:r w:rsidRPr="00DD76CB">
        <w:rPr>
          <w:lang w:val="fr-BE"/>
        </w:rPr>
        <w:tab/>
      </w:r>
      <w:r>
        <w:rPr>
          <w:lang w:val="fr-BE"/>
        </w:rPr>
        <w:t>Rapport d</w:t>
      </w:r>
      <w:r w:rsidRPr="00193C8A">
        <w:rPr>
          <w:lang w:val="fr-BE"/>
        </w:rPr>
        <w:t>’</w:t>
      </w:r>
      <w:r>
        <w:rPr>
          <w:lang w:val="fr-BE"/>
        </w:rPr>
        <w:t xml:space="preserve">évaluation </w:t>
      </w:r>
      <w:r w:rsidRPr="00DD76CB">
        <w:rPr>
          <w:lang w:val="fr-BE"/>
        </w:rPr>
        <w:t xml:space="preserve">du CESE </w:t>
      </w:r>
      <w:r>
        <w:rPr>
          <w:lang w:val="fr-BE"/>
        </w:rPr>
        <w:t>intitulé «</w:t>
      </w:r>
      <w:hyperlink r:id="rId1" w:history="1">
        <w:r w:rsidRPr="0005264B">
          <w:rPr>
            <w:rStyle w:val="Hyperlink"/>
            <w:lang w:val="fr-BE"/>
          </w:rPr>
          <w:t xml:space="preserve">Évaluation finale du programme </w:t>
        </w:r>
        <w:r>
          <w:rPr>
            <w:rStyle w:val="Hyperlink"/>
            <w:lang w:val="fr-BE"/>
          </w:rPr>
          <w:t>“</w:t>
        </w:r>
        <w:r w:rsidRPr="0005264B">
          <w:rPr>
            <w:rStyle w:val="Hyperlink"/>
            <w:lang w:val="fr-BE"/>
          </w:rPr>
          <w:t>Consommateurs</w:t>
        </w:r>
        <w:r>
          <w:rPr>
            <w:rStyle w:val="Hyperlink"/>
            <w:lang w:val="fr-BE"/>
          </w:rPr>
          <w:t>”</w:t>
        </w:r>
        <w:r w:rsidRPr="0005264B">
          <w:rPr>
            <w:rStyle w:val="Hyperlink"/>
            <w:lang w:val="fr-BE"/>
          </w:rPr>
          <w:t xml:space="preserve"> (2014-2020)</w:t>
        </w:r>
      </w:hyperlink>
      <w:r w:rsidRPr="004C5856">
        <w:t>»</w:t>
      </w:r>
      <w:r w:rsidRPr="00FE1CB5">
        <w:t>.</w:t>
      </w:r>
    </w:p>
  </w:footnote>
  <w:footnote w:id="2">
    <w:p w14:paraId="1468BB52" w14:textId="77777777" w:rsidR="00E01EE8" w:rsidRPr="00B94068" w:rsidRDefault="00E01EE8" w:rsidP="00E01EE8">
      <w:pPr>
        <w:pStyle w:val="FootnoteText"/>
        <w:rPr>
          <w:lang w:val="fi-FI"/>
        </w:rPr>
      </w:pPr>
      <w:r>
        <w:rPr>
          <w:rStyle w:val="FootnoteReference"/>
        </w:rPr>
        <w:footnoteRef/>
      </w:r>
      <w:r w:rsidRPr="00D879BB">
        <w:rPr>
          <w:lang w:val="fi-FI"/>
        </w:rPr>
        <w:t xml:space="preserve"> </w:t>
      </w:r>
      <w:r>
        <w:rPr>
          <w:lang w:val="fi-FI"/>
        </w:rPr>
        <w:tab/>
      </w:r>
      <w:r w:rsidRPr="00B94068">
        <w:rPr>
          <w:lang w:val="fi-FI"/>
        </w:rPr>
        <w:t>JO</w:t>
      </w:r>
      <w:r>
        <w:rPr>
          <w:lang w:val="fi-FI"/>
        </w:rPr>
        <w:t> </w:t>
      </w:r>
      <w:r w:rsidRPr="00B94068">
        <w:rPr>
          <w:lang w:val="fi-FI"/>
        </w:rPr>
        <w:t>L, 2024/1781, 28.6.2024, ELI: </w:t>
      </w:r>
      <w:hyperlink r:id="rId2" w:history="1">
        <w:r w:rsidRPr="00B73C78">
          <w:rPr>
            <w:rStyle w:val="Hyperlink"/>
            <w:szCs w:val="16"/>
            <w:lang w:val="fi-FI"/>
          </w:rPr>
          <w:t>http://data.europa.eu/eli/reg/2024/1781/oj</w:t>
        </w:r>
      </w:hyperlink>
      <w:r w:rsidRPr="00B94068">
        <w:rPr>
          <w:lang w:val="fi-FI"/>
        </w:rPr>
        <w:t>.</w:t>
      </w:r>
    </w:p>
  </w:footnote>
  <w:footnote w:id="3">
    <w:p w14:paraId="10E7013F" w14:textId="77777777" w:rsidR="00E01EE8" w:rsidRPr="00B94068" w:rsidRDefault="00E01EE8" w:rsidP="00E01EE8">
      <w:pPr>
        <w:pStyle w:val="FootnoteText"/>
        <w:rPr>
          <w:lang w:val="da-DK"/>
        </w:rPr>
      </w:pPr>
      <w:r>
        <w:rPr>
          <w:rStyle w:val="FootnoteReference"/>
        </w:rPr>
        <w:footnoteRef/>
      </w:r>
      <w:r w:rsidRPr="00B94068">
        <w:rPr>
          <w:lang w:val="da-DK"/>
        </w:rPr>
        <w:t xml:space="preserve"> </w:t>
      </w:r>
      <w:r>
        <w:rPr>
          <w:lang w:val="da-DK"/>
        </w:rPr>
        <w:tab/>
      </w:r>
      <w:r w:rsidRPr="00B94068">
        <w:rPr>
          <w:lang w:val="da-DK"/>
        </w:rPr>
        <w:t>JO</w:t>
      </w:r>
      <w:r>
        <w:rPr>
          <w:lang w:val="da-DK"/>
        </w:rPr>
        <w:t> </w:t>
      </w:r>
      <w:r w:rsidRPr="00B94068">
        <w:rPr>
          <w:lang w:val="da-DK"/>
        </w:rPr>
        <w:t>L, 2024/1799, 10.7.2024, ELI: </w:t>
      </w:r>
      <w:hyperlink r:id="rId3" w:history="1">
        <w:r w:rsidRPr="00B73C78">
          <w:rPr>
            <w:rStyle w:val="Hyperlink"/>
            <w:szCs w:val="16"/>
            <w:lang w:val="da-DK"/>
          </w:rPr>
          <w:t>http://data.europa.eu/eli/dir/2024/1799/oj</w:t>
        </w:r>
      </w:hyperlink>
      <w:r w:rsidRPr="00B94068">
        <w:rPr>
          <w:lang w:val="da-DK"/>
        </w:rPr>
        <w:t xml:space="preserve">; </w:t>
      </w:r>
      <w:hyperlink r:id="rId4" w:history="1">
        <w:r w:rsidRPr="00B73C78">
          <w:rPr>
            <w:rStyle w:val="Hyperlink"/>
            <w:lang w:val="da-DK"/>
          </w:rPr>
          <w:t>JO C 293 du 18.8.2023, p. 77</w:t>
        </w:r>
      </w:hyperlink>
      <w:r w:rsidRPr="00B94068">
        <w:rPr>
          <w:lang w:val="da-DK"/>
        </w:rPr>
        <w:t>.</w:t>
      </w:r>
    </w:p>
  </w:footnote>
  <w:footnote w:id="4">
    <w:p w14:paraId="09279A2B" w14:textId="304893CF" w:rsidR="00E01EE8" w:rsidRPr="006D171B" w:rsidRDefault="00E01EE8" w:rsidP="00E01EE8">
      <w:pPr>
        <w:pStyle w:val="FootnoteText"/>
        <w:rPr>
          <w:lang w:val="fi-FI"/>
        </w:rPr>
      </w:pPr>
      <w:r>
        <w:rPr>
          <w:rStyle w:val="FootnoteReference"/>
        </w:rPr>
        <w:footnoteRef/>
      </w:r>
      <w:r w:rsidRPr="006D171B">
        <w:rPr>
          <w:lang w:val="fi-FI"/>
        </w:rPr>
        <w:t xml:space="preserve"> </w:t>
      </w:r>
      <w:r w:rsidRPr="006D171B">
        <w:rPr>
          <w:lang w:val="fi-FI"/>
        </w:rPr>
        <w:tab/>
        <w:t>JO</w:t>
      </w:r>
      <w:r>
        <w:rPr>
          <w:lang w:val="fi-FI"/>
        </w:rPr>
        <w:t> </w:t>
      </w:r>
      <w:r w:rsidRPr="006D171B">
        <w:rPr>
          <w:lang w:val="fi-FI"/>
        </w:rPr>
        <w:t>C, C/2026/6, 16.1.2026, ELI:</w:t>
      </w:r>
      <w:r w:rsidR="00C175A0">
        <w:rPr>
          <w:lang w:val="fi-FI"/>
        </w:rPr>
        <w:t xml:space="preserve"> </w:t>
      </w:r>
      <w:hyperlink r:id="rId5" w:history="1">
        <w:r w:rsidR="00C175A0" w:rsidRPr="00B73C78">
          <w:rPr>
            <w:rStyle w:val="Hyperlink"/>
            <w:lang w:val="fi-FI"/>
          </w:rPr>
          <w:t>http://data.europa.eu/eli/C/2026/6/oj</w:t>
        </w:r>
      </w:hyperlink>
      <w:r>
        <w:rPr>
          <w:lang w:val="fi-FI"/>
        </w:rPr>
        <w:t>.</w:t>
      </w:r>
    </w:p>
  </w:footnote>
  <w:footnote w:id="5">
    <w:p w14:paraId="4F5213A6" w14:textId="77777777" w:rsidR="00E01EE8" w:rsidRPr="00B94068" w:rsidRDefault="00E01EE8" w:rsidP="00E01EE8">
      <w:pPr>
        <w:pStyle w:val="FootnoteText"/>
        <w:rPr>
          <w:lang w:val="fi-FI"/>
        </w:rPr>
      </w:pPr>
      <w:r>
        <w:rPr>
          <w:rStyle w:val="FootnoteReference"/>
        </w:rPr>
        <w:footnoteRef/>
      </w:r>
      <w:r w:rsidRPr="00B94068">
        <w:rPr>
          <w:lang w:val="fi-FI"/>
        </w:rPr>
        <w:t xml:space="preserve"> </w:t>
      </w:r>
      <w:r w:rsidRPr="00B94068">
        <w:rPr>
          <w:lang w:val="fi-FI"/>
        </w:rPr>
        <w:tab/>
      </w:r>
      <w:r>
        <w:rPr>
          <w:lang w:val="fi-FI"/>
        </w:rPr>
        <w:t xml:space="preserve">JO C, C/2025/119, 10.1.2025, </w:t>
      </w:r>
      <w:r w:rsidRPr="00B94068">
        <w:rPr>
          <w:lang w:val="fi-FI"/>
        </w:rPr>
        <w:t xml:space="preserve">ELI: </w:t>
      </w:r>
      <w:hyperlink r:id="rId6" w:tgtFrame="_blank" w:tooltip="Permet d'accéder à ce document par l’intermédiaire de son URI ELI." w:history="1">
        <w:r w:rsidRPr="00B73C78">
          <w:rPr>
            <w:rStyle w:val="Hyperlink"/>
            <w:color w:val="0E47CB"/>
            <w:szCs w:val="16"/>
            <w:lang w:val="fi-FI"/>
          </w:rPr>
          <w:t>http://data.europa.eu/eli/C/2025/119/oj</w:t>
        </w:r>
      </w:hyperlink>
      <w:r w:rsidRPr="00B94068">
        <w:rPr>
          <w:lang w:val="fi-FI"/>
        </w:rPr>
        <w:t>.</w:t>
      </w:r>
    </w:p>
  </w:footnote>
  <w:footnote w:id="6">
    <w:p w14:paraId="1AC8B1B5" w14:textId="77777777" w:rsidR="00E01EE8" w:rsidRPr="00B94068" w:rsidRDefault="00E01EE8" w:rsidP="00E01EE8">
      <w:pPr>
        <w:pStyle w:val="FootnoteText"/>
        <w:rPr>
          <w:lang w:val="fi-FI"/>
        </w:rPr>
      </w:pPr>
      <w:r>
        <w:rPr>
          <w:rStyle w:val="FootnoteReference"/>
        </w:rPr>
        <w:footnoteRef/>
      </w:r>
      <w:r w:rsidRPr="00B94068">
        <w:rPr>
          <w:lang w:val="fi-FI"/>
        </w:rPr>
        <w:t xml:space="preserve"> </w:t>
      </w:r>
      <w:r w:rsidRPr="00B94068">
        <w:rPr>
          <w:lang w:val="fi-FI"/>
        </w:rPr>
        <w:tab/>
        <w:t>J</w:t>
      </w:r>
      <w:r w:rsidRPr="00070998">
        <w:rPr>
          <w:lang w:val="fi-FI"/>
        </w:rPr>
        <w:t>O</w:t>
      </w:r>
      <w:r>
        <w:rPr>
          <w:lang w:val="fi-FI"/>
        </w:rPr>
        <w:t> </w:t>
      </w:r>
      <w:r w:rsidRPr="00070998">
        <w:rPr>
          <w:lang w:val="fi-FI"/>
        </w:rPr>
        <w:t>C, C/2024/2482, 23.4.2024</w:t>
      </w:r>
      <w:r w:rsidRPr="00B94068">
        <w:rPr>
          <w:lang w:val="fi-FI"/>
        </w:rPr>
        <w:t xml:space="preserve">, ELI: </w:t>
      </w:r>
      <w:hyperlink r:id="rId7" w:history="1">
        <w:r w:rsidRPr="00B73C78">
          <w:rPr>
            <w:rStyle w:val="Hyperlink"/>
            <w:lang w:val="fi-FI"/>
          </w:rPr>
          <w:t>http://data.europa.eu/eli/C/2024/2482/oj</w:t>
        </w:r>
      </w:hyperlink>
      <w:r w:rsidRPr="00B94068">
        <w:rPr>
          <w:lang w:val="fi-F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A1B17" w14:textId="77777777" w:rsidR="00574C9B" w:rsidRDefault="004545CC">
    <w:pPr>
      <w:pStyle w:val="Header"/>
    </w:pPr>
    <w:r>
      <w:pict w14:anchorId="208ED1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6" o:spid="_x0000_s2060" type="#_x0000_t75" style="position:absolute;left:0;text-align:left;margin-left:0;margin-top:0;width:595.2pt;height:841.9pt;z-index:-251660800;mso-position-horizontal:center;mso-position-horizontal-relative:margin;mso-position-vertical:center;mso-position-vertical-relative:margin" o:allowincell="f">
          <v:imagedata r:id="rId1" o:title="footer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BD42D" w14:textId="3F702055" w:rsidR="00574C9B" w:rsidRDefault="00EB1654">
    <w:pPr>
      <w:pStyle w:val="Header"/>
    </w:pPr>
    <w:r>
      <w:rPr>
        <w:noProof/>
        <w:lang w:val="en-US"/>
      </w:rPr>
      <w:drawing>
        <wp:anchor distT="0" distB="0" distL="114300" distR="114300" simplePos="0" relativeHeight="251652608" behindDoc="0" locked="0" layoutInCell="1" allowOverlap="1" wp14:anchorId="03036815" wp14:editId="795BF1C7">
          <wp:simplePos x="898497" y="453224"/>
          <wp:positionH relativeFrom="page">
            <wp:align>center</wp:align>
          </wp:positionH>
          <wp:positionV relativeFrom="page">
            <wp:posOffset>288290</wp:posOffset>
          </wp:positionV>
          <wp:extent cx="6944360" cy="3343910"/>
          <wp:effectExtent l="0" t="0" r="0" b="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6944398" cy="3344275"/>
                  </a:xfrm>
                  <a:prstGeom prst="rect">
                    <a:avLst/>
                  </a:prstGeom>
                </pic:spPr>
              </pic:pic>
            </a:graphicData>
          </a:graphic>
          <wp14:sizeRelH relativeFrom="margin">
            <wp14:pctWidth>0</wp14:pctWidth>
          </wp14:sizeRelH>
          <wp14:sizeRelV relativeFrom="margin">
            <wp14:pctHeight>0</wp14:pctHeight>
          </wp14:sizeRelV>
        </wp:anchor>
      </w:drawing>
    </w:r>
    <w:r w:rsidR="004545CC">
      <w:pict w14:anchorId="2217B8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7" o:spid="_x0000_s2061" type="#_x0000_t75" style="position:absolute;left:0;text-align:left;margin-left:0;margin-top:0;width:595.2pt;height:841.9pt;z-index:-251659776;mso-position-horizontal:center;mso-position-horizontal-relative:page;mso-position-vertical:top;mso-position-vertical-relative:page" o:allowincell="f">
          <v:imagedata r:id="rId2" o:title="footer only"/>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7FC29" w14:textId="77777777" w:rsidR="00574C9B" w:rsidRDefault="004545CC">
    <w:pPr>
      <w:pStyle w:val="Header"/>
    </w:pPr>
    <w:r>
      <w:pict w14:anchorId="4554C5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5" o:spid="_x0000_s2059" type="#_x0000_t75" style="position:absolute;left:0;text-align:left;margin-left:0;margin-top:0;width:595.2pt;height:841.9pt;z-index:-251661824;mso-position-horizontal:center;mso-position-horizontal-relative:margin;mso-position-vertical:center;mso-position-vertical-relative:margin" o:allowincell="f">
          <v:imagedata r:id="rId1" o:title="footer only"/>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A3A97" w14:textId="77777777" w:rsidR="00574C9B" w:rsidRDefault="004545CC">
    <w:pPr>
      <w:pStyle w:val="Header"/>
    </w:pPr>
    <w:r>
      <w:pict w14:anchorId="6020E7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9" o:spid="_x0000_s2063" type="#_x0000_t75" style="position:absolute;left:0;text-align:left;margin-left:0;margin-top:0;width:595.2pt;height:841.9pt;z-index:-251657728;mso-position-horizontal:center;mso-position-horizontal-relative:margin;mso-position-vertical:center;mso-position-vertical-relative:margin" o:allowincell="f">
          <v:imagedata r:id="rId1" o:title="footer only"/>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BE439" w14:textId="77777777" w:rsidR="00574C9B" w:rsidRDefault="004545CC">
    <w:pPr>
      <w:pStyle w:val="Header"/>
    </w:pPr>
    <w:r>
      <w:pict w14:anchorId="695052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20" o:spid="_x0000_s2064" type="#_x0000_t75" style="position:absolute;left:0;text-align:left;margin-left:0;margin-top:0;width:595.2pt;height:841.9pt;z-index:-251656704;visibility:hidden;mso-position-horizontal:center;mso-position-horizontal-relative:margin;mso-position-vertical:center;mso-position-vertical-relative:margin" o:allowincell="f">
          <v:imagedata r:id="rId1" o:title="footer only"/>
          <w10:wrap anchorx="margin" anchory="margin"/>
        </v:shape>
      </w:pict>
    </w:r>
    <w:r w:rsidR="0073316D">
      <w:rPr>
        <w:noProof/>
        <w:lang w:val="en-US"/>
      </w:rPr>
      <w:drawing>
        <wp:anchor distT="0" distB="0" distL="114300" distR="114300" simplePos="0" relativeHeight="251653632" behindDoc="1" locked="0" layoutInCell="1" allowOverlap="1" wp14:anchorId="4980A7B0" wp14:editId="67ADF9E7">
          <wp:simplePos x="0" y="0"/>
          <wp:positionH relativeFrom="page">
            <wp:posOffset>-10571</wp:posOffset>
          </wp:positionH>
          <wp:positionV relativeFrom="page">
            <wp:posOffset>-221993</wp:posOffset>
          </wp:positionV>
          <wp:extent cx="7581265" cy="10898802"/>
          <wp:effectExtent l="0" t="0" r="63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ckground (footer) recto.png"/>
                  <pic:cNvPicPr/>
                </pic:nvPicPr>
                <pic:blipFill>
                  <a:blip r:embed="rId2">
                    <a:extLst>
                      <a:ext uri="{28A0092B-C50C-407E-A947-70E740481C1C}">
                        <a14:useLocalDpi xmlns:a14="http://schemas.microsoft.com/office/drawing/2010/main" val="0"/>
                      </a:ext>
                    </a:extLst>
                  </a:blip>
                  <a:stretch>
                    <a:fillRect/>
                  </a:stretch>
                </pic:blipFill>
                <pic:spPr>
                  <a:xfrm>
                    <a:off x="0" y="0"/>
                    <a:ext cx="7585107" cy="10904325"/>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99EF3" w14:textId="77777777" w:rsidR="00574C9B" w:rsidRDefault="004545CC">
    <w:pPr>
      <w:pStyle w:val="Header"/>
    </w:pPr>
    <w:r>
      <w:pict w14:anchorId="185913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8" o:spid="_x0000_s2062" type="#_x0000_t75" style="position:absolute;left:0;text-align:left;margin-left:0;margin-top:0;width:595.2pt;height:841.9pt;z-index:-251658752;mso-position-horizontal:center;mso-position-horizontal-relative:margin;mso-position-vertical:center;mso-position-vertical-relative:margin" o:allowincell="f">
          <v:imagedata r:id="rId1" o:title="footer only"/>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9FBA4" w14:textId="77777777" w:rsidR="004871B8" w:rsidRDefault="004545CC">
    <w:pPr>
      <w:pStyle w:val="Header"/>
    </w:pPr>
    <w:r>
      <w:pict w14:anchorId="2C4DBD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22" o:spid="_x0000_s2066" type="#_x0000_t75" style="position:absolute;left:0;text-align:left;margin-left:0;margin-top:0;width:595.2pt;height:841.9pt;z-index:-251654656;mso-position-horizontal:center;mso-position-horizontal-relative:margin;mso-position-vertical:center;mso-position-vertical-relative:margin" o:allowincell="f">
          <v:imagedata r:id="rId1" o:title="footer only"/>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3FBA0" w14:textId="77777777" w:rsidR="00DE5182" w:rsidRDefault="004545CC">
    <w:pPr>
      <w:pStyle w:val="Header"/>
    </w:pPr>
    <w:r>
      <w:pict w14:anchorId="3D6384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23" o:spid="_x0000_s2067" type="#_x0000_t75" style="position:absolute;left:0;text-align:left;margin-left:0;margin-top:0;width:595.2pt;height:841.9pt;z-index:-251653632;visibility:hidden;mso-position-horizontal:center;mso-position-horizontal-relative:margin;mso-position-vertical:center;mso-position-vertical-relative:margin" o:allowincell="f">
          <v:imagedata r:id="rId1" o:title="footer only"/>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69E2E" w14:textId="77777777" w:rsidR="004871B8" w:rsidRDefault="004545CC">
    <w:pPr>
      <w:pStyle w:val="Header"/>
    </w:pPr>
    <w:r>
      <w:pict w14:anchorId="2DE564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21" o:spid="_x0000_s2065" type="#_x0000_t75" style="position:absolute;left:0;text-align:left;margin-left:0;margin-top:0;width:595.2pt;height:841.9pt;z-index:-251655680;mso-position-horizontal:center;mso-position-horizontal-relative:margin;mso-position-vertical:center;mso-position-vertical-relative:margin" o:allowincell="f">
          <v:imagedata r:id="rId1" o:title="footer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DDCE010"/>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2948746B"/>
    <w:multiLevelType w:val="multilevel"/>
    <w:tmpl w:val="E988B862"/>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2" w15:restartNumberingAfterBreak="0">
    <w:nsid w:val="52901C06"/>
    <w:multiLevelType w:val="multilevel"/>
    <w:tmpl w:val="70FE5DE6"/>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3" w15:restartNumberingAfterBreak="0">
    <w:nsid w:val="5E0E0D97"/>
    <w:multiLevelType w:val="multilevel"/>
    <w:tmpl w:val="3CC84292"/>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4" w15:restartNumberingAfterBreak="0">
    <w:nsid w:val="70AD7F76"/>
    <w:multiLevelType w:val="multilevel"/>
    <w:tmpl w:val="296C9DD8"/>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5" w15:restartNumberingAfterBreak="0">
    <w:nsid w:val="7E026B9B"/>
    <w:multiLevelType w:val="multilevel"/>
    <w:tmpl w:val="BF50EB68"/>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num w:numId="1" w16cid:durableId="1642732567">
    <w:abstractNumId w:val="0"/>
  </w:num>
  <w:num w:numId="2" w16cid:durableId="3227013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12396210">
    <w:abstractNumId w:val="4"/>
  </w:num>
  <w:num w:numId="4" w16cid:durableId="1171531110">
    <w:abstractNumId w:val="2"/>
  </w:num>
  <w:num w:numId="5" w16cid:durableId="928124082">
    <w:abstractNumId w:val="3"/>
  </w:num>
  <w:num w:numId="6" w16cid:durableId="232542804">
    <w:abstractNumId w:val="1"/>
  </w:num>
  <w:num w:numId="7" w16cid:durableId="4663152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6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370"/>
    <w:rsid w:val="000045CF"/>
    <w:rsid w:val="00020389"/>
    <w:rsid w:val="00053D00"/>
    <w:rsid w:val="000A0F3B"/>
    <w:rsid w:val="00115651"/>
    <w:rsid w:val="00185E99"/>
    <w:rsid w:val="0019231D"/>
    <w:rsid w:val="001955B6"/>
    <w:rsid w:val="001D61AC"/>
    <w:rsid w:val="001E15AA"/>
    <w:rsid w:val="001E3FA1"/>
    <w:rsid w:val="001F0DBD"/>
    <w:rsid w:val="00200E87"/>
    <w:rsid w:val="00204E77"/>
    <w:rsid w:val="00206D14"/>
    <w:rsid w:val="00214BDC"/>
    <w:rsid w:val="00215E81"/>
    <w:rsid w:val="0024727F"/>
    <w:rsid w:val="002B6A7B"/>
    <w:rsid w:val="00327EEB"/>
    <w:rsid w:val="003353D7"/>
    <w:rsid w:val="003659F9"/>
    <w:rsid w:val="00397956"/>
    <w:rsid w:val="00401DE5"/>
    <w:rsid w:val="004545CC"/>
    <w:rsid w:val="00461CAF"/>
    <w:rsid w:val="004871B8"/>
    <w:rsid w:val="00492082"/>
    <w:rsid w:val="004F3B80"/>
    <w:rsid w:val="00563DF7"/>
    <w:rsid w:val="00574C9B"/>
    <w:rsid w:val="0058411F"/>
    <w:rsid w:val="005961A4"/>
    <w:rsid w:val="005C1CB2"/>
    <w:rsid w:val="005C530F"/>
    <w:rsid w:val="006125A1"/>
    <w:rsid w:val="00642CC3"/>
    <w:rsid w:val="00653E7D"/>
    <w:rsid w:val="00662207"/>
    <w:rsid w:val="00667F09"/>
    <w:rsid w:val="006B57A6"/>
    <w:rsid w:val="006C0EAF"/>
    <w:rsid w:val="006D53A6"/>
    <w:rsid w:val="00732F15"/>
    <w:rsid w:val="0073316D"/>
    <w:rsid w:val="0078606E"/>
    <w:rsid w:val="00787837"/>
    <w:rsid w:val="00787ABB"/>
    <w:rsid w:val="007B6C64"/>
    <w:rsid w:val="007C2C73"/>
    <w:rsid w:val="007F6C1A"/>
    <w:rsid w:val="00822952"/>
    <w:rsid w:val="00836505"/>
    <w:rsid w:val="00837061"/>
    <w:rsid w:val="00844B87"/>
    <w:rsid w:val="0089251B"/>
    <w:rsid w:val="008A09E7"/>
    <w:rsid w:val="008A6DD4"/>
    <w:rsid w:val="008F74D7"/>
    <w:rsid w:val="00904C42"/>
    <w:rsid w:val="00914683"/>
    <w:rsid w:val="00924C05"/>
    <w:rsid w:val="00937CF2"/>
    <w:rsid w:val="00976645"/>
    <w:rsid w:val="00976F77"/>
    <w:rsid w:val="0098228C"/>
    <w:rsid w:val="009C4EB4"/>
    <w:rsid w:val="009E2100"/>
    <w:rsid w:val="00A21F3B"/>
    <w:rsid w:val="00A266BF"/>
    <w:rsid w:val="00A310E1"/>
    <w:rsid w:val="00A36AB0"/>
    <w:rsid w:val="00A727A1"/>
    <w:rsid w:val="00A90F53"/>
    <w:rsid w:val="00AB37A3"/>
    <w:rsid w:val="00AC5114"/>
    <w:rsid w:val="00AE0B76"/>
    <w:rsid w:val="00B25683"/>
    <w:rsid w:val="00B262FE"/>
    <w:rsid w:val="00B51901"/>
    <w:rsid w:val="00B73C78"/>
    <w:rsid w:val="00BB317A"/>
    <w:rsid w:val="00BC4FD4"/>
    <w:rsid w:val="00BD134D"/>
    <w:rsid w:val="00BD50F6"/>
    <w:rsid w:val="00BD565A"/>
    <w:rsid w:val="00BF5611"/>
    <w:rsid w:val="00C073E1"/>
    <w:rsid w:val="00C175A0"/>
    <w:rsid w:val="00C25647"/>
    <w:rsid w:val="00C27A3D"/>
    <w:rsid w:val="00C66AEA"/>
    <w:rsid w:val="00C76BA9"/>
    <w:rsid w:val="00C9040A"/>
    <w:rsid w:val="00C91E4D"/>
    <w:rsid w:val="00CB110A"/>
    <w:rsid w:val="00CB7CD0"/>
    <w:rsid w:val="00CF5EB8"/>
    <w:rsid w:val="00D039AF"/>
    <w:rsid w:val="00D13128"/>
    <w:rsid w:val="00D95232"/>
    <w:rsid w:val="00DA2D12"/>
    <w:rsid w:val="00DB7F50"/>
    <w:rsid w:val="00DE059E"/>
    <w:rsid w:val="00DE30C7"/>
    <w:rsid w:val="00DE5182"/>
    <w:rsid w:val="00DF400F"/>
    <w:rsid w:val="00E01EE8"/>
    <w:rsid w:val="00E10ABC"/>
    <w:rsid w:val="00E15BF4"/>
    <w:rsid w:val="00E2376B"/>
    <w:rsid w:val="00E26935"/>
    <w:rsid w:val="00E27707"/>
    <w:rsid w:val="00E333C8"/>
    <w:rsid w:val="00E52B04"/>
    <w:rsid w:val="00E55D12"/>
    <w:rsid w:val="00E65F36"/>
    <w:rsid w:val="00E661B7"/>
    <w:rsid w:val="00E90A9D"/>
    <w:rsid w:val="00EB1654"/>
    <w:rsid w:val="00F2069F"/>
    <w:rsid w:val="00F502AE"/>
    <w:rsid w:val="00F53370"/>
    <w:rsid w:val="00F674A6"/>
    <w:rsid w:val="00F82F1A"/>
    <w:rsid w:val="00F836C9"/>
    <w:rsid w:val="00F90BE2"/>
    <w:rsid w:val="00F94D31"/>
    <w:rsid w:val="00FB1D7A"/>
    <w:rsid w:val="00FC0C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1"/>
    </o:shapelayout>
  </w:shapeDefaults>
  <w:decimalSymbol w:val=","/>
  <w:listSeparator w:val=";"/>
  <w14:docId w14:val="46C96FFC"/>
  <w15:chartTrackingRefBased/>
  <w15:docId w15:val="{D381F634-0C15-4454-8DBD-75C4E885C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C9B"/>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F53370"/>
    <w:pPr>
      <w:numPr>
        <w:numId w:val="1"/>
      </w:numPr>
      <w:ind w:left="567" w:hanging="567"/>
      <w:outlineLvl w:val="0"/>
    </w:pPr>
    <w:rPr>
      <w:kern w:val="28"/>
    </w:rPr>
  </w:style>
  <w:style w:type="paragraph" w:styleId="Heading2">
    <w:name w:val="heading 2"/>
    <w:basedOn w:val="Normal"/>
    <w:next w:val="Normal"/>
    <w:link w:val="Heading2Char"/>
    <w:qFormat/>
    <w:rsid w:val="00F53370"/>
    <w:pPr>
      <w:numPr>
        <w:ilvl w:val="1"/>
        <w:numId w:val="1"/>
      </w:numPr>
      <w:ind w:left="567" w:hanging="567"/>
      <w:outlineLvl w:val="1"/>
    </w:pPr>
  </w:style>
  <w:style w:type="paragraph" w:styleId="Heading3">
    <w:name w:val="heading 3"/>
    <w:basedOn w:val="Normal"/>
    <w:next w:val="Normal"/>
    <w:link w:val="Heading3Char"/>
    <w:qFormat/>
    <w:rsid w:val="00F53370"/>
    <w:pPr>
      <w:numPr>
        <w:ilvl w:val="2"/>
        <w:numId w:val="1"/>
      </w:numPr>
      <w:ind w:left="567" w:hanging="567"/>
      <w:outlineLvl w:val="2"/>
    </w:pPr>
  </w:style>
  <w:style w:type="paragraph" w:styleId="Heading4">
    <w:name w:val="heading 4"/>
    <w:basedOn w:val="Normal"/>
    <w:next w:val="Normal"/>
    <w:link w:val="Heading4Char"/>
    <w:qFormat/>
    <w:rsid w:val="00F53370"/>
    <w:pPr>
      <w:numPr>
        <w:ilvl w:val="3"/>
        <w:numId w:val="1"/>
      </w:numPr>
      <w:ind w:left="567" w:hanging="567"/>
      <w:outlineLvl w:val="3"/>
    </w:pPr>
  </w:style>
  <w:style w:type="paragraph" w:styleId="Heading5">
    <w:name w:val="heading 5"/>
    <w:basedOn w:val="Normal"/>
    <w:next w:val="Normal"/>
    <w:link w:val="Heading5Char"/>
    <w:qFormat/>
    <w:rsid w:val="00F53370"/>
    <w:pPr>
      <w:numPr>
        <w:ilvl w:val="4"/>
        <w:numId w:val="1"/>
      </w:numPr>
      <w:ind w:left="567" w:hanging="567"/>
      <w:outlineLvl w:val="4"/>
    </w:pPr>
  </w:style>
  <w:style w:type="paragraph" w:styleId="Heading6">
    <w:name w:val="heading 6"/>
    <w:basedOn w:val="Normal"/>
    <w:next w:val="Normal"/>
    <w:link w:val="Heading6Char"/>
    <w:qFormat/>
    <w:rsid w:val="00F53370"/>
    <w:pPr>
      <w:numPr>
        <w:ilvl w:val="5"/>
        <w:numId w:val="1"/>
      </w:numPr>
      <w:ind w:left="567" w:hanging="567"/>
      <w:outlineLvl w:val="5"/>
    </w:pPr>
  </w:style>
  <w:style w:type="paragraph" w:styleId="Heading7">
    <w:name w:val="heading 7"/>
    <w:basedOn w:val="Normal"/>
    <w:next w:val="Normal"/>
    <w:link w:val="Heading7Char"/>
    <w:qFormat/>
    <w:rsid w:val="00F53370"/>
    <w:pPr>
      <w:numPr>
        <w:ilvl w:val="6"/>
        <w:numId w:val="1"/>
      </w:numPr>
      <w:ind w:left="567" w:hanging="567"/>
      <w:outlineLvl w:val="6"/>
    </w:pPr>
  </w:style>
  <w:style w:type="paragraph" w:styleId="Heading8">
    <w:name w:val="heading 8"/>
    <w:basedOn w:val="Normal"/>
    <w:next w:val="Normal"/>
    <w:link w:val="Heading8Char"/>
    <w:qFormat/>
    <w:rsid w:val="00F53370"/>
    <w:pPr>
      <w:numPr>
        <w:ilvl w:val="7"/>
        <w:numId w:val="1"/>
      </w:numPr>
      <w:ind w:left="567" w:hanging="567"/>
      <w:outlineLvl w:val="7"/>
    </w:pPr>
  </w:style>
  <w:style w:type="paragraph" w:styleId="Heading9">
    <w:name w:val="heading 9"/>
    <w:basedOn w:val="Normal"/>
    <w:next w:val="Normal"/>
    <w:link w:val="Heading9Char"/>
    <w:qFormat/>
    <w:rsid w:val="00F5337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3370"/>
    <w:rPr>
      <w:rFonts w:ascii="Times New Roman" w:eastAsia="Times New Roman" w:hAnsi="Times New Roman" w:cs="Times New Roman"/>
      <w:kern w:val="28"/>
    </w:rPr>
  </w:style>
  <w:style w:type="character" w:customStyle="1" w:styleId="Heading2Char">
    <w:name w:val="Heading 2 Char"/>
    <w:basedOn w:val="DefaultParagraphFont"/>
    <w:link w:val="Heading2"/>
    <w:rsid w:val="00F53370"/>
    <w:rPr>
      <w:rFonts w:ascii="Times New Roman" w:eastAsia="Times New Roman" w:hAnsi="Times New Roman" w:cs="Times New Roman"/>
    </w:rPr>
  </w:style>
  <w:style w:type="character" w:customStyle="1" w:styleId="Heading3Char">
    <w:name w:val="Heading 3 Char"/>
    <w:basedOn w:val="DefaultParagraphFont"/>
    <w:link w:val="Heading3"/>
    <w:rsid w:val="00F53370"/>
    <w:rPr>
      <w:rFonts w:ascii="Times New Roman" w:eastAsia="Times New Roman" w:hAnsi="Times New Roman" w:cs="Times New Roman"/>
    </w:rPr>
  </w:style>
  <w:style w:type="character" w:customStyle="1" w:styleId="Heading4Char">
    <w:name w:val="Heading 4 Char"/>
    <w:basedOn w:val="DefaultParagraphFont"/>
    <w:link w:val="Heading4"/>
    <w:rsid w:val="00F53370"/>
    <w:rPr>
      <w:rFonts w:ascii="Times New Roman" w:eastAsia="Times New Roman" w:hAnsi="Times New Roman" w:cs="Times New Roman"/>
    </w:rPr>
  </w:style>
  <w:style w:type="character" w:customStyle="1" w:styleId="Heading5Char">
    <w:name w:val="Heading 5 Char"/>
    <w:basedOn w:val="DefaultParagraphFont"/>
    <w:link w:val="Heading5"/>
    <w:rsid w:val="00F53370"/>
    <w:rPr>
      <w:rFonts w:ascii="Times New Roman" w:eastAsia="Times New Roman" w:hAnsi="Times New Roman" w:cs="Times New Roman"/>
    </w:rPr>
  </w:style>
  <w:style w:type="character" w:customStyle="1" w:styleId="Heading6Char">
    <w:name w:val="Heading 6 Char"/>
    <w:basedOn w:val="DefaultParagraphFont"/>
    <w:link w:val="Heading6"/>
    <w:rsid w:val="00F53370"/>
    <w:rPr>
      <w:rFonts w:ascii="Times New Roman" w:eastAsia="Times New Roman" w:hAnsi="Times New Roman" w:cs="Times New Roman"/>
    </w:rPr>
  </w:style>
  <w:style w:type="character" w:customStyle="1" w:styleId="Heading7Char">
    <w:name w:val="Heading 7 Char"/>
    <w:basedOn w:val="DefaultParagraphFont"/>
    <w:link w:val="Heading7"/>
    <w:rsid w:val="00F53370"/>
    <w:rPr>
      <w:rFonts w:ascii="Times New Roman" w:eastAsia="Times New Roman" w:hAnsi="Times New Roman" w:cs="Times New Roman"/>
    </w:rPr>
  </w:style>
  <w:style w:type="character" w:customStyle="1" w:styleId="Heading8Char">
    <w:name w:val="Heading 8 Char"/>
    <w:basedOn w:val="DefaultParagraphFont"/>
    <w:link w:val="Heading8"/>
    <w:rsid w:val="00F53370"/>
    <w:rPr>
      <w:rFonts w:ascii="Times New Roman" w:eastAsia="Times New Roman" w:hAnsi="Times New Roman" w:cs="Times New Roman"/>
    </w:rPr>
  </w:style>
  <w:style w:type="character" w:customStyle="1" w:styleId="Heading9Char">
    <w:name w:val="Heading 9 Char"/>
    <w:basedOn w:val="DefaultParagraphFont"/>
    <w:link w:val="Heading9"/>
    <w:rsid w:val="00F53370"/>
    <w:rPr>
      <w:rFonts w:ascii="Times New Roman" w:eastAsia="Times New Roman" w:hAnsi="Times New Roman" w:cs="Times New Roman"/>
    </w:rPr>
  </w:style>
  <w:style w:type="paragraph" w:styleId="Footer">
    <w:name w:val="footer"/>
    <w:basedOn w:val="Normal"/>
    <w:link w:val="FooterChar"/>
    <w:qFormat/>
    <w:rsid w:val="00F53370"/>
  </w:style>
  <w:style w:type="character" w:customStyle="1" w:styleId="FooterChar">
    <w:name w:val="Footer Char"/>
    <w:basedOn w:val="DefaultParagraphFont"/>
    <w:link w:val="Footer"/>
    <w:rsid w:val="00F53370"/>
    <w:rPr>
      <w:rFonts w:ascii="Times New Roman" w:eastAsia="Times New Roman" w:hAnsi="Times New Roman" w:cs="Times New Roman"/>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A,FA Fu,fn"/>
    <w:basedOn w:val="Normal"/>
    <w:link w:val="FootnoteTextChar"/>
    <w:qFormat/>
    <w:rsid w:val="00F53370"/>
    <w:pPr>
      <w:keepLines/>
      <w:spacing w:after="60" w:line="240" w:lineRule="auto"/>
      <w:ind w:left="567" w:hanging="567"/>
    </w:pPr>
    <w:rPr>
      <w:sz w:val="16"/>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A Char"/>
    <w:basedOn w:val="DefaultParagraphFont"/>
    <w:link w:val="FootnoteText"/>
    <w:rsid w:val="00F53370"/>
    <w:rPr>
      <w:rFonts w:ascii="Times New Roman" w:eastAsia="Times New Roman" w:hAnsi="Times New Roman" w:cs="Times New Roman"/>
      <w:sz w:val="16"/>
    </w:rPr>
  </w:style>
  <w:style w:type="paragraph" w:styleId="Header">
    <w:name w:val="header"/>
    <w:basedOn w:val="Normal"/>
    <w:link w:val="HeaderChar"/>
    <w:qFormat/>
    <w:rsid w:val="00F53370"/>
  </w:style>
  <w:style w:type="character" w:customStyle="1" w:styleId="HeaderChar">
    <w:name w:val="Header Char"/>
    <w:basedOn w:val="DefaultParagraphFont"/>
    <w:link w:val="Header"/>
    <w:rsid w:val="00F53370"/>
    <w:rPr>
      <w:rFonts w:ascii="Times New Roman" w:eastAsia="Times New Roman" w:hAnsi="Times New Roman" w:cs="Times New Roman"/>
    </w:rPr>
  </w:style>
  <w:style w:type="paragraph" w:customStyle="1" w:styleId="quotes">
    <w:name w:val="quotes"/>
    <w:basedOn w:val="Normal"/>
    <w:next w:val="Normal"/>
    <w:rsid w:val="00F53370"/>
    <w:pPr>
      <w:ind w:left="720"/>
    </w:pPr>
    <w:rPr>
      <w:i/>
    </w:rPr>
  </w:style>
  <w:style w:type="character" w:styleId="FootnoteReference">
    <w:name w:val="footnote reference"/>
    <w:aliases w:val="Footnote symbol"/>
    <w:basedOn w:val="DefaultParagraphFont"/>
    <w:unhideWhenUsed/>
    <w:qFormat/>
    <w:rsid w:val="00F53370"/>
    <w:rPr>
      <w:sz w:val="24"/>
      <w:vertAlign w:val="superscript"/>
    </w:rPr>
  </w:style>
  <w:style w:type="table" w:styleId="TableGrid">
    <w:name w:val="Table Grid"/>
    <w:basedOn w:val="TableNormal"/>
    <w:uiPriority w:val="39"/>
    <w:rsid w:val="00F53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A6DD4"/>
    <w:rPr>
      <w:color w:val="0000FF"/>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sid w:val="00976F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76F77"/>
    <w:rPr>
      <w:b/>
      <w:bCs/>
    </w:rPr>
  </w:style>
  <w:style w:type="character" w:customStyle="1" w:styleId="CommentSubjectChar">
    <w:name w:val="Comment Subject Char"/>
    <w:basedOn w:val="CommentTextChar"/>
    <w:link w:val="CommentSubject"/>
    <w:uiPriority w:val="99"/>
    <w:semiHidden/>
    <w:rsid w:val="00976F77"/>
    <w:rPr>
      <w:rFonts w:ascii="Times New Roman" w:eastAsia="Times New Roman" w:hAnsi="Times New Roman" w:cs="Times New Roman"/>
      <w:b/>
      <w:bCs/>
      <w:sz w:val="20"/>
      <w:szCs w:val="20"/>
    </w:rPr>
  </w:style>
  <w:style w:type="paragraph" w:styleId="Revision">
    <w:name w:val="Revision"/>
    <w:hidden/>
    <w:uiPriority w:val="99"/>
    <w:semiHidden/>
    <w:rsid w:val="00976F77"/>
    <w:pPr>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76F77"/>
    <w:pPr>
      <w:spacing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976F77"/>
    <w:rPr>
      <w:rFonts w:ascii="Segoe UI" w:eastAsia="Times New Roman" w:hAnsi="Segoe UI" w:cs="Times New Roman"/>
      <w:sz w:val="18"/>
      <w:szCs w:val="18"/>
    </w:rPr>
  </w:style>
  <w:style w:type="paragraph" w:styleId="NormalWeb">
    <w:name w:val="Normal (Web)"/>
    <w:basedOn w:val="Normal"/>
    <w:uiPriority w:val="99"/>
    <w:semiHidden/>
    <w:unhideWhenUsed/>
    <w:rsid w:val="00E01EE8"/>
    <w:pPr>
      <w:spacing w:before="100" w:beforeAutospacing="1" w:after="100" w:afterAutospacing="1" w:line="240" w:lineRule="auto"/>
      <w:jc w:val="left"/>
    </w:pPr>
    <w:rPr>
      <w:sz w:val="24"/>
      <w:szCs w:val="24"/>
      <w:lang w:eastAsia="fr-FR"/>
    </w:rPr>
  </w:style>
  <w:style w:type="character" w:styleId="FollowedHyperlink">
    <w:name w:val="FollowedHyperlink"/>
    <w:basedOn w:val="DefaultParagraphFont"/>
    <w:uiPriority w:val="99"/>
    <w:semiHidden/>
    <w:unhideWhenUsed/>
    <w:rsid w:val="00C175A0"/>
    <w:rPr>
      <w:color w:val="954F72" w:themeColor="followedHyperlink"/>
      <w:u w:val="single"/>
    </w:rPr>
  </w:style>
  <w:style w:type="character" w:customStyle="1" w:styleId="UnresolvedMention1">
    <w:name w:val="Unresolved Mention1"/>
    <w:basedOn w:val="DefaultParagraphFont"/>
    <w:uiPriority w:val="99"/>
    <w:semiHidden/>
    <w:unhideWhenUsed/>
    <w:rsid w:val="00C175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8.xml"/></Relationships>
</file>

<file path=word/_rels/footnotes.xml.rels><?xml version="1.0" encoding="UTF-8" standalone="yes"?>
<Relationships xmlns="http://schemas.openxmlformats.org/package/2006/relationships"><Relationship Id="rId3" Type="http://schemas.openxmlformats.org/officeDocument/2006/relationships/hyperlink" Target="http://data.europa.eu/eli/dir/2024/1799/oj" TargetMode="External"/><Relationship Id="rId7" Type="http://schemas.openxmlformats.org/officeDocument/2006/relationships/hyperlink" Target="http://data.europa.eu/eli/C/2024/2482/oj" TargetMode="External"/><Relationship Id="rId2" Type="http://schemas.openxmlformats.org/officeDocument/2006/relationships/hyperlink" Target="http://data.europa.eu/eli/reg/2024/1781/oj" TargetMode="External"/><Relationship Id="rId1" Type="http://schemas.openxmlformats.org/officeDocument/2006/relationships/hyperlink" Target="https://www.eesc.europa.eu/fr/our-work/opinions-information-reports/information-reports/evaluation-finale-du-programme-consommateurs-2014-2020" TargetMode="External"/><Relationship Id="rId6" Type="http://schemas.openxmlformats.org/officeDocument/2006/relationships/hyperlink" Target="http://data.europa.eu/eli/C/2025/119/oj" TargetMode="External"/><Relationship Id="rId5" Type="http://schemas.openxmlformats.org/officeDocument/2006/relationships/hyperlink" Target="http://data.europa.eu/eli/C/2026/6/oj" TargetMode="External"/><Relationship Id="rId4" Type="http://schemas.openxmlformats.org/officeDocument/2006/relationships/hyperlink" Target="https://eur-lex.europa.eu/legal-content/FR/TXT/?uri=CELEX:52023AE115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B192796EE9568A4C8E77C6EF5F22B614" ma:contentTypeVersion="4" ma:contentTypeDescription="Defines the documents for Document Manager V2" ma:contentTypeScope="" ma:versionID="b9faea45a7e02bbb816d4162149d5e49">
  <xsd:schema xmlns:xsd="http://www.w3.org/2001/XMLSchema" xmlns:xs="http://www.w3.org/2001/XMLSchema" xmlns:p="http://schemas.microsoft.com/office/2006/metadata/properties" xmlns:ns2="1a33af13-4045-4f88-9d7b-618e30f79918" xmlns:ns3="http://schemas.microsoft.com/sharepoint/v3/fields" xmlns:ns4="27994258-8564-426c-a7a1-d6286d62992e" targetNamespace="http://schemas.microsoft.com/office/2006/metadata/properties" ma:root="true" ma:fieldsID="af51dee0f9c2d9a0a51b5858d1a4441d" ns2:_="" ns3:_="" ns4:_="">
    <xsd:import namespace="1a33af13-4045-4f88-9d7b-618e30f79918"/>
    <xsd:import namespace="http://schemas.microsoft.com/sharepoint/v3/fields"/>
    <xsd:import namespace="27994258-8564-426c-a7a1-d6286d62992e"/>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994258-8564-426c-a7a1-d6286d62992e"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A6WAAD5KZT2Q-284857674-12356</_dlc_DocId>
    <_dlc_DocIdUrl xmlns="1a33af13-4045-4f88-9d7b-618e30f79918">
      <Url>http://dm/eesc/2025/_layouts/15/DocIdRedir.aspx?ID=A6WAAD5KZT2Q-284857674-12356</Url>
      <Description>A6WAAD5KZT2Q-284857674-12356</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AC</TermName>
          <TermId xmlns="http://schemas.microsoft.com/office/infopath/2007/PartnerControls">a4cc1d15-fb08-4679-ad46-e4e0cba5fe92</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2026-04-30T12:00:00+00:00</ProductionDate>
    <FicheYear xmlns="1a33af13-4045-4f88-9d7b-618e30f79918">2025</FicheYear>
    <DocumentNumber xmlns="27994258-8564-426c-a7a1-d6286d62992e">3969</DocumentNumber>
    <DossierNumber xmlns="1a33af13-4045-4f88-9d7b-618e30f79918">1107</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 xsi:nil="true"/>
    <TaxCatchAll xmlns="1a33af13-4045-4f88-9d7b-618e30f79918">
      <Value>15</Value>
      <Value>13</Value>
      <Value>12</Value>
      <Value>79</Value>
      <Value>8</Value>
      <Value>1</Value>
      <Value>51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s>
    </DocumentLanguage_0>
    <Rapporteur xmlns="1a33af13-4045-4f88-9d7b-618e30f79918">LIBAERT</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1a33af13-4045-4f88-9d7b-618e30f79918">2025</DocumentYear>
    <FicheNumber xmlns="1a33af13-4045-4f88-9d7b-618e30f79918">3893</FicheNumber>
    <OriginalSender xmlns="1a33af13-4045-4f88-9d7b-618e30f79918">
      <UserInfo>
        <DisplayName>TDriveSVCUserProd</DisplayName>
        <AccountId>1358</AccountId>
        <AccountType/>
      </UserInfo>
    </OriginalSender>
    <DocumentPart xmlns="1a33af13-4045-4f88-9d7b-618e30f79918">0</DocumentPart>
    <AdoptionDate xmlns="1a33af13-4045-4f88-9d7b-618e30f79918">2026-04-29T12:00:00+00:00</AdoptionDate>
    <RequestingService xmlns="1a33af13-4045-4f88-9d7b-618e30f79918">Marché unique, production, consommation</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s>
    </OriginalLanguage_0>
    <MeetingNumber xmlns="27994258-8564-426c-a7a1-d6286d62992e"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INT</TermName>
          <TermId xmlns="http://schemas.microsoft.com/office/infopath/2007/PartnerControls">e1edfecb-ed43-427b-bb02-d45fe6645386</TermId>
        </TermInfo>
      </Terms>
    </DossierName_0>
    <DocumentVersion xmlns="1a33af13-4045-4f88-9d7b-618e30f79918">0</DocumentVers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01BED0-6E9A-4350-ABC8-1D0B09900ECE}">
  <ds:schemaRefs>
    <ds:schemaRef ds:uri="http://schemas.microsoft.com/sharepoint/events"/>
  </ds:schemaRefs>
</ds:datastoreItem>
</file>

<file path=customXml/itemProps2.xml><?xml version="1.0" encoding="utf-8"?>
<ds:datastoreItem xmlns:ds="http://schemas.openxmlformats.org/officeDocument/2006/customXml" ds:itemID="{2F34FA1F-4F45-4D76-A911-FCB3B37D83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3af13-4045-4f88-9d7b-618e30f79918"/>
    <ds:schemaRef ds:uri="http://schemas.microsoft.com/sharepoint/v3/fields"/>
    <ds:schemaRef ds:uri="27994258-8564-426c-a7a1-d6286d6299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11C727-F601-4F78-AC7B-EAD3FF468F81}">
  <ds:schemaRefs>
    <ds:schemaRef ds:uri="http://schemas.microsoft.com/office/2006/metadata/properties"/>
    <ds:schemaRef ds:uri="http://schemas.microsoft.com/office/infopath/2007/PartnerControls"/>
    <ds:schemaRef ds:uri="1a33af13-4045-4f88-9d7b-618e30f79918"/>
    <ds:schemaRef ds:uri="http://schemas.microsoft.com/sharepoint/v3/fields"/>
    <ds:schemaRef ds:uri="27994258-8564-426c-a7a1-d6286d62992e"/>
  </ds:schemaRefs>
</ds:datastoreItem>
</file>

<file path=customXml/itemProps4.xml><?xml version="1.0" encoding="utf-8"?>
<ds:datastoreItem xmlns:ds="http://schemas.openxmlformats.org/officeDocument/2006/customXml" ds:itemID="{E217B53C-BE84-45B2-890E-AD9F20E1D9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3312</Words>
  <Characters>18222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CESE AC - Modèle</vt:lpstr>
    </vt:vector>
  </TitlesOfParts>
  <Company>CESE-CdR</Company>
  <LinksUpToDate>false</LinksUpToDate>
  <CharactersWithSpaces>21492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2030 Consumer Agenda</dc:title>
  <dc:subject>Avis comité</dc:subject>
  <dc:creator>Francois Aude</dc:creator>
  <cp:keywords>EESC-2025-03969-00-00-AC-TRA-FR</cp:keywords>
  <dc:description>Rapporteur: - LIBAERT Original language: - FR Date of document: - 30/04/2026 Date of meeting: -  External documents: - COM(2025)848- final Administrator responsible: - MME STEFANKOVA Radoslava</dc:description>
  <cp:lastModifiedBy>Seidenberg Alexandra</cp:lastModifiedBy>
  <cp:revision>2</cp:revision>
  <dcterms:created xsi:type="dcterms:W3CDTF">2026-04-30T09:18:00Z</dcterms:created>
  <dcterms:modified xsi:type="dcterms:W3CDTF">2026-04-30T09:18:00Z</dcterms:modified>
  <cp:category>INT/1107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30/04/2026, 12/04/2024, 17/05/2022</vt:lpwstr>
  </property>
  <property fmtid="{D5CDD505-2E9C-101B-9397-08002B2CF9AE}" pid="4" name="Pref_Time">
    <vt:lpwstr>10:26:53, 11:43:34, 14:58:36</vt:lpwstr>
  </property>
  <property fmtid="{D5CDD505-2E9C-101B-9397-08002B2CF9AE}" pid="5" name="Pref_User">
    <vt:lpwstr>jhvi, enied, enied</vt:lpwstr>
  </property>
  <property fmtid="{D5CDD505-2E9C-101B-9397-08002B2CF9AE}" pid="6" name="Pref_FileName">
    <vt:lpwstr>EESC-2025-03969-00-00-AC-TRA-FR-CRR.docx, COR-EESC-2024-01326-10-00-ADMIN-ORI.docx, COR-EESC-2022-02592-00-00-ADMIN-ORI.docx</vt:lpwstr>
  </property>
  <property fmtid="{D5CDD505-2E9C-101B-9397-08002B2CF9AE}" pid="7" name="ContentTypeId">
    <vt:lpwstr>0x010100EA97B91038054C99906057A708A1480A00B192796EE9568A4C8E77C6EF5F22B614</vt:lpwstr>
  </property>
  <property fmtid="{D5CDD505-2E9C-101B-9397-08002B2CF9AE}" pid="8" name="_dlc_DocIdItemGuid">
    <vt:lpwstr>b122ef91-0a92-4042-9930-8d070076111a</vt:lpwstr>
  </property>
  <property fmtid="{D5CDD505-2E9C-101B-9397-08002B2CF9AE}" pid="9" name="AvailableTranslations">
    <vt:lpwstr/>
  </property>
  <property fmtid="{D5CDD505-2E9C-101B-9397-08002B2CF9AE}" pid="10" name="DocumentType_0">
    <vt:lpwstr>AC|a4cc1d15-fb08-4679-ad46-e4e0cba5fe92</vt:lpwstr>
  </property>
  <property fmtid="{D5CDD505-2E9C-101B-9397-08002B2CF9AE}" pid="11" name="DossierName_0">
    <vt:lpwstr>INT|e1edfecb-ed43-427b-bb02-d45fe6645386</vt:lpwstr>
  </property>
  <property fmtid="{D5CDD505-2E9C-101B-9397-08002B2CF9AE}" pid="12" name="DocumentSource_0">
    <vt:lpwstr>EESC|422833ec-8d7e-4e65-8e4e-8bed07ffb729</vt:lpwstr>
  </property>
  <property fmtid="{D5CDD505-2E9C-101B-9397-08002B2CF9AE}" pid="13" name="DocumentNumber">
    <vt:i4>3969</vt:i4>
  </property>
  <property fmtid="{D5CDD505-2E9C-101B-9397-08002B2CF9AE}" pid="14" name="FicheYear">
    <vt:i4>2025</vt:i4>
  </property>
  <property fmtid="{D5CDD505-2E9C-101B-9397-08002B2CF9AE}" pid="15" name="DocumentVersion">
    <vt:i4>0</vt:i4>
  </property>
  <property fmtid="{D5CDD505-2E9C-101B-9397-08002B2CF9AE}" pid="16" name="DossierNumber">
    <vt:i4>1107</vt:i4>
  </property>
  <property fmtid="{D5CDD505-2E9C-101B-9397-08002B2CF9AE}" pid="17" name="DocumentStatus">
    <vt:lpwstr>13;#TRA|150d2a88-1431-44e6-a8ca-0bb753ab8672</vt:lpwstr>
  </property>
  <property fmtid="{D5CDD505-2E9C-101B-9397-08002B2CF9AE}" pid="18" name="DossierName">
    <vt:lpwstr>51;#INT|e1edfecb-ed43-427b-bb02-d45fe6645386</vt:lpwstr>
  </property>
  <property fmtid="{D5CDD505-2E9C-101B-9397-08002B2CF9AE}" pid="19" name="RequestingService">
    <vt:lpwstr>Marché unique, production, consommation</vt:lpwstr>
  </property>
  <property fmtid="{D5CDD505-2E9C-101B-9397-08002B2CF9AE}" pid="20" name="Confidentiality">
    <vt:lpwstr>15;#Unrestricted|826e22d7-d029-4ec0-a450-0c28ff673572</vt:lpwstr>
  </property>
  <property fmtid="{D5CDD505-2E9C-101B-9397-08002B2CF9AE}" pid="21" name="MeetingName_0">
    <vt:lpwstr/>
  </property>
  <property fmtid="{D5CDD505-2E9C-101B-9397-08002B2CF9AE}" pid="22" name="Confidentiality_0">
    <vt:lpwstr>Unrestricted|826e22d7-d029-4ec0-a450-0c28ff673572</vt:lpwstr>
  </property>
  <property fmtid="{D5CDD505-2E9C-101B-9397-08002B2CF9AE}" pid="23" name="OriginalLanguage">
    <vt:lpwstr>12;#FR|d2afafd3-4c81-4f60-8f52-ee33f2f54ff3</vt:lpwstr>
  </property>
  <property fmtid="{D5CDD505-2E9C-101B-9397-08002B2CF9AE}" pid="24" name="MeetingName">
    <vt:lpwstr/>
  </property>
  <property fmtid="{D5CDD505-2E9C-101B-9397-08002B2CF9AE}" pid="25" name="AvailableTranslations_0">
    <vt:lpwstr/>
  </property>
  <property fmtid="{D5CDD505-2E9C-101B-9397-08002B2CF9AE}" pid="26" name="DocumentStatus_0">
    <vt:lpwstr>TRA|150d2a88-1431-44e6-a8ca-0bb753ab8672</vt:lpwstr>
  </property>
  <property fmtid="{D5CDD505-2E9C-101B-9397-08002B2CF9AE}" pid="27" name="OriginalLanguage_0">
    <vt:lpwstr>FR|d2afafd3-4c81-4f60-8f52-ee33f2f54ff3</vt:lpwstr>
  </property>
  <property fmtid="{D5CDD505-2E9C-101B-9397-08002B2CF9AE}" pid="28" name="TaxCatchAll">
    <vt:lpwstr>15;#Unrestricted|826e22d7-d029-4ec0-a450-0c28ff673572;#13;#TRA|150d2a88-1431-44e6-a8ca-0bb753ab8672;#12;#FR|d2afafd3-4c81-4f60-8f52-ee33f2f54ff3;#79;#AC|a4cc1d15-fb08-4679-ad46-e4e0cba5fe92;#8;#Final|ea5e6674-7b27-4bac-b091-73adbb394efe;#1;#EESC|422833ec-8d7e-4e65-8e4e-8bed07ffb729;#51;#INT|e1edfecb-ed43-427b-bb02-d45fe6645386</vt:lpwstr>
  </property>
  <property fmtid="{D5CDD505-2E9C-101B-9397-08002B2CF9AE}" pid="29" name="Rapporteur">
    <vt:lpwstr>LIBAERT</vt:lpwstr>
  </property>
  <property fmtid="{D5CDD505-2E9C-101B-9397-08002B2CF9AE}" pid="30" name="VersionStatus_0">
    <vt:lpwstr>Final|ea5e6674-7b27-4bac-b091-73adbb394efe</vt:lpwstr>
  </property>
  <property fmtid="{D5CDD505-2E9C-101B-9397-08002B2CF9AE}" pid="31" name="VersionStatus">
    <vt:lpwstr>8;#Final|ea5e6674-7b27-4bac-b091-73adbb394efe</vt:lpwstr>
  </property>
  <property fmtid="{D5CDD505-2E9C-101B-9397-08002B2CF9AE}" pid="32" name="DocumentYear">
    <vt:i4>2025</vt:i4>
  </property>
  <property fmtid="{D5CDD505-2E9C-101B-9397-08002B2CF9AE}" pid="33" name="FicheNumber">
    <vt:i4>3893</vt:i4>
  </property>
  <property fmtid="{D5CDD505-2E9C-101B-9397-08002B2CF9AE}" pid="34" name="DocumentPart">
    <vt:i4>0</vt:i4>
  </property>
  <property fmtid="{D5CDD505-2E9C-101B-9397-08002B2CF9AE}" pid="35" name="DocumentSource">
    <vt:lpwstr>1;#EESC|422833ec-8d7e-4e65-8e4e-8bed07ffb729</vt:lpwstr>
  </property>
  <property fmtid="{D5CDD505-2E9C-101B-9397-08002B2CF9AE}" pid="36" name="AdoptionDate">
    <vt:filetime>2026-04-29T12:00:00Z</vt:filetime>
  </property>
  <property fmtid="{D5CDD505-2E9C-101B-9397-08002B2CF9AE}" pid="37" name="DocumentType">
    <vt:lpwstr>79;#AC|a4cc1d15-fb08-4679-ad46-e4e0cba5fe92</vt:lpwstr>
  </property>
  <property fmtid="{D5CDD505-2E9C-101B-9397-08002B2CF9AE}" pid="38" name="DocumentLanguage">
    <vt:lpwstr>12;#FR|d2afafd3-4c81-4f60-8f52-ee33f2f54ff3</vt:lpwstr>
  </property>
</Properties>
</file>