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F41CD8" w:rsidR="00F41CD8" w:rsidP="00F41CD8" w:rsidRDefault="00F41CD8" w14:paraId="6DB04FF7" w14:textId="05464094">
      <w:pPr>
        <w:jc w:val="right"/>
        <w:rPr>
          <w:b/>
        </w:rPr>
      </w:pPr>
      <w:r w:rsidRPr="00F41CD8">
        <w:rPr>
          <w:b/>
        </w:rPr>
        <w:t>TEN/8</w:t>
      </w:r>
      <w:r w:rsidR="006733ED">
        <w:rPr>
          <w:b/>
        </w:rPr>
        <w:t>6</w:t>
      </w:r>
      <w:r w:rsidR="00E70DD6">
        <w:rPr>
          <w:b/>
        </w:rPr>
        <w:t>6</w:t>
      </w:r>
    </w:p>
    <w:p w:rsidRPr="006733ED" w:rsidR="006733ED" w:rsidP="006733ED" w:rsidRDefault="006733ED" w14:paraId="42D6CADE" w14:textId="77777777">
      <w:pPr>
        <w:jc w:val="right"/>
        <w:rPr>
          <w:b/>
        </w:rPr>
      </w:pPr>
      <w:r w:rsidRPr="006733ED">
        <w:rPr>
          <w:b/>
        </w:rPr>
        <w:t>Tackling housing scarcity through</w:t>
      </w:r>
    </w:p>
    <w:p w:rsidRPr="004C21FA" w:rsidR="000E4B6B" w:rsidP="006733ED" w:rsidRDefault="006733ED" w14:paraId="1EFE7F2B" w14:textId="45318608">
      <w:pPr>
        <w:jc w:val="right"/>
        <w:rPr>
          <w:b/>
        </w:rPr>
      </w:pPr>
      <w:r w:rsidRPr="006733ED">
        <w:rPr>
          <w:b/>
        </w:rPr>
        <w:t>affordable, sustainable and family-oriented housing policies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6C464B0">
      <w:pPr>
        <w:jc w:val="right"/>
      </w:pPr>
      <w:r w:rsidRPr="00A67235">
        <w:t xml:space="preserve">Brussels, </w:t>
      </w:r>
      <w:r w:rsidR="006733ED">
        <w:t>18 March</w:t>
      </w:r>
      <w:r w:rsidR="00BE2774">
        <w:t xml:space="preserve"> 202</w:t>
      </w:r>
      <w:r w:rsidR="006733ED">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733ED" w:rsidR="006733ED" w:rsidP="006733ED" w:rsidRDefault="00964A13" w14:paraId="07AAA3D1"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6733ED" w:rsidR="006733ED">
        <w:rPr>
          <w:b/>
        </w:rPr>
        <w:t>Tackling housing scarcity through</w:t>
      </w:r>
    </w:p>
    <w:p w:rsidRPr="00AD0D15" w:rsidR="00F41CD8" w:rsidP="006733ED" w:rsidRDefault="006733ED" w14:paraId="3BBD17A2" w14:textId="385B3BCE">
      <w:pPr>
        <w:jc w:val="center"/>
        <w:rPr>
          <w:b/>
          <w:bCs/>
        </w:rPr>
      </w:pPr>
      <w:r w:rsidRPr="006733ED">
        <w:rPr>
          <w:b/>
        </w:rPr>
        <w:t>affordable, sustainable and family-oriented housing policies</w:t>
      </w:r>
    </w:p>
    <w:p w:rsidRPr="006C0B36" w:rsidR="007201DC" w:rsidP="00F41CD8" w:rsidRDefault="00E70DD6" w14:paraId="627A1434" w14:textId="138B2D4E">
      <w:pPr>
        <w:jc w:val="center"/>
      </w:pPr>
      <w:r>
        <w:t>(</w:t>
      </w:r>
      <w:r w:rsidRPr="006733ED" w:rsidR="006733ED">
        <w:t>exploratory opinion at the request of the Cyprus Presidency of the Council of the EU</w:t>
      </w:r>
      <w:r>
        <w:t>)</w:t>
      </w:r>
    </w:p>
    <w:p w:rsidRPr="004C21FA" w:rsidR="00964A13" w:rsidP="007201DC" w:rsidRDefault="00964A13" w14:paraId="1CA7DBC6" w14:textId="00660655">
      <w:pPr>
        <w:jc w:val="center"/>
      </w:pP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733ED" w14:paraId="0FA745B1" w14:textId="6BA4D563">
      <w:pPr>
        <w:jc w:val="center"/>
        <w:rPr>
          <w:bCs/>
        </w:rPr>
      </w:pPr>
      <w:r>
        <w:t>604</w:t>
      </w:r>
      <w:r w:rsidR="004C21FA">
        <w:rPr>
          <w:vertAlign w:val="superscript"/>
        </w:rPr>
        <w:t>th</w:t>
      </w:r>
      <w:r w:rsidR="00BE2774">
        <w:t xml:space="preserve"> </w:t>
      </w:r>
      <w:r w:rsidR="0015330A">
        <w:t>plenary session</w:t>
      </w:r>
      <w:r w:rsidR="009E138D">
        <w:br/>
      </w:r>
      <w:r w:rsidR="009E138D">
        <w:rPr>
          <w:bCs/>
        </w:rPr>
        <w:br/>
      </w:r>
      <w:r w:rsidRPr="00A67235" w:rsidR="00964A13">
        <w:rPr>
          <w:bCs/>
        </w:rPr>
        <w:t>Brussels</w:t>
      </w:r>
      <w:r w:rsidR="009E138D">
        <w:rPr>
          <w:bCs/>
        </w:rPr>
        <w:br/>
      </w:r>
      <w:r>
        <w:rPr>
          <w:bCs/>
        </w:rPr>
        <w:t>18-19</w:t>
      </w:r>
      <w:r w:rsidR="00E70DD6">
        <w:rPr>
          <w:bCs/>
        </w:rPr>
        <w:t xml:space="preserve"> </w:t>
      </w:r>
      <w:r>
        <w:rPr>
          <w:bCs/>
        </w:rPr>
        <w:t xml:space="preserve">March </w:t>
      </w:r>
      <w:r w:rsidR="00BE2774">
        <w:rPr>
          <w:bCs/>
        </w:rPr>
        <w:t>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BE2774" w14:paraId="0DDEA934" w14:textId="49D30545">
      <w:pPr>
        <w:jc w:val="center"/>
      </w:pPr>
      <w:r>
        <w:t xml:space="preserve"> </w:t>
      </w:r>
    </w:p>
    <w:p w:rsidRPr="00A67235" w:rsidR="00964A13" w:rsidP="00EC0F0F" w:rsidRDefault="00964A13" w14:paraId="320DD6DB" w14:textId="1A36166D">
      <w:pPr>
        <w:jc w:val="center"/>
      </w:pPr>
      <w:r w:rsidRPr="00A67235">
        <w:t xml:space="preserve">Meeting of </w:t>
      </w:r>
      <w:r w:rsidR="006733ED">
        <w:t>18</w:t>
      </w:r>
      <w:r w:rsidR="00E70DD6">
        <w:t xml:space="preserve"> </w:t>
      </w:r>
      <w:r w:rsidR="006733ED">
        <w:t xml:space="preserve">March </w:t>
      </w:r>
      <w:r w:rsidR="00BE2774">
        <w:t>202</w:t>
      </w:r>
      <w:r w:rsidR="006733ED">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8E43469">
      <w:pPr>
        <w:pStyle w:val="Footer"/>
        <w:jc w:val="center"/>
      </w:pPr>
      <w:r w:rsidRPr="00A67235">
        <w:t>Agenda item</w:t>
      </w:r>
      <w:r w:rsidR="00177DAC">
        <w:t xml:space="preserve"> </w:t>
      </w:r>
      <w:r w:rsidR="00C311DE">
        <w:t>1</w:t>
      </w:r>
      <w:r w:rsidR="006733ED">
        <w:t>9</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652B5A2B">
      <w:r w:rsidRPr="00A67235">
        <w:rPr>
          <w:b/>
          <w:bCs/>
        </w:rPr>
        <w:br w:type="page"/>
      </w:r>
      <w:r w:rsidRPr="00A67235" w:rsidR="000E4B6B">
        <w:rPr>
          <w:b/>
          <w:bCs/>
        </w:rPr>
        <w:lastRenderedPageBreak/>
        <w:t xml:space="preserve">The president </w:t>
      </w:r>
      <w:r w:rsidRPr="00A67235" w:rsidR="000E4B6B">
        <w:t>move</w:t>
      </w:r>
      <w:r w:rsidR="0053459C">
        <w:t>s</w:t>
      </w:r>
      <w:r w:rsidRPr="00A67235" w:rsidR="000E4B6B">
        <w:t xml:space="preserve"> that the Committee turn to agenda item </w:t>
      </w:r>
      <w:r w:rsidR="00C311DE">
        <w:t>1</w:t>
      </w:r>
      <w:r w:rsidR="006733ED">
        <w:t>9</w:t>
      </w:r>
      <w:r w:rsidRPr="00A67235" w:rsidR="000E4B6B">
        <w:t xml:space="preserve"> - adoption of an opinion on the</w:t>
      </w:r>
    </w:p>
    <w:p w:rsidRPr="00A67235" w:rsidR="000E4B6B" w:rsidP="00EC0F0F" w:rsidRDefault="000E4B6B" w14:paraId="037DAC87" w14:textId="77777777"/>
    <w:p w:rsidRPr="00E70DD6" w:rsidR="00E70DD6" w:rsidP="006733ED" w:rsidRDefault="006733ED" w14:paraId="34AD494C" w14:textId="3E31275E">
      <w:pPr>
        <w:ind w:left="1430"/>
        <w:rPr>
          <w:i/>
          <w:iCs/>
        </w:rPr>
      </w:pPr>
      <w:r w:rsidRPr="006733ED">
        <w:rPr>
          <w:i/>
          <w:iCs/>
        </w:rPr>
        <w:t>Tackling housing scarcity through</w:t>
      </w:r>
      <w:r>
        <w:rPr>
          <w:i/>
          <w:iCs/>
        </w:rPr>
        <w:t xml:space="preserve"> </w:t>
      </w:r>
      <w:r w:rsidRPr="006733ED">
        <w:rPr>
          <w:i/>
          <w:iCs/>
        </w:rPr>
        <w:t>affordable, sustainable and family-oriented housing policies</w:t>
      </w:r>
    </w:p>
    <w:p w:rsidRPr="00E70DD6" w:rsidR="000E4B6B" w:rsidP="00E70DD6" w:rsidRDefault="00E70DD6" w14:paraId="305301AD" w14:textId="06736D43">
      <w:pPr>
        <w:ind w:left="1430"/>
      </w:pPr>
      <w:r w:rsidRPr="00E70DD6">
        <w:t>(</w:t>
      </w:r>
      <w:r w:rsidR="006733ED">
        <w:t>exploratory opinion at the request of the Cyprus Presidency of the Council of the EU</w:t>
      </w:r>
      <w:r w:rsidRPr="00E70DD6">
        <w:t>)</w:t>
      </w:r>
      <w:r w:rsidRPr="00E70DD6" w:rsidR="004C21FA">
        <w:t>.</w:t>
      </w:r>
    </w:p>
    <w:p w:rsidRPr="00A67235" w:rsidR="000E4B6B" w:rsidP="00EC0F0F" w:rsidRDefault="000E4B6B" w14:paraId="7B740915" w14:textId="77777777"/>
    <w:p w:rsidRPr="00A67235" w:rsidR="000E4B6B" w:rsidP="00EC0F0F" w:rsidRDefault="000E4B6B" w14:paraId="2D8D7685" w14:textId="71853805">
      <w:r w:rsidRPr="00A67235">
        <w:t xml:space="preserve">The preliminary work had been carried out by the Section for </w:t>
      </w:r>
      <w:r w:rsidRPr="00625261" w:rsidR="00BE2774">
        <w:t xml:space="preserve">Transport, Energy, Infrastructure and the Information Society </w:t>
      </w:r>
      <w:r w:rsidRPr="00625261" w:rsidR="00BE2774">
        <w:fldChar w:fldCharType="begin"/>
      </w:r>
      <w:r w:rsidRPr="00625261" w:rsidR="00BE2774">
        <w:instrText xml:space="preserve">  </w:instrText>
      </w:r>
      <w:r w:rsidRPr="00625261" w:rsidR="00BE2774">
        <w:fldChar w:fldCharType="end"/>
      </w:r>
      <w:r w:rsidRPr="00625261" w:rsidR="00BE2774">
        <w:t>(</w:t>
      </w:r>
      <w:r w:rsidR="00BE2774">
        <w:t>p</w:t>
      </w:r>
      <w:r w:rsidRPr="00625261" w:rsidR="00BE2774">
        <w:t>resident:</w:t>
      </w:r>
      <w:r w:rsidR="00BE2774">
        <w:rPr>
          <w:b/>
          <w:bCs/>
        </w:rPr>
        <w:t xml:space="preserve"> </w:t>
      </w:r>
      <w:r w:rsidR="0055372E">
        <w:rPr>
          <w:b/>
          <w:bCs/>
        </w:rPr>
        <w:t>M</w:t>
      </w:r>
      <w:r w:rsidR="006733ED">
        <w:rPr>
          <w:b/>
          <w:bCs/>
        </w:rPr>
        <w:t>r</w:t>
      </w:r>
      <w:r w:rsidR="00BE2774">
        <w:rPr>
          <w:b/>
          <w:bCs/>
        </w:rPr>
        <w:t xml:space="preserve"> </w:t>
      </w:r>
      <w:r w:rsidR="006733ED">
        <w:rPr>
          <w:b/>
          <w:bCs/>
        </w:rPr>
        <w:t>Nowacki</w:t>
      </w:r>
      <w:r w:rsidRPr="00625261" w:rsidR="00BE2774">
        <w:rPr>
          <w:b/>
          <w:bCs/>
        </w:rPr>
        <w:fldChar w:fldCharType="begin"/>
      </w:r>
      <w:r w:rsidRPr="00625261" w:rsidR="00BE2774">
        <w:rPr>
          <w:b/>
          <w:bCs/>
        </w:rPr>
        <w:instrText xml:space="preserve">  </w:instrText>
      </w:r>
      <w:r w:rsidRPr="00625261" w:rsidR="00BE2774">
        <w:rPr>
          <w:b/>
          <w:bCs/>
        </w:rPr>
        <w:fldChar w:fldCharType="end"/>
      </w:r>
      <w:r w:rsidR="00BE2774">
        <w:t>)</w:t>
      </w:r>
      <w:r w:rsidRPr="00A67235">
        <w:t>. The rapporteur was</w:t>
      </w:r>
      <w:r w:rsidRPr="00A67235">
        <w:rPr>
          <w:b/>
          <w:bCs/>
        </w:rPr>
        <w:t xml:space="preserve"> </w:t>
      </w:r>
      <w:r w:rsidR="0055372E">
        <w:rPr>
          <w:b/>
          <w:bCs/>
        </w:rPr>
        <w:t>Mr</w:t>
      </w:r>
      <w:r w:rsidRPr="00F41CD8" w:rsidR="00F41CD8">
        <w:rPr>
          <w:b/>
          <w:bCs/>
        </w:rPr>
        <w:t xml:space="preserve"> K</w:t>
      </w:r>
      <w:r w:rsidRPr="00F41CD8" w:rsidR="0055372E">
        <w:rPr>
          <w:b/>
          <w:bCs/>
        </w:rPr>
        <w:t>attnig</w:t>
      </w:r>
      <w:r w:rsidRPr="00A67235">
        <w:t>.</w:t>
      </w:r>
      <w:r w:rsidR="00BE2774">
        <w:t xml:space="preserve"> </w:t>
      </w:r>
      <w:r w:rsidRPr="004C21FA" w:rsidR="004C21FA">
        <w:t xml:space="preserve">The section adopted its opinion on </w:t>
      </w:r>
      <w:r w:rsidR="006733ED">
        <w:t>9</w:t>
      </w:r>
      <w:r w:rsidR="00E70DD6">
        <w:t xml:space="preserve"> </w:t>
      </w:r>
      <w:r w:rsidR="006733ED">
        <w:t>March</w:t>
      </w:r>
      <w:r w:rsidR="00E70DD6">
        <w:t xml:space="preserve"> 202</w:t>
      </w:r>
      <w:r w:rsidR="006733ED">
        <w:t>6</w:t>
      </w:r>
      <w:r w:rsidRPr="004C21FA" w:rsidR="004C21FA">
        <w:t xml:space="preserve"> by </w:t>
      </w:r>
      <w:r w:rsidR="006733ED">
        <w:t>78</w:t>
      </w:r>
      <w:r w:rsidRPr="004C21FA" w:rsidR="004C21FA">
        <w:t xml:space="preserve"> votes</w:t>
      </w:r>
      <w:r w:rsidR="00F41CD8">
        <w:t xml:space="preserve"> to </w:t>
      </w:r>
      <w:r w:rsidR="00E70DD6">
        <w:t>one</w:t>
      </w:r>
      <w:r w:rsidRPr="004C21FA" w:rsidR="004C21FA">
        <w:t xml:space="preserve"> </w:t>
      </w:r>
      <w:r w:rsidR="007201DC">
        <w:t>and</w:t>
      </w:r>
      <w:r w:rsidR="004C21FA">
        <w:t xml:space="preserve"> </w:t>
      </w:r>
      <w:r w:rsidR="006733ED">
        <w:t>four</w:t>
      </w:r>
      <w:r w:rsidR="007201DC">
        <w:t xml:space="preserve"> abstention</w:t>
      </w:r>
      <w:r w:rsidR="00E70DD6">
        <w:t>s</w:t>
      </w:r>
      <w:r w:rsidRPr="004C21FA" w:rsidR="004C21FA">
        <w:t>.</w:t>
      </w:r>
    </w:p>
    <w:p w:rsidRPr="00A67235" w:rsidR="000E4B6B" w:rsidP="00EC0F0F" w:rsidRDefault="000E4B6B" w14:paraId="2708AAF4" w14:textId="77777777"/>
    <w:p w:rsidRPr="003321EC" w:rsidR="00BA48CB" w:rsidP="00BA48CB" w:rsidRDefault="00BA48CB" w14:paraId="7D34751E" w14:textId="6A086158">
      <w:r w:rsidRPr="003321EC">
        <w:rPr>
          <w:b/>
          <w:bCs/>
        </w:rPr>
        <w:t xml:space="preserve">Mr </w:t>
      </w:r>
      <w:r w:rsidR="006733ED">
        <w:rPr>
          <w:b/>
          <w:bCs/>
        </w:rPr>
        <w:t>Boland</w:t>
      </w:r>
      <w:r w:rsidR="00DB4D02">
        <w:rPr>
          <w:b/>
          <w:bCs/>
        </w:rPr>
        <w:t xml:space="preserve"> </w:t>
      </w:r>
      <w:r w:rsidRPr="003321EC">
        <w:t xml:space="preserve">gives the floor to the rapporteur </w:t>
      </w:r>
      <w:r w:rsidRPr="003321EC">
        <w:rPr>
          <w:b/>
          <w:bCs/>
        </w:rPr>
        <w:t xml:space="preserve">Mr </w:t>
      </w:r>
      <w:r w:rsidRPr="00F82A85" w:rsidR="00395758">
        <w:rPr>
          <w:b/>
          <w:bCs/>
        </w:rPr>
        <w:t>Kattnig</w:t>
      </w:r>
      <w:r w:rsidRPr="003321EC">
        <w:t>, who introduces the opinion</w:t>
      </w:r>
      <w:r w:rsidRPr="006D4FFA" w:rsidR="006D4FFA">
        <w:t>.</w:t>
      </w:r>
    </w:p>
    <w:p w:rsidR="00F56241" w:rsidP="00585CF6" w:rsidRDefault="00F56241" w14:paraId="323EF0A1" w14:textId="5223BCBD">
      <w:pPr>
        <w:pStyle w:val="ListParagraph"/>
        <w:ind w:left="0"/>
      </w:pPr>
    </w:p>
    <w:p w:rsidR="008779CD" w:rsidP="008E40B6" w:rsidRDefault="00F82A85" w14:paraId="75706775" w14:textId="319DF3A4">
      <w:pPr>
        <w:pStyle w:val="ListParagraph"/>
        <w:ind w:left="0"/>
      </w:pPr>
      <w:r w:rsidRPr="00F82A85">
        <w:rPr>
          <w:b/>
          <w:bCs/>
        </w:rPr>
        <w:t>Mr Kattnig</w:t>
      </w:r>
      <w:r w:rsidRPr="00F82A85">
        <w:t xml:space="preserve"> highlight</w:t>
      </w:r>
      <w:r w:rsidR="004A4762">
        <w:t>s</w:t>
      </w:r>
      <w:r w:rsidRPr="00F82A85">
        <w:t xml:space="preserve"> th</w:t>
      </w:r>
      <w:r w:rsidR="008779CD">
        <w:t>e need</w:t>
      </w:r>
      <w:r w:rsidR="00F22F92">
        <w:t>:</w:t>
      </w:r>
    </w:p>
    <w:p w:rsidR="008779CD" w:rsidP="008E40B6" w:rsidRDefault="008779CD" w14:paraId="35C79AAB" w14:textId="77777777">
      <w:pPr>
        <w:pStyle w:val="ListParagraph"/>
        <w:ind w:left="0"/>
      </w:pPr>
    </w:p>
    <w:p w:rsidR="008779CD" w:rsidP="008779CD" w:rsidRDefault="008779CD" w14:paraId="11EC0DD0" w14:textId="003A2F83">
      <w:pPr>
        <w:pStyle w:val="ListParagraph"/>
        <w:numPr>
          <w:ilvl w:val="0"/>
          <w:numId w:val="8"/>
        </w:numPr>
      </w:pPr>
      <w:r>
        <w:t xml:space="preserve">to adopt far more ambitious measures to address the structural housing crisis, including </w:t>
      </w:r>
      <w:r w:rsidR="00274D0B">
        <w:t xml:space="preserve">improved </w:t>
      </w:r>
      <w:r>
        <w:t xml:space="preserve">framework conditions, </w:t>
      </w:r>
      <w:r w:rsidR="00A57565">
        <w:t xml:space="preserve">the inclusion of </w:t>
      </w:r>
      <w:r>
        <w:t>a right to adequate and affordable housing in EU primary law, a fundamental reform of the energy market design, sufficient funding and a stronger focus on young people, families and sustainability</w:t>
      </w:r>
      <w:r w:rsidR="00274D0B">
        <w:t>;</w:t>
      </w:r>
    </w:p>
    <w:p w:rsidRPr="00274D0B" w:rsidR="008779CD" w:rsidP="00274D0B" w:rsidRDefault="008779CD" w14:paraId="27DA97F7" w14:textId="392D7B34">
      <w:pPr>
        <w:pStyle w:val="ListParagraph"/>
        <w:numPr>
          <w:ilvl w:val="0"/>
          <w:numId w:val="8"/>
        </w:numPr>
      </w:pPr>
      <w:r>
        <w:t>for a comprehensive understanding</w:t>
      </w:r>
      <w:r w:rsidR="00274D0B">
        <w:t>,</w:t>
      </w:r>
      <w:r>
        <w:t xml:space="preserve"> focusing on </w:t>
      </w:r>
      <w:r w:rsidR="00274D0B">
        <w:t xml:space="preserve">the combination of </w:t>
      </w:r>
      <w:r>
        <w:t xml:space="preserve">environmental responsibility </w:t>
      </w:r>
      <w:r w:rsidR="00274D0B">
        <w:t xml:space="preserve">and </w:t>
      </w:r>
      <w:r>
        <w:t xml:space="preserve">financial affordability, </w:t>
      </w:r>
      <w:r w:rsidR="00274D0B">
        <w:t xml:space="preserve">including </w:t>
      </w:r>
      <w:r>
        <w:t xml:space="preserve">regulated basic energy consumption for vulnerable households and a ban on </w:t>
      </w:r>
      <w:r w:rsidR="00274D0B">
        <w:t xml:space="preserve">their </w:t>
      </w:r>
      <w:r>
        <w:t>disconnect</w:t>
      </w:r>
      <w:r w:rsidR="00274D0B">
        <w:t>ion</w:t>
      </w:r>
      <w:r>
        <w:t xml:space="preserve"> from the grid</w:t>
      </w:r>
      <w:r w:rsidR="00274D0B">
        <w:t>;</w:t>
      </w:r>
    </w:p>
    <w:p w:rsidR="008779CD" w:rsidP="008779CD" w:rsidRDefault="008779CD" w14:paraId="0804A970" w14:textId="3B9F8B7B">
      <w:pPr>
        <w:pStyle w:val="ListParagraph"/>
        <w:numPr>
          <w:ilvl w:val="0"/>
          <w:numId w:val="8"/>
        </w:numPr>
      </w:pPr>
      <w:r>
        <w:t>for the Commission to support Member States by issuing recommendations to combat ongoing financialisation, particularly in urban areas, noting that young people and families are disproportionately exposed to its effects</w:t>
      </w:r>
      <w:r w:rsidR="00274D0B">
        <w:t>;</w:t>
      </w:r>
    </w:p>
    <w:p w:rsidR="008E40B6" w:rsidP="00931AD6" w:rsidRDefault="008779CD" w14:paraId="05533132" w14:textId="72B6D1A3">
      <w:pPr>
        <w:pStyle w:val="ListParagraph"/>
        <w:numPr>
          <w:ilvl w:val="0"/>
          <w:numId w:val="8"/>
        </w:numPr>
      </w:pPr>
      <w:r>
        <w:t>for an expanded and clearly defined exemption in State aid rules in order to safeguard public welfare-oriented housing models throughout the EU</w:t>
      </w:r>
      <w:r w:rsidR="00274D0B">
        <w:t>; d</w:t>
      </w:r>
      <w:r>
        <w:t>efining target groups and carrying out income checks should be left to the Member States</w:t>
      </w:r>
      <w:r w:rsidR="00274D0B">
        <w:t>,</w:t>
      </w:r>
      <w:r>
        <w:t xml:space="preserve"> in accordance with the principle of subsidiarity.</w:t>
      </w:r>
    </w:p>
    <w:p w:rsidR="008E40B6" w:rsidP="008E40B6" w:rsidRDefault="008E40B6" w14:paraId="45C7308D" w14:textId="77777777">
      <w:pPr>
        <w:pStyle w:val="ListParagraph"/>
        <w:ind w:left="0"/>
      </w:pPr>
    </w:p>
    <w:p w:rsidRPr="008E40B6" w:rsidR="008E40B6" w:rsidP="008E40B6" w:rsidRDefault="008E40B6" w14:paraId="6F9F18BA" w14:textId="4EB72A7E">
      <w:pPr>
        <w:pStyle w:val="ListParagraph"/>
        <w:ind w:left="0"/>
      </w:pPr>
      <w:r w:rsidRPr="008E40B6">
        <w:rPr>
          <w:b/>
          <w:bCs/>
          <w:lang w:val="en-US"/>
        </w:rPr>
        <w:t>M</w:t>
      </w:r>
      <w:r w:rsidR="00DB4D02">
        <w:rPr>
          <w:b/>
          <w:bCs/>
          <w:lang w:val="en-US"/>
        </w:rPr>
        <w:t>r</w:t>
      </w:r>
      <w:r w:rsidRPr="000C39D6" w:rsidDel="000C39D6" w:rsidR="000C39D6">
        <w:rPr>
          <w:b/>
          <w:bCs/>
          <w:lang w:val="en-US"/>
        </w:rPr>
        <w:t xml:space="preserve"> </w:t>
      </w:r>
      <w:r w:rsidR="006733ED">
        <w:rPr>
          <w:b/>
          <w:bCs/>
          <w:lang w:val="en-US"/>
        </w:rPr>
        <w:t>Boland</w:t>
      </w:r>
      <w:r w:rsidRPr="008E40B6">
        <w:rPr>
          <w:lang w:val="en-US"/>
        </w:rPr>
        <w:t xml:space="preserve"> </w:t>
      </w:r>
      <w:r w:rsidRPr="008E40B6">
        <w:t xml:space="preserve">then opens the debate. </w:t>
      </w:r>
      <w:r w:rsidRPr="008E40B6">
        <w:rPr>
          <w:b/>
          <w:bCs/>
        </w:rPr>
        <w:t xml:space="preserve">Mr </w:t>
      </w:r>
      <w:r w:rsidR="00DB2B86">
        <w:rPr>
          <w:b/>
          <w:bCs/>
        </w:rPr>
        <w:t>Balon</w:t>
      </w:r>
      <w:r w:rsidRPr="008E40B6" w:rsidR="00DB2B86">
        <w:rPr>
          <w:b/>
          <w:bCs/>
        </w:rPr>
        <w:t xml:space="preserve"> </w:t>
      </w:r>
      <w:r w:rsidRPr="00094629">
        <w:rPr>
          <w:b/>
          <w:bCs/>
        </w:rPr>
        <w:t>(</w:t>
      </w:r>
      <w:r w:rsidRPr="00094629" w:rsidR="00DB2B86">
        <w:rPr>
          <w:b/>
          <w:bCs/>
        </w:rPr>
        <w:t>PL</w:t>
      </w:r>
      <w:r w:rsidRPr="00094629">
        <w:rPr>
          <w:b/>
          <w:bCs/>
        </w:rPr>
        <w:t>-I</w:t>
      </w:r>
      <w:r w:rsidRPr="00094629" w:rsidR="001F14CF">
        <w:rPr>
          <w:b/>
          <w:bCs/>
        </w:rPr>
        <w:t>I</w:t>
      </w:r>
      <w:r w:rsidRPr="00094629" w:rsidR="00DB2B86">
        <w:rPr>
          <w:b/>
          <w:bCs/>
        </w:rPr>
        <w:t>I</w:t>
      </w:r>
      <w:r w:rsidRPr="00094629">
        <w:rPr>
          <w:b/>
          <w:bCs/>
        </w:rPr>
        <w:t>)</w:t>
      </w:r>
      <w:r w:rsidRPr="00094629" w:rsidR="00647059">
        <w:rPr>
          <w:b/>
          <w:bCs/>
        </w:rPr>
        <w:t>,</w:t>
      </w:r>
      <w:r w:rsidRPr="008E40B6">
        <w:t xml:space="preserve"> </w:t>
      </w:r>
      <w:r w:rsidRPr="008E40B6">
        <w:rPr>
          <w:b/>
          <w:bCs/>
        </w:rPr>
        <w:t xml:space="preserve">Ms </w:t>
      </w:r>
      <w:r w:rsidR="00DB2B86">
        <w:rPr>
          <w:b/>
          <w:bCs/>
        </w:rPr>
        <w:t>J</w:t>
      </w:r>
      <w:r w:rsidR="00F331E6">
        <w:rPr>
          <w:b/>
          <w:bCs/>
        </w:rPr>
        <w:t>oó</w:t>
      </w:r>
      <w:r w:rsidRPr="008E40B6">
        <w:t xml:space="preserve"> </w:t>
      </w:r>
      <w:r w:rsidRPr="00931AD6">
        <w:rPr>
          <w:b/>
          <w:bCs/>
        </w:rPr>
        <w:t>(</w:t>
      </w:r>
      <w:r w:rsidRPr="00931AD6" w:rsidR="00DB2B86">
        <w:rPr>
          <w:b/>
          <w:bCs/>
        </w:rPr>
        <w:t>HU</w:t>
      </w:r>
      <w:r w:rsidRPr="00931AD6">
        <w:rPr>
          <w:b/>
          <w:bCs/>
        </w:rPr>
        <w:t>-III)</w:t>
      </w:r>
      <w:r w:rsidRPr="00931AD6" w:rsidR="00DA5CDE">
        <w:rPr>
          <w:b/>
          <w:bCs/>
        </w:rPr>
        <w:t>, Mr De M</w:t>
      </w:r>
      <w:r w:rsidRPr="00931AD6" w:rsidR="00AD16C2">
        <w:rPr>
          <w:b/>
          <w:bCs/>
        </w:rPr>
        <w:t>û</w:t>
      </w:r>
      <w:r w:rsidRPr="00931AD6" w:rsidR="00DA5CDE">
        <w:rPr>
          <w:b/>
          <w:bCs/>
        </w:rPr>
        <w:t>elena</w:t>
      </w:r>
      <w:r w:rsidRPr="00931AD6" w:rsidR="00AD16C2">
        <w:rPr>
          <w:b/>
          <w:bCs/>
        </w:rPr>
        <w:t>e</w:t>
      </w:r>
      <w:r w:rsidRPr="00931AD6" w:rsidR="00DA5CDE">
        <w:rPr>
          <w:b/>
          <w:bCs/>
        </w:rPr>
        <w:t>re (BE-I)</w:t>
      </w:r>
      <w:r w:rsidRPr="00931AD6" w:rsidR="00D21829">
        <w:rPr>
          <w:b/>
          <w:bCs/>
        </w:rPr>
        <w:t>, Mr. Säkkinen</w:t>
      </w:r>
      <w:r w:rsidRPr="00931AD6" w:rsidR="004A1BC1">
        <w:rPr>
          <w:b/>
          <w:bCs/>
        </w:rPr>
        <w:t xml:space="preserve"> (FI-I)</w:t>
      </w:r>
      <w:r w:rsidRPr="00931AD6" w:rsidR="00D21829">
        <w:rPr>
          <w:b/>
          <w:bCs/>
        </w:rPr>
        <w:t>, Mr Fornea</w:t>
      </w:r>
      <w:r w:rsidRPr="00931AD6" w:rsidR="00AD16C2">
        <w:rPr>
          <w:b/>
          <w:bCs/>
        </w:rPr>
        <w:t xml:space="preserve"> (RO-II)</w:t>
      </w:r>
      <w:r w:rsidR="00647059">
        <w:rPr>
          <w:b/>
          <w:bCs/>
        </w:rPr>
        <w:t xml:space="preserve"> and</w:t>
      </w:r>
      <w:r w:rsidRPr="00931AD6" w:rsidR="00D21829">
        <w:rPr>
          <w:b/>
          <w:bCs/>
        </w:rPr>
        <w:t xml:space="preserve"> Ms Calistru (</w:t>
      </w:r>
      <w:r w:rsidRPr="00931AD6" w:rsidR="004A1BC1">
        <w:rPr>
          <w:b/>
          <w:bCs/>
        </w:rPr>
        <w:t>RO-III)</w:t>
      </w:r>
      <w:r w:rsidRPr="008E40B6">
        <w:t xml:space="preserve"> speak on the following issues:</w:t>
      </w:r>
    </w:p>
    <w:p w:rsidR="00253637" w:rsidP="004A4762" w:rsidRDefault="00841CF1" w14:paraId="3D30359D" w14:textId="5852FC76">
      <w:pPr>
        <w:pStyle w:val="ListParagraph"/>
        <w:numPr>
          <w:ilvl w:val="0"/>
          <w:numId w:val="8"/>
        </w:numPr>
      </w:pPr>
      <w:r w:rsidRPr="00841CF1">
        <w:t>The</w:t>
      </w:r>
      <w:r w:rsidR="00F331E6">
        <w:t xml:space="preserve"> </w:t>
      </w:r>
      <w:r w:rsidR="00B5336D">
        <w:t>housing</w:t>
      </w:r>
      <w:r w:rsidR="00DF760F">
        <w:t xml:space="preserve"> crisis</w:t>
      </w:r>
      <w:r w:rsidR="00B5336D">
        <w:t xml:space="preserve"> is </w:t>
      </w:r>
      <w:r w:rsidR="00DF760F">
        <w:t xml:space="preserve">a major </w:t>
      </w:r>
      <w:r w:rsidR="00A57565">
        <w:t xml:space="preserve">concern for </w:t>
      </w:r>
      <w:r w:rsidR="00B5336D">
        <w:t>citizen</w:t>
      </w:r>
      <w:r w:rsidR="00DF760F">
        <w:t xml:space="preserve">s </w:t>
      </w:r>
      <w:r w:rsidR="00B5336D">
        <w:t xml:space="preserve">and the EU should act while respecting </w:t>
      </w:r>
      <w:r w:rsidR="00253637">
        <w:t>Member States' competencies.</w:t>
      </w:r>
    </w:p>
    <w:p w:rsidR="00253637" w:rsidP="004A4762" w:rsidRDefault="00A57565" w14:paraId="78806985" w14:textId="02AC19CE">
      <w:pPr>
        <w:pStyle w:val="ListParagraph"/>
        <w:numPr>
          <w:ilvl w:val="0"/>
          <w:numId w:val="8"/>
        </w:numPr>
      </w:pPr>
      <w:r>
        <w:t xml:space="preserve">A </w:t>
      </w:r>
      <w:r w:rsidR="00253637">
        <w:t xml:space="preserve">family-oriented perspective should be fully taken into account </w:t>
      </w:r>
      <w:r w:rsidR="00E1374B">
        <w:t xml:space="preserve">in EU </w:t>
      </w:r>
      <w:r w:rsidR="00931AD6">
        <w:t>h</w:t>
      </w:r>
      <w:r w:rsidR="00E1374B">
        <w:t xml:space="preserve">ousing </w:t>
      </w:r>
      <w:r w:rsidR="00931AD6">
        <w:t>p</w:t>
      </w:r>
      <w:r w:rsidR="00E1374B">
        <w:t xml:space="preserve">olicy </w:t>
      </w:r>
      <w:r w:rsidR="00253637">
        <w:t>together with sustainability and social considerations.</w:t>
      </w:r>
    </w:p>
    <w:p w:rsidRPr="00A57565" w:rsidR="00253637" w:rsidP="00A57565" w:rsidRDefault="003634E6" w14:paraId="5039601D" w14:textId="40F9908E">
      <w:pPr>
        <w:pStyle w:val="ListParagraph"/>
        <w:numPr>
          <w:ilvl w:val="0"/>
          <w:numId w:val="8"/>
        </w:numPr>
      </w:pPr>
      <w:r>
        <w:t>Europe is confronted with a reduc</w:t>
      </w:r>
      <w:r w:rsidR="009A2700">
        <w:t xml:space="preserve">tion </w:t>
      </w:r>
      <w:r w:rsidR="00A57565">
        <w:t xml:space="preserve">in </w:t>
      </w:r>
      <w:r w:rsidR="009A2700">
        <w:t>delivered building permits</w:t>
      </w:r>
      <w:r w:rsidR="00A57565">
        <w:t>,</w:t>
      </w:r>
      <w:r w:rsidR="009A2700">
        <w:t xml:space="preserve"> </w:t>
      </w:r>
      <w:r w:rsidR="00A57565">
        <w:t>leading to</w:t>
      </w:r>
      <w:r w:rsidR="009A2700">
        <w:t xml:space="preserve"> a housing supply crisis aggravated by increased construction material costs.</w:t>
      </w:r>
      <w:r w:rsidRPr="00A57565" w:rsidR="00A57565">
        <w:rPr>
          <w:rFonts w:ascii="Segoe UI" w:hAnsi="Segoe UI" w:cs="Segoe UI"/>
          <w:sz w:val="21"/>
          <w:szCs w:val="21"/>
        </w:rPr>
        <w:t xml:space="preserve"> </w:t>
      </w:r>
    </w:p>
    <w:p w:rsidR="009A2700" w:rsidP="004A4762" w:rsidRDefault="007D5E6F" w14:paraId="14B52E31" w14:textId="449075DE">
      <w:pPr>
        <w:pStyle w:val="ListParagraph"/>
        <w:numPr>
          <w:ilvl w:val="0"/>
          <w:numId w:val="8"/>
        </w:numPr>
      </w:pPr>
      <w:r>
        <w:t>Treaty changes should be carefully considered</w:t>
      </w:r>
      <w:r w:rsidR="00931AD6">
        <w:t xml:space="preserve"> in the context of housing policy</w:t>
      </w:r>
      <w:r>
        <w:t>.</w:t>
      </w:r>
    </w:p>
    <w:p w:rsidR="007D5E6F" w:rsidP="004A4762" w:rsidRDefault="00771A36" w14:paraId="10CF7DD7" w14:textId="3A71B6DB">
      <w:pPr>
        <w:pStyle w:val="ListParagraph"/>
        <w:numPr>
          <w:ilvl w:val="0"/>
          <w:numId w:val="8"/>
        </w:numPr>
      </w:pPr>
      <w:r>
        <w:t xml:space="preserve">Some European </w:t>
      </w:r>
      <w:r w:rsidR="00274D0B">
        <w:t>c</w:t>
      </w:r>
      <w:r>
        <w:t xml:space="preserve">ountries are </w:t>
      </w:r>
      <w:r w:rsidR="00A57565">
        <w:t xml:space="preserve">particularly </w:t>
      </w:r>
      <w:r>
        <w:t>confronted with maintenance and taxation costs a</w:t>
      </w:r>
      <w:r w:rsidR="00FF1C42">
        <w:t>ffect</w:t>
      </w:r>
      <w:r w:rsidR="00931AD6">
        <w:t>ing</w:t>
      </w:r>
      <w:r w:rsidR="00FF1C42">
        <w:t xml:space="preserve"> home-owners with limited resources.</w:t>
      </w:r>
    </w:p>
    <w:p w:rsidR="00FF1C42" w:rsidP="004A4762" w:rsidRDefault="00274D0B" w14:paraId="02A356F1" w14:textId="3780CEA5">
      <w:pPr>
        <w:pStyle w:val="ListParagraph"/>
        <w:numPr>
          <w:ilvl w:val="0"/>
          <w:numId w:val="8"/>
        </w:numPr>
      </w:pPr>
      <w:r>
        <w:t>T</w:t>
      </w:r>
      <w:r w:rsidR="00B457C3">
        <w:t xml:space="preserve">he </w:t>
      </w:r>
      <w:r w:rsidR="00E10AF0">
        <w:t>adoption of</w:t>
      </w:r>
      <w:r w:rsidR="00B457C3">
        <w:t xml:space="preserve"> this opinion </w:t>
      </w:r>
      <w:r w:rsidR="00E10AF0">
        <w:t>is relevant for</w:t>
      </w:r>
      <w:r w:rsidR="00B457C3">
        <w:t xml:space="preserve"> the </w:t>
      </w:r>
      <w:r w:rsidR="001868A4">
        <w:t xml:space="preserve">ongoing </w:t>
      </w:r>
      <w:r w:rsidR="00E10AF0">
        <w:t xml:space="preserve">discussion </w:t>
      </w:r>
      <w:r w:rsidR="001868A4">
        <w:t>on the Multiannual financial framework.</w:t>
      </w:r>
    </w:p>
    <w:p w:rsidRPr="008E40B6" w:rsidR="00757919" w:rsidP="00931AD6" w:rsidRDefault="00757919" w14:paraId="49A4E018" w14:textId="735A3896">
      <w:pPr>
        <w:pStyle w:val="ListParagraph"/>
        <w:ind w:left="360"/>
      </w:pPr>
    </w:p>
    <w:p w:rsidR="008E40B6" w:rsidP="00585CF6" w:rsidRDefault="008E40B6" w14:paraId="205D1086" w14:textId="77777777">
      <w:pPr>
        <w:pStyle w:val="ListParagraph"/>
        <w:ind w:left="0"/>
      </w:pPr>
    </w:p>
    <w:p w:rsidR="005041EB" w:rsidP="005041EB" w:rsidRDefault="00AE468A" w14:paraId="631AAAED" w14:textId="1C595B70">
      <w:pPr>
        <w:rPr>
          <w:szCs w:val="18"/>
        </w:rPr>
      </w:pPr>
      <w:r w:rsidRPr="00CD65CD">
        <w:rPr>
          <w:szCs w:val="18"/>
        </w:rPr>
        <w:t>Following the debate, the Assembly examines the amendments to the Section opinion.</w:t>
      </w:r>
    </w:p>
    <w:p w:rsidR="006733ED" w:rsidP="005041EB" w:rsidRDefault="006733ED" w14:paraId="1006B943" w14:textId="77777777">
      <w:pPr>
        <w:rPr>
          <w:szCs w:val="18"/>
        </w:rPr>
      </w:pPr>
    </w:p>
    <w:p w:rsidR="006733ED" w:rsidP="005041EB" w:rsidRDefault="006733ED" w14:paraId="38208C28" w14:textId="77777777">
      <w:pPr>
        <w:rPr>
          <w:szCs w:val="18"/>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C337B5" w:rsidR="006733ED" w:rsidTr="0057218B" w14:paraId="0F5D5600" w14:textId="77777777">
        <w:tc>
          <w:tcPr>
            <w:tcW w:w="2826" w:type="pct"/>
          </w:tcPr>
          <w:p w:rsidRPr="00AB1FC6" w:rsidR="006733ED" w:rsidP="0057218B" w:rsidRDefault="006733ED" w14:paraId="3A5F79A0" w14:textId="444A49F6">
            <w:pPr>
              <w:rPr>
                <w:b/>
                <w:bCs/>
                <w:sz w:val="32"/>
                <w:szCs w:val="32"/>
              </w:rPr>
            </w:pPr>
            <w:r w:rsidRPr="00AB1FC6">
              <w:rPr>
                <w:b/>
                <w:bCs/>
                <w:sz w:val="32"/>
                <w:szCs w:val="32"/>
              </w:rPr>
              <w:t>AMENDMENT 1</w:t>
            </w:r>
            <w:r>
              <w:rPr>
                <w:b/>
                <w:bCs/>
                <w:sz w:val="32"/>
                <w:szCs w:val="32"/>
              </w:rPr>
              <w:t xml:space="preserve"> </w:t>
            </w:r>
          </w:p>
          <w:p w:rsidRPr="00AB1FC6" w:rsidR="006733ED" w:rsidP="0057218B" w:rsidRDefault="006733ED" w14:paraId="7BC9D40D" w14:textId="77777777">
            <w:pPr>
              <w:rPr>
                <w:b/>
                <w:bCs/>
              </w:rPr>
            </w:pPr>
          </w:p>
          <w:p w:rsidRPr="00AB1FC6" w:rsidR="006733ED" w:rsidP="0057218B" w:rsidRDefault="006733ED" w14:paraId="08D8EA44" w14:textId="77777777">
            <w:pPr>
              <w:rPr>
                <w:b/>
                <w:bCs/>
              </w:rPr>
            </w:pPr>
            <w:r w:rsidRPr="00AB1FC6">
              <w:rPr>
                <w:b/>
                <w:bCs/>
              </w:rPr>
              <w:t>TEN/866</w:t>
            </w:r>
          </w:p>
          <w:p w:rsidRPr="00AB1FC6" w:rsidR="006733ED" w:rsidP="0057218B" w:rsidRDefault="006733ED" w14:paraId="049FE9C8" w14:textId="77777777">
            <w:pPr>
              <w:rPr>
                <w:b/>
                <w:bCs/>
              </w:rPr>
            </w:pPr>
            <w:r w:rsidRPr="00AB1FC6">
              <w:rPr>
                <w:b/>
                <w:bCs/>
              </w:rPr>
              <w:t>Tackling housing scarcity through affordable, sustainable and family-oriented housing policies</w:t>
            </w:r>
          </w:p>
          <w:p w:rsidRPr="00AB1FC6" w:rsidR="006733ED" w:rsidP="0057218B" w:rsidRDefault="006733ED" w14:paraId="05D83E2E" w14:textId="77777777">
            <w:pPr>
              <w:rPr>
                <w:b/>
                <w:bCs/>
              </w:rPr>
            </w:pPr>
          </w:p>
          <w:p w:rsidRPr="00AB1FC6" w:rsidR="006733ED" w:rsidP="0057218B" w:rsidRDefault="006733ED" w14:paraId="53D617BE" w14:textId="77777777">
            <w:pPr>
              <w:rPr>
                <w:b/>
                <w:bCs/>
              </w:rPr>
            </w:pPr>
            <w:r w:rsidRPr="00AB1FC6">
              <w:rPr>
                <w:b/>
                <w:bCs/>
              </w:rPr>
              <w:t>Point 3.7</w:t>
            </w:r>
          </w:p>
          <w:p w:rsidRPr="00AB1FC6" w:rsidR="006733ED" w:rsidP="0057218B" w:rsidRDefault="006733ED" w14:paraId="5759B43B" w14:textId="77777777">
            <w:pPr>
              <w:rPr>
                <w:b/>
                <w:bCs/>
              </w:rPr>
            </w:pPr>
          </w:p>
          <w:p w:rsidRPr="00AB1FC6" w:rsidR="006733ED" w:rsidP="0057218B" w:rsidRDefault="006733ED" w14:paraId="27641DF7" w14:textId="77777777">
            <w:pPr>
              <w:rPr>
                <w:b/>
                <w:bCs/>
              </w:rPr>
            </w:pPr>
            <w:r w:rsidRPr="00AB1FC6">
              <w:rPr>
                <w:b/>
                <w:bCs/>
              </w:rPr>
              <w:t>Amend as follows</w:t>
            </w:r>
            <w:r>
              <w:rPr>
                <w:b/>
                <w:bCs/>
              </w:rPr>
              <w:t>:</w:t>
            </w:r>
          </w:p>
        </w:tc>
        <w:tc>
          <w:tcPr>
            <w:tcW w:w="2174" w:type="pct"/>
            <w:hideMark/>
          </w:tcPr>
          <w:p w:rsidRPr="0087688B" w:rsidR="006733ED" w:rsidP="0057218B" w:rsidRDefault="006733ED" w14:paraId="46DE611A" w14:textId="77777777">
            <w:pPr>
              <w:jc w:val="left"/>
              <w:rPr>
                <w:b/>
                <w:bCs/>
                <w:lang w:val="fr-FR"/>
              </w:rPr>
            </w:pPr>
            <w:r w:rsidRPr="0087688B">
              <w:rPr>
                <w:b/>
                <w:bCs/>
                <w:lang w:val="fr-FR"/>
              </w:rPr>
              <w:t>Tabled by:</w:t>
            </w:r>
          </w:p>
          <w:p w:rsidRPr="0087688B" w:rsidR="006733ED" w:rsidP="0057218B" w:rsidRDefault="006733ED" w14:paraId="5C3FEA26" w14:textId="77777777">
            <w:pPr>
              <w:jc w:val="left"/>
              <w:rPr>
                <w:lang w:val="fr-FR"/>
              </w:rPr>
            </w:pPr>
            <w:r w:rsidRPr="0087688B">
              <w:rPr>
                <w:lang w:val="fr-FR"/>
              </w:rPr>
              <w:t>DE MÛELENAERE Robert</w:t>
            </w:r>
          </w:p>
          <w:p w:rsidRPr="0087688B" w:rsidR="006733ED" w:rsidP="0057218B" w:rsidRDefault="006733ED" w14:paraId="1B06AD7E" w14:textId="77777777">
            <w:pPr>
              <w:jc w:val="left"/>
              <w:rPr>
                <w:lang w:val="fr-FR"/>
              </w:rPr>
            </w:pPr>
            <w:r w:rsidRPr="0087688B">
              <w:rPr>
                <w:lang w:val="fr-FR"/>
              </w:rPr>
              <w:t>LE BRETON Marie-Pierre</w:t>
            </w:r>
          </w:p>
          <w:p w:rsidRPr="0087688B" w:rsidR="006733ED" w:rsidP="0057218B" w:rsidRDefault="006733ED" w14:paraId="6A3A6DA6" w14:textId="77777777">
            <w:pPr>
              <w:jc w:val="left"/>
              <w:rPr>
                <w:lang w:val="fr-FR"/>
              </w:rPr>
            </w:pPr>
            <w:r w:rsidRPr="0087688B">
              <w:rPr>
                <w:lang w:val="fr-FR"/>
              </w:rPr>
              <w:t>MINCHEVA Mariya</w:t>
            </w:r>
          </w:p>
          <w:p w:rsidRPr="0087688B" w:rsidR="006733ED" w:rsidP="0057218B" w:rsidRDefault="006733ED" w14:paraId="5E8D5FF4" w14:textId="77777777">
            <w:pPr>
              <w:jc w:val="left"/>
              <w:rPr>
                <w:lang w:val="fr-FR"/>
              </w:rPr>
            </w:pPr>
            <w:r w:rsidRPr="0087688B">
              <w:rPr>
                <w:lang w:val="fr-FR"/>
              </w:rPr>
              <w:t>OSTROWSKI Krzysztof</w:t>
            </w:r>
          </w:p>
          <w:p w:rsidRPr="0087688B" w:rsidR="006733ED" w:rsidP="0057218B" w:rsidRDefault="006733ED" w14:paraId="70A70DFF" w14:textId="77777777">
            <w:pPr>
              <w:jc w:val="left"/>
              <w:rPr>
                <w:lang w:val="fr-FR"/>
              </w:rPr>
            </w:pPr>
            <w:r w:rsidRPr="0087688B">
              <w:rPr>
                <w:lang w:val="fr-FR"/>
              </w:rPr>
              <w:t>SÄKKINEN Teppo</w:t>
            </w:r>
          </w:p>
          <w:p w:rsidRPr="0087688B" w:rsidR="006733ED" w:rsidP="0057218B" w:rsidRDefault="006733ED" w14:paraId="53D0E13A" w14:textId="77777777">
            <w:pPr>
              <w:rPr>
                <w:lang w:val="fr-FR"/>
              </w:rPr>
            </w:pPr>
          </w:p>
        </w:tc>
      </w:tr>
    </w:tbl>
    <w:p w:rsidRPr="0087688B" w:rsidR="006733ED" w:rsidP="006733ED" w:rsidRDefault="006733ED" w14:paraId="0AB8EF02" w14:textId="77777777">
      <w:pPr>
        <w:jc w:val="center"/>
        <w:rPr>
          <w:lang w:val="fr-FR"/>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AB1FC6" w:rsidR="006733ED" w:rsidTr="0057218B" w14:paraId="5B28EC4A" w14:textId="77777777">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73B5CB42" w14:textId="77777777">
            <w:pPr>
              <w:jc w:val="center"/>
              <w:rPr>
                <w:b/>
                <w:bCs/>
                <w:i/>
              </w:rPr>
            </w:pPr>
            <w:r w:rsidRPr="00AB1FC6">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20439146" w14:textId="77777777">
            <w:pPr>
              <w:jc w:val="center"/>
              <w:rPr>
                <w:b/>
                <w:bCs/>
                <w:i/>
              </w:rPr>
            </w:pPr>
            <w:r w:rsidRPr="00AB1FC6">
              <w:rPr>
                <w:b/>
                <w:bCs/>
                <w:i/>
              </w:rPr>
              <w:t>Amendment</w:t>
            </w:r>
          </w:p>
        </w:tc>
      </w:tr>
      <w:tr w:rsidRPr="00AB1FC6" w:rsidR="006733ED" w:rsidTr="0057218B" w14:paraId="4D89F2D2" w14:textId="77777777">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4BFDC61F" w14:textId="77777777">
            <w:pPr>
              <w:spacing w:before="80" w:after="40"/>
              <w:ind w:left="80" w:right="80"/>
            </w:pPr>
            <w:r w:rsidRPr="00AB1FC6">
              <w:t>The EESC reiterates that the serious failure in the housing sector</w:t>
            </w:r>
            <w:r w:rsidRPr="00AB1FC6">
              <w:rPr>
                <w:vertAlign w:val="superscript"/>
              </w:rPr>
              <w:t>[1]</w:t>
            </w:r>
            <w:r w:rsidRPr="00AB1FC6">
              <w:t xml:space="preserve"> must – in line with subsidiarity – be addressed through, among others, better framework conditions like data collection, coordination, approval procedures, land use planning rules,</w:t>
            </w:r>
            <w:r w:rsidRPr="00AB1FC6">
              <w:rPr>
                <w:b/>
                <w:bCs/>
                <w:i/>
              </w:rPr>
              <w:t xml:space="preserve"> affordable housing enshrined in EU primary law,</w:t>
            </w:r>
            <w:r w:rsidRPr="00AB1FC6">
              <w:t xml:space="preserve"> sufficient funding, and a stronger focus on young people, families and sustainability.</w:t>
            </w:r>
          </w:p>
          <w:p w:rsidRPr="00AB1FC6" w:rsidR="006733ED" w:rsidP="0057218B" w:rsidRDefault="006733ED" w14:paraId="61A67B09" w14:textId="77777777">
            <w:pPr>
              <w:spacing w:before="40" w:after="80"/>
              <w:ind w:left="80" w:right="80"/>
            </w:pPr>
            <w:r w:rsidRPr="00AB1FC6">
              <w:t>[1] See OJ C 486, 21.12.2022, p. 185, TEN/784, OJ C, C/2025/771, 11.2.2025, etc.</w:t>
            </w:r>
          </w:p>
        </w:tc>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4ACAF810" w14:textId="77777777">
            <w:pPr>
              <w:spacing w:before="80" w:after="40"/>
              <w:ind w:left="80" w:right="80"/>
            </w:pPr>
            <w:r w:rsidRPr="00AB1FC6">
              <w:t>The EESC reiterates that the serious failure in the housing sector</w:t>
            </w:r>
            <w:r w:rsidRPr="00AB1FC6">
              <w:rPr>
                <w:vertAlign w:val="superscript"/>
              </w:rPr>
              <w:t>[1]</w:t>
            </w:r>
            <w:r w:rsidRPr="00AB1FC6">
              <w:t xml:space="preserve"> must – in line with subsidiarity – be addressed through, among others, better framework conditions like data collection, coordination, approval procedures, land use planning rules, sufficient funding, and a stronger focus on young people, families and sustainability.</w:t>
            </w:r>
          </w:p>
          <w:p w:rsidRPr="00AB1FC6" w:rsidR="006733ED" w:rsidP="0057218B" w:rsidRDefault="006733ED" w14:paraId="679B57F3" w14:textId="77777777">
            <w:pPr>
              <w:spacing w:before="40" w:after="80"/>
              <w:ind w:left="80" w:right="80"/>
            </w:pPr>
            <w:r w:rsidRPr="00AB1FC6">
              <w:t>[1] See OJ C 486, 21.12.2022, p. 185, TEN/784, OJ C, C/2025/771, 11.2.2025, etc.</w:t>
            </w:r>
          </w:p>
        </w:tc>
      </w:tr>
    </w:tbl>
    <w:p w:rsidRPr="00AB1FC6" w:rsidR="006733ED" w:rsidP="006733ED" w:rsidRDefault="006733ED" w14:paraId="4035518F" w14:textId="77777777">
      <w:pPr>
        <w:jc w:val="center"/>
      </w:pPr>
    </w:p>
    <w:tbl>
      <w:tblPr>
        <w:tblStyle w:val="TableGrid"/>
        <w:tblW w:w="5000" w:type="pct"/>
        <w:tblLook w:val="01E0" w:firstRow="1" w:lastRow="1" w:firstColumn="1" w:lastColumn="1" w:noHBand="0" w:noVBand="0"/>
      </w:tblPr>
      <w:tblGrid>
        <w:gridCol w:w="9063"/>
      </w:tblGrid>
      <w:tr w:rsidRPr="00AB1FC6" w:rsidR="006733ED" w:rsidTr="0057218B" w14:paraId="414E6C84" w14:textId="77777777">
        <w:tc>
          <w:tcPr>
            <w:tcW w:w="5000" w:type="pct"/>
          </w:tcPr>
          <w:p w:rsidRPr="00AB1FC6" w:rsidR="006733ED" w:rsidP="0057218B" w:rsidRDefault="006733ED" w14:paraId="5886AAAC" w14:textId="77777777">
            <w:pPr>
              <w:jc w:val="center"/>
            </w:pPr>
            <w:r w:rsidRPr="00AB1FC6">
              <w:rPr>
                <w:b/>
                <w:bCs/>
              </w:rPr>
              <w:t>Reason</w:t>
            </w:r>
          </w:p>
        </w:tc>
      </w:tr>
      <w:tr w:rsidRPr="00AB1FC6" w:rsidR="006733ED" w:rsidTr="0057218B" w14:paraId="0B4C482D" w14:textId="77777777">
        <w:tc>
          <w:tcPr>
            <w:tcW w:w="5000" w:type="pct"/>
            <w:hideMark/>
          </w:tcPr>
          <w:p w:rsidRPr="00AB1FC6" w:rsidR="006733ED" w:rsidP="0057218B" w:rsidRDefault="006733ED" w14:paraId="78A5CA3C" w14:textId="77777777">
            <w:r w:rsidRPr="00AB1FC6">
              <w:t xml:space="preserve">Housing policy is a national competence, and there is no legitimacy to expand EU competence into an area currently managed by Member States. Key aspects of housing, including regulations, social housing provision, renting rules, and subsidies are deeply embedded in national legal systems, and this must be respected. Moreover, national and local governments are better placed to design housing policies, because they have a better understanding of their own housing markets, which are very diverse across the EU. </w:t>
            </w:r>
          </w:p>
        </w:tc>
      </w:tr>
    </w:tbl>
    <w:p w:rsidR="006733ED" w:rsidP="005041EB" w:rsidRDefault="006733ED" w14:paraId="26D3431B" w14:textId="77777777">
      <w:pPr>
        <w:rPr>
          <w:szCs w:val="18"/>
        </w:rPr>
      </w:pPr>
    </w:p>
    <w:p w:rsidR="006733ED" w:rsidP="005041EB" w:rsidRDefault="006733ED" w14:paraId="10D086E0" w14:textId="77777777"/>
    <w:p w:rsidR="006733ED" w:rsidP="005041EB" w:rsidRDefault="006733ED" w14:paraId="5EA670E5"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C337B5" w:rsidR="006733ED" w:rsidTr="0057218B" w14:paraId="17BE58CD" w14:textId="77777777">
        <w:tc>
          <w:tcPr>
            <w:tcW w:w="2826" w:type="pct"/>
          </w:tcPr>
          <w:p w:rsidRPr="00AB1FC6" w:rsidR="006733ED" w:rsidP="0057218B" w:rsidRDefault="006733ED" w14:paraId="23786C43" w14:textId="2AA4019D">
            <w:pPr>
              <w:rPr>
                <w:b/>
                <w:bCs/>
                <w:sz w:val="32"/>
                <w:szCs w:val="32"/>
              </w:rPr>
            </w:pPr>
            <w:r w:rsidRPr="00AB1FC6">
              <w:rPr>
                <w:b/>
                <w:bCs/>
                <w:sz w:val="32"/>
                <w:szCs w:val="32"/>
              </w:rPr>
              <w:t>AMENDMENT 2</w:t>
            </w:r>
          </w:p>
          <w:p w:rsidRPr="00AB1FC6" w:rsidR="006733ED" w:rsidP="0057218B" w:rsidRDefault="006733ED" w14:paraId="5DDE0308" w14:textId="77777777">
            <w:pPr>
              <w:rPr>
                <w:b/>
                <w:bCs/>
              </w:rPr>
            </w:pPr>
          </w:p>
          <w:p w:rsidRPr="00AB1FC6" w:rsidR="006733ED" w:rsidP="0057218B" w:rsidRDefault="006733ED" w14:paraId="292728B1" w14:textId="77777777">
            <w:pPr>
              <w:rPr>
                <w:b/>
                <w:bCs/>
              </w:rPr>
            </w:pPr>
            <w:r w:rsidRPr="00AB1FC6">
              <w:rPr>
                <w:b/>
                <w:bCs/>
              </w:rPr>
              <w:t>TEN/866</w:t>
            </w:r>
          </w:p>
          <w:p w:rsidRPr="00AB1FC6" w:rsidR="006733ED" w:rsidP="0057218B" w:rsidRDefault="006733ED" w14:paraId="5E50DF86" w14:textId="77777777">
            <w:pPr>
              <w:rPr>
                <w:b/>
                <w:bCs/>
              </w:rPr>
            </w:pPr>
            <w:r w:rsidRPr="00AB1FC6">
              <w:rPr>
                <w:b/>
                <w:bCs/>
              </w:rPr>
              <w:t>Tackling housing scarcity through affordable, sustainable and family-oriented housing policies</w:t>
            </w:r>
          </w:p>
          <w:p w:rsidRPr="00AB1FC6" w:rsidR="006733ED" w:rsidP="0057218B" w:rsidRDefault="006733ED" w14:paraId="5F9BED9F" w14:textId="77777777">
            <w:pPr>
              <w:rPr>
                <w:b/>
                <w:bCs/>
              </w:rPr>
            </w:pPr>
          </w:p>
          <w:p w:rsidRPr="00AB1FC6" w:rsidR="006733ED" w:rsidP="0057218B" w:rsidRDefault="006733ED" w14:paraId="7BF7D3B6" w14:textId="77777777">
            <w:pPr>
              <w:rPr>
                <w:b/>
                <w:bCs/>
              </w:rPr>
            </w:pPr>
            <w:r w:rsidRPr="00AB1FC6">
              <w:rPr>
                <w:b/>
                <w:bCs/>
              </w:rPr>
              <w:t>Point 1.1</w:t>
            </w:r>
          </w:p>
          <w:p w:rsidRPr="00AB1FC6" w:rsidR="006733ED" w:rsidP="0057218B" w:rsidRDefault="006733ED" w14:paraId="6D81DCFC" w14:textId="77777777">
            <w:pPr>
              <w:rPr>
                <w:b/>
                <w:bCs/>
              </w:rPr>
            </w:pPr>
          </w:p>
          <w:p w:rsidRPr="00AB1FC6" w:rsidR="006733ED" w:rsidP="0057218B" w:rsidRDefault="006733ED" w14:paraId="2A0790BB" w14:textId="77777777">
            <w:pPr>
              <w:rPr>
                <w:b/>
                <w:bCs/>
              </w:rPr>
            </w:pPr>
            <w:r w:rsidRPr="00AB1FC6">
              <w:rPr>
                <w:b/>
                <w:bCs/>
              </w:rPr>
              <w:t>Amend as follows</w:t>
            </w:r>
            <w:r>
              <w:rPr>
                <w:b/>
                <w:bCs/>
              </w:rPr>
              <w:t>:</w:t>
            </w:r>
          </w:p>
        </w:tc>
        <w:tc>
          <w:tcPr>
            <w:tcW w:w="2174" w:type="pct"/>
            <w:hideMark/>
          </w:tcPr>
          <w:p w:rsidRPr="0087688B" w:rsidR="006733ED" w:rsidP="0057218B" w:rsidRDefault="006733ED" w14:paraId="7F482009" w14:textId="77777777">
            <w:pPr>
              <w:jc w:val="left"/>
              <w:rPr>
                <w:b/>
                <w:bCs/>
                <w:lang w:val="fr-FR"/>
              </w:rPr>
            </w:pPr>
            <w:r w:rsidRPr="0087688B">
              <w:rPr>
                <w:b/>
                <w:bCs/>
                <w:lang w:val="fr-FR"/>
              </w:rPr>
              <w:t>Tabled by:</w:t>
            </w:r>
          </w:p>
          <w:p w:rsidRPr="0087688B" w:rsidR="006733ED" w:rsidP="0057218B" w:rsidRDefault="006733ED" w14:paraId="0D01EBC3" w14:textId="77777777">
            <w:pPr>
              <w:jc w:val="left"/>
              <w:rPr>
                <w:lang w:val="fr-FR"/>
              </w:rPr>
            </w:pPr>
            <w:r w:rsidRPr="0087688B">
              <w:rPr>
                <w:lang w:val="fr-FR"/>
              </w:rPr>
              <w:t>DE MÛELENAERE Robert</w:t>
            </w:r>
          </w:p>
          <w:p w:rsidRPr="0087688B" w:rsidR="006733ED" w:rsidP="0057218B" w:rsidRDefault="006733ED" w14:paraId="1DBE604C" w14:textId="77777777">
            <w:pPr>
              <w:jc w:val="left"/>
              <w:rPr>
                <w:lang w:val="fr-FR"/>
              </w:rPr>
            </w:pPr>
            <w:r w:rsidRPr="0087688B">
              <w:rPr>
                <w:lang w:val="fr-FR"/>
              </w:rPr>
              <w:t>LE BRETON Marie-Pierre</w:t>
            </w:r>
          </w:p>
          <w:p w:rsidRPr="0087688B" w:rsidR="006733ED" w:rsidP="0057218B" w:rsidRDefault="006733ED" w14:paraId="2B810FE3" w14:textId="77777777">
            <w:pPr>
              <w:jc w:val="left"/>
              <w:rPr>
                <w:lang w:val="fr-FR"/>
              </w:rPr>
            </w:pPr>
            <w:r w:rsidRPr="0087688B">
              <w:rPr>
                <w:lang w:val="fr-FR"/>
              </w:rPr>
              <w:t>MINCHEVA Mariya</w:t>
            </w:r>
          </w:p>
          <w:p w:rsidRPr="0087688B" w:rsidR="006733ED" w:rsidP="0057218B" w:rsidRDefault="006733ED" w14:paraId="114B4DDC" w14:textId="77777777">
            <w:pPr>
              <w:jc w:val="left"/>
              <w:rPr>
                <w:lang w:val="fr-FR"/>
              </w:rPr>
            </w:pPr>
            <w:r w:rsidRPr="0087688B">
              <w:rPr>
                <w:lang w:val="fr-FR"/>
              </w:rPr>
              <w:t>OSTROWSKI Krzysztof</w:t>
            </w:r>
          </w:p>
          <w:p w:rsidRPr="0087688B" w:rsidR="006733ED" w:rsidP="0057218B" w:rsidRDefault="006733ED" w14:paraId="10F6B4F6" w14:textId="77777777">
            <w:pPr>
              <w:jc w:val="left"/>
              <w:rPr>
                <w:lang w:val="fr-FR"/>
              </w:rPr>
            </w:pPr>
            <w:r w:rsidRPr="0087688B">
              <w:rPr>
                <w:lang w:val="fr-FR"/>
              </w:rPr>
              <w:t>SÄKKINEN Teppo</w:t>
            </w:r>
          </w:p>
          <w:p w:rsidRPr="0087688B" w:rsidR="006733ED" w:rsidP="0057218B" w:rsidRDefault="006733ED" w14:paraId="6388F225" w14:textId="77777777">
            <w:pPr>
              <w:rPr>
                <w:lang w:val="fr-FR"/>
              </w:rPr>
            </w:pPr>
          </w:p>
        </w:tc>
      </w:tr>
    </w:tbl>
    <w:p w:rsidRPr="0087688B" w:rsidR="006733ED" w:rsidP="006733ED" w:rsidRDefault="006733ED" w14:paraId="7C615E66" w14:textId="77777777">
      <w:pPr>
        <w:jc w:val="center"/>
        <w:rPr>
          <w:lang w:val="fr-FR"/>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AB1FC6" w:rsidR="006733ED" w:rsidTr="0057218B" w14:paraId="2B63D858" w14:textId="77777777">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3E6F7C85" w14:textId="77777777">
            <w:pPr>
              <w:jc w:val="center"/>
              <w:rPr>
                <w:b/>
                <w:bCs/>
                <w:i/>
              </w:rPr>
            </w:pPr>
            <w:r w:rsidRPr="00AB1FC6">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5608D1C2" w14:textId="77777777">
            <w:pPr>
              <w:jc w:val="center"/>
              <w:rPr>
                <w:b/>
                <w:bCs/>
                <w:i/>
              </w:rPr>
            </w:pPr>
            <w:r w:rsidRPr="00AB1FC6">
              <w:rPr>
                <w:b/>
                <w:bCs/>
                <w:i/>
              </w:rPr>
              <w:t>Amendment</w:t>
            </w:r>
          </w:p>
        </w:tc>
      </w:tr>
      <w:tr w:rsidRPr="00AB1FC6" w:rsidR="006733ED" w:rsidTr="0057218B" w14:paraId="6FCAAF8B" w14:textId="77777777">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306F6BC8" w14:textId="77777777">
            <w:pPr>
              <w:spacing w:before="80" w:after="80"/>
              <w:ind w:left="80" w:right="80"/>
            </w:pPr>
            <w:r w:rsidRPr="00AB1FC6">
              <w:t>The EESC welcomes the Affordable Housing Plan (AHP) but urges the Commission to swiftly present the announced initiatives and adopt far more ambitious measures to address the structural housing crisis, including better framework conditions,</w:t>
            </w:r>
            <w:r w:rsidRPr="00AB1FC6">
              <w:rPr>
                <w:b/>
                <w:bCs/>
                <w:i/>
              </w:rPr>
              <w:t xml:space="preserve"> a right to adequate and affordable housing in EU primary law,</w:t>
            </w:r>
            <w:r w:rsidRPr="00AB1FC6">
              <w:t xml:space="preserve"> sufficient funding and a stronger focus on young people, families and sustainability. It criticises the lack of clear land-use and spatial planning guidance, the risks of urban sprawl and of climate backsliding and the insufficient role given to cities, regions and local authorities. Furthermore, it calls for an effective rural development strategy and proven tools, with a mandatory percentage of subsidised, affordable housing.</w:t>
            </w:r>
          </w:p>
        </w:tc>
        <w:tc>
          <w:tcPr>
            <w:tcW w:w="2500" w:type="pct"/>
            <w:tcBorders>
              <w:top w:val="single" w:color="auto" w:sz="4" w:space="0"/>
              <w:left w:val="single" w:color="auto" w:sz="4" w:space="0"/>
              <w:bottom w:val="single" w:color="auto" w:sz="4" w:space="0"/>
              <w:right w:val="single" w:color="auto" w:sz="4" w:space="0"/>
            </w:tcBorders>
            <w:hideMark/>
          </w:tcPr>
          <w:p w:rsidRPr="00AB1FC6" w:rsidR="006733ED" w:rsidP="0057218B" w:rsidRDefault="006733ED" w14:paraId="3D8699E5" w14:textId="77777777">
            <w:pPr>
              <w:spacing w:before="80" w:after="80"/>
              <w:ind w:left="80" w:right="80"/>
            </w:pPr>
            <w:r w:rsidRPr="00AB1FC6">
              <w:t>The EESC welcomes the Affordable Housing Plan (AHP) but urges the Commission to swiftly present the announced initiatives and adopt far more ambitious measures to address the structural housing crisis, including better framework conditions, sufficient funding and a stronger focus on young people, families and sustainability. It criticises the lack of clear land-use and spatial planning guidance, the risks of urban sprawl and of climate backsliding and the insufficient role given to cities, regions and local authorities. Furthermore, it calls for an effective rural development strategy and proven tools, with a mandatory percentage of subsidised, affordable housing.</w:t>
            </w:r>
          </w:p>
        </w:tc>
      </w:tr>
    </w:tbl>
    <w:p w:rsidRPr="00AB1FC6" w:rsidR="006733ED" w:rsidP="006733ED" w:rsidRDefault="006733ED" w14:paraId="4DBD6107" w14:textId="77777777">
      <w:pPr>
        <w:jc w:val="center"/>
      </w:pPr>
    </w:p>
    <w:tbl>
      <w:tblPr>
        <w:tblStyle w:val="TableGrid"/>
        <w:tblW w:w="5000" w:type="pct"/>
        <w:tblLook w:val="01E0" w:firstRow="1" w:lastRow="1" w:firstColumn="1" w:lastColumn="1" w:noHBand="0" w:noVBand="0"/>
      </w:tblPr>
      <w:tblGrid>
        <w:gridCol w:w="9063"/>
      </w:tblGrid>
      <w:tr w:rsidRPr="00AB1FC6" w:rsidR="006733ED" w:rsidTr="0057218B" w14:paraId="3C320EE4" w14:textId="77777777">
        <w:tc>
          <w:tcPr>
            <w:tcW w:w="5000" w:type="pct"/>
          </w:tcPr>
          <w:p w:rsidRPr="00AB1FC6" w:rsidR="006733ED" w:rsidP="0057218B" w:rsidRDefault="006733ED" w14:paraId="75403B5B" w14:textId="77777777">
            <w:pPr>
              <w:jc w:val="center"/>
            </w:pPr>
            <w:r w:rsidRPr="00AB1FC6">
              <w:rPr>
                <w:b/>
                <w:bCs/>
              </w:rPr>
              <w:t>Reason</w:t>
            </w:r>
          </w:p>
        </w:tc>
      </w:tr>
      <w:tr w:rsidRPr="00AB1FC6" w:rsidR="006733ED" w:rsidTr="0057218B" w14:paraId="1D427D25" w14:textId="77777777">
        <w:tc>
          <w:tcPr>
            <w:tcW w:w="5000" w:type="pct"/>
            <w:hideMark/>
          </w:tcPr>
          <w:p w:rsidRPr="00AB1FC6" w:rsidR="006733ED" w:rsidP="0057218B" w:rsidRDefault="006733ED" w14:paraId="67720BFB" w14:textId="77777777">
            <w:r w:rsidRPr="00AB1FC6">
              <w:t xml:space="preserve">Housing policy is a national competence, and there is no legitimacy to expand EU competence into an area currently managed by Member States. Key aspects of housing, including regulations, social housing provision, renting rules, and subsidies are deeply embedded in national legal systems, and this must be respected. Moreover, national and local governments are better placed to design housing policies, because they have a better understanding of their own housing markets, which are very diverse across the EU. </w:t>
            </w:r>
          </w:p>
        </w:tc>
      </w:tr>
    </w:tbl>
    <w:p w:rsidR="006733ED" w:rsidP="005041EB" w:rsidRDefault="006733ED" w14:paraId="457C48F1" w14:textId="77777777"/>
    <w:p w:rsidR="006733ED" w:rsidP="005041EB" w:rsidRDefault="006733ED" w14:paraId="35C13BC5" w14:textId="77777777"/>
    <w:p w:rsidR="006733ED" w:rsidP="005041EB" w:rsidRDefault="006733ED" w14:paraId="5F3C08A3" w14:textId="77777777"/>
    <w:p w:rsidR="008C6C82" w:rsidP="00EC0F0F" w:rsidRDefault="008C6C82" w14:paraId="6220B029" w14:textId="34A8EBE1"/>
    <w:p w:rsidRPr="00486F42" w:rsidR="008779CD" w:rsidP="008779CD" w:rsidRDefault="008779CD" w14:paraId="08300228" w14:textId="77777777">
      <w:pPr>
        <w:keepNext/>
        <w:suppressAutoHyphens/>
        <w:rPr>
          <w:b/>
        </w:rPr>
      </w:pPr>
      <w:r w:rsidRPr="00486F42">
        <w:rPr>
          <w:b/>
        </w:rPr>
        <w:t>Outcome of the vote on the amendment</w:t>
      </w:r>
      <w:r>
        <w:rPr>
          <w:b/>
        </w:rPr>
        <w:t>s</w:t>
      </w:r>
      <w:r w:rsidRPr="00486F42">
        <w:rPr>
          <w:b/>
        </w:rPr>
        <w:t>:</w:t>
      </w:r>
    </w:p>
    <w:p w:rsidRPr="00486F42" w:rsidR="008779CD" w:rsidP="008779CD" w:rsidRDefault="008779CD" w14:paraId="34CF6903" w14:textId="77777777">
      <w:pPr>
        <w:keepNext/>
        <w:suppressAutoHyphens/>
      </w:pPr>
    </w:p>
    <w:p w:rsidRPr="00A001EB" w:rsidR="008779CD" w:rsidP="008779CD" w:rsidRDefault="008779CD" w14:paraId="13FC5F93" w14:textId="5C87915B">
      <w:pPr>
        <w:keepNext/>
        <w:suppressAutoHyphens/>
      </w:pPr>
      <w:r w:rsidRPr="00A001EB">
        <w:t>Votes in favour:</w:t>
      </w:r>
      <w:r w:rsidRPr="00A001EB">
        <w:tab/>
      </w:r>
      <w:r w:rsidRPr="00A001EB">
        <w:tab/>
        <w:t xml:space="preserve"> </w:t>
      </w:r>
      <w:r w:rsidR="004A2C76">
        <w:t>87</w:t>
      </w:r>
    </w:p>
    <w:p w:rsidRPr="00A001EB" w:rsidR="008779CD" w:rsidP="008779CD" w:rsidRDefault="008779CD" w14:paraId="53EB48D1" w14:textId="57E02CD2">
      <w:pPr>
        <w:suppressAutoHyphens/>
      </w:pPr>
      <w:r w:rsidRPr="00A001EB">
        <w:t>Votes against:</w:t>
      </w:r>
      <w:r w:rsidRPr="00A001EB">
        <w:tab/>
      </w:r>
      <w:r w:rsidRPr="00A001EB">
        <w:tab/>
        <w:t xml:space="preserve"> </w:t>
      </w:r>
      <w:r w:rsidR="004A2C76">
        <w:t>109</w:t>
      </w:r>
    </w:p>
    <w:p w:rsidRPr="00A001EB" w:rsidR="008779CD" w:rsidP="008779CD" w:rsidRDefault="008779CD" w14:paraId="04555F88" w14:textId="4E24492F">
      <w:r w:rsidRPr="00A001EB">
        <w:t>Abstentions:</w:t>
      </w:r>
      <w:r w:rsidRPr="00A001EB">
        <w:tab/>
      </w:r>
      <w:r w:rsidRPr="00A001EB">
        <w:tab/>
      </w:r>
      <w:r w:rsidR="004A2C76">
        <w:t>7</w:t>
      </w:r>
    </w:p>
    <w:p w:rsidRPr="00A001EB" w:rsidR="008779CD" w:rsidP="008779CD" w:rsidRDefault="008779CD" w14:paraId="5A3EA392" w14:textId="77777777"/>
    <w:p w:rsidRPr="00A67235" w:rsidR="008779CD" w:rsidP="008779CD" w:rsidRDefault="008779CD" w14:paraId="3015F69A" w14:textId="552C88BF">
      <w:r w:rsidRPr="00A001EB">
        <w:t xml:space="preserve">The opinion was adopted by </w:t>
      </w:r>
      <w:r w:rsidR="0040480B">
        <w:t>185</w:t>
      </w:r>
      <w:r w:rsidRPr="00A001EB">
        <w:t xml:space="preserve"> votes to</w:t>
      </w:r>
      <w:r w:rsidR="0040480B">
        <w:t xml:space="preserve"> two</w:t>
      </w:r>
      <w:r w:rsidRPr="00A001EB">
        <w:t xml:space="preserve"> and </w:t>
      </w:r>
      <w:r w:rsidR="0040480B">
        <w:t>six</w:t>
      </w:r>
      <w:r w:rsidR="00094629">
        <w:t xml:space="preserve"> </w:t>
      </w:r>
      <w:r w:rsidRPr="00A001EB">
        <w:t>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0E97" w14:textId="77777777" w:rsidR="009F61BC" w:rsidRDefault="009F61BC">
      <w:r>
        <w:separator/>
      </w:r>
    </w:p>
  </w:endnote>
  <w:endnote w:type="continuationSeparator" w:id="0">
    <w:p w14:paraId="630E3005" w14:textId="77777777" w:rsidR="009F61BC" w:rsidRDefault="009F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6D9BE4A6" w:rsidR="00964A13" w:rsidRPr="00964A13" w:rsidRDefault="004C21FA" w:rsidP="00964A13">
    <w:pPr>
      <w:pStyle w:val="Footer"/>
    </w:pPr>
    <w:r>
      <w:t>TEN/8</w:t>
    </w:r>
    <w:r w:rsidR="006733ED">
      <w:t>6</w:t>
    </w:r>
    <w:r w:rsidR="00E70DD6">
      <w:t>6</w:t>
    </w:r>
    <w:r>
      <w:t xml:space="preserve"> – </w:t>
    </w:r>
    <w:r w:rsidR="00C311DE">
      <w:t>EESC-202</w:t>
    </w:r>
    <w:r w:rsidR="006733ED">
      <w:t>5</w:t>
    </w:r>
    <w:r w:rsidR="00C311DE">
      <w:t>-0</w:t>
    </w:r>
    <w:r w:rsidR="006733ED">
      <w:t>3564</w:t>
    </w:r>
    <w:r w:rsidR="007201DC">
      <w:t>-00-00</w:t>
    </w:r>
    <w:r w:rsidRPr="004C21FA">
      <w:t>-</w:t>
    </w:r>
    <w:r w:rsidR="00964A13">
      <w:t>CR-REF (</w:t>
    </w:r>
    <w:r w:rsidR="00BE2774">
      <w:t>EN</w:t>
    </w:r>
    <w:r w:rsidR="00964A13">
      <w:t xml:space="preserve">) </w:t>
    </w:r>
    <w:r w:rsidR="00964A13">
      <w:fldChar w:fldCharType="begin"/>
    </w:r>
    <w:r w:rsidR="00964A13">
      <w:instrText xml:space="preserve"> PAGE  \* Arabic  \* MERGEFORMAT </w:instrText>
    </w:r>
    <w:r w:rsidR="00964A13">
      <w:fldChar w:fldCharType="separate"/>
    </w:r>
    <w:r w:rsidR="007762FB">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7762FB">
      <w:rPr>
        <w:noProof/>
      </w:rPr>
      <w:instrText>1</w:instrText>
    </w:r>
    <w:r w:rsidR="00964A13">
      <w:fldChar w:fldCharType="end"/>
    </w:r>
    <w:r w:rsidR="00964A13">
      <w:instrText xml:space="preserve"> -0 </w:instrText>
    </w:r>
    <w:r w:rsidR="00964A13">
      <w:fldChar w:fldCharType="separate"/>
    </w:r>
    <w:r w:rsidR="007762FB">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3292" w14:textId="77777777" w:rsidR="009F61BC" w:rsidRDefault="009F61BC">
      <w:r>
        <w:separator/>
      </w:r>
    </w:p>
  </w:footnote>
  <w:footnote w:type="continuationSeparator" w:id="0">
    <w:p w14:paraId="44CF902A" w14:textId="77777777" w:rsidR="009F61BC" w:rsidRDefault="009F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F933A5"/>
    <w:multiLevelType w:val="hybridMultilevel"/>
    <w:tmpl w:val="03C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18DF"/>
    <w:multiLevelType w:val="hybridMultilevel"/>
    <w:tmpl w:val="BCCC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74850AC"/>
    <w:multiLevelType w:val="hybridMultilevel"/>
    <w:tmpl w:val="585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690D9E"/>
    <w:multiLevelType w:val="hybridMultilevel"/>
    <w:tmpl w:val="93803C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7B7A4849"/>
    <w:multiLevelType w:val="hybridMultilevel"/>
    <w:tmpl w:val="BC5A39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2E67"/>
    <w:rsid w:val="00036097"/>
    <w:rsid w:val="00052D5A"/>
    <w:rsid w:val="000575F7"/>
    <w:rsid w:val="0006464B"/>
    <w:rsid w:val="00077277"/>
    <w:rsid w:val="00094629"/>
    <w:rsid w:val="0009727F"/>
    <w:rsid w:val="000B0D89"/>
    <w:rsid w:val="000B3441"/>
    <w:rsid w:val="000C39D6"/>
    <w:rsid w:val="000D6AA3"/>
    <w:rsid w:val="000E4B6B"/>
    <w:rsid w:val="000F03D6"/>
    <w:rsid w:val="0012451D"/>
    <w:rsid w:val="0013627C"/>
    <w:rsid w:val="00143A71"/>
    <w:rsid w:val="0015330A"/>
    <w:rsid w:val="001572A3"/>
    <w:rsid w:val="0016227E"/>
    <w:rsid w:val="00165632"/>
    <w:rsid w:val="00167181"/>
    <w:rsid w:val="001766AB"/>
    <w:rsid w:val="00177DAC"/>
    <w:rsid w:val="001868A4"/>
    <w:rsid w:val="001A2A15"/>
    <w:rsid w:val="001B4C16"/>
    <w:rsid w:val="001C7254"/>
    <w:rsid w:val="001F14CF"/>
    <w:rsid w:val="00205CD5"/>
    <w:rsid w:val="002346F9"/>
    <w:rsid w:val="00253637"/>
    <w:rsid w:val="002601CF"/>
    <w:rsid w:val="00273FDB"/>
    <w:rsid w:val="00274D0B"/>
    <w:rsid w:val="002925F3"/>
    <w:rsid w:val="00297572"/>
    <w:rsid w:val="002E2943"/>
    <w:rsid w:val="002E317A"/>
    <w:rsid w:val="00320C0B"/>
    <w:rsid w:val="0033272E"/>
    <w:rsid w:val="003439B0"/>
    <w:rsid w:val="003634E6"/>
    <w:rsid w:val="003876B5"/>
    <w:rsid w:val="00392924"/>
    <w:rsid w:val="00395758"/>
    <w:rsid w:val="003A16B5"/>
    <w:rsid w:val="003B459F"/>
    <w:rsid w:val="003C15D7"/>
    <w:rsid w:val="003C2604"/>
    <w:rsid w:val="003E1619"/>
    <w:rsid w:val="003E2B59"/>
    <w:rsid w:val="003F32E0"/>
    <w:rsid w:val="0040480B"/>
    <w:rsid w:val="00423299"/>
    <w:rsid w:val="004251CF"/>
    <w:rsid w:val="004369DD"/>
    <w:rsid w:val="004508F7"/>
    <w:rsid w:val="00460CC5"/>
    <w:rsid w:val="004A0843"/>
    <w:rsid w:val="004A1BC1"/>
    <w:rsid w:val="004A2C76"/>
    <w:rsid w:val="004A4762"/>
    <w:rsid w:val="004B002D"/>
    <w:rsid w:val="004C21FA"/>
    <w:rsid w:val="004F4602"/>
    <w:rsid w:val="005041EB"/>
    <w:rsid w:val="00523051"/>
    <w:rsid w:val="0053459C"/>
    <w:rsid w:val="0055372E"/>
    <w:rsid w:val="00564B0D"/>
    <w:rsid w:val="005807C4"/>
    <w:rsid w:val="00585CF6"/>
    <w:rsid w:val="00590C1E"/>
    <w:rsid w:val="00595C33"/>
    <w:rsid w:val="005A544D"/>
    <w:rsid w:val="005D6F43"/>
    <w:rsid w:val="005E1A79"/>
    <w:rsid w:val="005E429A"/>
    <w:rsid w:val="005F5F8B"/>
    <w:rsid w:val="0060358F"/>
    <w:rsid w:val="00603CC9"/>
    <w:rsid w:val="00646E27"/>
    <w:rsid w:val="00647059"/>
    <w:rsid w:val="006733ED"/>
    <w:rsid w:val="006C3797"/>
    <w:rsid w:val="006D4FFA"/>
    <w:rsid w:val="0070211E"/>
    <w:rsid w:val="007201DC"/>
    <w:rsid w:val="0073571F"/>
    <w:rsid w:val="00757919"/>
    <w:rsid w:val="00763181"/>
    <w:rsid w:val="00771A36"/>
    <w:rsid w:val="007762FB"/>
    <w:rsid w:val="0079708B"/>
    <w:rsid w:val="007C6A55"/>
    <w:rsid w:val="007D5E6F"/>
    <w:rsid w:val="00815851"/>
    <w:rsid w:val="00826375"/>
    <w:rsid w:val="00830673"/>
    <w:rsid w:val="0083134A"/>
    <w:rsid w:val="00841CF1"/>
    <w:rsid w:val="0086272D"/>
    <w:rsid w:val="00862EFF"/>
    <w:rsid w:val="008779CD"/>
    <w:rsid w:val="008953F1"/>
    <w:rsid w:val="00895C81"/>
    <w:rsid w:val="008A371F"/>
    <w:rsid w:val="008C6C82"/>
    <w:rsid w:val="008E0097"/>
    <w:rsid w:val="008E40B6"/>
    <w:rsid w:val="008F2211"/>
    <w:rsid w:val="00903DA1"/>
    <w:rsid w:val="00911202"/>
    <w:rsid w:val="00931AD6"/>
    <w:rsid w:val="009326E3"/>
    <w:rsid w:val="00961F04"/>
    <w:rsid w:val="00964A13"/>
    <w:rsid w:val="00971143"/>
    <w:rsid w:val="009A2700"/>
    <w:rsid w:val="009D7450"/>
    <w:rsid w:val="009E138D"/>
    <w:rsid w:val="009F61BC"/>
    <w:rsid w:val="00A14D3A"/>
    <w:rsid w:val="00A53158"/>
    <w:rsid w:val="00A57565"/>
    <w:rsid w:val="00A64D59"/>
    <w:rsid w:val="00A67235"/>
    <w:rsid w:val="00AA20D4"/>
    <w:rsid w:val="00AD16C2"/>
    <w:rsid w:val="00AE468A"/>
    <w:rsid w:val="00AF0BC1"/>
    <w:rsid w:val="00B15A12"/>
    <w:rsid w:val="00B20A62"/>
    <w:rsid w:val="00B36F98"/>
    <w:rsid w:val="00B37A48"/>
    <w:rsid w:val="00B457C3"/>
    <w:rsid w:val="00B5336D"/>
    <w:rsid w:val="00BA48CB"/>
    <w:rsid w:val="00BE2774"/>
    <w:rsid w:val="00BE7410"/>
    <w:rsid w:val="00BF51D5"/>
    <w:rsid w:val="00C01632"/>
    <w:rsid w:val="00C05B64"/>
    <w:rsid w:val="00C16376"/>
    <w:rsid w:val="00C311DE"/>
    <w:rsid w:val="00C337B5"/>
    <w:rsid w:val="00C4683E"/>
    <w:rsid w:val="00C70A05"/>
    <w:rsid w:val="00C87758"/>
    <w:rsid w:val="00C9047A"/>
    <w:rsid w:val="00CE01CF"/>
    <w:rsid w:val="00CF5FEA"/>
    <w:rsid w:val="00D21829"/>
    <w:rsid w:val="00D27BD7"/>
    <w:rsid w:val="00D51BB2"/>
    <w:rsid w:val="00D51D12"/>
    <w:rsid w:val="00D54F5F"/>
    <w:rsid w:val="00D806A2"/>
    <w:rsid w:val="00DA5CDE"/>
    <w:rsid w:val="00DB2B86"/>
    <w:rsid w:val="00DB4D02"/>
    <w:rsid w:val="00DD05A8"/>
    <w:rsid w:val="00DE2240"/>
    <w:rsid w:val="00DE6F8D"/>
    <w:rsid w:val="00DF760F"/>
    <w:rsid w:val="00E10AF0"/>
    <w:rsid w:val="00E1374B"/>
    <w:rsid w:val="00E23443"/>
    <w:rsid w:val="00E24886"/>
    <w:rsid w:val="00E55BBF"/>
    <w:rsid w:val="00E70261"/>
    <w:rsid w:val="00E70DD6"/>
    <w:rsid w:val="00EC0F0F"/>
    <w:rsid w:val="00EC67B4"/>
    <w:rsid w:val="00ED6BB4"/>
    <w:rsid w:val="00F01EB5"/>
    <w:rsid w:val="00F1269E"/>
    <w:rsid w:val="00F22F92"/>
    <w:rsid w:val="00F331E6"/>
    <w:rsid w:val="00F41CD8"/>
    <w:rsid w:val="00F56241"/>
    <w:rsid w:val="00F668E1"/>
    <w:rsid w:val="00F82A85"/>
    <w:rsid w:val="00FC4619"/>
    <w:rsid w:val="00FF1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customStyle="1" w:styleId="Default">
    <w:name w:val="Default"/>
    <w:rsid w:val="0033272E"/>
    <w:pPr>
      <w:autoSpaceDE w:val="0"/>
      <w:autoSpaceDN w:val="0"/>
      <w:adjustRightInd w:val="0"/>
    </w:pPr>
    <w:rPr>
      <w:rFonts w:eastAsiaTheme="minorHAnsi"/>
      <w:color w:val="000000"/>
      <w:sz w:val="24"/>
      <w:szCs w:val="24"/>
      <w:lang w:val="en-US" w:eastAsia="en-US"/>
    </w:rPr>
  </w:style>
  <w:style w:type="table" w:customStyle="1" w:styleId="TableGrid1">
    <w:name w:val="Table Grid1"/>
    <w:basedOn w:val="TableNormal"/>
    <w:next w:val="TableGrid"/>
    <w:rsid w:val="0033272E"/>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3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41EB"/>
    <w:pPr>
      <w:ind w:left="720"/>
      <w:contextualSpacing/>
    </w:pPr>
  </w:style>
  <w:style w:type="character" w:customStyle="1" w:styleId="ListParagraphChar">
    <w:name w:val="List Paragraph Char"/>
    <w:link w:val="ListParagraph"/>
    <w:uiPriority w:val="34"/>
    <w:locked/>
    <w:rsid w:val="008779CD"/>
    <w:rPr>
      <w:sz w:val="22"/>
      <w:szCs w:val="22"/>
      <w:lang w:val="en-GB" w:eastAsia="en-US"/>
    </w:rPr>
  </w:style>
  <w:style w:type="paragraph" w:styleId="Revision">
    <w:name w:val="Revision"/>
    <w:hidden/>
    <w:uiPriority w:val="99"/>
    <w:semiHidden/>
    <w:rsid w:val="00274D0B"/>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A6WAAD5KZT2Q-284857674-11127</_dlc_DocId>
    <_dlc_DocIdUrl xmlns="1a33af13-4045-4f88-9d7b-618e30f79918">
      <Url>http://dm/eesc/2025/_layouts/15/DocIdRedir.aspx?ID=A6WAAD5KZT2Q-284857674-11127</Url>
      <Description>A6WAAD5KZT2Q-284857674-11127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2026-03-20T12:00:00+00:00</ProductionDate>
    <FicheYear xmlns="1a33af13-4045-4f88-9d7b-618e30f79918">2025</FicheYear>
    <DocumentNumber xmlns="27994258-8564-426c-a7a1-d6286d62992e">3564</DocumentNumber>
    <DossierNumber xmlns="1a33af13-4045-4f88-9d7b-618e30f79918">866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78</Value>
      <Value>8</Value>
      <Value>5</Value>
      <Value>3</Value>
      <Value>1</Value>
      <Value>15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KATTNIG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3225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BCCE9746-9F3F-4B6D-B49E-FC5101DD66CC}"/>
</file>

<file path=customXml/itemProps2.xml><?xml version="1.0" encoding="utf-8"?>
<ds:datastoreItem xmlns:ds="http://schemas.openxmlformats.org/officeDocument/2006/customXml" ds:itemID="{13E9C10D-0EE9-46B3-9E22-3C8E20B7AAB2}"/>
</file>

<file path=customXml/itemProps3.xml><?xml version="1.0" encoding="utf-8"?>
<ds:datastoreItem xmlns:ds="http://schemas.openxmlformats.org/officeDocument/2006/customXml" ds:itemID="{5DA7CC97-C6A5-4499-ADD6-D8FB93DD2781}"/>
</file>

<file path=customXml/itemProps4.xml><?xml version="1.0" encoding="utf-8"?>
<ds:datastoreItem xmlns:ds="http://schemas.openxmlformats.org/officeDocument/2006/customXml" ds:itemID="{D77FB9AA-3811-4D52-AC27-29978D702E7A}"/>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EU Hydrogen bank</vt:lpstr>
    </vt:vector>
  </TitlesOfParts>
  <Company>CESE-CdR</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Tackling housing scarcity through affordable, sustainable and family-oriented housing policies</dc:title>
  <dc:subject>Record of proceedings</dc:subject>
  <dc:creator>Hilary Morris</dc:creator>
  <cp:keywords>EESC-2025-03564-00-00-CR-TRA-EN</cp:keywords>
  <dc:description>Rapporteur: - KATTNIG Original language: - EN Date of document: - 20/03/2026 Date of meeting: -  External documents: -  Administrator responsible: -  NAPOLITANO FRANCESCO</dc:description>
  <cp:lastModifiedBy>TDriveSVCUserProd</cp:lastModifiedBy>
  <cp:revision>5</cp:revision>
  <cp:lastPrinted>2004-02-16T15:16:00Z</cp:lastPrinted>
  <dcterms:created xsi:type="dcterms:W3CDTF">2026-03-19T17:07:00Z</dcterms:created>
  <dcterms:modified xsi:type="dcterms:W3CDTF">2026-03-20T06:32:00Z</dcterms:modified>
  <cp:category>TEN/866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d3143bea-3903-4e48-93cd-b995af44eca9</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3564</vt:i4>
  </property>
  <property fmtid="{D5CDD505-2E9C-101B-9397-08002B2CF9AE}" pid="14" name="FicheYear">
    <vt:i4>2025</vt:i4>
  </property>
  <property fmtid="{D5CDD505-2E9C-101B-9397-08002B2CF9AE}" pid="15" name="DocumentVersion">
    <vt:i4>0</vt:i4>
  </property>
  <property fmtid="{D5CDD505-2E9C-101B-9397-08002B2CF9AE}" pid="16" name="DossierNumber">
    <vt:i4>866</vt:i4>
  </property>
  <property fmtid="{D5CDD505-2E9C-101B-9397-08002B2CF9AE}" pid="17" name="DocumentStatus">
    <vt:lpwstr>3;#REF|722611fd-7eaf-44e3-8780-a3226646f5f0</vt:lpwstr>
  </property>
  <property fmtid="{D5CDD505-2E9C-101B-9397-08002B2CF9AE}" pid="18" name="DossierName">
    <vt:lpwstr>83;#TEN|5e12260d-3aca-41f8-baf2-ad3d18475f10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83;#TEN|5e12260d-3aca-41f8-baf2-ad3d18475f10;#78;#CR|3d8a0a7b-557a-49c4-997f-22056dbd9ff4;#8;#Final|ea5e6674-7b27-4bac-b091-73adbb394efe;#5;#EN|f2175f21-25d7-44a3-96da-d6a61b075e1b;#3;#REF|722611fd-7eaf-44e3-8780-a3226646f5f0;#1;#EESC|422833ec-8d7e-4e65-8e4e-8bed07ffb729;#15;#Unrestricted|826e22d7-d029-4ec0-a450-0c28ff673572</vt:lpwstr>
  </property>
  <property fmtid="{D5CDD505-2E9C-101B-9397-08002B2CF9AE}" pid="30" name="Rapporteur">
    <vt:lpwstr>KATTNIG</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3225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2026-03-18T12:00:00Z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