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2">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F41CD8" w:rsidR="00F41CD8" w:rsidP="00F41CD8" w:rsidRDefault="00F41CD8" w14:paraId="6DB04FF7" w14:textId="5EC0F298">
      <w:pPr>
        <w:jc w:val="right"/>
        <w:rPr>
          <w:b/>
        </w:rPr>
      </w:pPr>
      <w:r w:rsidRPr="00F41CD8">
        <w:rPr>
          <w:b/>
        </w:rPr>
        <w:t>TEN/8</w:t>
      </w:r>
      <w:r w:rsidR="006733ED">
        <w:rPr>
          <w:b/>
        </w:rPr>
        <w:t>6</w:t>
      </w:r>
      <w:r w:rsidR="00E01ECC">
        <w:rPr>
          <w:b/>
        </w:rPr>
        <w:t>3</w:t>
      </w:r>
    </w:p>
    <w:p w:rsidRPr="004C21FA" w:rsidR="000E4B6B" w:rsidP="006733ED" w:rsidRDefault="00E01ECC" w14:paraId="1EFE7F2B" w14:textId="2E8F22D7">
      <w:pPr>
        <w:jc w:val="right"/>
        <w:rPr>
          <w:b/>
        </w:rPr>
      </w:pPr>
      <w:r w:rsidRPr="00793F3B">
        <w:rPr>
          <w:b/>
        </w:rPr>
        <w:t>European Grids Package</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6C464B0">
      <w:pPr>
        <w:jc w:val="right"/>
      </w:pPr>
      <w:r w:rsidRPr="00A67235">
        <w:t xml:space="preserve">Brussels, </w:t>
      </w:r>
      <w:r w:rsidR="006733ED">
        <w:t>18 March</w:t>
      </w:r>
      <w:r w:rsidR="00BE2774">
        <w:t xml:space="preserve"> 202</w:t>
      </w:r>
      <w:r w:rsidR="006733ED">
        <w:t>6</w:t>
      </w:r>
    </w:p>
    <w:p w:rsidRPr="00A67235" w:rsidR="000E4B6B" w:rsidP="00EC0F0F" w:rsidRDefault="000E4B6B" w14:paraId="31FA757B" w14:textId="77777777"/>
    <w:p w:rsidRPr="00A67235" w:rsidR="000E4B6B" w:rsidP="00EC0F0F" w:rsidRDefault="000E4B6B" w14:paraId="7079C9D2" w14:textId="77777777"/>
    <w:p w:rsidRPr="00FF1D1E" w:rsidR="00E01ECC" w:rsidP="00E01ECC" w:rsidRDefault="00964A13" w14:paraId="40BA0C1E" w14:textId="77777777">
      <w:pPr>
        <w:jc w:val="center"/>
        <w:rPr>
          <w:b/>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FF1D1E" w:rsidR="00E01ECC">
        <w:rPr>
          <w:b/>
        </w:rPr>
        <w:t>Communication from the Commission to the European Parliament, the Council, the European Economic and Social Committee and the Committee of the Regions – European Grids Package</w:t>
      </w:r>
    </w:p>
    <w:p w:rsidRPr="00FF1D1E" w:rsidR="00E01ECC" w:rsidP="00E01ECC" w:rsidRDefault="00E01ECC" w14:paraId="3C6FBA82" w14:textId="77777777">
      <w:pPr>
        <w:jc w:val="center"/>
      </w:pPr>
      <w:r w:rsidRPr="00FF1D1E">
        <w:t>(COM(2025) 1005 final)</w:t>
      </w:r>
    </w:p>
    <w:p w:rsidRPr="00FF1D1E" w:rsidR="00E01ECC" w:rsidP="00E01ECC" w:rsidRDefault="00E01ECC" w14:paraId="2552DE60" w14:textId="77777777">
      <w:pPr>
        <w:jc w:val="center"/>
      </w:pPr>
      <w:r w:rsidRPr="00FF1D1E">
        <w:t>and</w:t>
      </w:r>
    </w:p>
    <w:p w:rsidRPr="00FF1D1E" w:rsidR="00E01ECC" w:rsidP="00E01ECC" w:rsidRDefault="00E01ECC" w14:paraId="7729D7D9" w14:textId="77777777">
      <w:pPr>
        <w:jc w:val="center"/>
        <w:rPr>
          <w:b/>
        </w:rPr>
      </w:pPr>
      <w:r w:rsidRPr="00FF1D1E">
        <w:rPr>
          <w:b/>
        </w:rPr>
        <w:t>Proposal for a Regulation of the European Parliament and of the Council on guidelines for trans-European energy infrastructure, amending Regulations (EU) 2019/942, (EU) 2019/943 and (EU) 2024/1789 and repealing Regulation (EU) 2022/869</w:t>
      </w:r>
    </w:p>
    <w:p w:rsidRPr="00FF1D1E" w:rsidR="00E01ECC" w:rsidP="00E01ECC" w:rsidRDefault="00E01ECC" w14:paraId="1B4A8AE8" w14:textId="77777777">
      <w:pPr>
        <w:jc w:val="center"/>
      </w:pPr>
      <w:r w:rsidRPr="00FF1D1E">
        <w:t>(COM(2025) 1006 final – 2025/0399 (COD))</w:t>
      </w:r>
    </w:p>
    <w:p w:rsidRPr="00FF1D1E" w:rsidR="00E01ECC" w:rsidP="00E01ECC" w:rsidRDefault="00E01ECC" w14:paraId="15BFAF7D" w14:textId="77777777">
      <w:pPr>
        <w:jc w:val="center"/>
      </w:pPr>
      <w:r w:rsidRPr="00FF1D1E">
        <w:t>and</w:t>
      </w:r>
    </w:p>
    <w:p w:rsidRPr="00FF1D1E" w:rsidR="00E01ECC" w:rsidP="00E01ECC" w:rsidRDefault="00E01ECC" w14:paraId="75BC13A4" w14:textId="77777777">
      <w:pPr>
        <w:jc w:val="center"/>
        <w:rPr>
          <w:b/>
        </w:rPr>
      </w:pPr>
      <w:r w:rsidRPr="00FF1D1E">
        <w:rPr>
          <w:b/>
        </w:rPr>
        <w:t>Proposal for a Directive of the European Parliament and of the Council amending Directives (EU) 2018/2001, (EU) 2019/944, (EU) 2024/1788 as regards acceleration of permit-granting procedures</w:t>
      </w:r>
    </w:p>
    <w:p w:rsidRPr="006C0B36" w:rsidR="007201DC" w:rsidP="00E01ECC" w:rsidRDefault="00E01ECC" w14:paraId="627A1434" w14:textId="4B4A747C">
      <w:pPr>
        <w:jc w:val="center"/>
      </w:pPr>
      <w:r w:rsidRPr="00FF1D1E">
        <w:t>(COM(2025) 1007 final – 2025/0400 (COD))</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6733ED" w14:paraId="0FA745B1" w14:textId="6BA4D563">
      <w:pPr>
        <w:jc w:val="center"/>
        <w:rPr>
          <w:bCs/>
        </w:rPr>
      </w:pPr>
      <w:r>
        <w:t>604</w:t>
      </w:r>
      <w:r w:rsidR="004C21FA">
        <w:rPr>
          <w:vertAlign w:val="superscript"/>
        </w:rPr>
        <w:t>th</w:t>
      </w:r>
      <w:r w:rsidR="00BE2774">
        <w:t xml:space="preserve"> </w:t>
      </w:r>
      <w:r w:rsidR="0015330A">
        <w:t>plenary session</w:t>
      </w:r>
      <w:r w:rsidR="009E138D">
        <w:br/>
      </w:r>
      <w:r w:rsidR="009E138D">
        <w:rPr>
          <w:bCs/>
        </w:rPr>
        <w:br/>
      </w:r>
      <w:r w:rsidRPr="00A67235" w:rsidR="00964A13">
        <w:rPr>
          <w:bCs/>
        </w:rPr>
        <w:t>Brussels</w:t>
      </w:r>
      <w:r w:rsidR="009E138D">
        <w:rPr>
          <w:bCs/>
        </w:rPr>
        <w:br/>
      </w:r>
      <w:r>
        <w:rPr>
          <w:bCs/>
        </w:rPr>
        <w:t>18-19</w:t>
      </w:r>
      <w:r w:rsidR="00E70DD6">
        <w:rPr>
          <w:bCs/>
        </w:rPr>
        <w:t xml:space="preserve"> </w:t>
      </w:r>
      <w:r>
        <w:rPr>
          <w:bCs/>
        </w:rPr>
        <w:t xml:space="preserve">March </w:t>
      </w:r>
      <w:r w:rsidR="00BE2774">
        <w:rPr>
          <w:bCs/>
        </w:rPr>
        <w:t>202</w:t>
      </w:r>
      <w:r>
        <w:rPr>
          <w:bCs/>
        </w:rPr>
        <w:t>6</w:t>
      </w:r>
    </w:p>
    <w:p w:rsidRPr="00A67235" w:rsidR="00964A13" w:rsidP="00EC0F0F" w:rsidRDefault="00964A13" w14:paraId="1F2948E8" w14:textId="77777777">
      <w:pPr>
        <w:jc w:val="center"/>
      </w:pPr>
      <w:r w:rsidRPr="00A67235">
        <w:t>_____________</w:t>
      </w:r>
    </w:p>
    <w:p w:rsidRPr="00A67235" w:rsidR="00964A13" w:rsidP="00EC0F0F" w:rsidRDefault="00BE2774" w14:paraId="0DDEA934" w14:textId="49D30545">
      <w:pPr>
        <w:jc w:val="center"/>
      </w:pPr>
      <w:r>
        <w:t xml:space="preserve"> </w:t>
      </w:r>
    </w:p>
    <w:p w:rsidRPr="00A67235" w:rsidR="00964A13" w:rsidP="00EC0F0F" w:rsidRDefault="00964A13" w14:paraId="320DD6DB" w14:textId="1A36166D">
      <w:pPr>
        <w:jc w:val="center"/>
      </w:pPr>
      <w:r w:rsidRPr="00A67235">
        <w:t xml:space="preserve">Meeting of </w:t>
      </w:r>
      <w:r w:rsidR="006733ED">
        <w:t>18</w:t>
      </w:r>
      <w:r w:rsidR="00E70DD6">
        <w:t xml:space="preserve"> </w:t>
      </w:r>
      <w:r w:rsidR="006733ED">
        <w:t xml:space="preserve">March </w:t>
      </w:r>
      <w:r w:rsidR="00BE2774">
        <w:t>202</w:t>
      </w:r>
      <w:r w:rsidR="006733ED">
        <w:t>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6B7670E8">
      <w:pPr>
        <w:pStyle w:val="Footer"/>
        <w:jc w:val="center"/>
      </w:pPr>
      <w:r w:rsidRPr="00A67235">
        <w:t>Agenda item</w:t>
      </w:r>
      <w:r w:rsidR="00177DAC">
        <w:t xml:space="preserve"> </w:t>
      </w:r>
      <w:r w:rsidR="00C311DE">
        <w:t>1</w:t>
      </w:r>
      <w:r w:rsidR="00E01ECC">
        <w:t>5</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36616AC2">
      <w:r w:rsidRPr="00A67235">
        <w:rPr>
          <w:b/>
          <w:bCs/>
        </w:rPr>
        <w:br w:type="page"/>
      </w:r>
      <w:r w:rsidRPr="00A67235" w:rsidR="000E4B6B">
        <w:rPr>
          <w:b/>
          <w:bCs/>
        </w:rPr>
        <w:lastRenderedPageBreak/>
        <w:t xml:space="preserve">The </w:t>
      </w:r>
      <w:r w:rsidR="005A249E">
        <w:rPr>
          <w:b/>
          <w:bCs/>
        </w:rPr>
        <w:t>vice-</w:t>
      </w:r>
      <w:r w:rsidRPr="00A67235" w:rsidR="000E4B6B">
        <w:rPr>
          <w:b/>
          <w:bCs/>
        </w:rPr>
        <w:t xml:space="preserve">president </w:t>
      </w:r>
      <w:r w:rsidRPr="00A67235" w:rsidR="000E4B6B">
        <w:t>move</w:t>
      </w:r>
      <w:r w:rsidR="0053459C">
        <w:t>s</w:t>
      </w:r>
      <w:r w:rsidRPr="00A67235" w:rsidR="000E4B6B">
        <w:t xml:space="preserve"> that the Committee turn to agenda item </w:t>
      </w:r>
      <w:r w:rsidR="00C311DE">
        <w:t>1</w:t>
      </w:r>
      <w:r w:rsidR="00E01ECC">
        <w:t>5</w:t>
      </w:r>
      <w:r w:rsidRPr="00A67235" w:rsidR="000E4B6B">
        <w:t xml:space="preserve"> - adoption of an opinion on the</w:t>
      </w:r>
    </w:p>
    <w:p w:rsidRPr="00A67235" w:rsidR="000E4B6B" w:rsidP="00EC0F0F" w:rsidRDefault="000E4B6B" w14:paraId="037DAC87" w14:textId="77777777"/>
    <w:p w:rsidRPr="00E01ECC" w:rsidR="00E01ECC" w:rsidP="00E01ECC" w:rsidRDefault="00E01ECC" w14:paraId="3F79C72E" w14:textId="77777777">
      <w:pPr>
        <w:ind w:left="1430"/>
        <w:rPr>
          <w:i/>
          <w:iCs/>
        </w:rPr>
      </w:pPr>
      <w:r w:rsidRPr="00E01ECC">
        <w:rPr>
          <w:i/>
          <w:iCs/>
        </w:rPr>
        <w:t>Communication from the Commission to the European Parliament, the Council, the European Economic and Social Committee and the Committee of the Regions – European Grids Package</w:t>
      </w:r>
    </w:p>
    <w:p w:rsidRPr="00E01ECC" w:rsidR="00E01ECC" w:rsidP="00E01ECC" w:rsidRDefault="00E01ECC" w14:paraId="3DDB11BF" w14:textId="77777777">
      <w:pPr>
        <w:ind w:left="1430"/>
        <w:rPr>
          <w:i/>
          <w:iCs/>
        </w:rPr>
      </w:pPr>
      <w:r w:rsidRPr="00E01ECC">
        <w:rPr>
          <w:i/>
          <w:iCs/>
        </w:rPr>
        <w:t>(COM(2025) 1005 final)</w:t>
      </w:r>
    </w:p>
    <w:p w:rsidRPr="00E01ECC" w:rsidR="00E01ECC" w:rsidP="00E01ECC" w:rsidRDefault="00E01ECC" w14:paraId="18449DC3" w14:textId="77777777">
      <w:pPr>
        <w:ind w:left="1430"/>
        <w:rPr>
          <w:i/>
          <w:iCs/>
        </w:rPr>
      </w:pPr>
      <w:r w:rsidRPr="00E01ECC">
        <w:rPr>
          <w:i/>
          <w:iCs/>
        </w:rPr>
        <w:t>and</w:t>
      </w:r>
    </w:p>
    <w:p w:rsidRPr="00E01ECC" w:rsidR="00E01ECC" w:rsidP="00E01ECC" w:rsidRDefault="00E01ECC" w14:paraId="1B64FF5C" w14:textId="77777777">
      <w:pPr>
        <w:ind w:left="1430"/>
        <w:rPr>
          <w:i/>
          <w:iCs/>
        </w:rPr>
      </w:pPr>
      <w:r w:rsidRPr="00E01ECC">
        <w:rPr>
          <w:i/>
          <w:iCs/>
        </w:rPr>
        <w:t>Proposal for a Regulation of the European Parliament and of the Council on guidelines for trans-European energy infrastructure, amending Regulations (EU) 2019/942, (EU) 2019/943 and (EU) 2024/1789 and repealing Regulation (EU) 2022/869</w:t>
      </w:r>
    </w:p>
    <w:p w:rsidRPr="00E01ECC" w:rsidR="00E01ECC" w:rsidP="00E01ECC" w:rsidRDefault="00E01ECC" w14:paraId="0CA524C5" w14:textId="77777777">
      <w:pPr>
        <w:ind w:left="1430"/>
        <w:rPr>
          <w:i/>
          <w:iCs/>
        </w:rPr>
      </w:pPr>
      <w:r w:rsidRPr="00E01ECC">
        <w:rPr>
          <w:i/>
          <w:iCs/>
        </w:rPr>
        <w:t>(COM(2025) 1006 final – 2025/0399 (COD))</w:t>
      </w:r>
    </w:p>
    <w:p w:rsidRPr="00E01ECC" w:rsidR="00E01ECC" w:rsidP="00E01ECC" w:rsidRDefault="00E01ECC" w14:paraId="368063D2" w14:textId="77777777">
      <w:pPr>
        <w:ind w:left="1430"/>
        <w:rPr>
          <w:i/>
          <w:iCs/>
        </w:rPr>
      </w:pPr>
      <w:r w:rsidRPr="00E01ECC">
        <w:rPr>
          <w:i/>
          <w:iCs/>
        </w:rPr>
        <w:t>and</w:t>
      </w:r>
    </w:p>
    <w:p w:rsidRPr="00E01ECC" w:rsidR="00E01ECC" w:rsidP="00E01ECC" w:rsidRDefault="00E01ECC" w14:paraId="7682495A" w14:textId="77777777">
      <w:pPr>
        <w:ind w:left="1430"/>
        <w:rPr>
          <w:i/>
          <w:iCs/>
        </w:rPr>
      </w:pPr>
      <w:r w:rsidRPr="00E01ECC">
        <w:rPr>
          <w:i/>
          <w:iCs/>
        </w:rPr>
        <w:t>Proposal for a Directive of the European Parliament and of the Council amending Directives (EU) 2018/2001, (EU) 2019/944, (EU) 2024/1788 as regards acceleration of permit-granting procedures</w:t>
      </w:r>
    </w:p>
    <w:p w:rsidRPr="00E70DD6" w:rsidR="000E4B6B" w:rsidP="00E01ECC" w:rsidRDefault="00E01ECC" w14:paraId="305301AD" w14:textId="7F44E845">
      <w:pPr>
        <w:ind w:left="1430"/>
      </w:pPr>
      <w:r w:rsidRPr="00E01ECC">
        <w:rPr>
          <w:i/>
          <w:iCs/>
        </w:rPr>
        <w:t>(COM(2025) 1007 final – 2025/0400 (COD))</w:t>
      </w:r>
      <w:r w:rsidRPr="00E70DD6" w:rsidR="004C21FA">
        <w:t>.</w:t>
      </w:r>
    </w:p>
    <w:p w:rsidRPr="00A67235" w:rsidR="000E4B6B" w:rsidP="00EC0F0F" w:rsidRDefault="000E4B6B" w14:paraId="7B740915" w14:textId="77777777"/>
    <w:p w:rsidRPr="00A67235" w:rsidR="000E4B6B" w:rsidP="00EC0F0F" w:rsidRDefault="000E4B6B" w14:paraId="2D8D7685" w14:textId="6DB8378F">
      <w:r w:rsidRPr="00A67235">
        <w:t xml:space="preserve">The preliminary work had been carried out by the Section for </w:t>
      </w:r>
      <w:r w:rsidRPr="00625261" w:rsidR="00BE2774">
        <w:t xml:space="preserve">Transport, Energy, Infrastructure and the Information Society </w:t>
      </w:r>
      <w:r w:rsidRPr="00625261" w:rsidR="00BE2774">
        <w:fldChar w:fldCharType="begin"/>
      </w:r>
      <w:r w:rsidRPr="00625261" w:rsidR="00BE2774">
        <w:instrText xml:space="preserve">  </w:instrText>
      </w:r>
      <w:r w:rsidRPr="00625261" w:rsidR="00BE2774">
        <w:fldChar w:fldCharType="end"/>
      </w:r>
      <w:r w:rsidRPr="00625261" w:rsidR="00BE2774">
        <w:t>(</w:t>
      </w:r>
      <w:r w:rsidR="00BE2774">
        <w:t>p</w:t>
      </w:r>
      <w:r w:rsidRPr="00625261" w:rsidR="00BE2774">
        <w:t>resident:</w:t>
      </w:r>
      <w:r w:rsidR="00BE2774">
        <w:rPr>
          <w:b/>
          <w:bCs/>
        </w:rPr>
        <w:t xml:space="preserve"> </w:t>
      </w:r>
      <w:r w:rsidR="0055372E">
        <w:rPr>
          <w:b/>
          <w:bCs/>
        </w:rPr>
        <w:t>M</w:t>
      </w:r>
      <w:r w:rsidR="006733ED">
        <w:rPr>
          <w:b/>
          <w:bCs/>
        </w:rPr>
        <w:t>r</w:t>
      </w:r>
      <w:r w:rsidR="00BE2774">
        <w:rPr>
          <w:b/>
          <w:bCs/>
        </w:rPr>
        <w:t xml:space="preserve"> </w:t>
      </w:r>
      <w:r w:rsidR="006733ED">
        <w:rPr>
          <w:b/>
          <w:bCs/>
        </w:rPr>
        <w:t>Nowacki</w:t>
      </w:r>
      <w:r w:rsidRPr="00625261" w:rsidR="00BE2774">
        <w:rPr>
          <w:b/>
          <w:bCs/>
        </w:rPr>
        <w:fldChar w:fldCharType="begin"/>
      </w:r>
      <w:r w:rsidRPr="00625261" w:rsidR="00BE2774">
        <w:rPr>
          <w:b/>
          <w:bCs/>
        </w:rPr>
        <w:instrText xml:space="preserve">  </w:instrText>
      </w:r>
      <w:r w:rsidRPr="00625261" w:rsidR="00BE2774">
        <w:rPr>
          <w:b/>
          <w:bCs/>
        </w:rPr>
        <w:fldChar w:fldCharType="end"/>
      </w:r>
      <w:r w:rsidR="00BE2774">
        <w:t>)</w:t>
      </w:r>
      <w:r w:rsidRPr="00A67235">
        <w:t>. The rapporteur was</w:t>
      </w:r>
      <w:r w:rsidRPr="00A67235">
        <w:rPr>
          <w:b/>
          <w:bCs/>
        </w:rPr>
        <w:t xml:space="preserve"> </w:t>
      </w:r>
      <w:r w:rsidR="0055372E">
        <w:rPr>
          <w:b/>
          <w:bCs/>
        </w:rPr>
        <w:t>Mr</w:t>
      </w:r>
      <w:r w:rsidRPr="00F41CD8" w:rsidR="00F41CD8">
        <w:rPr>
          <w:b/>
          <w:bCs/>
        </w:rPr>
        <w:t xml:space="preserve"> K</w:t>
      </w:r>
      <w:r w:rsidRPr="00F41CD8" w:rsidR="0055372E">
        <w:rPr>
          <w:b/>
          <w:bCs/>
        </w:rPr>
        <w:t>attnig</w:t>
      </w:r>
      <w:r w:rsidRPr="00A67235">
        <w:t>.</w:t>
      </w:r>
      <w:r w:rsidR="00BE2774">
        <w:t xml:space="preserve"> </w:t>
      </w:r>
      <w:r w:rsidRPr="004C21FA" w:rsidR="004C21FA">
        <w:t xml:space="preserve">The section adopted its opinion on </w:t>
      </w:r>
      <w:r w:rsidR="006733ED">
        <w:t>9</w:t>
      </w:r>
      <w:r w:rsidR="00E70DD6">
        <w:t xml:space="preserve"> </w:t>
      </w:r>
      <w:r w:rsidR="006733ED">
        <w:t>March</w:t>
      </w:r>
      <w:r w:rsidR="00E70DD6">
        <w:t xml:space="preserve"> 202</w:t>
      </w:r>
      <w:r w:rsidR="006733ED">
        <w:t>6</w:t>
      </w:r>
      <w:r w:rsidRPr="004C21FA" w:rsidR="004C21FA">
        <w:t xml:space="preserve"> by </w:t>
      </w:r>
      <w:r w:rsidR="006733ED">
        <w:t>7</w:t>
      </w:r>
      <w:r w:rsidR="00E01ECC">
        <w:t>3</w:t>
      </w:r>
      <w:r w:rsidRPr="004C21FA" w:rsidR="004C21FA">
        <w:t xml:space="preserve"> votes</w:t>
      </w:r>
      <w:r w:rsidR="00F41CD8">
        <w:t xml:space="preserve"> to </w:t>
      </w:r>
      <w:r w:rsidR="00E01ECC">
        <w:t>seven</w:t>
      </w:r>
      <w:r w:rsidRPr="004C21FA" w:rsidR="004C21FA">
        <w:t xml:space="preserve"> </w:t>
      </w:r>
      <w:r w:rsidR="007201DC">
        <w:t>and</w:t>
      </w:r>
      <w:r w:rsidR="004C21FA">
        <w:t xml:space="preserve"> </w:t>
      </w:r>
      <w:r w:rsidR="006733ED">
        <w:t>four</w:t>
      </w:r>
      <w:r w:rsidR="007201DC">
        <w:t xml:space="preserve"> abstention</w:t>
      </w:r>
      <w:r w:rsidR="00E70DD6">
        <w:t>s</w:t>
      </w:r>
      <w:r w:rsidRPr="004C21FA" w:rsidR="004C21FA">
        <w:t>.</w:t>
      </w:r>
    </w:p>
    <w:p w:rsidRPr="00A67235" w:rsidR="000E4B6B" w:rsidP="00EC0F0F" w:rsidRDefault="000E4B6B" w14:paraId="2708AAF4" w14:textId="77777777"/>
    <w:p w:rsidRPr="003321EC" w:rsidR="00BA48CB" w:rsidP="00BA48CB" w:rsidRDefault="00BA48CB" w14:paraId="7D34751E" w14:textId="38CB6615">
      <w:r w:rsidRPr="003321EC">
        <w:rPr>
          <w:b/>
          <w:bCs/>
        </w:rPr>
        <w:t>M</w:t>
      </w:r>
      <w:r w:rsidR="005A249E">
        <w:rPr>
          <w:b/>
          <w:bCs/>
        </w:rPr>
        <w:t xml:space="preserve">s Mastantuono </w:t>
      </w:r>
      <w:r w:rsidRPr="003321EC">
        <w:t xml:space="preserve">gives the floor to the rapporteur </w:t>
      </w:r>
      <w:r w:rsidRPr="003321EC">
        <w:rPr>
          <w:b/>
          <w:bCs/>
        </w:rPr>
        <w:t xml:space="preserve">Mr </w:t>
      </w:r>
      <w:r w:rsidRPr="00F82A85" w:rsidR="00395758">
        <w:rPr>
          <w:b/>
          <w:bCs/>
        </w:rPr>
        <w:t>Kattnig</w:t>
      </w:r>
      <w:r w:rsidRPr="003321EC">
        <w:t>, who introduces the opinion</w:t>
      </w:r>
      <w:r w:rsidRPr="006D4FFA" w:rsidR="006D4FFA">
        <w:t>.</w:t>
      </w:r>
    </w:p>
    <w:p w:rsidR="00F56241" w:rsidP="00585CF6" w:rsidRDefault="00F56241" w14:paraId="323EF0A1" w14:textId="5223BCBD">
      <w:pPr>
        <w:pStyle w:val="ListParagraph"/>
        <w:ind w:left="0"/>
      </w:pPr>
    </w:p>
    <w:p w:rsidR="00B52578" w:rsidP="00604EC1" w:rsidRDefault="00F82A85" w14:paraId="777864AB" w14:textId="77189844">
      <w:pPr>
        <w:spacing w:line="300" w:lineRule="atLeast"/>
        <w:rPr>
          <w:rFonts w:ascii="Segoe UI" w:hAnsi="Segoe UI" w:cs="Segoe UI"/>
          <w:sz w:val="21"/>
          <w:szCs w:val="21"/>
          <w:lang w:eastAsia="en-GB"/>
        </w:rPr>
      </w:pPr>
      <w:r w:rsidRPr="00F82A85">
        <w:rPr>
          <w:b/>
          <w:bCs/>
        </w:rPr>
        <w:t>Mr Kattnig</w:t>
      </w:r>
      <w:r w:rsidRPr="00F82A85">
        <w:t xml:space="preserve"> </w:t>
      </w:r>
      <w:r w:rsidRPr="00F82A85" w:rsidR="00B52578">
        <w:t>highlight</w:t>
      </w:r>
      <w:r w:rsidR="00B52578">
        <w:t>s</w:t>
      </w:r>
      <w:r w:rsidRPr="00F82A85" w:rsidR="00B52578">
        <w:t xml:space="preserve"> </w:t>
      </w:r>
      <w:r w:rsidRPr="00F82A85">
        <w:t>that</w:t>
      </w:r>
      <w:r w:rsidR="006733ED">
        <w:t xml:space="preserve"> </w:t>
      </w:r>
      <w:r w:rsidRPr="00604EC1" w:rsidR="00B52578">
        <w:t xml:space="preserve">the energy transition will be determined as much </w:t>
      </w:r>
      <w:r w:rsidR="00724BFB">
        <w:t>by electricity</w:t>
      </w:r>
      <w:r w:rsidRPr="00604EC1" w:rsidR="00724BFB">
        <w:t xml:space="preserve"> </w:t>
      </w:r>
      <w:r w:rsidRPr="00604EC1" w:rsidR="00B52578">
        <w:t xml:space="preserve">grids as </w:t>
      </w:r>
      <w:r w:rsidR="00724BFB">
        <w:t>by</w:t>
      </w:r>
      <w:r w:rsidRPr="00604EC1" w:rsidR="00724BFB">
        <w:t xml:space="preserve"> </w:t>
      </w:r>
      <w:r w:rsidRPr="00604EC1" w:rsidR="00B52578">
        <w:t xml:space="preserve">power plants, noting that parts of Europe still rely on ageing and inefficient networks, which makes the Grids Package fundamental. He stresses that while the package is welcome, network expansion must not become an end in itself, but </w:t>
      </w:r>
      <w:r w:rsidR="00724BFB">
        <w:t>should</w:t>
      </w:r>
      <w:r w:rsidRPr="00604EC1" w:rsidR="00724BFB">
        <w:t xml:space="preserve"> </w:t>
      </w:r>
      <w:r w:rsidRPr="00604EC1" w:rsidR="00B52578">
        <w:t xml:space="preserve">serve the objective of ensuring a secure energy supply and a system </w:t>
      </w:r>
      <w:r w:rsidR="00724BFB">
        <w:t>cap</w:t>
      </w:r>
      <w:r w:rsidRPr="00604EC1" w:rsidR="00B52578">
        <w:t xml:space="preserve">able </w:t>
      </w:r>
      <w:r w:rsidR="00724BFB">
        <w:t>of</w:t>
      </w:r>
      <w:r w:rsidRPr="00604EC1" w:rsidR="00724BFB">
        <w:t xml:space="preserve"> integrat</w:t>
      </w:r>
      <w:r w:rsidR="00724BFB">
        <w:t>ing</w:t>
      </w:r>
      <w:r w:rsidRPr="00604EC1" w:rsidR="00724BFB">
        <w:t xml:space="preserve"> </w:t>
      </w:r>
      <w:r w:rsidRPr="00604EC1" w:rsidR="00B52578">
        <w:t>growing shares of renewables. He points out that expansion is extremely costly and therefore must be strategic, efficient and geared towards affordable investments, underlining the need to optimise the existing network and manage demand intelligently. He further stresses the importance of flexibility, including adequate storage, to relieve pressure on consumers, and warns that rising grid and network costs call for cost</w:t>
      </w:r>
      <w:r w:rsidRPr="00604EC1" w:rsidR="00B52578">
        <w:noBreakHyphen/>
        <w:t>reflective development. He highlights the need to fully harness the potential of decentralisation, such as energy communities, storage and self</w:t>
      </w:r>
      <w:r w:rsidRPr="00604EC1" w:rsidR="00B52578">
        <w:noBreakHyphen/>
        <w:t>consumption, and underscores the key coordinating role of European and national bodies. Finally, he points out that</w:t>
      </w:r>
      <w:r w:rsidR="00B52578">
        <w:t xml:space="preserve"> </w:t>
      </w:r>
      <w:r w:rsidRPr="00604EC1" w:rsidR="00B52578">
        <w:t>authorities must be equipped with sufficient personnel and digital processes to ensure</w:t>
      </w:r>
      <w:r w:rsidR="00B52578">
        <w:t xml:space="preserve"> smooth approval procedures and</w:t>
      </w:r>
      <w:r w:rsidRPr="00604EC1" w:rsidR="00B52578">
        <w:t xml:space="preserve"> effective implementation.</w:t>
      </w:r>
    </w:p>
    <w:p w:rsidR="008E40B6" w:rsidP="008E40B6" w:rsidRDefault="008E40B6" w14:paraId="45C7308D" w14:textId="77777777">
      <w:pPr>
        <w:pStyle w:val="ListParagraph"/>
        <w:ind w:left="0"/>
      </w:pPr>
    </w:p>
    <w:p w:rsidRPr="008E40B6" w:rsidR="008E40B6" w:rsidP="008E40B6" w:rsidRDefault="008E40B6" w14:paraId="6F9F18BA" w14:textId="15124873">
      <w:pPr>
        <w:pStyle w:val="ListParagraph"/>
        <w:ind w:left="0"/>
      </w:pPr>
      <w:r w:rsidRPr="008E40B6">
        <w:rPr>
          <w:b/>
          <w:bCs/>
          <w:lang w:val="en-US"/>
        </w:rPr>
        <w:t>M</w:t>
      </w:r>
      <w:r w:rsidR="005A249E">
        <w:rPr>
          <w:b/>
          <w:bCs/>
          <w:lang w:val="en-US"/>
        </w:rPr>
        <w:t>s</w:t>
      </w:r>
      <w:r w:rsidRPr="008E40B6">
        <w:rPr>
          <w:b/>
          <w:bCs/>
          <w:lang w:val="en-US"/>
        </w:rPr>
        <w:t xml:space="preserve"> </w:t>
      </w:r>
      <w:r w:rsidR="005A249E">
        <w:rPr>
          <w:b/>
          <w:bCs/>
          <w:lang w:val="en-US"/>
        </w:rPr>
        <w:t>Mastantuono</w:t>
      </w:r>
      <w:r w:rsidRPr="008E40B6">
        <w:rPr>
          <w:lang w:val="en-US"/>
        </w:rPr>
        <w:t xml:space="preserve"> </w:t>
      </w:r>
      <w:r w:rsidRPr="008E40B6">
        <w:t xml:space="preserve">then opens the debate. </w:t>
      </w:r>
      <w:r w:rsidRPr="00604EC1" w:rsidR="00CB7BA6">
        <w:rPr>
          <w:b/>
          <w:bCs/>
        </w:rPr>
        <w:t>Mr. Tracevičius</w:t>
      </w:r>
      <w:r w:rsidR="00CB7BA6">
        <w:t xml:space="preserve"> (LT-III), </w:t>
      </w:r>
      <w:r w:rsidRPr="00604EC1" w:rsidR="00CB7BA6">
        <w:rPr>
          <w:b/>
          <w:bCs/>
        </w:rPr>
        <w:t>Mr Tiainen</w:t>
      </w:r>
      <w:r w:rsidRPr="00CB7BA6" w:rsidR="00CB7BA6">
        <w:t xml:space="preserve"> (FI‑III), </w:t>
      </w:r>
      <w:r w:rsidRPr="00604EC1" w:rsidR="00CB7BA6">
        <w:rPr>
          <w:b/>
          <w:bCs/>
        </w:rPr>
        <w:t>Mr Hidesten</w:t>
      </w:r>
      <w:r w:rsidRPr="00CB7BA6" w:rsidR="00CB7BA6">
        <w:t xml:space="preserve"> (SE‑I), </w:t>
      </w:r>
      <w:r w:rsidRPr="00604EC1" w:rsidR="00CB7BA6">
        <w:rPr>
          <w:b/>
          <w:bCs/>
        </w:rPr>
        <w:t xml:space="preserve">Mr Säkkinen </w:t>
      </w:r>
      <w:r w:rsidRPr="00F77648" w:rsidR="00CB7BA6">
        <w:t>(FI‑I),</w:t>
      </w:r>
      <w:r w:rsidRPr="00CB7BA6" w:rsidR="00CB7BA6">
        <w:t xml:space="preserve"> </w:t>
      </w:r>
      <w:r w:rsidRPr="00604EC1" w:rsidR="00CB7BA6">
        <w:rPr>
          <w:b/>
          <w:bCs/>
        </w:rPr>
        <w:t>Mr Pintér</w:t>
      </w:r>
      <w:r w:rsidRPr="00CB7BA6" w:rsidR="00CB7BA6">
        <w:t xml:space="preserve"> (SK‑I), </w:t>
      </w:r>
      <w:r w:rsidRPr="00604EC1" w:rsidR="00CB7BA6">
        <w:rPr>
          <w:b/>
          <w:bCs/>
        </w:rPr>
        <w:t>Mr Béguinet</w:t>
      </w:r>
      <w:r w:rsidRPr="00CB7BA6" w:rsidR="00CB7BA6">
        <w:t xml:space="preserve"> (FR‑II)</w:t>
      </w:r>
      <w:r w:rsidR="00CB7BA6">
        <w:t xml:space="preserve"> and </w:t>
      </w:r>
      <w:r w:rsidRPr="00604EC1" w:rsidR="00CB7BA6">
        <w:rPr>
          <w:b/>
          <w:bCs/>
        </w:rPr>
        <w:t>Mr Schaffenrath</w:t>
      </w:r>
      <w:r w:rsidRPr="00CB7BA6" w:rsidR="00CB7BA6">
        <w:t xml:space="preserve"> (AT‑III)</w:t>
      </w:r>
      <w:r w:rsidR="00CB7BA6">
        <w:t xml:space="preserve"> </w:t>
      </w:r>
      <w:r w:rsidRPr="008E40B6">
        <w:t>speak on the following issues:</w:t>
      </w:r>
    </w:p>
    <w:p w:rsidR="00B52578" w:rsidP="00604EC1" w:rsidRDefault="00B52578" w14:paraId="2F82EE2B" w14:textId="77777777">
      <w:pPr>
        <w:pStyle w:val="ListParagraph"/>
        <w:numPr>
          <w:ilvl w:val="0"/>
          <w:numId w:val="8"/>
        </w:numPr>
      </w:pPr>
      <w:r>
        <w:t>Energy democracy, including the possibility for citizens to become prosumers and the importance of energy communities in supporting local economies and growth.</w:t>
      </w:r>
    </w:p>
    <w:p w:rsidR="00B52578" w:rsidP="00604EC1" w:rsidRDefault="00B52578" w14:paraId="4CF7A669" w14:textId="752792B7">
      <w:pPr>
        <w:pStyle w:val="ListParagraph"/>
        <w:numPr>
          <w:ilvl w:val="0"/>
          <w:numId w:val="8"/>
        </w:numPr>
      </w:pPr>
      <w:r>
        <w:t xml:space="preserve">Citizen participation, </w:t>
      </w:r>
      <w:r w:rsidR="00724BFB">
        <w:t xml:space="preserve">social </w:t>
      </w:r>
      <w:r>
        <w:t>acceptance and fair compensation for communities involved in large-scale energy projects.</w:t>
      </w:r>
    </w:p>
    <w:p w:rsidR="00B52578" w:rsidP="00604EC1" w:rsidRDefault="00B52578" w14:paraId="53B7F7BA" w14:textId="05965C19">
      <w:pPr>
        <w:pStyle w:val="ListParagraph"/>
        <w:numPr>
          <w:ilvl w:val="0"/>
          <w:numId w:val="8"/>
        </w:numPr>
      </w:pPr>
      <w:r>
        <w:t xml:space="preserve">The position that no exceptions should be proposed regarding the Stability </w:t>
      </w:r>
      <w:r w:rsidR="00724BFB">
        <w:t xml:space="preserve">and Growth </w:t>
      </w:r>
      <w:r>
        <w:t>Pact (p. 1.18 of the opinion).</w:t>
      </w:r>
    </w:p>
    <w:p w:rsidR="00B52578" w:rsidP="00604EC1" w:rsidRDefault="00B52578" w14:paraId="5B0707DB" w14:textId="31E309B4">
      <w:pPr>
        <w:pStyle w:val="ListParagraph"/>
        <w:numPr>
          <w:ilvl w:val="0"/>
          <w:numId w:val="8"/>
        </w:numPr>
      </w:pPr>
      <w:r>
        <w:t xml:space="preserve">Ensuring that network charges primarily strengthen DSOs and TSOs within each Member State, </w:t>
      </w:r>
      <w:r w:rsidR="00724BFB">
        <w:t xml:space="preserve">while </w:t>
      </w:r>
      <w:r>
        <w:t>warning against transferring revenues to the EU level</w:t>
      </w:r>
      <w:r w:rsidR="001F1C88">
        <w:t>,</w:t>
      </w:r>
      <w:r>
        <w:t xml:space="preserve"> as this could undermine investment.</w:t>
      </w:r>
    </w:p>
    <w:p w:rsidR="00B52578" w:rsidP="00604EC1" w:rsidRDefault="00B52578" w14:paraId="37C551E6" w14:textId="17D6F31F">
      <w:pPr>
        <w:pStyle w:val="ListParagraph"/>
        <w:numPr>
          <w:ilvl w:val="0"/>
          <w:numId w:val="8"/>
        </w:numPr>
      </w:pPr>
      <w:r>
        <w:t>Balancing grid expansion with flexibility needs</w:t>
      </w:r>
      <w:r w:rsidR="001F1C88">
        <w:t>,</w:t>
      </w:r>
      <w:r>
        <w:t xml:space="preserve"> while preserving the Union’s industrial objectives.</w:t>
      </w:r>
    </w:p>
    <w:p w:rsidRPr="008E40B6" w:rsidR="00757919" w:rsidP="00595C33" w:rsidRDefault="001F1C88" w14:paraId="49A4E018" w14:textId="34939691">
      <w:pPr>
        <w:pStyle w:val="ListParagraph"/>
        <w:numPr>
          <w:ilvl w:val="0"/>
          <w:numId w:val="7"/>
        </w:numPr>
      </w:pPr>
      <w:r>
        <w:t xml:space="preserve">Emphasising the </w:t>
      </w:r>
      <w:r w:rsidR="00B52578">
        <w:t xml:space="preserve">importance of affordable energy for Europe’s prosperity and sustainability, </w:t>
      </w:r>
      <w:r>
        <w:t xml:space="preserve">through the optimisation of </w:t>
      </w:r>
      <w:r w:rsidR="00B52578">
        <w:t xml:space="preserve">existing networks and </w:t>
      </w:r>
      <w:r>
        <w:t xml:space="preserve">a </w:t>
      </w:r>
      <w:r w:rsidR="00B52578">
        <w:t xml:space="preserve">fair </w:t>
      </w:r>
      <w:r>
        <w:t xml:space="preserve">distribution of </w:t>
      </w:r>
      <w:r w:rsidR="00B52578">
        <w:t>cost.</w:t>
      </w:r>
      <w:r w:rsidRPr="00841CF1" w:rsidDel="00B52578" w:rsidR="00B52578">
        <w:t xml:space="preserve"> </w:t>
      </w:r>
    </w:p>
    <w:p w:rsidR="008E40B6" w:rsidP="00585CF6" w:rsidRDefault="008E40B6" w14:paraId="205D1086" w14:textId="77777777">
      <w:pPr>
        <w:pStyle w:val="ListParagraph"/>
        <w:ind w:left="0"/>
      </w:pPr>
    </w:p>
    <w:p w:rsidR="005041EB" w:rsidP="005041EB" w:rsidRDefault="00AE468A" w14:paraId="631AAAED" w14:textId="1C595B70">
      <w:pPr>
        <w:rPr>
          <w:szCs w:val="18"/>
        </w:rPr>
      </w:pPr>
      <w:r w:rsidRPr="00CD65CD">
        <w:rPr>
          <w:szCs w:val="18"/>
        </w:rPr>
        <w:t>Following the debate, the Assembly examines the amendments to the Section opinion.</w:t>
      </w:r>
    </w:p>
    <w:p w:rsidR="006733ED" w:rsidP="005041EB" w:rsidRDefault="006733ED" w14:paraId="1006B943" w14:textId="77777777">
      <w:pPr>
        <w:rPr>
          <w:szCs w:val="18"/>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605855" w:rsidR="00E01ECC" w:rsidTr="005F6271" w14:paraId="769DB19A" w14:textId="77777777">
        <w:tc>
          <w:tcPr>
            <w:tcW w:w="2826" w:type="pct"/>
          </w:tcPr>
          <w:p w:rsidRPr="00605855" w:rsidR="00E01ECC" w:rsidP="005F6271" w:rsidRDefault="00E01ECC" w14:paraId="57E5F8CC" w14:textId="3D2D032F">
            <w:pPr>
              <w:rPr>
                <w:b/>
                <w:bCs/>
                <w:sz w:val="32"/>
                <w:szCs w:val="32"/>
              </w:rPr>
            </w:pPr>
            <w:r w:rsidRPr="00605855">
              <w:rPr>
                <w:b/>
                <w:bCs/>
                <w:sz w:val="32"/>
                <w:szCs w:val="32"/>
              </w:rPr>
              <w:t>AMENDMENT 1</w:t>
            </w:r>
            <w:r>
              <w:rPr>
                <w:b/>
                <w:bCs/>
                <w:sz w:val="32"/>
                <w:szCs w:val="32"/>
              </w:rPr>
              <w:t xml:space="preserve"> </w:t>
            </w:r>
          </w:p>
          <w:p w:rsidRPr="00605855" w:rsidR="00E01ECC" w:rsidP="005F6271" w:rsidRDefault="00E01ECC" w14:paraId="2C868347" w14:textId="77777777">
            <w:pPr>
              <w:rPr>
                <w:b/>
                <w:bCs/>
              </w:rPr>
            </w:pPr>
          </w:p>
          <w:p w:rsidRPr="00605855" w:rsidR="00E01ECC" w:rsidP="005F6271" w:rsidRDefault="00E01ECC" w14:paraId="3F66F41D" w14:textId="77777777">
            <w:pPr>
              <w:rPr>
                <w:b/>
                <w:bCs/>
              </w:rPr>
            </w:pPr>
            <w:r w:rsidRPr="00605855">
              <w:rPr>
                <w:b/>
                <w:bCs/>
              </w:rPr>
              <w:t>TEN/863</w:t>
            </w:r>
          </w:p>
          <w:p w:rsidRPr="00605855" w:rsidR="00E01ECC" w:rsidP="005F6271" w:rsidRDefault="00E01ECC" w14:paraId="6BAFD4A6" w14:textId="77777777">
            <w:pPr>
              <w:rPr>
                <w:b/>
                <w:bCs/>
              </w:rPr>
            </w:pPr>
            <w:r w:rsidRPr="00605855">
              <w:rPr>
                <w:b/>
                <w:bCs/>
              </w:rPr>
              <w:t>European Grids Package</w:t>
            </w:r>
          </w:p>
          <w:p w:rsidRPr="00605855" w:rsidR="00E01ECC" w:rsidP="005F6271" w:rsidRDefault="00E01ECC" w14:paraId="537DD585" w14:textId="77777777">
            <w:pPr>
              <w:rPr>
                <w:b/>
                <w:bCs/>
              </w:rPr>
            </w:pPr>
          </w:p>
          <w:p w:rsidRPr="00605855" w:rsidR="00E01ECC" w:rsidP="005F6271" w:rsidRDefault="00E01ECC" w14:paraId="1D753AD7" w14:textId="77777777">
            <w:pPr>
              <w:rPr>
                <w:b/>
                <w:bCs/>
              </w:rPr>
            </w:pPr>
            <w:r w:rsidRPr="00605855">
              <w:rPr>
                <w:b/>
                <w:bCs/>
              </w:rPr>
              <w:t>Point 1.4</w:t>
            </w:r>
          </w:p>
          <w:p w:rsidRPr="00605855" w:rsidR="00E01ECC" w:rsidP="005F6271" w:rsidRDefault="00E01ECC" w14:paraId="355F16AF" w14:textId="77777777">
            <w:pPr>
              <w:rPr>
                <w:b/>
                <w:bCs/>
              </w:rPr>
            </w:pPr>
          </w:p>
          <w:p w:rsidRPr="00605855" w:rsidR="00E01ECC" w:rsidP="005F6271" w:rsidRDefault="00E01ECC" w14:paraId="1BF6037B" w14:textId="77777777">
            <w:pPr>
              <w:rPr>
                <w:b/>
                <w:bCs/>
              </w:rPr>
            </w:pPr>
            <w:r w:rsidRPr="00605855">
              <w:rPr>
                <w:b/>
                <w:bCs/>
              </w:rPr>
              <w:t>Amend as follows:</w:t>
            </w:r>
          </w:p>
        </w:tc>
        <w:tc>
          <w:tcPr>
            <w:tcW w:w="2174" w:type="pct"/>
            <w:hideMark/>
          </w:tcPr>
          <w:p w:rsidRPr="00605855" w:rsidR="00E01ECC" w:rsidP="005F6271" w:rsidRDefault="00E01ECC" w14:paraId="47F0393C" w14:textId="77777777">
            <w:pPr>
              <w:jc w:val="left"/>
              <w:rPr>
                <w:b/>
                <w:bCs/>
              </w:rPr>
            </w:pPr>
            <w:r w:rsidRPr="00605855">
              <w:rPr>
                <w:b/>
                <w:bCs/>
              </w:rPr>
              <w:t>Tabled by:</w:t>
            </w:r>
          </w:p>
          <w:p w:rsidRPr="00605855" w:rsidR="00E01ECC" w:rsidP="005F6271" w:rsidRDefault="00E01ECC" w14:paraId="65D08B6F" w14:textId="77777777">
            <w:pPr>
              <w:jc w:val="left"/>
            </w:pPr>
            <w:r w:rsidRPr="00605855">
              <w:t>PINTÉR Michal</w:t>
            </w:r>
          </w:p>
          <w:p w:rsidRPr="00605855" w:rsidR="00E01ECC" w:rsidP="005F6271" w:rsidRDefault="00E01ECC" w14:paraId="0C821CF6" w14:textId="77777777"/>
        </w:tc>
      </w:tr>
    </w:tbl>
    <w:p w:rsidRPr="00605855" w:rsidR="00E01ECC" w:rsidP="00E01ECC" w:rsidRDefault="00E01ECC" w14:paraId="1AB34F8B"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605855" w:rsidR="00E01ECC" w:rsidTr="005F6271" w14:paraId="52D831D7"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E01ECC" w:rsidP="005F6271" w:rsidRDefault="00E01ECC" w14:paraId="6BFF3EDE" w14:textId="77777777">
            <w:pPr>
              <w:jc w:val="center"/>
              <w:rPr>
                <w:b/>
                <w:bCs/>
                <w:i/>
              </w:rPr>
            </w:pPr>
            <w:r w:rsidRPr="00605855">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605855" w:rsidR="00E01ECC" w:rsidP="005F6271" w:rsidRDefault="00E01ECC" w14:paraId="3A1BAD68" w14:textId="77777777">
            <w:pPr>
              <w:jc w:val="center"/>
              <w:rPr>
                <w:b/>
                <w:bCs/>
                <w:i/>
              </w:rPr>
            </w:pPr>
            <w:r w:rsidRPr="00605855">
              <w:rPr>
                <w:b/>
                <w:bCs/>
                <w:i/>
              </w:rPr>
              <w:t>Amendment</w:t>
            </w:r>
          </w:p>
        </w:tc>
      </w:tr>
      <w:tr w:rsidRPr="00605855" w:rsidR="00E01ECC" w:rsidTr="005F6271" w14:paraId="5190A110"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E01ECC" w:rsidP="005F6271" w:rsidRDefault="00E01ECC" w14:paraId="4AFCF4C0" w14:textId="77777777">
            <w:pPr>
              <w:spacing w:before="80" w:after="80"/>
              <w:ind w:left="80" w:right="80"/>
            </w:pPr>
            <w:r w:rsidRPr="00605855">
              <w:t xml:space="preserve">stresses that increased flexibility in grid use </w:t>
            </w:r>
            <w:r w:rsidRPr="00605855">
              <w:rPr>
                <w:b/>
                <w:bCs/>
                <w:i/>
              </w:rPr>
              <w:t>entails</w:t>
            </w:r>
            <w:r w:rsidRPr="00605855">
              <w:t xml:space="preserve"> enhanced protection for vulnerable consumers with limited flexibility potential. This protection should be extended to energy-intensive industrial actors with limited flexibility potential;</w:t>
            </w:r>
          </w:p>
        </w:tc>
        <w:tc>
          <w:tcPr>
            <w:tcW w:w="2500" w:type="pct"/>
            <w:tcBorders>
              <w:top w:val="single" w:color="auto" w:sz="4" w:space="0"/>
              <w:left w:val="single" w:color="auto" w:sz="4" w:space="0"/>
              <w:bottom w:val="single" w:color="auto" w:sz="4" w:space="0"/>
              <w:right w:val="single" w:color="auto" w:sz="4" w:space="0"/>
            </w:tcBorders>
            <w:hideMark/>
          </w:tcPr>
          <w:p w:rsidRPr="00605855" w:rsidR="00E01ECC" w:rsidP="005F6271" w:rsidRDefault="00E01ECC" w14:paraId="654635F3" w14:textId="77777777">
            <w:pPr>
              <w:spacing w:before="80" w:after="80"/>
              <w:ind w:left="80" w:right="80"/>
            </w:pPr>
            <w:r w:rsidRPr="00605855">
              <w:t xml:space="preserve">stresses that increased flexibility in grid use </w:t>
            </w:r>
            <w:r w:rsidRPr="00605855">
              <w:rPr>
                <w:b/>
                <w:bCs/>
                <w:i/>
              </w:rPr>
              <w:t>must come with</w:t>
            </w:r>
            <w:r w:rsidRPr="00605855">
              <w:t xml:space="preserve"> enhanced protection for vulnerable </w:t>
            </w:r>
            <w:r w:rsidRPr="00605855">
              <w:rPr>
                <w:b/>
                <w:bCs/>
                <w:i/>
              </w:rPr>
              <w:t>groups and</w:t>
            </w:r>
            <w:r w:rsidRPr="00605855">
              <w:t xml:space="preserve"> consumers with limited flexibility potential. This protection should be extended to </w:t>
            </w:r>
            <w:r w:rsidRPr="00605855">
              <w:rPr>
                <w:b/>
                <w:bCs/>
                <w:i/>
              </w:rPr>
              <w:t>include</w:t>
            </w:r>
            <w:r w:rsidRPr="00605855">
              <w:t xml:space="preserve"> energy-intensive industrial actors with limited flexibility potential </w:t>
            </w:r>
            <w:r w:rsidRPr="00605855">
              <w:rPr>
                <w:b/>
                <w:bCs/>
                <w:i/>
              </w:rPr>
              <w:t>and industrial actors whose production processes require a continuous, stable electricity supply for operational integrity and safety</w:t>
            </w:r>
            <w:r w:rsidRPr="00605855">
              <w:t>;</w:t>
            </w:r>
          </w:p>
        </w:tc>
      </w:tr>
    </w:tbl>
    <w:p w:rsidRPr="00605855" w:rsidR="00E01ECC" w:rsidP="00E01ECC" w:rsidRDefault="00E01ECC" w14:paraId="347FD155" w14:textId="77777777">
      <w:pPr>
        <w:jc w:val="center"/>
      </w:pPr>
    </w:p>
    <w:tbl>
      <w:tblPr>
        <w:tblStyle w:val="TableGrid"/>
        <w:tblW w:w="5000" w:type="pct"/>
        <w:tblLook w:val="01E0" w:firstRow="1" w:lastRow="1" w:firstColumn="1" w:lastColumn="1" w:noHBand="0" w:noVBand="0"/>
      </w:tblPr>
      <w:tblGrid>
        <w:gridCol w:w="9063"/>
      </w:tblGrid>
      <w:tr w:rsidRPr="00605855" w:rsidR="00E01ECC" w:rsidTr="005F6271" w14:paraId="43EA20D1" w14:textId="77777777">
        <w:tc>
          <w:tcPr>
            <w:tcW w:w="5000" w:type="pct"/>
          </w:tcPr>
          <w:p w:rsidRPr="00605855" w:rsidR="00E01ECC" w:rsidP="005F6271" w:rsidRDefault="00E01ECC" w14:paraId="268E80A6" w14:textId="77777777">
            <w:pPr>
              <w:jc w:val="center"/>
            </w:pPr>
            <w:r w:rsidRPr="00605855">
              <w:rPr>
                <w:b/>
                <w:bCs/>
              </w:rPr>
              <w:t>Reason</w:t>
            </w:r>
          </w:p>
        </w:tc>
      </w:tr>
      <w:tr w:rsidRPr="00605855" w:rsidR="00E01ECC" w:rsidTr="005F6271" w14:paraId="174CB5E2" w14:textId="77777777">
        <w:tc>
          <w:tcPr>
            <w:tcW w:w="5000" w:type="pct"/>
            <w:hideMark/>
          </w:tcPr>
          <w:p w:rsidRPr="00605855" w:rsidR="00E01ECC" w:rsidP="005F6271" w:rsidRDefault="00E01ECC" w14:paraId="07F9DAD4" w14:textId="77777777">
            <w:r w:rsidRPr="00605855">
              <w:t xml:space="preserve">The concern for ‘vulnerable groups and consumers with limited flexibility’ should explicitly include EU energy-intensive industries as economically vulnerable actors, dependent on 24/7/365 stable supply of EE for operations and safety. These industries also already face existential threats from energy costs as inputs. Protection measures must extend beyond household consumers to industrial producers/actors whose closure would devastate entire EU regions and increase regional unemployment and poverty levels. </w:t>
            </w:r>
          </w:p>
        </w:tc>
      </w:tr>
    </w:tbl>
    <w:p w:rsidR="00E01ECC" w:rsidP="00E01ECC" w:rsidRDefault="00E01ECC" w14:paraId="02C0F0F6" w14:textId="77777777">
      <w:pPr>
        <w:rPr>
          <w:b/>
          <w:bCs/>
        </w:rPr>
      </w:pPr>
    </w:p>
    <w:p w:rsidR="00E01ECC" w:rsidP="00E01ECC" w:rsidRDefault="00E01ECC" w14:paraId="5244CE59" w14:textId="5B02F5F0">
      <w:r w:rsidRPr="00395758">
        <w:t>is accepted by the Assembly.</w:t>
      </w:r>
    </w:p>
    <w:p w:rsidR="005A249E" w:rsidP="00E01ECC" w:rsidRDefault="005A249E" w14:paraId="66759A7F"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605855" w:rsidR="005A249E" w:rsidTr="000B427F" w14:paraId="4F520D63" w14:textId="77777777">
        <w:tc>
          <w:tcPr>
            <w:tcW w:w="2826" w:type="pct"/>
          </w:tcPr>
          <w:p w:rsidRPr="00605855" w:rsidR="005A249E" w:rsidP="000B427F" w:rsidRDefault="005A249E" w14:paraId="50AC43C4" w14:textId="77777777">
            <w:pPr>
              <w:rPr>
                <w:b/>
                <w:bCs/>
                <w:sz w:val="32"/>
                <w:szCs w:val="32"/>
              </w:rPr>
            </w:pPr>
            <w:r w:rsidRPr="00605855">
              <w:rPr>
                <w:b/>
                <w:bCs/>
                <w:sz w:val="32"/>
                <w:szCs w:val="32"/>
              </w:rPr>
              <w:t>AMENDMENT 2</w:t>
            </w:r>
            <w:r>
              <w:rPr>
                <w:b/>
                <w:bCs/>
                <w:sz w:val="32"/>
                <w:szCs w:val="32"/>
              </w:rPr>
              <w:t xml:space="preserve"> </w:t>
            </w:r>
          </w:p>
          <w:p w:rsidRPr="00605855" w:rsidR="005A249E" w:rsidP="000B427F" w:rsidRDefault="005A249E" w14:paraId="7BB08F5D" w14:textId="77777777">
            <w:pPr>
              <w:rPr>
                <w:b/>
                <w:bCs/>
              </w:rPr>
            </w:pPr>
          </w:p>
          <w:p w:rsidRPr="00605855" w:rsidR="005A249E" w:rsidP="000B427F" w:rsidRDefault="005A249E" w14:paraId="3F78E8D5" w14:textId="77777777">
            <w:pPr>
              <w:rPr>
                <w:b/>
                <w:bCs/>
              </w:rPr>
            </w:pPr>
            <w:r w:rsidRPr="00605855">
              <w:rPr>
                <w:b/>
                <w:bCs/>
              </w:rPr>
              <w:t>TEN/863</w:t>
            </w:r>
          </w:p>
          <w:p w:rsidRPr="00605855" w:rsidR="005A249E" w:rsidP="000B427F" w:rsidRDefault="005A249E" w14:paraId="1C890B92" w14:textId="77777777">
            <w:pPr>
              <w:rPr>
                <w:b/>
                <w:bCs/>
              </w:rPr>
            </w:pPr>
            <w:r w:rsidRPr="00605855">
              <w:rPr>
                <w:b/>
                <w:bCs/>
              </w:rPr>
              <w:t>European Grids Package</w:t>
            </w:r>
          </w:p>
          <w:p w:rsidRPr="00605855" w:rsidR="005A249E" w:rsidP="000B427F" w:rsidRDefault="005A249E" w14:paraId="508DB1DC" w14:textId="77777777">
            <w:pPr>
              <w:rPr>
                <w:b/>
                <w:bCs/>
              </w:rPr>
            </w:pPr>
          </w:p>
          <w:p w:rsidRPr="00605855" w:rsidR="005A249E" w:rsidP="000B427F" w:rsidRDefault="005A249E" w14:paraId="66ED2C3F" w14:textId="77777777">
            <w:pPr>
              <w:rPr>
                <w:b/>
                <w:bCs/>
              </w:rPr>
            </w:pPr>
            <w:r w:rsidRPr="00605855">
              <w:rPr>
                <w:b/>
                <w:bCs/>
              </w:rPr>
              <w:t>Point 2.4</w:t>
            </w:r>
          </w:p>
          <w:p w:rsidRPr="00605855" w:rsidR="005A249E" w:rsidP="000B427F" w:rsidRDefault="005A249E" w14:paraId="33C7593C" w14:textId="77777777">
            <w:pPr>
              <w:rPr>
                <w:b/>
                <w:bCs/>
              </w:rPr>
            </w:pPr>
          </w:p>
          <w:p w:rsidRPr="00605855" w:rsidR="005A249E" w:rsidP="000B427F" w:rsidRDefault="005A249E" w14:paraId="01B71F4E" w14:textId="77777777">
            <w:pPr>
              <w:rPr>
                <w:b/>
                <w:bCs/>
              </w:rPr>
            </w:pPr>
            <w:r w:rsidRPr="00605855">
              <w:rPr>
                <w:b/>
                <w:bCs/>
              </w:rPr>
              <w:t>Amend as follows:</w:t>
            </w:r>
          </w:p>
        </w:tc>
        <w:tc>
          <w:tcPr>
            <w:tcW w:w="2174" w:type="pct"/>
            <w:hideMark/>
          </w:tcPr>
          <w:p w:rsidRPr="00605855" w:rsidR="005A249E" w:rsidP="000B427F" w:rsidRDefault="005A249E" w14:paraId="693891E8" w14:textId="77777777">
            <w:pPr>
              <w:jc w:val="left"/>
              <w:rPr>
                <w:b/>
                <w:bCs/>
              </w:rPr>
            </w:pPr>
            <w:r w:rsidRPr="00605855">
              <w:rPr>
                <w:b/>
                <w:bCs/>
              </w:rPr>
              <w:t>Tabled by:</w:t>
            </w:r>
          </w:p>
          <w:p w:rsidRPr="00605855" w:rsidR="005A249E" w:rsidP="000B427F" w:rsidRDefault="005A249E" w14:paraId="3A424F52" w14:textId="77777777">
            <w:pPr>
              <w:jc w:val="left"/>
            </w:pPr>
            <w:r w:rsidRPr="00605855">
              <w:t>PINTÉR Michal</w:t>
            </w:r>
          </w:p>
          <w:p w:rsidRPr="00605855" w:rsidR="005A249E" w:rsidP="000B427F" w:rsidRDefault="005A249E" w14:paraId="1CE9C5B2" w14:textId="77777777"/>
        </w:tc>
      </w:tr>
    </w:tbl>
    <w:p w:rsidRPr="00605855" w:rsidR="005A249E" w:rsidP="005A249E" w:rsidRDefault="005A249E" w14:paraId="19D872FF"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605855" w:rsidR="005A249E" w:rsidTr="000B427F" w14:paraId="339CD333"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1FC066EC" w14:textId="77777777">
            <w:pPr>
              <w:jc w:val="center"/>
              <w:rPr>
                <w:b/>
                <w:bCs/>
                <w:i/>
              </w:rPr>
            </w:pPr>
            <w:r w:rsidRPr="00605855">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33392DBF" w14:textId="77777777">
            <w:pPr>
              <w:jc w:val="center"/>
              <w:rPr>
                <w:b/>
                <w:bCs/>
                <w:i/>
              </w:rPr>
            </w:pPr>
            <w:r w:rsidRPr="00605855">
              <w:rPr>
                <w:b/>
                <w:bCs/>
                <w:i/>
              </w:rPr>
              <w:t>Amendment</w:t>
            </w:r>
          </w:p>
        </w:tc>
      </w:tr>
      <w:tr w:rsidRPr="00605855" w:rsidR="005A249E" w:rsidTr="000B427F" w14:paraId="0528B95F"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225F2B10" w14:textId="77777777">
            <w:pPr>
              <w:spacing w:before="80" w:after="80"/>
              <w:ind w:left="80" w:right="80"/>
            </w:pPr>
            <w:r w:rsidRPr="00605855">
              <w:t xml:space="preserve">Energy-intensive industries and industrial consumers contribute to system flexibility through load management, demand response or ancillary services. However, many industrial processes require a stable electricity supply to ensure operational continuity and safety. Their flexibility is structurally limited, while exposure to supply gaps and price volatility driven by fluctuating renewable generation often forces industrial users to procure electricity at marginal prices. Flexibility obligations for industrial consumers must therefore be supported by fair </w:t>
            </w:r>
            <w:r w:rsidRPr="00605855">
              <w:rPr>
                <w:b/>
                <w:bCs/>
                <w:i/>
              </w:rPr>
              <w:t>incentive</w:t>
            </w:r>
            <w:r w:rsidRPr="00605855">
              <w:t xml:space="preserve"> mechanisms and any further tariff adjustments must be balanced to avoid shifting grid expansion costs heavily onto industrial consumers or other network users</w:t>
            </w:r>
            <w:r w:rsidRPr="00605855">
              <w:rPr>
                <w:b/>
                <w:bCs/>
                <w:i/>
              </w:rPr>
              <w:t>.</w:t>
            </w:r>
          </w:p>
        </w:tc>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3803CEFE" w14:textId="77777777">
            <w:pPr>
              <w:spacing w:before="80" w:after="80"/>
              <w:ind w:left="80" w:right="80"/>
            </w:pPr>
            <w:r w:rsidRPr="00605855">
              <w:t xml:space="preserve">Energy-intensive industries and industrial consumers contribute to system flexibility through load management, demand response or ancillary services. However, many industrial processes require a stable electricity supply to ensure operational continuity and safety. Their flexibility is structurally limited, while exposure to supply gaps and price volatility driven by fluctuating renewable generation often forces industrial users to procure electricity at marginal prices. Flexibility obligations for industrial consumers must therefore be supported by fair </w:t>
            </w:r>
            <w:r w:rsidRPr="00605855">
              <w:rPr>
                <w:b/>
                <w:bCs/>
                <w:i/>
              </w:rPr>
              <w:t>compensation</w:t>
            </w:r>
            <w:r w:rsidRPr="00605855">
              <w:t xml:space="preserve"> mechanisms and any further tariff adjustments must be balanced to avoid shifting grid expansion costs heavily onto industrial consumers or other network users</w:t>
            </w:r>
          </w:p>
        </w:tc>
      </w:tr>
    </w:tbl>
    <w:p w:rsidRPr="00605855" w:rsidR="005A249E" w:rsidP="005A249E" w:rsidRDefault="005A249E" w14:paraId="065C35DA" w14:textId="77777777">
      <w:pPr>
        <w:jc w:val="center"/>
      </w:pPr>
    </w:p>
    <w:tbl>
      <w:tblPr>
        <w:tblStyle w:val="TableGrid"/>
        <w:tblW w:w="5000" w:type="pct"/>
        <w:tblLook w:val="01E0" w:firstRow="1" w:lastRow="1" w:firstColumn="1" w:lastColumn="1" w:noHBand="0" w:noVBand="0"/>
      </w:tblPr>
      <w:tblGrid>
        <w:gridCol w:w="9063"/>
      </w:tblGrid>
      <w:tr w:rsidRPr="00605855" w:rsidR="005A249E" w:rsidTr="000B427F" w14:paraId="512271EB" w14:textId="77777777">
        <w:tc>
          <w:tcPr>
            <w:tcW w:w="5000" w:type="pct"/>
          </w:tcPr>
          <w:p w:rsidRPr="00605855" w:rsidR="005A249E" w:rsidP="000B427F" w:rsidRDefault="005A249E" w14:paraId="1A8A927C" w14:textId="77777777">
            <w:pPr>
              <w:jc w:val="center"/>
            </w:pPr>
            <w:r w:rsidRPr="00605855">
              <w:rPr>
                <w:b/>
                <w:bCs/>
              </w:rPr>
              <w:t>Reason</w:t>
            </w:r>
          </w:p>
        </w:tc>
      </w:tr>
      <w:tr w:rsidRPr="00605855" w:rsidR="005A249E" w:rsidTr="000B427F" w14:paraId="0DED9647" w14:textId="77777777">
        <w:tc>
          <w:tcPr>
            <w:tcW w:w="5000" w:type="pct"/>
            <w:hideMark/>
          </w:tcPr>
          <w:p w:rsidRPr="00605855" w:rsidR="005A249E" w:rsidP="000B427F" w:rsidRDefault="005A249E" w14:paraId="31791A2A" w14:textId="77777777">
            <w:r w:rsidRPr="00605855">
              <w:t xml:space="preserve">While the need for grid expansion and flexibility is correctly acknowledged in the document, network tariffs already represent a significant portion of EE costs for industrial users and energy-intensive industries and are expected to further rise. These EIIs therefore can no longer bear additional/new grid-related costs - in addition to bearing already higher commodity prices and total EE prices 2-3x higher than their competitors in 3rd countries. The call for cost-reflective tariffs and prudent grid expansion cost division and/or compensatory mechanisms must apply to industrial/EII consumers who are already shouldering significant network and flexibility costs. Any increase in tariffs must be balanced to avoid shifting most costs onto industrial consumers with limited flexibility and requirements for continuous baseload power for operations. </w:t>
            </w:r>
          </w:p>
        </w:tc>
      </w:tr>
    </w:tbl>
    <w:p w:rsidR="005A249E" w:rsidP="005A249E" w:rsidRDefault="005A249E" w14:paraId="6EAACD2D" w14:textId="77777777">
      <w:pPr>
        <w:rPr>
          <w:b/>
          <w:bCs/>
        </w:rPr>
      </w:pPr>
    </w:p>
    <w:p w:rsidR="005A249E" w:rsidP="005A249E" w:rsidRDefault="005A249E" w14:paraId="298E17B5" w14:textId="77777777">
      <w:pPr>
        <w:rPr>
          <w:b/>
          <w:bCs/>
        </w:rPr>
      </w:pPr>
      <w:r w:rsidRPr="00395758">
        <w:t>is accepted by the Assembly.</w:t>
      </w:r>
    </w:p>
    <w:p w:rsidR="005A249E" w:rsidP="005A249E" w:rsidRDefault="005A249E" w14:paraId="4B304502"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605855" w:rsidR="005A249E" w:rsidTr="000B427F" w14:paraId="4052C886" w14:textId="77777777">
        <w:tc>
          <w:tcPr>
            <w:tcW w:w="2826" w:type="pct"/>
          </w:tcPr>
          <w:p w:rsidRPr="00605855" w:rsidR="005A249E" w:rsidP="000B427F" w:rsidRDefault="005A249E" w14:paraId="15D437CB" w14:textId="77777777">
            <w:pPr>
              <w:rPr>
                <w:b/>
                <w:bCs/>
                <w:sz w:val="32"/>
                <w:szCs w:val="32"/>
              </w:rPr>
            </w:pPr>
            <w:r w:rsidRPr="00605855">
              <w:rPr>
                <w:b/>
                <w:bCs/>
                <w:sz w:val="32"/>
                <w:szCs w:val="32"/>
              </w:rPr>
              <w:t>AMENDMENT 3</w:t>
            </w:r>
            <w:r>
              <w:rPr>
                <w:b/>
                <w:bCs/>
                <w:sz w:val="32"/>
                <w:szCs w:val="32"/>
              </w:rPr>
              <w:t xml:space="preserve"> </w:t>
            </w:r>
          </w:p>
          <w:p w:rsidRPr="00605855" w:rsidR="005A249E" w:rsidP="000B427F" w:rsidRDefault="005A249E" w14:paraId="096D26F7" w14:textId="77777777">
            <w:pPr>
              <w:rPr>
                <w:b/>
                <w:bCs/>
              </w:rPr>
            </w:pPr>
          </w:p>
          <w:p w:rsidRPr="00605855" w:rsidR="005A249E" w:rsidP="000B427F" w:rsidRDefault="005A249E" w14:paraId="3B7C7865" w14:textId="77777777">
            <w:pPr>
              <w:rPr>
                <w:b/>
                <w:bCs/>
              </w:rPr>
            </w:pPr>
            <w:r w:rsidRPr="00605855">
              <w:rPr>
                <w:b/>
                <w:bCs/>
              </w:rPr>
              <w:t>TEN/863</w:t>
            </w:r>
          </w:p>
          <w:p w:rsidRPr="00605855" w:rsidR="005A249E" w:rsidP="000B427F" w:rsidRDefault="005A249E" w14:paraId="31238A0B" w14:textId="77777777">
            <w:pPr>
              <w:rPr>
                <w:b/>
                <w:bCs/>
              </w:rPr>
            </w:pPr>
            <w:r w:rsidRPr="00605855">
              <w:rPr>
                <w:b/>
                <w:bCs/>
              </w:rPr>
              <w:t>European Grids Package</w:t>
            </w:r>
          </w:p>
          <w:p w:rsidRPr="00605855" w:rsidR="005A249E" w:rsidP="000B427F" w:rsidRDefault="005A249E" w14:paraId="3B73892F" w14:textId="77777777">
            <w:pPr>
              <w:rPr>
                <w:b/>
                <w:bCs/>
              </w:rPr>
            </w:pPr>
          </w:p>
          <w:p w:rsidRPr="00605855" w:rsidR="005A249E" w:rsidP="000B427F" w:rsidRDefault="005A249E" w14:paraId="5A62AAF6" w14:textId="77777777">
            <w:pPr>
              <w:rPr>
                <w:b/>
                <w:bCs/>
              </w:rPr>
            </w:pPr>
            <w:r w:rsidRPr="00605855">
              <w:rPr>
                <w:b/>
                <w:bCs/>
              </w:rPr>
              <w:t>New point 2.11</w:t>
            </w:r>
          </w:p>
          <w:p w:rsidRPr="00605855" w:rsidR="005A249E" w:rsidP="000B427F" w:rsidRDefault="005A249E" w14:paraId="164585DF" w14:textId="77777777">
            <w:pPr>
              <w:rPr>
                <w:b/>
                <w:bCs/>
              </w:rPr>
            </w:pPr>
          </w:p>
          <w:p w:rsidRPr="00605855" w:rsidR="005A249E" w:rsidP="000B427F" w:rsidRDefault="005A249E" w14:paraId="042D8213" w14:textId="77777777">
            <w:pPr>
              <w:rPr>
                <w:b/>
                <w:bCs/>
              </w:rPr>
            </w:pPr>
            <w:r w:rsidRPr="00605855">
              <w:rPr>
                <w:b/>
                <w:bCs/>
              </w:rPr>
              <w:t>Add a new point after current 2.10</w:t>
            </w:r>
          </w:p>
          <w:p w:rsidRPr="00605855" w:rsidR="005A249E" w:rsidP="000B427F" w:rsidRDefault="005A249E" w14:paraId="60E3C002" w14:textId="77777777">
            <w:r w:rsidRPr="00605855">
              <w:rPr>
                <w:b/>
                <w:bCs/>
              </w:rPr>
              <w:t>Position: After existing point - Same level</w:t>
            </w:r>
          </w:p>
        </w:tc>
        <w:tc>
          <w:tcPr>
            <w:tcW w:w="2174" w:type="pct"/>
            <w:hideMark/>
          </w:tcPr>
          <w:p w:rsidRPr="00605855" w:rsidR="005A249E" w:rsidP="000B427F" w:rsidRDefault="005A249E" w14:paraId="1C49F3E8" w14:textId="77777777">
            <w:pPr>
              <w:jc w:val="left"/>
              <w:rPr>
                <w:b/>
                <w:bCs/>
              </w:rPr>
            </w:pPr>
            <w:r w:rsidRPr="00605855">
              <w:rPr>
                <w:b/>
                <w:bCs/>
              </w:rPr>
              <w:t>Tabled by:</w:t>
            </w:r>
          </w:p>
          <w:p w:rsidRPr="00605855" w:rsidR="005A249E" w:rsidP="000B427F" w:rsidRDefault="005A249E" w14:paraId="5C1EC354" w14:textId="77777777">
            <w:pPr>
              <w:jc w:val="left"/>
            </w:pPr>
            <w:r w:rsidRPr="00605855">
              <w:t>PINTÉR Michal</w:t>
            </w:r>
          </w:p>
          <w:p w:rsidRPr="00605855" w:rsidR="005A249E" w:rsidP="000B427F" w:rsidRDefault="005A249E" w14:paraId="23384243" w14:textId="77777777"/>
        </w:tc>
      </w:tr>
    </w:tbl>
    <w:p w:rsidRPr="00605855" w:rsidR="005A249E" w:rsidP="005A249E" w:rsidRDefault="005A249E" w14:paraId="42E3A1C2"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605855" w:rsidR="005A249E" w:rsidTr="000B427F" w14:paraId="2C8D129D"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31C16A97" w14:textId="77777777">
            <w:pPr>
              <w:jc w:val="center"/>
              <w:rPr>
                <w:b/>
                <w:bCs/>
                <w:i/>
              </w:rPr>
            </w:pPr>
            <w:r w:rsidRPr="00605855">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6422F7E6" w14:textId="77777777">
            <w:pPr>
              <w:jc w:val="center"/>
              <w:rPr>
                <w:b/>
                <w:bCs/>
                <w:i/>
              </w:rPr>
            </w:pPr>
            <w:r w:rsidRPr="00605855">
              <w:rPr>
                <w:b/>
                <w:bCs/>
                <w:i/>
              </w:rPr>
              <w:t>Amendment</w:t>
            </w:r>
          </w:p>
        </w:tc>
      </w:tr>
      <w:tr w:rsidRPr="00605855" w:rsidR="005A249E" w:rsidTr="000B427F" w14:paraId="6B9A6266"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3B0FE5A1" w14:textId="77777777"/>
        </w:tc>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6BE92E19" w14:textId="77777777">
            <w:pPr>
              <w:spacing w:before="80" w:after="80"/>
              <w:ind w:left="80" w:right="80"/>
              <w:rPr>
                <w:b/>
                <w:bCs/>
                <w:i/>
              </w:rPr>
            </w:pPr>
            <w:r w:rsidRPr="00605855">
              <w:rPr>
                <w:b/>
                <w:bCs/>
                <w:i/>
              </w:rPr>
              <w:t>Moreover, EU grid planning and coordination must take into account the specific requirements of energy-intensive industries. As they progressively electrify their production processes to decarbonise, their electricity demand will increase substantially, with requirements that differ fundamentally from general consumer demand.</w:t>
            </w:r>
          </w:p>
        </w:tc>
      </w:tr>
    </w:tbl>
    <w:p w:rsidRPr="00605855" w:rsidR="005A249E" w:rsidP="005A249E" w:rsidRDefault="005A249E" w14:paraId="1CBDE3DC" w14:textId="77777777">
      <w:pPr>
        <w:jc w:val="center"/>
      </w:pPr>
    </w:p>
    <w:tbl>
      <w:tblPr>
        <w:tblStyle w:val="TableGrid"/>
        <w:tblW w:w="5000" w:type="pct"/>
        <w:tblLook w:val="01E0" w:firstRow="1" w:lastRow="1" w:firstColumn="1" w:lastColumn="1" w:noHBand="0" w:noVBand="0"/>
      </w:tblPr>
      <w:tblGrid>
        <w:gridCol w:w="9063"/>
      </w:tblGrid>
      <w:tr w:rsidRPr="00605855" w:rsidR="005A249E" w:rsidTr="000B427F" w14:paraId="6227E4B0" w14:textId="77777777">
        <w:tc>
          <w:tcPr>
            <w:tcW w:w="5000" w:type="pct"/>
          </w:tcPr>
          <w:p w:rsidRPr="00605855" w:rsidR="005A249E" w:rsidP="000B427F" w:rsidRDefault="005A249E" w14:paraId="3BDB2BB0" w14:textId="77777777">
            <w:pPr>
              <w:jc w:val="center"/>
            </w:pPr>
            <w:r w:rsidRPr="00605855">
              <w:rPr>
                <w:b/>
                <w:bCs/>
              </w:rPr>
              <w:t>Reason</w:t>
            </w:r>
          </w:p>
        </w:tc>
      </w:tr>
      <w:tr w:rsidRPr="00605855" w:rsidR="005A249E" w:rsidTr="000B427F" w14:paraId="6F5D70BC" w14:textId="77777777">
        <w:tc>
          <w:tcPr>
            <w:tcW w:w="5000" w:type="pct"/>
            <w:hideMark/>
          </w:tcPr>
          <w:p w:rsidRPr="00605855" w:rsidR="005A249E" w:rsidP="000B427F" w:rsidRDefault="005A249E" w14:paraId="2F7D2767" w14:textId="77777777">
            <w:r w:rsidRPr="00605855">
              <w:t xml:space="preserve">The decarbonisation of EU industries (chemicals, cement, steel, etc.) requires either massive renewable capacity or other reliable EE sources such as nuclear. The text seems to forget that EIIs specifically require industrial-scale, dedicated EE generation capacity with guaranteed 24/7/365 availability - even more so after their decarbonisation is completed and their reliance on EE for industrial production rises dramatically. Grid planning must therefore also consider future direct connections between large-scale generation projects/EE sources and industrial clusters, with dedicated transmission/grid capacity that doesn’t compete with general consumer demand or triggers congestion charges. </w:t>
            </w:r>
          </w:p>
        </w:tc>
      </w:tr>
    </w:tbl>
    <w:p w:rsidR="005A249E" w:rsidP="005A249E" w:rsidRDefault="005A249E" w14:paraId="6EBABFB9" w14:textId="77777777">
      <w:pPr>
        <w:rPr>
          <w:b/>
          <w:bCs/>
        </w:rPr>
      </w:pPr>
    </w:p>
    <w:p w:rsidR="005A249E" w:rsidP="005A249E" w:rsidRDefault="005A249E" w14:paraId="0D5A1DE9" w14:textId="77777777">
      <w:pPr>
        <w:rPr>
          <w:b/>
          <w:bCs/>
        </w:rPr>
      </w:pPr>
      <w:r w:rsidRPr="00395758">
        <w:t>is accepted by the Assembly.</w:t>
      </w:r>
    </w:p>
    <w:p w:rsidR="005A249E" w:rsidP="005A249E" w:rsidRDefault="005A249E" w14:paraId="553A374E"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605855" w:rsidR="005A249E" w:rsidTr="000B427F" w14:paraId="7967172B" w14:textId="77777777">
        <w:tc>
          <w:tcPr>
            <w:tcW w:w="2826" w:type="pct"/>
          </w:tcPr>
          <w:p w:rsidRPr="00605855" w:rsidR="005A249E" w:rsidP="000B427F" w:rsidRDefault="005A249E" w14:paraId="35688600" w14:textId="77777777">
            <w:pPr>
              <w:rPr>
                <w:b/>
                <w:bCs/>
                <w:sz w:val="32"/>
                <w:szCs w:val="32"/>
              </w:rPr>
            </w:pPr>
            <w:r w:rsidRPr="00605855">
              <w:rPr>
                <w:b/>
                <w:bCs/>
                <w:sz w:val="32"/>
                <w:szCs w:val="32"/>
              </w:rPr>
              <w:t>AMENDMENT 4</w:t>
            </w:r>
            <w:r>
              <w:rPr>
                <w:b/>
                <w:bCs/>
                <w:sz w:val="32"/>
                <w:szCs w:val="32"/>
              </w:rPr>
              <w:t xml:space="preserve"> </w:t>
            </w:r>
          </w:p>
          <w:p w:rsidRPr="00605855" w:rsidR="005A249E" w:rsidP="000B427F" w:rsidRDefault="005A249E" w14:paraId="05E97F9A" w14:textId="77777777">
            <w:pPr>
              <w:rPr>
                <w:b/>
                <w:bCs/>
              </w:rPr>
            </w:pPr>
          </w:p>
          <w:p w:rsidRPr="00605855" w:rsidR="005A249E" w:rsidP="000B427F" w:rsidRDefault="005A249E" w14:paraId="69D0E300" w14:textId="77777777">
            <w:pPr>
              <w:rPr>
                <w:b/>
                <w:bCs/>
              </w:rPr>
            </w:pPr>
            <w:r w:rsidRPr="00605855">
              <w:rPr>
                <w:b/>
                <w:bCs/>
              </w:rPr>
              <w:t>TEN/863</w:t>
            </w:r>
          </w:p>
          <w:p w:rsidRPr="00605855" w:rsidR="005A249E" w:rsidP="000B427F" w:rsidRDefault="005A249E" w14:paraId="0DA16FB6" w14:textId="77777777">
            <w:pPr>
              <w:rPr>
                <w:b/>
                <w:bCs/>
              </w:rPr>
            </w:pPr>
            <w:r w:rsidRPr="00605855">
              <w:rPr>
                <w:b/>
                <w:bCs/>
              </w:rPr>
              <w:t>European Grids Package</w:t>
            </w:r>
          </w:p>
          <w:p w:rsidRPr="00605855" w:rsidR="005A249E" w:rsidP="000B427F" w:rsidRDefault="005A249E" w14:paraId="05476480" w14:textId="77777777">
            <w:pPr>
              <w:rPr>
                <w:b/>
                <w:bCs/>
              </w:rPr>
            </w:pPr>
          </w:p>
          <w:p w:rsidRPr="00605855" w:rsidR="005A249E" w:rsidP="000B427F" w:rsidRDefault="005A249E" w14:paraId="1EE72BA3" w14:textId="77777777">
            <w:pPr>
              <w:rPr>
                <w:b/>
                <w:bCs/>
              </w:rPr>
            </w:pPr>
            <w:r w:rsidRPr="00605855">
              <w:rPr>
                <w:b/>
                <w:bCs/>
              </w:rPr>
              <w:t>Point 2.13</w:t>
            </w:r>
          </w:p>
          <w:p w:rsidRPr="00605855" w:rsidR="005A249E" w:rsidP="000B427F" w:rsidRDefault="005A249E" w14:paraId="2581DB57" w14:textId="77777777">
            <w:pPr>
              <w:rPr>
                <w:b/>
                <w:bCs/>
              </w:rPr>
            </w:pPr>
          </w:p>
          <w:p w:rsidRPr="00605855" w:rsidR="005A249E" w:rsidP="000B427F" w:rsidRDefault="005A249E" w14:paraId="01C86B41" w14:textId="77777777">
            <w:pPr>
              <w:rPr>
                <w:b/>
                <w:bCs/>
              </w:rPr>
            </w:pPr>
            <w:r w:rsidRPr="00605855">
              <w:rPr>
                <w:b/>
                <w:bCs/>
              </w:rPr>
              <w:t>Amend as follows:</w:t>
            </w:r>
          </w:p>
        </w:tc>
        <w:tc>
          <w:tcPr>
            <w:tcW w:w="2174" w:type="pct"/>
            <w:hideMark/>
          </w:tcPr>
          <w:p w:rsidRPr="00605855" w:rsidR="005A249E" w:rsidP="000B427F" w:rsidRDefault="005A249E" w14:paraId="00C75D81" w14:textId="77777777">
            <w:pPr>
              <w:jc w:val="left"/>
              <w:rPr>
                <w:b/>
                <w:bCs/>
              </w:rPr>
            </w:pPr>
            <w:r w:rsidRPr="00605855">
              <w:rPr>
                <w:b/>
                <w:bCs/>
              </w:rPr>
              <w:t>Tabled by:</w:t>
            </w:r>
          </w:p>
          <w:p w:rsidRPr="00605855" w:rsidR="005A249E" w:rsidP="000B427F" w:rsidRDefault="005A249E" w14:paraId="7B5ADCE1" w14:textId="77777777">
            <w:pPr>
              <w:jc w:val="left"/>
            </w:pPr>
            <w:r w:rsidRPr="00605855">
              <w:t>PINTÉR Michal</w:t>
            </w:r>
          </w:p>
          <w:p w:rsidRPr="00605855" w:rsidR="005A249E" w:rsidP="000B427F" w:rsidRDefault="005A249E" w14:paraId="67D88B5B" w14:textId="77777777"/>
        </w:tc>
      </w:tr>
    </w:tbl>
    <w:p w:rsidRPr="00605855" w:rsidR="005A249E" w:rsidP="005A249E" w:rsidRDefault="005A249E" w14:paraId="02F0C928"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605855" w:rsidR="005A249E" w:rsidTr="000B427F" w14:paraId="75C0A491"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6A61B2CF" w14:textId="77777777">
            <w:pPr>
              <w:jc w:val="center"/>
              <w:rPr>
                <w:b/>
                <w:bCs/>
                <w:i/>
              </w:rPr>
            </w:pPr>
            <w:r w:rsidRPr="00605855">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4115A0A5" w14:textId="77777777">
            <w:pPr>
              <w:jc w:val="center"/>
              <w:rPr>
                <w:b/>
                <w:bCs/>
                <w:i/>
              </w:rPr>
            </w:pPr>
            <w:r w:rsidRPr="00605855">
              <w:rPr>
                <w:b/>
                <w:bCs/>
                <w:i/>
              </w:rPr>
              <w:t>Amendment</w:t>
            </w:r>
          </w:p>
        </w:tc>
      </w:tr>
      <w:tr w:rsidRPr="00605855" w:rsidR="005A249E" w:rsidTr="000B427F" w14:paraId="1FBC454B"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7A764B94" w14:textId="77777777">
            <w:pPr>
              <w:spacing w:before="80" w:after="80"/>
              <w:ind w:left="80" w:right="80"/>
            </w:pPr>
            <w:r w:rsidRPr="00605855">
              <w:t>Affordable network tariffs are crucial for the public acceptance of grid expansion and the energy transition, as well as for EU economic development. The financing of grid expansion should therefore always be considered from the perspective of affordability.</w:t>
            </w:r>
          </w:p>
        </w:tc>
        <w:tc>
          <w:tcPr>
            <w:tcW w:w="2500" w:type="pct"/>
            <w:tcBorders>
              <w:top w:val="single" w:color="auto" w:sz="4" w:space="0"/>
              <w:left w:val="single" w:color="auto" w:sz="4" w:space="0"/>
              <w:bottom w:val="single" w:color="auto" w:sz="4" w:space="0"/>
              <w:right w:val="single" w:color="auto" w:sz="4" w:space="0"/>
            </w:tcBorders>
            <w:hideMark/>
          </w:tcPr>
          <w:p w:rsidRPr="00605855" w:rsidR="005A249E" w:rsidP="000B427F" w:rsidRDefault="005A249E" w14:paraId="273E652D" w14:textId="77777777">
            <w:pPr>
              <w:spacing w:before="80" w:after="80"/>
              <w:ind w:left="80" w:right="80"/>
            </w:pPr>
            <w:r w:rsidRPr="00605855">
              <w:t xml:space="preserve">Affordable network tariffs are crucial for the public acceptance of grid expansion and the energy transition, as well as for EU economic development </w:t>
            </w:r>
            <w:r w:rsidRPr="00605855">
              <w:rPr>
                <w:b/>
                <w:bCs/>
                <w:i/>
              </w:rPr>
              <w:t>and its industrial competitiveness</w:t>
            </w:r>
            <w:r w:rsidRPr="00605855">
              <w:t xml:space="preserve">. The financing of grid expansion should therefore always be considered from the perspective of </w:t>
            </w:r>
            <w:r w:rsidRPr="00605855">
              <w:rPr>
                <w:b/>
                <w:bCs/>
                <w:i/>
              </w:rPr>
              <w:t>affordability. Energy</w:t>
            </w:r>
            <w:r w:rsidRPr="00605855">
              <w:t xml:space="preserve"> affordability </w:t>
            </w:r>
            <w:r w:rsidRPr="00605855">
              <w:rPr>
                <w:b/>
                <w:bCs/>
                <w:i/>
              </w:rPr>
              <w:t>remains especially crucial for energy-intensive industries, where electricity costs constitute a critical input and a key determinant of competitiveness. Grid expansion must not become a driver of electricity price increases that would accelerate deindustrialisation in the Union. The EESC therefore underlines the need for appropriate compensatory mechanisms during the transition and grid expansion phase, including targeted exemptions from State aid frameworks</w:t>
            </w:r>
            <w:r w:rsidRPr="00605855">
              <w:t>.</w:t>
            </w:r>
          </w:p>
        </w:tc>
      </w:tr>
    </w:tbl>
    <w:p w:rsidRPr="00605855" w:rsidR="005A249E" w:rsidP="005A249E" w:rsidRDefault="005A249E" w14:paraId="14BB0ED6" w14:textId="77777777">
      <w:pPr>
        <w:jc w:val="center"/>
      </w:pPr>
    </w:p>
    <w:tbl>
      <w:tblPr>
        <w:tblStyle w:val="TableGrid"/>
        <w:tblW w:w="5000" w:type="pct"/>
        <w:tblLook w:val="01E0" w:firstRow="1" w:lastRow="1" w:firstColumn="1" w:lastColumn="1" w:noHBand="0" w:noVBand="0"/>
      </w:tblPr>
      <w:tblGrid>
        <w:gridCol w:w="9063"/>
      </w:tblGrid>
      <w:tr w:rsidRPr="00605855" w:rsidR="005A249E" w:rsidTr="000B427F" w14:paraId="7517DEFE" w14:textId="77777777">
        <w:tc>
          <w:tcPr>
            <w:tcW w:w="5000" w:type="pct"/>
          </w:tcPr>
          <w:p w:rsidRPr="00605855" w:rsidR="005A249E" w:rsidP="000B427F" w:rsidRDefault="005A249E" w14:paraId="6734F13F" w14:textId="77777777">
            <w:pPr>
              <w:jc w:val="center"/>
            </w:pPr>
            <w:r w:rsidRPr="00605855">
              <w:rPr>
                <w:b/>
                <w:bCs/>
              </w:rPr>
              <w:t>Reason</w:t>
            </w:r>
          </w:p>
        </w:tc>
      </w:tr>
      <w:tr w:rsidRPr="00605855" w:rsidR="005A249E" w:rsidTr="000B427F" w14:paraId="3E455F62" w14:textId="77777777">
        <w:tc>
          <w:tcPr>
            <w:tcW w:w="5000" w:type="pct"/>
            <w:hideMark/>
          </w:tcPr>
          <w:p w:rsidRPr="00605855" w:rsidR="005A249E" w:rsidP="000B427F" w:rsidRDefault="005A249E" w14:paraId="2FD29FB3" w14:textId="77777777">
            <w:r w:rsidRPr="00605855">
              <w:t xml:space="preserve">The document does not explicitly mention the pressing need for affordability for EU energy-intensive industries. Grid expansion must not become the reason for further EE price increases that further endanger industrial competitiveness and cause deindustrialisation of the EU in favour of 3rd countries with lower EE costs. The EESC should call for compensatory mechanisms for energy-intensive industries during the transition and grid expansion period, including exemptions from certain network charges or targeted state aid frameworks. </w:t>
            </w:r>
          </w:p>
        </w:tc>
      </w:tr>
    </w:tbl>
    <w:p w:rsidR="005A249E" w:rsidP="005A249E" w:rsidRDefault="005A249E" w14:paraId="066905C7" w14:textId="77777777">
      <w:pPr>
        <w:rPr>
          <w:b/>
          <w:bCs/>
        </w:rPr>
      </w:pPr>
    </w:p>
    <w:p w:rsidR="005A249E" w:rsidP="005A249E" w:rsidRDefault="005A249E" w14:paraId="060F483D" w14:textId="77777777">
      <w:pPr>
        <w:rPr>
          <w:b/>
          <w:bCs/>
        </w:rPr>
      </w:pPr>
      <w:r w:rsidRPr="00395758">
        <w:t>is accepted by the Assembly.</w:t>
      </w:r>
    </w:p>
    <w:p w:rsidR="00E01ECC" w:rsidP="00E01ECC" w:rsidRDefault="00E01ECC" w14:paraId="35E062E8"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605855" w:rsidR="00E01ECC" w:rsidTr="005F6271" w14:paraId="020A3290" w14:textId="77777777">
        <w:tc>
          <w:tcPr>
            <w:tcW w:w="2826" w:type="pct"/>
          </w:tcPr>
          <w:p w:rsidRPr="00A6098B" w:rsidR="00E01ECC" w:rsidP="005F6271" w:rsidRDefault="00E01ECC" w14:paraId="5EB64F2F" w14:textId="5C885032">
            <w:pPr>
              <w:rPr>
                <w:b/>
                <w:bCs/>
                <w:sz w:val="32"/>
                <w:szCs w:val="32"/>
              </w:rPr>
            </w:pPr>
            <w:r w:rsidRPr="00A6098B">
              <w:rPr>
                <w:b/>
                <w:bCs/>
                <w:sz w:val="32"/>
                <w:szCs w:val="32"/>
              </w:rPr>
              <w:t xml:space="preserve">AMENDMENT 5 </w:t>
            </w:r>
          </w:p>
          <w:p w:rsidRPr="00A6098B" w:rsidR="00E01ECC" w:rsidP="005F6271" w:rsidRDefault="00E01ECC" w14:paraId="13089EF6" w14:textId="77777777">
            <w:pPr>
              <w:rPr>
                <w:b/>
                <w:bCs/>
              </w:rPr>
            </w:pPr>
          </w:p>
          <w:p w:rsidRPr="00A6098B" w:rsidR="00E01ECC" w:rsidP="005F6271" w:rsidRDefault="00E01ECC" w14:paraId="4CC6F186" w14:textId="77777777">
            <w:pPr>
              <w:rPr>
                <w:b/>
                <w:bCs/>
              </w:rPr>
            </w:pPr>
            <w:r w:rsidRPr="00A6098B">
              <w:rPr>
                <w:b/>
                <w:bCs/>
              </w:rPr>
              <w:t>TEN/863</w:t>
            </w:r>
          </w:p>
          <w:p w:rsidRPr="00A6098B" w:rsidR="00E01ECC" w:rsidP="005F6271" w:rsidRDefault="00E01ECC" w14:paraId="072C7754" w14:textId="77777777">
            <w:pPr>
              <w:rPr>
                <w:b/>
                <w:bCs/>
              </w:rPr>
            </w:pPr>
            <w:r w:rsidRPr="00A6098B">
              <w:rPr>
                <w:b/>
                <w:bCs/>
              </w:rPr>
              <w:t>European Grids Package</w:t>
            </w:r>
          </w:p>
          <w:p w:rsidRPr="00A6098B" w:rsidR="00E01ECC" w:rsidP="005F6271" w:rsidRDefault="00E01ECC" w14:paraId="4FEA763B" w14:textId="77777777">
            <w:pPr>
              <w:rPr>
                <w:b/>
                <w:bCs/>
              </w:rPr>
            </w:pPr>
          </w:p>
          <w:p w:rsidRPr="00DE1B54" w:rsidR="00E01ECC" w:rsidP="005F6271" w:rsidRDefault="00E01ECC" w14:paraId="70C68F6B" w14:textId="77777777">
            <w:pPr>
              <w:rPr>
                <w:b/>
                <w:bCs/>
                <w:lang w:val="fr-FR"/>
              </w:rPr>
            </w:pPr>
            <w:r w:rsidRPr="00DE1B54">
              <w:rPr>
                <w:b/>
                <w:bCs/>
                <w:lang w:val="fr-FR"/>
              </w:rPr>
              <w:t>Point 1.18</w:t>
            </w:r>
          </w:p>
          <w:p w:rsidRPr="00DE1B54" w:rsidR="00E01ECC" w:rsidP="005F6271" w:rsidRDefault="00E01ECC" w14:paraId="0C7901D9" w14:textId="77777777">
            <w:pPr>
              <w:rPr>
                <w:b/>
                <w:bCs/>
                <w:lang w:val="fr-FR"/>
              </w:rPr>
            </w:pPr>
          </w:p>
          <w:p w:rsidRPr="00DE1B54" w:rsidR="00E01ECC" w:rsidP="005F6271" w:rsidRDefault="00E01ECC" w14:paraId="19488C9E" w14:textId="77777777">
            <w:pPr>
              <w:rPr>
                <w:b/>
                <w:bCs/>
                <w:lang w:val="fr-FR"/>
              </w:rPr>
            </w:pPr>
            <w:r w:rsidRPr="00DE1B54">
              <w:rPr>
                <w:b/>
                <w:bCs/>
                <w:lang w:val="fr-FR"/>
              </w:rPr>
              <w:t>Delete point.</w:t>
            </w:r>
          </w:p>
        </w:tc>
        <w:tc>
          <w:tcPr>
            <w:tcW w:w="2174" w:type="pct"/>
            <w:hideMark/>
          </w:tcPr>
          <w:p w:rsidRPr="00DE1B54" w:rsidR="00E01ECC" w:rsidP="005F6271" w:rsidRDefault="00E01ECC" w14:paraId="0F475860" w14:textId="77777777">
            <w:pPr>
              <w:jc w:val="left"/>
              <w:rPr>
                <w:b/>
                <w:bCs/>
                <w:lang w:val="pl-PL"/>
              </w:rPr>
            </w:pPr>
            <w:r w:rsidRPr="00DE1B54">
              <w:rPr>
                <w:b/>
                <w:bCs/>
                <w:lang w:val="pl-PL"/>
              </w:rPr>
              <w:t>Tabled by:</w:t>
            </w:r>
          </w:p>
          <w:p w:rsidRPr="00DE1B54" w:rsidR="00E01ECC" w:rsidP="005F6271" w:rsidRDefault="00E01ECC" w14:paraId="3F161F96" w14:textId="77777777">
            <w:pPr>
              <w:jc w:val="left"/>
              <w:rPr>
                <w:lang w:val="pl-PL"/>
              </w:rPr>
            </w:pPr>
            <w:r w:rsidRPr="00DE1B54">
              <w:rPr>
                <w:lang w:val="pl-PL"/>
              </w:rPr>
              <w:t>DĂRĂBAN Daniela-Raluca</w:t>
            </w:r>
          </w:p>
          <w:p w:rsidRPr="00DE1B54" w:rsidR="00E01ECC" w:rsidP="005F6271" w:rsidRDefault="00E01ECC" w14:paraId="4EC6869F" w14:textId="77777777">
            <w:pPr>
              <w:jc w:val="left"/>
              <w:rPr>
                <w:lang w:val="pl-PL"/>
              </w:rPr>
            </w:pPr>
            <w:r w:rsidRPr="00DE1B54">
              <w:rPr>
                <w:lang w:val="pl-PL"/>
              </w:rPr>
              <w:t>MASTANTUONO Alena</w:t>
            </w:r>
          </w:p>
          <w:p w:rsidRPr="00DE1B54" w:rsidR="00E01ECC" w:rsidP="005F6271" w:rsidRDefault="00E01ECC" w14:paraId="31276664" w14:textId="77777777">
            <w:pPr>
              <w:jc w:val="left"/>
              <w:rPr>
                <w:lang w:val="pl-PL"/>
              </w:rPr>
            </w:pPr>
            <w:r w:rsidRPr="00DE1B54">
              <w:rPr>
                <w:lang w:val="pl-PL"/>
              </w:rPr>
              <w:t>RZECZKOWSKA Magdalena</w:t>
            </w:r>
          </w:p>
          <w:p w:rsidRPr="00605855" w:rsidR="00E01ECC" w:rsidP="005F6271" w:rsidRDefault="00E01ECC" w14:paraId="4F8FE1FE" w14:textId="77777777">
            <w:pPr>
              <w:jc w:val="left"/>
            </w:pPr>
            <w:r w:rsidRPr="00605855">
              <w:t>SÄKKINEN Teppo</w:t>
            </w:r>
          </w:p>
          <w:p w:rsidRPr="00605855" w:rsidR="00E01ECC" w:rsidP="005F6271" w:rsidRDefault="00E01ECC" w14:paraId="5DDDBB0B" w14:textId="77777777">
            <w:pPr>
              <w:jc w:val="left"/>
            </w:pPr>
            <w:r w:rsidRPr="00605855">
              <w:t>SANZ MARTÍN Yolanda</w:t>
            </w:r>
          </w:p>
          <w:p w:rsidRPr="00605855" w:rsidR="00E01ECC" w:rsidP="005F6271" w:rsidRDefault="00E01ECC" w14:paraId="1E5D72CF" w14:textId="77777777"/>
        </w:tc>
      </w:tr>
    </w:tbl>
    <w:p w:rsidRPr="00605855" w:rsidR="00E01ECC" w:rsidP="00E01ECC" w:rsidRDefault="00E01ECC" w14:paraId="5C427D1A"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605855" w:rsidR="00E01ECC" w:rsidTr="005F6271" w14:paraId="43530B89"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E01ECC" w:rsidP="005F6271" w:rsidRDefault="00E01ECC" w14:paraId="7DC63086" w14:textId="77777777">
            <w:pPr>
              <w:jc w:val="center"/>
              <w:rPr>
                <w:b/>
                <w:bCs/>
                <w:i/>
              </w:rPr>
            </w:pPr>
            <w:r w:rsidRPr="00605855">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605855" w:rsidR="00E01ECC" w:rsidP="005F6271" w:rsidRDefault="00E01ECC" w14:paraId="374092F8" w14:textId="77777777">
            <w:pPr>
              <w:jc w:val="center"/>
              <w:rPr>
                <w:b/>
                <w:bCs/>
                <w:i/>
              </w:rPr>
            </w:pPr>
            <w:r w:rsidRPr="00605855">
              <w:rPr>
                <w:b/>
                <w:bCs/>
                <w:i/>
              </w:rPr>
              <w:t>Amendment</w:t>
            </w:r>
          </w:p>
        </w:tc>
      </w:tr>
      <w:tr w:rsidRPr="00605855" w:rsidR="00E01ECC" w:rsidTr="005F6271" w14:paraId="502232C7" w14:textId="77777777">
        <w:tc>
          <w:tcPr>
            <w:tcW w:w="2500" w:type="pct"/>
            <w:tcBorders>
              <w:top w:val="single" w:color="auto" w:sz="4" w:space="0"/>
              <w:left w:val="single" w:color="auto" w:sz="4" w:space="0"/>
              <w:bottom w:val="single" w:color="auto" w:sz="4" w:space="0"/>
              <w:right w:val="single" w:color="auto" w:sz="4" w:space="0"/>
            </w:tcBorders>
            <w:hideMark/>
          </w:tcPr>
          <w:p w:rsidRPr="00605855" w:rsidR="00E01ECC" w:rsidP="005F6271" w:rsidRDefault="00E01ECC" w14:paraId="63EE5FA2" w14:textId="77777777">
            <w:pPr>
              <w:spacing w:before="80" w:after="80"/>
              <w:ind w:left="80" w:right="80"/>
              <w:rPr>
                <w:b/>
                <w:bCs/>
                <w:i/>
              </w:rPr>
            </w:pPr>
            <w:r w:rsidRPr="00605855">
              <w:rPr>
                <w:b/>
                <w:bCs/>
                <w:i/>
              </w:rPr>
              <w:t>calls for public investments in electricity grids to be handled in accordance with the EESC’s position in opinion TEN/851. The Committee therefore stresses that grid expansion should be recognised as a security-related infrastructure measure and explicitly covered by the financing and support provisions of the SAFE Regulation (EU) 2025/1106, as a central component of Europe’s security, resilience and defence capabilities;</w:t>
            </w:r>
          </w:p>
        </w:tc>
        <w:tc>
          <w:tcPr>
            <w:tcW w:w="2500" w:type="pct"/>
            <w:tcBorders>
              <w:top w:val="single" w:color="auto" w:sz="4" w:space="0"/>
              <w:left w:val="single" w:color="auto" w:sz="4" w:space="0"/>
              <w:bottom w:val="single" w:color="auto" w:sz="4" w:space="0"/>
              <w:right w:val="single" w:color="auto" w:sz="4" w:space="0"/>
            </w:tcBorders>
            <w:hideMark/>
          </w:tcPr>
          <w:p w:rsidRPr="00605855" w:rsidR="00E01ECC" w:rsidP="005F6271" w:rsidRDefault="00E01ECC" w14:paraId="4AD7B406" w14:textId="77777777"/>
        </w:tc>
      </w:tr>
    </w:tbl>
    <w:p w:rsidRPr="00605855" w:rsidR="00E01ECC" w:rsidP="00E01ECC" w:rsidRDefault="00E01ECC" w14:paraId="4B02EC03" w14:textId="77777777">
      <w:pPr>
        <w:jc w:val="center"/>
      </w:pPr>
    </w:p>
    <w:tbl>
      <w:tblPr>
        <w:tblStyle w:val="TableGrid"/>
        <w:tblW w:w="5000" w:type="pct"/>
        <w:tblLook w:val="01E0" w:firstRow="1" w:lastRow="1" w:firstColumn="1" w:lastColumn="1" w:noHBand="0" w:noVBand="0"/>
      </w:tblPr>
      <w:tblGrid>
        <w:gridCol w:w="9063"/>
      </w:tblGrid>
      <w:tr w:rsidRPr="00605855" w:rsidR="00E01ECC" w:rsidTr="005F6271" w14:paraId="08D48FA5" w14:textId="77777777">
        <w:tc>
          <w:tcPr>
            <w:tcW w:w="5000" w:type="pct"/>
          </w:tcPr>
          <w:p w:rsidRPr="00605855" w:rsidR="00E01ECC" w:rsidP="005F6271" w:rsidRDefault="00E01ECC" w14:paraId="4A250243" w14:textId="77777777">
            <w:pPr>
              <w:jc w:val="center"/>
            </w:pPr>
            <w:r w:rsidRPr="00605855">
              <w:rPr>
                <w:b/>
                <w:bCs/>
              </w:rPr>
              <w:t>Reason</w:t>
            </w:r>
          </w:p>
        </w:tc>
      </w:tr>
      <w:tr w:rsidRPr="00605855" w:rsidR="00E01ECC" w:rsidTr="005F6271" w14:paraId="16827635" w14:textId="77777777">
        <w:tc>
          <w:tcPr>
            <w:tcW w:w="5000" w:type="pct"/>
            <w:hideMark/>
          </w:tcPr>
          <w:p w:rsidRPr="00605855" w:rsidR="00E01ECC" w:rsidP="005F6271" w:rsidRDefault="00E01ECC" w14:paraId="5D977578" w14:textId="77777777">
            <w:r w:rsidRPr="00605855">
              <w:t xml:space="preserve">The recommendation in essence calls for grid investments to be excluded from the debt rules of the Growth and Stability Pact. The EESC should not call for the exemption of individual policy areas on from the public debt rules without a comprehensive consideration of the impact on fiscal stability and public economies. Additionally, whereas grids are highly important for energy security and therefore broader security, the purpose of SAFE is focused on defence industrial capacity and defence technology. EESC opinion on SAFE - CCMI/243 did not call for the expansion of the scope of the SAFE beyond defence. </w:t>
            </w:r>
          </w:p>
        </w:tc>
      </w:tr>
    </w:tbl>
    <w:p w:rsidRPr="00605855" w:rsidR="00E01ECC" w:rsidP="00E01ECC" w:rsidRDefault="00E01ECC" w14:paraId="25FD7B2A" w14:textId="77777777"/>
    <w:p w:rsidRPr="00FF1D1E" w:rsidR="00E01ECC" w:rsidP="00E01ECC" w:rsidRDefault="00E01ECC" w14:paraId="7559372A" w14:textId="77777777">
      <w:pPr>
        <w:keepNext/>
        <w:suppressAutoHyphens/>
        <w:rPr>
          <w:b/>
        </w:rPr>
      </w:pPr>
      <w:r w:rsidRPr="00FF1D1E">
        <w:rPr>
          <w:b/>
        </w:rPr>
        <w:t>Outcome of the vote on the amendment:</w:t>
      </w:r>
    </w:p>
    <w:p w:rsidRPr="00FF1D1E" w:rsidR="00E01ECC" w:rsidP="00E01ECC" w:rsidRDefault="00E01ECC" w14:paraId="7AA64EB3" w14:textId="77777777">
      <w:pPr>
        <w:keepNext/>
        <w:suppressAutoHyphens/>
      </w:pPr>
    </w:p>
    <w:p w:rsidRPr="00FF1D1E" w:rsidR="00E01ECC" w:rsidP="00E01ECC" w:rsidRDefault="00E01ECC" w14:paraId="59262063" w14:textId="044CBFC9">
      <w:pPr>
        <w:keepNext/>
        <w:suppressAutoHyphens/>
      </w:pPr>
      <w:r w:rsidRPr="00FF1D1E">
        <w:t>Votes in favour:</w:t>
      </w:r>
      <w:r w:rsidRPr="00FF1D1E">
        <w:tab/>
      </w:r>
      <w:r w:rsidRPr="00FF1D1E">
        <w:tab/>
      </w:r>
      <w:r w:rsidR="0097354C">
        <w:t>94</w:t>
      </w:r>
      <w:r w:rsidRPr="00FF1D1E">
        <w:t xml:space="preserve"> </w:t>
      </w:r>
    </w:p>
    <w:p w:rsidRPr="00FF1D1E" w:rsidR="00E01ECC" w:rsidP="00E01ECC" w:rsidRDefault="00E01ECC" w14:paraId="26B55D71" w14:textId="0F66302E">
      <w:pPr>
        <w:suppressAutoHyphens/>
      </w:pPr>
      <w:r w:rsidRPr="00FF1D1E">
        <w:t>Votes against:</w:t>
      </w:r>
      <w:r w:rsidRPr="00FF1D1E">
        <w:tab/>
      </w:r>
      <w:r w:rsidRPr="00FF1D1E">
        <w:tab/>
      </w:r>
      <w:r w:rsidR="0097354C">
        <w:t>102</w:t>
      </w:r>
    </w:p>
    <w:p w:rsidRPr="00FF1D1E" w:rsidR="00E01ECC" w:rsidP="00E01ECC" w:rsidRDefault="00E01ECC" w14:paraId="16CE8BF9" w14:textId="5E5303FD">
      <w:pPr>
        <w:suppressAutoHyphens/>
      </w:pPr>
      <w:r w:rsidRPr="00FF1D1E">
        <w:t>Abstentions:</w:t>
      </w:r>
      <w:r w:rsidRPr="00FF1D1E">
        <w:tab/>
      </w:r>
      <w:r w:rsidRPr="00FF1D1E">
        <w:tab/>
      </w:r>
      <w:r w:rsidR="0097354C">
        <w:t>8</w:t>
      </w:r>
    </w:p>
    <w:p w:rsidR="00E01ECC" w:rsidP="00E01ECC" w:rsidRDefault="00E01ECC" w14:paraId="19BD117C"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605855" w:rsidR="00E01ECC" w:rsidTr="005F6271" w14:paraId="4CF16117" w14:textId="77777777">
        <w:tc>
          <w:tcPr>
            <w:tcW w:w="2826" w:type="pct"/>
          </w:tcPr>
          <w:p w:rsidRPr="00605855" w:rsidR="00E01ECC" w:rsidP="005F6271" w:rsidRDefault="00E01ECC" w14:paraId="022179BF" w14:textId="49650A4D">
            <w:pPr>
              <w:rPr>
                <w:b/>
                <w:bCs/>
                <w:sz w:val="32"/>
                <w:szCs w:val="32"/>
              </w:rPr>
            </w:pPr>
            <w:r w:rsidRPr="00605855">
              <w:rPr>
                <w:b/>
                <w:bCs/>
                <w:sz w:val="32"/>
                <w:szCs w:val="32"/>
              </w:rPr>
              <w:t>AMENDMENT 7</w:t>
            </w:r>
            <w:r>
              <w:rPr>
                <w:b/>
                <w:bCs/>
                <w:sz w:val="32"/>
                <w:szCs w:val="32"/>
              </w:rPr>
              <w:t xml:space="preserve"> </w:t>
            </w:r>
          </w:p>
          <w:p w:rsidRPr="00605855" w:rsidR="00E01ECC" w:rsidP="005F6271" w:rsidRDefault="00E01ECC" w14:paraId="59483CC6" w14:textId="77777777">
            <w:pPr>
              <w:rPr>
                <w:b/>
                <w:bCs/>
              </w:rPr>
            </w:pPr>
          </w:p>
          <w:p w:rsidRPr="00605855" w:rsidR="00E01ECC" w:rsidP="005F6271" w:rsidRDefault="00E01ECC" w14:paraId="43504E1A" w14:textId="77777777">
            <w:pPr>
              <w:rPr>
                <w:b/>
                <w:bCs/>
              </w:rPr>
            </w:pPr>
            <w:r w:rsidRPr="00605855">
              <w:rPr>
                <w:b/>
                <w:bCs/>
              </w:rPr>
              <w:t>TEN/863</w:t>
            </w:r>
          </w:p>
          <w:p w:rsidRPr="00605855" w:rsidR="00E01ECC" w:rsidP="005F6271" w:rsidRDefault="00E01ECC" w14:paraId="7AD10193" w14:textId="77777777">
            <w:pPr>
              <w:rPr>
                <w:b/>
                <w:bCs/>
              </w:rPr>
            </w:pPr>
            <w:r w:rsidRPr="00605855">
              <w:rPr>
                <w:b/>
                <w:bCs/>
              </w:rPr>
              <w:t>European Grids Package</w:t>
            </w:r>
          </w:p>
          <w:p w:rsidRPr="00605855" w:rsidR="00E01ECC" w:rsidP="005F6271" w:rsidRDefault="00E01ECC" w14:paraId="3F366534" w14:textId="77777777">
            <w:pPr>
              <w:rPr>
                <w:b/>
                <w:bCs/>
              </w:rPr>
            </w:pPr>
          </w:p>
          <w:p w:rsidRPr="00605855" w:rsidR="00E01ECC" w:rsidP="005F6271" w:rsidRDefault="00E01ECC" w14:paraId="24D55F06" w14:textId="77777777">
            <w:pPr>
              <w:rPr>
                <w:b/>
                <w:bCs/>
                <w:u w:val="single"/>
              </w:rPr>
            </w:pPr>
            <w:r w:rsidRPr="00605855">
              <w:rPr>
                <w:b/>
                <w:bCs/>
                <w:u w:val="single"/>
              </w:rPr>
              <w:t>Amend EESC Amendment 13</w:t>
            </w:r>
          </w:p>
          <w:p w:rsidRPr="00605855" w:rsidR="00E01ECC" w:rsidP="005F6271" w:rsidRDefault="00E01ECC" w14:paraId="28AB2892" w14:textId="77777777">
            <w:pPr>
              <w:keepNext/>
              <w:keepLines/>
              <w:jc w:val="left"/>
              <w:rPr>
                <w:b/>
                <w:bCs/>
              </w:rPr>
            </w:pPr>
          </w:p>
          <w:p w:rsidRPr="00605855" w:rsidR="00E01ECC" w:rsidP="005F6271" w:rsidRDefault="00E01ECC" w14:paraId="49403624" w14:textId="77777777">
            <w:pPr>
              <w:pStyle w:val="Heading2"/>
              <w:keepNext/>
              <w:keepLines/>
              <w:numPr>
                <w:ilvl w:val="0"/>
                <w:numId w:val="0"/>
              </w:numPr>
              <w:rPr>
                <w:b/>
                <w:bCs/>
              </w:rPr>
            </w:pPr>
            <w:r w:rsidRPr="00605855">
              <w:rPr>
                <w:b/>
                <w:bCs/>
              </w:rPr>
              <w:t>Amendment 13</w:t>
            </w:r>
          </w:p>
          <w:p w:rsidRPr="00605855" w:rsidR="00E01ECC" w:rsidP="005F6271" w:rsidRDefault="00E01ECC" w14:paraId="3F69D965" w14:textId="77777777">
            <w:pPr>
              <w:keepNext/>
              <w:keepLines/>
              <w:jc w:val="left"/>
            </w:pPr>
            <w:r w:rsidRPr="00605855">
              <w:t>linked to recommendation 1.14</w:t>
            </w:r>
          </w:p>
          <w:p w:rsidRPr="00605855" w:rsidR="00E01ECC" w:rsidP="005F6271" w:rsidRDefault="00E01ECC" w14:paraId="5AC5DB1F" w14:textId="77777777">
            <w:pPr>
              <w:keepNext/>
              <w:keepLines/>
              <w:jc w:val="left"/>
            </w:pPr>
            <w:r w:rsidRPr="00605855">
              <w:t>COM(2025) 1006 final</w:t>
            </w:r>
          </w:p>
          <w:p w:rsidRPr="00605855" w:rsidR="00E01ECC" w:rsidP="005F6271" w:rsidRDefault="00E01ECC" w14:paraId="73740F86" w14:textId="77777777">
            <w:pPr>
              <w:rPr>
                <w:b/>
                <w:bCs/>
              </w:rPr>
            </w:pPr>
            <w:r w:rsidRPr="00605855">
              <w:t>Add new Article 22a of the Proposal for a Regulation of the European Parliament and of the Council on guidelines for trans-European energy infrastructure, amending Regulations (EU) 2019/942, (EU) 2019/943 and (EU) 2024/1789 and repealing Regulation (EU) 2022/869</w:t>
            </w:r>
          </w:p>
        </w:tc>
        <w:tc>
          <w:tcPr>
            <w:tcW w:w="2174" w:type="pct"/>
            <w:hideMark/>
          </w:tcPr>
          <w:p w:rsidRPr="00DE1B54" w:rsidR="00E01ECC" w:rsidP="005F6271" w:rsidRDefault="00E01ECC" w14:paraId="46846AA9" w14:textId="77777777">
            <w:pPr>
              <w:jc w:val="left"/>
              <w:rPr>
                <w:b/>
                <w:bCs/>
                <w:lang w:val="pl-PL"/>
              </w:rPr>
            </w:pPr>
            <w:r w:rsidRPr="00DE1B54">
              <w:rPr>
                <w:b/>
                <w:bCs/>
                <w:lang w:val="pl-PL"/>
              </w:rPr>
              <w:t>Tabled by:</w:t>
            </w:r>
          </w:p>
          <w:p w:rsidRPr="00DE1B54" w:rsidR="00E01ECC" w:rsidP="005F6271" w:rsidRDefault="00E01ECC" w14:paraId="60FCAD49" w14:textId="77777777">
            <w:pPr>
              <w:jc w:val="left"/>
              <w:rPr>
                <w:lang w:val="pl-PL"/>
              </w:rPr>
            </w:pPr>
            <w:r w:rsidRPr="00DE1B54">
              <w:rPr>
                <w:lang w:val="pl-PL"/>
              </w:rPr>
              <w:t>DĂRĂBAN Daniela-Raluca</w:t>
            </w:r>
          </w:p>
          <w:p w:rsidRPr="00DE1B54" w:rsidR="00E01ECC" w:rsidP="005F6271" w:rsidRDefault="00E01ECC" w14:paraId="5890A5D4" w14:textId="77777777">
            <w:pPr>
              <w:jc w:val="left"/>
              <w:rPr>
                <w:lang w:val="pl-PL"/>
              </w:rPr>
            </w:pPr>
            <w:r w:rsidRPr="00DE1B54">
              <w:rPr>
                <w:lang w:val="pl-PL"/>
              </w:rPr>
              <w:t>MASTANTUONO Alena</w:t>
            </w:r>
          </w:p>
          <w:p w:rsidRPr="00DE1B54" w:rsidR="00E01ECC" w:rsidP="005F6271" w:rsidRDefault="00E01ECC" w14:paraId="4036ADD4" w14:textId="77777777">
            <w:pPr>
              <w:jc w:val="left"/>
              <w:rPr>
                <w:lang w:val="pl-PL"/>
              </w:rPr>
            </w:pPr>
            <w:r w:rsidRPr="00DE1B54">
              <w:rPr>
                <w:lang w:val="pl-PL"/>
              </w:rPr>
              <w:t>RZECZKOWSKA Magdalena</w:t>
            </w:r>
          </w:p>
          <w:p w:rsidRPr="00605855" w:rsidR="00E01ECC" w:rsidP="005F6271" w:rsidRDefault="00E01ECC" w14:paraId="0CB76281" w14:textId="77777777">
            <w:pPr>
              <w:jc w:val="left"/>
            </w:pPr>
            <w:r w:rsidRPr="00605855">
              <w:t>SÄKKINEN Teppo</w:t>
            </w:r>
          </w:p>
          <w:p w:rsidRPr="00605855" w:rsidR="00E01ECC" w:rsidP="005F6271" w:rsidRDefault="00E01ECC" w14:paraId="724AA316" w14:textId="77777777">
            <w:pPr>
              <w:jc w:val="left"/>
            </w:pPr>
            <w:r w:rsidRPr="00605855">
              <w:t>SANZ MARTÍN Yolanda</w:t>
            </w:r>
          </w:p>
          <w:p w:rsidRPr="00605855" w:rsidR="00E01ECC" w:rsidP="005F6271" w:rsidRDefault="00E01ECC" w14:paraId="345F73FC" w14:textId="77777777"/>
        </w:tc>
      </w:tr>
    </w:tbl>
    <w:p w:rsidRPr="00605855" w:rsidR="00E01ECC" w:rsidP="00E01ECC" w:rsidRDefault="00E01ECC" w14:paraId="63268153"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605855" w:rsidR="00E01ECC" w:rsidTr="005F6271" w14:paraId="3DCCC09D" w14:textId="77777777">
        <w:tc>
          <w:tcPr>
            <w:tcW w:w="923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573C426A" w14:textId="77777777">
            <w:pPr>
              <w:jc w:val="center"/>
            </w:pPr>
            <w:r w:rsidRPr="00605855">
              <w:rPr>
                <w:b/>
                <w:bCs/>
                <w:i/>
                <w:iCs/>
              </w:rPr>
              <w:t>Text proposed by the European Commission</w:t>
            </w:r>
          </w:p>
        </w:tc>
      </w:tr>
      <w:tr w:rsidRPr="00605855" w:rsidR="00E01ECC" w:rsidTr="005F6271" w14:paraId="34D43F45" w14:textId="77777777">
        <w:tc>
          <w:tcPr>
            <w:tcW w:w="8856"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73061449" w14:textId="77777777">
            <w:pPr>
              <w:jc w:val="left"/>
            </w:pPr>
          </w:p>
          <w:p w:rsidRPr="00605855" w:rsidR="00E01ECC" w:rsidP="005F6271" w:rsidRDefault="00E01ECC" w14:paraId="4B4518C6" w14:textId="77777777">
            <w:pPr>
              <w:jc w:val="left"/>
            </w:pPr>
          </w:p>
        </w:tc>
      </w:tr>
    </w:tbl>
    <w:p w:rsidRPr="00605855" w:rsidR="00E01ECC" w:rsidP="00E01ECC" w:rsidRDefault="00E01ECC" w14:paraId="4D8BFDA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1"/>
        <w:gridCol w:w="4532"/>
      </w:tblGrid>
      <w:tr w:rsidRPr="00605855" w:rsidR="00E01ECC" w:rsidTr="005F6271" w14:paraId="3E25D2E9" w14:textId="77777777">
        <w:tc>
          <w:tcPr>
            <w:tcW w:w="4621"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0E8EC35E" w14:textId="77777777">
            <w:pPr>
              <w:jc w:val="center"/>
              <w:rPr>
                <w:b/>
                <w:i/>
              </w:rPr>
            </w:pPr>
            <w:r w:rsidRPr="00605855">
              <w:rPr>
                <w:b/>
                <w:i/>
              </w:rPr>
              <w:t>Section opinion</w:t>
            </w:r>
          </w:p>
        </w:tc>
        <w:tc>
          <w:tcPr>
            <w:tcW w:w="462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15E99C82" w14:textId="77777777">
            <w:pPr>
              <w:jc w:val="center"/>
              <w:rPr>
                <w:b/>
                <w:i/>
              </w:rPr>
            </w:pPr>
            <w:r w:rsidRPr="00605855">
              <w:rPr>
                <w:b/>
                <w:bCs/>
                <w:i/>
                <w:iCs/>
              </w:rPr>
              <w:t>Amendment</w:t>
            </w:r>
          </w:p>
        </w:tc>
      </w:tr>
      <w:tr w:rsidRPr="00605855" w:rsidR="00E01ECC" w:rsidTr="005F6271" w14:paraId="3F238582" w14:textId="77777777">
        <w:tc>
          <w:tcPr>
            <w:tcW w:w="4621"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4C190A83" w14:textId="77777777">
            <w:pPr>
              <w:ind w:right="30"/>
              <w:rPr>
                <w:b/>
                <w:bCs/>
                <w:i/>
                <w:iCs/>
              </w:rPr>
            </w:pPr>
            <w:r w:rsidRPr="00605855">
              <w:rPr>
                <w:b/>
                <w:bCs/>
                <w:i/>
                <w:iCs/>
              </w:rPr>
              <w:t>Article 22a</w:t>
            </w:r>
          </w:p>
          <w:p w:rsidRPr="00605855" w:rsidR="00E01ECC" w:rsidP="005F6271" w:rsidRDefault="00E01ECC" w14:paraId="77B52392" w14:textId="77777777">
            <w:pPr>
              <w:ind w:right="30"/>
              <w:rPr>
                <w:b/>
                <w:bCs/>
                <w:i/>
                <w:iCs/>
              </w:rPr>
            </w:pPr>
            <w:r w:rsidRPr="00605855">
              <w:rPr>
                <w:b/>
                <w:bCs/>
                <w:i/>
                <w:iCs/>
              </w:rPr>
              <w:t>Enabling public investments in grid infrastructure</w:t>
            </w:r>
          </w:p>
          <w:p w:rsidRPr="00605855" w:rsidR="00E01ECC" w:rsidP="005F6271" w:rsidRDefault="00E01ECC" w14:paraId="7B228C06" w14:textId="77777777">
            <w:pPr>
              <w:ind w:right="30"/>
              <w:rPr>
                <w:b/>
                <w:bCs/>
                <w:i/>
                <w:iCs/>
                <w:szCs w:val="20"/>
              </w:rPr>
            </w:pPr>
            <w:r w:rsidRPr="00605855">
              <w:rPr>
                <w:b/>
                <w:bCs/>
                <w:i/>
                <w:iCs/>
              </w:rPr>
              <w:t>1. By [within 6 months after entry into force], the Commission will:</w:t>
            </w:r>
          </w:p>
          <w:p w:rsidRPr="00605855" w:rsidR="00E01ECC" w:rsidP="005F6271" w:rsidRDefault="00E01ECC" w14:paraId="7762C946" w14:textId="77777777">
            <w:pPr>
              <w:pStyle w:val="ListParagraph"/>
              <w:ind w:left="292" w:right="30"/>
              <w:rPr>
                <w:b/>
                <w:bCs/>
                <w:i/>
                <w:iCs/>
              </w:rPr>
            </w:pPr>
            <w:r w:rsidRPr="00605855">
              <w:rPr>
                <w:b/>
                <w:bCs/>
                <w:i/>
                <w:iCs/>
              </w:rPr>
              <w:t>(a) publish guidelines on public financing instruments for grid infrastructure, aiming at lowering network operators’ capital expenses.</w:t>
            </w:r>
          </w:p>
          <w:p w:rsidRPr="00605855" w:rsidR="00E01ECC" w:rsidP="005F6271" w:rsidRDefault="00E01ECC" w14:paraId="23D06F74" w14:textId="77777777">
            <w:pPr>
              <w:jc w:val="left"/>
              <w:rPr>
                <w:rFonts w:eastAsia="SimSun"/>
                <w:u w:val="single"/>
                <w:lang w:eastAsia="zh-CN"/>
              </w:rPr>
            </w:pPr>
            <w:r w:rsidRPr="00605855">
              <w:rPr>
                <w:b/>
                <w:bCs/>
                <w:i/>
                <w:iCs/>
              </w:rPr>
              <w:t>(b)</w:t>
            </w:r>
            <w:r w:rsidRPr="00605855">
              <w:rPr>
                <w:b/>
                <w:bCs/>
                <w:i/>
                <w:iCs/>
                <w:u w:val="single"/>
              </w:rPr>
              <w:t xml:space="preserve"> propose changes to Council Regulation (EU) 2025/1106 that aim at declaring </w:t>
            </w:r>
            <w:r w:rsidRPr="00605855">
              <w:rPr>
                <w:b/>
                <w:bCs/>
                <w:i/>
                <w:iCs/>
              </w:rPr>
              <w:t>grid infrastructure</w:t>
            </w:r>
            <w:r w:rsidRPr="00605855">
              <w:rPr>
                <w:b/>
                <w:bCs/>
                <w:i/>
                <w:iCs/>
                <w:u w:val="single"/>
              </w:rPr>
              <w:t xml:space="preserve"> as a security-related infrastructure, explicitly covered by the financing and support provisions in that regulation.</w:t>
            </w:r>
          </w:p>
        </w:tc>
        <w:tc>
          <w:tcPr>
            <w:tcW w:w="462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0E5073B6" w14:textId="77777777">
            <w:pPr>
              <w:ind w:right="30"/>
              <w:rPr>
                <w:b/>
                <w:bCs/>
                <w:i/>
                <w:iCs/>
              </w:rPr>
            </w:pPr>
            <w:r w:rsidRPr="00605855">
              <w:rPr>
                <w:b/>
                <w:bCs/>
                <w:i/>
                <w:iCs/>
              </w:rPr>
              <w:t>Article 22a</w:t>
            </w:r>
          </w:p>
          <w:p w:rsidRPr="00605855" w:rsidR="00E01ECC" w:rsidP="005F6271" w:rsidRDefault="00E01ECC" w14:paraId="3F73B3EE" w14:textId="77777777">
            <w:pPr>
              <w:ind w:right="30"/>
              <w:rPr>
                <w:b/>
                <w:bCs/>
                <w:i/>
                <w:iCs/>
              </w:rPr>
            </w:pPr>
            <w:r w:rsidRPr="00605855">
              <w:rPr>
                <w:b/>
                <w:bCs/>
                <w:i/>
                <w:iCs/>
              </w:rPr>
              <w:t>Enabling public investments in grid infrastructure</w:t>
            </w:r>
          </w:p>
          <w:p w:rsidRPr="00605855" w:rsidR="00E01ECC" w:rsidP="005F6271" w:rsidRDefault="00E01ECC" w14:paraId="54CA8EBF" w14:textId="77777777">
            <w:pPr>
              <w:ind w:right="30"/>
              <w:rPr>
                <w:b/>
                <w:bCs/>
                <w:i/>
                <w:iCs/>
                <w:szCs w:val="20"/>
              </w:rPr>
            </w:pPr>
            <w:r w:rsidRPr="00605855">
              <w:rPr>
                <w:b/>
                <w:bCs/>
                <w:i/>
                <w:iCs/>
              </w:rPr>
              <w:t>1. By [within 6 months after entry into force], the Commission will:</w:t>
            </w:r>
          </w:p>
          <w:p w:rsidRPr="00605855" w:rsidR="00E01ECC" w:rsidP="005F6271" w:rsidRDefault="00E01ECC" w14:paraId="79D314B1" w14:textId="77777777">
            <w:pPr>
              <w:pStyle w:val="ListParagraph"/>
              <w:ind w:left="292" w:right="30"/>
              <w:rPr>
                <w:b/>
                <w:bCs/>
                <w:i/>
                <w:iCs/>
              </w:rPr>
            </w:pPr>
            <w:r w:rsidRPr="00605855">
              <w:rPr>
                <w:b/>
                <w:bCs/>
                <w:i/>
                <w:iCs/>
              </w:rPr>
              <w:t>(a) publish guidelines on public financing instruments for grid infrastructure, aiming at lowering network operators’ capital expenses.</w:t>
            </w:r>
          </w:p>
          <w:p w:rsidRPr="00605855" w:rsidR="00E01ECC" w:rsidP="005F6271" w:rsidRDefault="00E01ECC" w14:paraId="31CDCC4D" w14:textId="77777777">
            <w:pPr>
              <w:spacing w:after="240"/>
              <w:rPr>
                <w:u w:val="single"/>
              </w:rPr>
            </w:pPr>
            <w:r w:rsidRPr="00605855">
              <w:rPr>
                <w:b/>
                <w:bCs/>
                <w:i/>
                <w:iCs/>
              </w:rPr>
              <w:t>(b)</w:t>
            </w:r>
            <w:r w:rsidRPr="00605855">
              <w:rPr>
                <w:b/>
                <w:bCs/>
                <w:i/>
                <w:iCs/>
                <w:u w:val="single"/>
              </w:rPr>
              <w:t xml:space="preserve"> assess the need for further measures to strengthen the financing framework for </w:t>
            </w:r>
            <w:r w:rsidRPr="00605855">
              <w:rPr>
                <w:b/>
                <w:bCs/>
                <w:i/>
                <w:iCs/>
              </w:rPr>
              <w:t>grid infrastructure</w:t>
            </w:r>
            <w:r w:rsidRPr="00605855">
              <w:rPr>
                <w:b/>
                <w:bCs/>
                <w:i/>
                <w:iCs/>
                <w:u w:val="single"/>
              </w:rPr>
              <w:t xml:space="preserve"> of strategic importance, including, where appropriate, exploring synergies with existing Union financial instruments and programmes.</w:t>
            </w:r>
          </w:p>
        </w:tc>
      </w:tr>
    </w:tbl>
    <w:p w:rsidRPr="00605855" w:rsidR="00E01ECC" w:rsidP="00E01ECC" w:rsidRDefault="00E01ECC" w14:paraId="50C59668" w14:textId="77777777">
      <w:pPr>
        <w:jc w:val="left"/>
        <w:rPr>
          <w:rFonts w:eastAsia="SimSun"/>
          <w:sz w:val="24"/>
          <w:szCs w:val="24"/>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6"/>
        <w:gridCol w:w="4527"/>
      </w:tblGrid>
      <w:tr w:rsidRPr="00605855" w:rsidR="00E01ECC" w:rsidTr="005F6271" w14:paraId="4E7C478E" w14:textId="77777777">
        <w:tc>
          <w:tcPr>
            <w:tcW w:w="4621"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4727E6E0" w14:textId="77777777">
            <w:pPr>
              <w:keepNext/>
              <w:jc w:val="center"/>
              <w:rPr>
                <w:b/>
              </w:rPr>
            </w:pPr>
            <w:r w:rsidRPr="00605855">
              <w:rPr>
                <w:b/>
              </w:rPr>
              <w:t>Reason given in the opinion</w:t>
            </w:r>
          </w:p>
        </w:tc>
        <w:tc>
          <w:tcPr>
            <w:tcW w:w="462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60D10A12" w14:textId="77777777">
            <w:pPr>
              <w:jc w:val="center"/>
              <w:rPr>
                <w:b/>
              </w:rPr>
            </w:pPr>
            <w:r w:rsidRPr="00605855">
              <w:rPr>
                <w:b/>
              </w:rPr>
              <w:t>Amendment to the reason given in the opinion</w:t>
            </w:r>
          </w:p>
        </w:tc>
      </w:tr>
      <w:tr w:rsidRPr="00605855" w:rsidR="00E01ECC" w:rsidTr="005F6271" w14:paraId="7CF22F9F" w14:textId="77777777">
        <w:tc>
          <w:tcPr>
            <w:tcW w:w="4621"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10D1E576" w14:textId="77777777">
            <w:pPr>
              <w:keepNext/>
              <w:rPr>
                <w:rFonts w:eastAsia="SimSun"/>
                <w:lang w:eastAsia="zh-CN"/>
              </w:rPr>
            </w:pPr>
            <w:r w:rsidRPr="00605855">
              <w:rPr>
                <w:b/>
                <w:bCs/>
                <w:i/>
                <w:iCs/>
              </w:rPr>
              <w:t>See recommendation 1.14.</w:t>
            </w:r>
          </w:p>
        </w:tc>
        <w:tc>
          <w:tcPr>
            <w:tcW w:w="462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5F5C8F4C" w14:textId="77777777">
            <w:pPr>
              <w:spacing w:after="240"/>
              <w:jc w:val="left"/>
            </w:pPr>
          </w:p>
        </w:tc>
      </w:tr>
    </w:tbl>
    <w:p w:rsidRPr="00605855" w:rsidR="00E01ECC" w:rsidP="00E01ECC" w:rsidRDefault="00E01ECC" w14:paraId="7219DEDE" w14:textId="77777777">
      <w:pPr>
        <w:jc w:val="left"/>
        <w:rPr>
          <w:rFonts w:eastAsia="SimSun"/>
          <w:sz w:val="24"/>
          <w:szCs w:val="24"/>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605855" w:rsidR="00E01ECC" w:rsidTr="005F6271" w14:paraId="2B467390" w14:textId="77777777">
        <w:tc>
          <w:tcPr>
            <w:tcW w:w="9063" w:type="dxa"/>
          </w:tcPr>
          <w:p w:rsidRPr="00605855" w:rsidR="00E01ECC" w:rsidP="005F6271" w:rsidRDefault="00E01ECC" w14:paraId="6587F171" w14:textId="77777777">
            <w:pPr>
              <w:jc w:val="center"/>
            </w:pPr>
            <w:r w:rsidRPr="00605855">
              <w:rPr>
                <w:b/>
              </w:rPr>
              <w:t>Explanation of proposed changes</w:t>
            </w:r>
          </w:p>
        </w:tc>
      </w:tr>
      <w:tr w:rsidRPr="00605855" w:rsidR="00E01ECC" w:rsidTr="005F6271" w14:paraId="5B7F1D97" w14:textId="77777777">
        <w:tc>
          <w:tcPr>
            <w:tcW w:w="9063" w:type="dxa"/>
          </w:tcPr>
          <w:p w:rsidRPr="00605855" w:rsidR="00E01ECC" w:rsidP="005F6271" w:rsidRDefault="00E01ECC" w14:paraId="48CC2A49" w14:textId="77777777">
            <w:r w:rsidRPr="00605855">
              <w:t>Grids are highly important for energy security and therefore broader security, but the purpose of SAFE is focused on defence industrial capacity and defence technology. EESC opinion on SAFE CCMI/243 did not call for the expansion of the scope of the SAFE beyond defence. The proposed amendment would ask to assess the need for further measures to strengthen the financing framework for strategic grid infrastructure but without the linkage to SAFE.</w:t>
            </w:r>
          </w:p>
        </w:tc>
      </w:tr>
    </w:tbl>
    <w:p w:rsidRPr="00605855" w:rsidR="00E01ECC" w:rsidP="00E01ECC" w:rsidRDefault="00E01ECC" w14:paraId="369F195A" w14:textId="77777777">
      <w:pPr>
        <w:jc w:val="center"/>
      </w:pPr>
    </w:p>
    <w:p w:rsidRPr="00FF1D1E" w:rsidR="00E01ECC" w:rsidP="00E01ECC" w:rsidRDefault="00E01ECC" w14:paraId="2D655296" w14:textId="77777777">
      <w:pPr>
        <w:keepNext/>
        <w:suppressAutoHyphens/>
        <w:rPr>
          <w:b/>
        </w:rPr>
      </w:pPr>
      <w:r w:rsidRPr="00FF1D1E">
        <w:rPr>
          <w:b/>
        </w:rPr>
        <w:t>Outcome of the vote on the amendment:</w:t>
      </w:r>
    </w:p>
    <w:p w:rsidRPr="00FF1D1E" w:rsidR="00E01ECC" w:rsidP="00E01ECC" w:rsidRDefault="00E01ECC" w14:paraId="231E10EC" w14:textId="77777777">
      <w:pPr>
        <w:keepNext/>
        <w:suppressAutoHyphens/>
      </w:pPr>
    </w:p>
    <w:p w:rsidRPr="00FF1D1E" w:rsidR="00E01ECC" w:rsidP="00E01ECC" w:rsidRDefault="00E01ECC" w14:paraId="537BEBB3" w14:textId="31CCF25A">
      <w:pPr>
        <w:keepNext/>
        <w:suppressAutoHyphens/>
      </w:pPr>
      <w:r w:rsidRPr="00FF1D1E">
        <w:t>Votes in favour:</w:t>
      </w:r>
      <w:r w:rsidRPr="00FF1D1E">
        <w:tab/>
      </w:r>
      <w:r w:rsidRPr="00FF1D1E">
        <w:tab/>
      </w:r>
      <w:r w:rsidR="0097354C">
        <w:t>94</w:t>
      </w:r>
    </w:p>
    <w:p w:rsidRPr="00FF1D1E" w:rsidR="00E01ECC" w:rsidP="00E01ECC" w:rsidRDefault="00E01ECC" w14:paraId="540E142F" w14:textId="1E7A40B0">
      <w:pPr>
        <w:suppressAutoHyphens/>
      </w:pPr>
      <w:r w:rsidRPr="00FF1D1E">
        <w:t>Votes against:</w:t>
      </w:r>
      <w:r w:rsidRPr="00FF1D1E">
        <w:tab/>
      </w:r>
      <w:r w:rsidRPr="00FF1D1E">
        <w:tab/>
      </w:r>
      <w:r w:rsidR="0097354C">
        <w:t>102</w:t>
      </w:r>
    </w:p>
    <w:p w:rsidRPr="00FF1D1E" w:rsidR="00E01ECC" w:rsidP="00E01ECC" w:rsidRDefault="00E01ECC" w14:paraId="3B2926F7" w14:textId="5310592F">
      <w:pPr>
        <w:suppressAutoHyphens/>
      </w:pPr>
      <w:r w:rsidRPr="00FF1D1E">
        <w:t>Abstentions:</w:t>
      </w:r>
      <w:r w:rsidRPr="00FF1D1E">
        <w:tab/>
      </w:r>
      <w:r w:rsidRPr="00FF1D1E">
        <w:tab/>
      </w:r>
      <w:r w:rsidR="0097354C">
        <w:t>8</w:t>
      </w:r>
    </w:p>
    <w:p w:rsidR="00E01ECC" w:rsidP="00E01ECC" w:rsidRDefault="00E01ECC" w14:paraId="109C4FF7" w14:textId="6623FAF1"/>
    <w:p w:rsidR="00E01ECC" w:rsidP="00E01ECC" w:rsidRDefault="00E01ECC" w14:paraId="344BF5F4" w14:textId="77777777">
      <w:pPr>
        <w:rPr>
          <w:b/>
          <w:bCs/>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605855" w:rsidR="00E01ECC" w:rsidTr="005F6271" w14:paraId="454CEC38" w14:textId="77777777">
        <w:tc>
          <w:tcPr>
            <w:tcW w:w="2826" w:type="pct"/>
          </w:tcPr>
          <w:p w:rsidRPr="00605855" w:rsidR="00E01ECC" w:rsidP="005F6271" w:rsidRDefault="00E01ECC" w14:paraId="75C5F9EA" w14:textId="27C2F787">
            <w:pPr>
              <w:rPr>
                <w:b/>
                <w:bCs/>
                <w:sz w:val="32"/>
                <w:szCs w:val="32"/>
              </w:rPr>
            </w:pPr>
            <w:r w:rsidRPr="00605855">
              <w:rPr>
                <w:b/>
                <w:bCs/>
                <w:sz w:val="32"/>
                <w:szCs w:val="32"/>
              </w:rPr>
              <w:t>AMENDMENT 6</w:t>
            </w:r>
            <w:r>
              <w:rPr>
                <w:b/>
                <w:bCs/>
                <w:sz w:val="32"/>
                <w:szCs w:val="32"/>
              </w:rPr>
              <w:t xml:space="preserve"> </w:t>
            </w:r>
          </w:p>
          <w:p w:rsidRPr="00605855" w:rsidR="00E01ECC" w:rsidP="005F6271" w:rsidRDefault="00E01ECC" w14:paraId="471184A3" w14:textId="77777777">
            <w:pPr>
              <w:rPr>
                <w:b/>
                <w:bCs/>
              </w:rPr>
            </w:pPr>
          </w:p>
          <w:p w:rsidRPr="00605855" w:rsidR="00E01ECC" w:rsidP="005F6271" w:rsidRDefault="00E01ECC" w14:paraId="061A3A29" w14:textId="77777777">
            <w:pPr>
              <w:rPr>
                <w:b/>
                <w:bCs/>
              </w:rPr>
            </w:pPr>
            <w:r w:rsidRPr="00605855">
              <w:rPr>
                <w:b/>
                <w:bCs/>
              </w:rPr>
              <w:t>TEN/863</w:t>
            </w:r>
          </w:p>
          <w:p w:rsidRPr="00605855" w:rsidR="00E01ECC" w:rsidP="005F6271" w:rsidRDefault="00E01ECC" w14:paraId="3735DB50" w14:textId="77777777">
            <w:pPr>
              <w:rPr>
                <w:b/>
                <w:bCs/>
              </w:rPr>
            </w:pPr>
            <w:r w:rsidRPr="00605855">
              <w:rPr>
                <w:b/>
                <w:bCs/>
              </w:rPr>
              <w:t>European Grids Package</w:t>
            </w:r>
          </w:p>
          <w:p w:rsidRPr="00605855" w:rsidR="00E01ECC" w:rsidP="005F6271" w:rsidRDefault="00E01ECC" w14:paraId="282B4A2E" w14:textId="77777777">
            <w:pPr>
              <w:rPr>
                <w:b/>
                <w:bCs/>
              </w:rPr>
            </w:pPr>
          </w:p>
          <w:p w:rsidRPr="00B52578" w:rsidR="00E01ECC" w:rsidP="005F6271" w:rsidRDefault="00E01ECC" w14:paraId="1FC99071" w14:textId="77777777">
            <w:pPr>
              <w:rPr>
                <w:b/>
                <w:bCs/>
                <w:u w:val="single"/>
              </w:rPr>
            </w:pPr>
            <w:r w:rsidRPr="00B52578">
              <w:rPr>
                <w:b/>
                <w:bCs/>
                <w:u w:val="single"/>
              </w:rPr>
              <w:t>Delete EESC Amendment 1</w:t>
            </w:r>
          </w:p>
          <w:p w:rsidRPr="00B52578" w:rsidR="00E01ECC" w:rsidP="005F6271" w:rsidRDefault="00E01ECC" w14:paraId="12B70EB4" w14:textId="77777777">
            <w:pPr>
              <w:keepNext/>
              <w:keepLines/>
              <w:jc w:val="left"/>
              <w:rPr>
                <w:b/>
                <w:bCs/>
              </w:rPr>
            </w:pPr>
            <w:r w:rsidRPr="00B52578">
              <w:rPr>
                <w:b/>
                <w:bCs/>
              </w:rPr>
              <w:t>Amendment 1</w:t>
            </w:r>
          </w:p>
          <w:p w:rsidRPr="00B52578" w:rsidR="00E01ECC" w:rsidP="005F6271" w:rsidRDefault="00E01ECC" w14:paraId="13BBC617" w14:textId="77777777">
            <w:pPr>
              <w:keepNext/>
              <w:keepLines/>
              <w:jc w:val="left"/>
            </w:pPr>
            <w:r w:rsidRPr="00B52578">
              <w:t>COM(2025) 1007 final</w:t>
            </w:r>
          </w:p>
          <w:p w:rsidRPr="00605855" w:rsidR="00E01ECC" w:rsidP="005F6271" w:rsidRDefault="00E01ECC" w14:paraId="25AB2AC3" w14:textId="77777777">
            <w:pPr>
              <w:rPr>
                <w:b/>
                <w:bCs/>
              </w:rPr>
            </w:pPr>
            <w:r w:rsidRPr="00605855">
              <w:t>Article 1 (3) of the Proposal for a Directive of the European Parliament and of the Council amending Directives (EU) 2018/2001, (EU) 2019/944, (EU) 2024/1788 as regards acceleration of permit-granting procedures</w:t>
            </w:r>
          </w:p>
        </w:tc>
        <w:tc>
          <w:tcPr>
            <w:tcW w:w="2174" w:type="pct"/>
            <w:hideMark/>
          </w:tcPr>
          <w:p w:rsidRPr="00DE1B54" w:rsidR="00E01ECC" w:rsidP="005F6271" w:rsidRDefault="00E01ECC" w14:paraId="32943C7A" w14:textId="77777777">
            <w:pPr>
              <w:jc w:val="left"/>
              <w:rPr>
                <w:b/>
                <w:bCs/>
                <w:lang w:val="pl-PL"/>
              </w:rPr>
            </w:pPr>
            <w:r w:rsidRPr="00DE1B54">
              <w:rPr>
                <w:b/>
                <w:bCs/>
                <w:lang w:val="pl-PL"/>
              </w:rPr>
              <w:t>Tabled by:</w:t>
            </w:r>
          </w:p>
          <w:p w:rsidRPr="00DE1B54" w:rsidR="00E01ECC" w:rsidP="005F6271" w:rsidRDefault="00E01ECC" w14:paraId="7BE0F2A7" w14:textId="77777777">
            <w:pPr>
              <w:jc w:val="left"/>
              <w:rPr>
                <w:lang w:val="pl-PL"/>
              </w:rPr>
            </w:pPr>
            <w:r w:rsidRPr="00DE1B54">
              <w:rPr>
                <w:lang w:val="pl-PL"/>
              </w:rPr>
              <w:t>DĂRĂBAN Daniela-Raluca</w:t>
            </w:r>
          </w:p>
          <w:p w:rsidRPr="00DE1B54" w:rsidR="00E01ECC" w:rsidP="005F6271" w:rsidRDefault="00E01ECC" w14:paraId="7FC9E4CE" w14:textId="77777777">
            <w:pPr>
              <w:jc w:val="left"/>
              <w:rPr>
                <w:lang w:val="pl-PL"/>
              </w:rPr>
            </w:pPr>
            <w:r w:rsidRPr="00DE1B54">
              <w:rPr>
                <w:lang w:val="pl-PL"/>
              </w:rPr>
              <w:t>MASTANTUONO Alena</w:t>
            </w:r>
          </w:p>
          <w:p w:rsidRPr="00DE1B54" w:rsidR="00E01ECC" w:rsidP="005F6271" w:rsidRDefault="00E01ECC" w14:paraId="7F5BA1A7" w14:textId="77777777">
            <w:pPr>
              <w:jc w:val="left"/>
              <w:rPr>
                <w:lang w:val="pl-PL"/>
              </w:rPr>
            </w:pPr>
            <w:r w:rsidRPr="00DE1B54">
              <w:rPr>
                <w:lang w:val="pl-PL"/>
              </w:rPr>
              <w:t>RZECZKOWSKA Magdalena</w:t>
            </w:r>
          </w:p>
          <w:p w:rsidRPr="00605855" w:rsidR="00E01ECC" w:rsidP="005F6271" w:rsidRDefault="00E01ECC" w14:paraId="79557661" w14:textId="77777777">
            <w:pPr>
              <w:jc w:val="left"/>
            </w:pPr>
            <w:r w:rsidRPr="00605855">
              <w:t>SÄKKINEN Teppo</w:t>
            </w:r>
          </w:p>
          <w:p w:rsidRPr="00605855" w:rsidR="00E01ECC" w:rsidP="005F6271" w:rsidRDefault="00E01ECC" w14:paraId="5EAB6B09" w14:textId="77777777">
            <w:pPr>
              <w:jc w:val="left"/>
            </w:pPr>
            <w:r w:rsidRPr="00605855">
              <w:t>SANZ MARTÍN Yolanda</w:t>
            </w:r>
          </w:p>
          <w:p w:rsidRPr="00605855" w:rsidR="00E01ECC" w:rsidP="005F6271" w:rsidRDefault="00E01ECC" w14:paraId="71362596" w14:textId="77777777"/>
        </w:tc>
      </w:tr>
    </w:tbl>
    <w:p w:rsidRPr="00605855" w:rsidR="00E01ECC" w:rsidP="00E01ECC" w:rsidRDefault="00E01ECC" w14:paraId="330EFC95" w14:textId="77777777">
      <w:pPr>
        <w:jc w:val="cente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605855" w:rsidR="00E01ECC" w:rsidTr="005F6271" w14:paraId="5829EB47" w14:textId="77777777">
        <w:tc>
          <w:tcPr>
            <w:tcW w:w="923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60FCAA9B" w14:textId="77777777">
            <w:pPr>
              <w:jc w:val="center"/>
            </w:pPr>
            <w:r w:rsidRPr="00605855">
              <w:rPr>
                <w:b/>
                <w:bCs/>
                <w:i/>
                <w:iCs/>
              </w:rPr>
              <w:t>Text proposed by the European Commission</w:t>
            </w:r>
          </w:p>
        </w:tc>
      </w:tr>
      <w:tr w:rsidRPr="00605855" w:rsidR="00E01ECC" w:rsidTr="005F6271" w14:paraId="29AE7386" w14:textId="77777777">
        <w:tc>
          <w:tcPr>
            <w:tcW w:w="8856"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5B33DD01" w14:textId="77777777">
            <w:pPr>
              <w:jc w:val="left"/>
            </w:pPr>
            <w:r w:rsidRPr="00605855">
              <w:t xml:space="preserve">In Article 15d, the following paragraphs </w:t>
            </w:r>
            <w:r w:rsidRPr="00605855">
              <w:rPr>
                <w:b/>
                <w:bCs/>
                <w:i/>
                <w:iCs/>
              </w:rPr>
              <w:t>3 and 4</w:t>
            </w:r>
            <w:r w:rsidRPr="00605855">
              <w:t xml:space="preserve"> are added</w:t>
            </w:r>
          </w:p>
          <w:p w:rsidRPr="00605855" w:rsidR="00E01ECC" w:rsidP="005F6271" w:rsidRDefault="00E01ECC" w14:paraId="6FB263E0" w14:textId="77777777">
            <w:pPr>
              <w:jc w:val="left"/>
            </w:pPr>
          </w:p>
        </w:tc>
      </w:tr>
    </w:tbl>
    <w:p w:rsidRPr="00605855" w:rsidR="00E01ECC" w:rsidP="00E01ECC" w:rsidRDefault="00E01ECC" w14:paraId="2492ABE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5"/>
        <w:gridCol w:w="4528"/>
      </w:tblGrid>
      <w:tr w:rsidRPr="00605855" w:rsidR="00E01ECC" w:rsidTr="005F6271" w14:paraId="5D51953E" w14:textId="77777777">
        <w:tc>
          <w:tcPr>
            <w:tcW w:w="4621"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29DA918B" w14:textId="77777777">
            <w:pPr>
              <w:jc w:val="center"/>
              <w:rPr>
                <w:b/>
                <w:i/>
              </w:rPr>
            </w:pPr>
            <w:r w:rsidRPr="00605855">
              <w:rPr>
                <w:b/>
                <w:i/>
              </w:rPr>
              <w:t>Section opinion</w:t>
            </w:r>
          </w:p>
        </w:tc>
        <w:tc>
          <w:tcPr>
            <w:tcW w:w="462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410E514C" w14:textId="77777777">
            <w:pPr>
              <w:jc w:val="center"/>
              <w:rPr>
                <w:b/>
                <w:i/>
              </w:rPr>
            </w:pPr>
            <w:r w:rsidRPr="00605855">
              <w:rPr>
                <w:b/>
                <w:bCs/>
                <w:i/>
                <w:iCs/>
              </w:rPr>
              <w:t>Amendment</w:t>
            </w:r>
          </w:p>
        </w:tc>
      </w:tr>
      <w:tr w:rsidRPr="00605855" w:rsidR="00E01ECC" w:rsidTr="005F6271" w14:paraId="5F687C99" w14:textId="77777777">
        <w:tc>
          <w:tcPr>
            <w:tcW w:w="4621"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1DD7540D" w14:textId="77777777">
            <w:pPr>
              <w:rPr>
                <w:rFonts w:eastAsia="SimSun"/>
                <w:lang w:eastAsia="zh-CN"/>
              </w:rPr>
            </w:pPr>
            <w:r w:rsidRPr="00605855">
              <w:t xml:space="preserve">In Article 15d, the following paragraphs </w:t>
            </w:r>
            <w:r w:rsidRPr="00605855">
              <w:rPr>
                <w:b/>
                <w:bCs/>
                <w:i/>
                <w:iCs/>
              </w:rPr>
              <w:t>3, 4</w:t>
            </w:r>
            <w:r w:rsidRPr="00605855">
              <w:rPr>
                <w:b/>
                <w:bCs/>
                <w:i/>
                <w:iCs/>
                <w:u w:val="single"/>
              </w:rPr>
              <w:t xml:space="preserve"> and 5</w:t>
            </w:r>
            <w:r w:rsidRPr="00605855">
              <w:rPr>
                <w:b/>
                <w:bCs/>
                <w:i/>
                <w:iCs/>
              </w:rPr>
              <w:t xml:space="preserve"> </w:t>
            </w:r>
            <w:r w:rsidRPr="00605855">
              <w:t>are added:</w:t>
            </w:r>
          </w:p>
          <w:p w:rsidRPr="00605855" w:rsidR="00E01ECC" w:rsidP="005F6271" w:rsidRDefault="00E01ECC" w14:paraId="68C0391B" w14:textId="77777777">
            <w:pPr>
              <w:rPr>
                <w:rFonts w:eastAsia="SimSun"/>
                <w:lang w:eastAsia="zh-CN"/>
              </w:rPr>
            </w:pPr>
            <w:r w:rsidRPr="00605855">
              <w:rPr>
                <w:rFonts w:eastAsia="SimSun"/>
                <w:lang w:eastAsia="zh-CN"/>
              </w:rPr>
              <w:t>[…]</w:t>
            </w:r>
          </w:p>
          <w:p w:rsidRPr="00605855" w:rsidR="00E01ECC" w:rsidP="005F6271" w:rsidRDefault="00E01ECC" w14:paraId="315BBE77" w14:textId="77777777">
            <w:pPr>
              <w:rPr>
                <w:rFonts w:eastAsia="SimSun"/>
                <w:u w:val="single"/>
                <w:lang w:eastAsia="zh-CN"/>
              </w:rPr>
            </w:pPr>
            <w:r w:rsidRPr="00605855">
              <w:rPr>
                <w:b/>
                <w:bCs/>
                <w:i/>
                <w:iCs/>
                <w:u w:val="single"/>
              </w:rPr>
              <w:t>5. Member States shall ensure that permit-granting procedures for the installation of energy production or storage with a total installed capacity of more than 100 kW as well as the installation of power lines with a voltage over 100 kV and connected voltage transformation substations comply with the transparency and public participation requirements set out in Article 9 of [TEN-E-Regulation].</w:t>
            </w:r>
          </w:p>
          <w:p w:rsidRPr="00605855" w:rsidR="00E01ECC" w:rsidP="005F6271" w:rsidRDefault="00E01ECC" w14:paraId="27A6A629" w14:textId="77777777">
            <w:pPr>
              <w:jc w:val="left"/>
              <w:rPr>
                <w:rFonts w:eastAsia="SimSun"/>
                <w:lang w:eastAsia="zh-CN"/>
              </w:rPr>
            </w:pPr>
          </w:p>
        </w:tc>
        <w:tc>
          <w:tcPr>
            <w:tcW w:w="462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3F413EF2" w14:textId="77777777">
            <w:pPr>
              <w:rPr>
                <w:rFonts w:eastAsia="SimSun"/>
                <w:lang w:eastAsia="zh-CN"/>
              </w:rPr>
            </w:pPr>
            <w:r w:rsidRPr="00605855">
              <w:rPr>
                <w:rFonts w:eastAsia="SimSun"/>
                <w:lang w:eastAsia="zh-CN"/>
              </w:rPr>
              <w:t xml:space="preserve">in Article 15d, the following paragraphs </w:t>
            </w:r>
            <w:r w:rsidRPr="00605855">
              <w:rPr>
                <w:rFonts w:eastAsia="SimSun"/>
                <w:b/>
                <w:bCs/>
                <w:i/>
                <w:iCs/>
                <w:lang w:eastAsia="zh-CN"/>
              </w:rPr>
              <w:t>3 and 4</w:t>
            </w:r>
            <w:r w:rsidRPr="00605855">
              <w:rPr>
                <w:rFonts w:eastAsia="SimSun"/>
                <w:lang w:eastAsia="zh-CN"/>
              </w:rPr>
              <w:t xml:space="preserve"> are added: </w:t>
            </w:r>
          </w:p>
          <w:p w:rsidRPr="00605855" w:rsidR="00E01ECC" w:rsidP="005F6271" w:rsidRDefault="00E01ECC" w14:paraId="4518B1C4" w14:textId="77777777">
            <w:pPr>
              <w:spacing w:after="240"/>
            </w:pPr>
          </w:p>
        </w:tc>
      </w:tr>
    </w:tbl>
    <w:p w:rsidRPr="00605855" w:rsidR="00E01ECC" w:rsidP="00E01ECC" w:rsidRDefault="00E01ECC" w14:paraId="4680F5F7" w14:textId="77777777">
      <w:pPr>
        <w:jc w:val="left"/>
        <w:rPr>
          <w:rFonts w:eastAsia="SimSun"/>
          <w:sz w:val="24"/>
          <w:szCs w:val="24"/>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6"/>
        <w:gridCol w:w="4527"/>
      </w:tblGrid>
      <w:tr w:rsidRPr="00605855" w:rsidR="00E01ECC" w:rsidTr="005F6271" w14:paraId="1E4E2A30" w14:textId="77777777">
        <w:tc>
          <w:tcPr>
            <w:tcW w:w="4621"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5C68CC49" w14:textId="77777777">
            <w:pPr>
              <w:keepNext/>
              <w:jc w:val="center"/>
              <w:rPr>
                <w:b/>
              </w:rPr>
            </w:pPr>
            <w:r w:rsidRPr="00605855">
              <w:rPr>
                <w:b/>
              </w:rPr>
              <w:t>Reason given in the opinion</w:t>
            </w:r>
          </w:p>
        </w:tc>
        <w:tc>
          <w:tcPr>
            <w:tcW w:w="462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3B71F844" w14:textId="77777777">
            <w:pPr>
              <w:jc w:val="center"/>
              <w:rPr>
                <w:b/>
              </w:rPr>
            </w:pPr>
            <w:r w:rsidRPr="00605855">
              <w:rPr>
                <w:b/>
              </w:rPr>
              <w:t>Amendment to the reason given in the opinion</w:t>
            </w:r>
          </w:p>
        </w:tc>
      </w:tr>
      <w:tr w:rsidRPr="00605855" w:rsidR="00E01ECC" w:rsidTr="005F6271" w14:paraId="45A974FF" w14:textId="77777777">
        <w:tc>
          <w:tcPr>
            <w:tcW w:w="4621"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37B532FA" w14:textId="77777777">
            <w:pPr>
              <w:keepNext/>
              <w:rPr>
                <w:rFonts w:eastAsia="SimSun"/>
                <w:lang w:eastAsia="zh-CN"/>
              </w:rPr>
            </w:pPr>
            <w:r w:rsidRPr="00605855">
              <w:rPr>
                <w:b/>
                <w:bCs/>
                <w:i/>
                <w:iCs/>
              </w:rPr>
              <w:t>See recommendation 1.20.</w:t>
            </w:r>
          </w:p>
        </w:tc>
        <w:tc>
          <w:tcPr>
            <w:tcW w:w="4622" w:type="dxa"/>
            <w:tcBorders>
              <w:top w:val="single" w:color="auto" w:sz="4" w:space="0"/>
              <w:left w:val="single" w:color="auto" w:sz="4" w:space="0"/>
              <w:bottom w:val="single" w:color="auto" w:sz="4" w:space="0"/>
              <w:right w:val="single" w:color="auto" w:sz="4" w:space="0"/>
            </w:tcBorders>
          </w:tcPr>
          <w:p w:rsidRPr="00605855" w:rsidR="00E01ECC" w:rsidP="005F6271" w:rsidRDefault="00E01ECC" w14:paraId="3D717BDC" w14:textId="77777777">
            <w:pPr>
              <w:spacing w:after="240"/>
              <w:jc w:val="left"/>
            </w:pPr>
          </w:p>
        </w:tc>
      </w:tr>
    </w:tbl>
    <w:p w:rsidRPr="00605855" w:rsidR="00E01ECC" w:rsidP="00E01ECC" w:rsidRDefault="00E01ECC" w14:paraId="10FA3ED2" w14:textId="77777777">
      <w:pPr>
        <w:jc w:val="left"/>
        <w:rPr>
          <w:rFonts w:eastAsia="SimSun"/>
          <w:sz w:val="24"/>
          <w:szCs w:val="24"/>
          <w:lang w:eastAsia="zh-C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3"/>
      </w:tblGrid>
      <w:tr w:rsidRPr="00605855" w:rsidR="00E01ECC" w:rsidTr="005F6271" w14:paraId="5E00E793" w14:textId="77777777">
        <w:tc>
          <w:tcPr>
            <w:tcW w:w="9063" w:type="dxa"/>
          </w:tcPr>
          <w:p w:rsidRPr="00605855" w:rsidR="00E01ECC" w:rsidP="005F6271" w:rsidRDefault="00E01ECC" w14:paraId="6B48AC25" w14:textId="77777777">
            <w:pPr>
              <w:jc w:val="center"/>
            </w:pPr>
            <w:r w:rsidRPr="00605855">
              <w:rPr>
                <w:b/>
              </w:rPr>
              <w:t>Explanation of proposed changes</w:t>
            </w:r>
          </w:p>
        </w:tc>
      </w:tr>
      <w:tr w:rsidRPr="00605855" w:rsidR="00E01ECC" w:rsidTr="005F6271" w14:paraId="76C32DC0" w14:textId="77777777">
        <w:tc>
          <w:tcPr>
            <w:tcW w:w="9063" w:type="dxa"/>
          </w:tcPr>
          <w:p w:rsidRPr="00605855" w:rsidR="00E01ECC" w:rsidP="005F6271" w:rsidRDefault="00E01ECC" w14:paraId="63C0CE0A" w14:textId="77777777">
            <w:r w:rsidRPr="00605855">
              <w:t xml:space="preserve">Delete new paragraph proposed by the rapporteur and keep Commission text unchanged. </w:t>
            </w:r>
          </w:p>
          <w:p w:rsidRPr="00605855" w:rsidR="00E01ECC" w:rsidP="005F6271" w:rsidRDefault="00E01ECC" w14:paraId="76AD3517" w14:textId="77777777"/>
          <w:p w:rsidRPr="00605855" w:rsidR="00E01ECC" w:rsidP="005F6271" w:rsidRDefault="00E01ECC" w14:paraId="6DDA9CED" w14:textId="77777777">
            <w:r w:rsidRPr="00605855">
              <w:t>The EESC is a strong advocate of decarbonisation and fast deployment of clean energy. By limiting network development, we are hindering the development of decarbonisation. There are already robust procedures that concern the involvement of local communities and the civil society, which is important to maintain public support for energy investments. Further regulatory requirements risk to delay needed investments, impact security of supply and bring uncertainty to the projects crucial to meet the demand for electricity. A key goal of the grid package is to speed up the deployment of grid infrastructure and additional requirements for the process are contrary to it.</w:t>
            </w:r>
          </w:p>
        </w:tc>
      </w:tr>
    </w:tbl>
    <w:p w:rsidRPr="00605855" w:rsidR="00E01ECC" w:rsidP="00E01ECC" w:rsidRDefault="00E01ECC" w14:paraId="38BF101E" w14:textId="77777777">
      <w:pPr>
        <w:rPr>
          <w:b/>
          <w:bCs/>
        </w:rPr>
      </w:pPr>
    </w:p>
    <w:p w:rsidRPr="00FF1D1E" w:rsidR="00E01ECC" w:rsidP="00E01ECC" w:rsidRDefault="00E01ECC" w14:paraId="5AAC41B0" w14:textId="77777777">
      <w:pPr>
        <w:keepNext/>
        <w:suppressAutoHyphens/>
        <w:rPr>
          <w:b/>
        </w:rPr>
      </w:pPr>
      <w:r w:rsidRPr="00FF1D1E">
        <w:rPr>
          <w:b/>
        </w:rPr>
        <w:t>Outcome of the vote on the amendment:</w:t>
      </w:r>
    </w:p>
    <w:p w:rsidRPr="00FF1D1E" w:rsidR="00E01ECC" w:rsidP="00E01ECC" w:rsidRDefault="00E01ECC" w14:paraId="1D60EFE1" w14:textId="77777777">
      <w:pPr>
        <w:keepNext/>
        <w:suppressAutoHyphens/>
      </w:pPr>
    </w:p>
    <w:p w:rsidRPr="00FF1D1E" w:rsidR="00E01ECC" w:rsidP="00E01ECC" w:rsidRDefault="00E01ECC" w14:paraId="2ADF56A4" w14:textId="353A3139">
      <w:pPr>
        <w:keepNext/>
        <w:suppressAutoHyphens/>
      </w:pPr>
      <w:r w:rsidRPr="00FF1D1E">
        <w:t>Votes in favour:</w:t>
      </w:r>
      <w:r w:rsidRPr="00FF1D1E">
        <w:tab/>
      </w:r>
      <w:r w:rsidRPr="00FF1D1E">
        <w:tab/>
      </w:r>
      <w:r w:rsidR="0097354C">
        <w:t>81</w:t>
      </w:r>
      <w:r w:rsidRPr="00FF1D1E">
        <w:t xml:space="preserve"> </w:t>
      </w:r>
    </w:p>
    <w:p w:rsidRPr="00FF1D1E" w:rsidR="00E01ECC" w:rsidP="00E01ECC" w:rsidRDefault="00E01ECC" w14:paraId="550BAB7E" w14:textId="147F26AF">
      <w:pPr>
        <w:suppressAutoHyphens/>
      </w:pPr>
      <w:r w:rsidRPr="00FF1D1E">
        <w:t>Votes against:</w:t>
      </w:r>
      <w:r w:rsidRPr="00FF1D1E">
        <w:tab/>
      </w:r>
      <w:r w:rsidRPr="00FF1D1E">
        <w:tab/>
      </w:r>
      <w:r w:rsidR="00F67934">
        <w:t>18</w:t>
      </w:r>
    </w:p>
    <w:p w:rsidRPr="00FF1D1E" w:rsidR="00E01ECC" w:rsidP="00E01ECC" w:rsidRDefault="00E01ECC" w14:paraId="3BBED96A" w14:textId="6CFBCC48">
      <w:pPr>
        <w:suppressAutoHyphens/>
      </w:pPr>
      <w:r w:rsidRPr="00FF1D1E">
        <w:t>Abstentions:</w:t>
      </w:r>
      <w:r w:rsidRPr="00FF1D1E">
        <w:tab/>
      </w:r>
      <w:r w:rsidRPr="00FF1D1E">
        <w:tab/>
      </w:r>
      <w:r w:rsidR="00F67934">
        <w:t>115</w:t>
      </w:r>
    </w:p>
    <w:p w:rsidR="008C6C82" w:rsidP="00EC0F0F" w:rsidRDefault="008C6C82" w14:paraId="6220B029" w14:textId="34A8EBE1"/>
    <w:p w:rsidRPr="00A67235" w:rsidR="00E70DD6" w:rsidP="00EC0F0F" w:rsidRDefault="00E70DD6" w14:paraId="136BED5F" w14:textId="77777777"/>
    <w:p w:rsidRPr="00A67235" w:rsidR="000E4B6B" w:rsidP="00EC0F0F" w:rsidRDefault="000E4B6B" w14:paraId="0133C75D" w14:textId="76BBBE2D">
      <w:r w:rsidRPr="00A67235">
        <w:t xml:space="preserve">The opinion </w:t>
      </w:r>
      <w:r w:rsidR="0055372E">
        <w:t>i</w:t>
      </w:r>
      <w:r w:rsidRPr="00A67235">
        <w:t>s adopted by</w:t>
      </w:r>
      <w:r w:rsidR="00177DAC">
        <w:t xml:space="preserve"> </w:t>
      </w:r>
      <w:r w:rsidR="005A249E">
        <w:t>195</w:t>
      </w:r>
      <w:r w:rsidRPr="00395758" w:rsidR="005A249E">
        <w:t xml:space="preserve"> </w:t>
      </w:r>
      <w:r w:rsidRPr="00395758" w:rsidR="00B36F98">
        <w:t>votes</w:t>
      </w:r>
      <w:r w:rsidRPr="00395758" w:rsidR="00395758">
        <w:t xml:space="preserve"> to 1</w:t>
      </w:r>
      <w:r w:rsidR="005A249E">
        <w:t>1</w:t>
      </w:r>
      <w:r w:rsidRPr="00395758" w:rsidR="00B36F98">
        <w:t xml:space="preserve"> and </w:t>
      </w:r>
      <w:r w:rsidR="005A249E">
        <w:t>8</w:t>
      </w:r>
      <w:r w:rsidRPr="00395758" w:rsidR="00B36F98">
        <w:t xml:space="preserve"> abstention</w:t>
      </w:r>
      <w:r w:rsidRPr="00395758" w:rsidR="004C21FA">
        <w:t>s</w:t>
      </w:r>
      <w:r w:rsidRPr="00395758">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3"/>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B48D7" w14:textId="77777777" w:rsidR="00A21175" w:rsidRDefault="00A21175">
      <w:r>
        <w:separator/>
      </w:r>
    </w:p>
  </w:endnote>
  <w:endnote w:type="continuationSeparator" w:id="0">
    <w:p w14:paraId="092446E9" w14:textId="77777777" w:rsidR="00A21175" w:rsidRDefault="00A21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45640A53" w:rsidR="00964A13" w:rsidRPr="00964A13" w:rsidRDefault="004C21FA" w:rsidP="00964A13">
    <w:pPr>
      <w:pStyle w:val="Footer"/>
    </w:pPr>
    <w:r>
      <w:t>TEN/8</w:t>
    </w:r>
    <w:r w:rsidR="006733ED">
      <w:t>6</w:t>
    </w:r>
    <w:r w:rsidR="005A249E">
      <w:t>3</w:t>
    </w:r>
    <w:r>
      <w:t xml:space="preserve"> – </w:t>
    </w:r>
    <w:r w:rsidR="00C311DE">
      <w:t>EESC-202</w:t>
    </w:r>
    <w:r w:rsidR="006733ED">
      <w:t>5</w:t>
    </w:r>
    <w:r w:rsidR="00C311DE">
      <w:t>-0</w:t>
    </w:r>
    <w:r w:rsidR="006733ED">
      <w:t>3</w:t>
    </w:r>
    <w:r w:rsidR="005A249E">
      <w:t>85</w:t>
    </w:r>
    <w:r w:rsidR="006733ED">
      <w:t>4</w:t>
    </w:r>
    <w:r w:rsidR="007201DC">
      <w:t>-00-00</w:t>
    </w:r>
    <w:r w:rsidRPr="004C21FA">
      <w:t>-</w:t>
    </w:r>
    <w:r w:rsidR="00964A13">
      <w:t>CR-REF (</w:t>
    </w:r>
    <w:r w:rsidR="00BE2774">
      <w:t>EN</w:t>
    </w:r>
    <w:r w:rsidR="00964A13">
      <w:t xml:space="preserve">) </w:t>
    </w:r>
    <w:r w:rsidR="00964A13">
      <w:fldChar w:fldCharType="begin"/>
    </w:r>
    <w:r w:rsidR="00964A13">
      <w:instrText xml:space="preserve"> PAGE  \* Arabic  \* MERGEFORMAT </w:instrText>
    </w:r>
    <w:r w:rsidR="00964A13">
      <w:fldChar w:fldCharType="separate"/>
    </w:r>
    <w:r w:rsidR="00242180">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242180">
      <w:rPr>
        <w:noProof/>
      </w:rPr>
      <w:instrText>1</w:instrText>
    </w:r>
    <w:r w:rsidR="00964A13">
      <w:fldChar w:fldCharType="end"/>
    </w:r>
    <w:r w:rsidR="00964A13">
      <w:instrText xml:space="preserve"> -0 </w:instrText>
    </w:r>
    <w:r w:rsidR="00964A13">
      <w:fldChar w:fldCharType="separate"/>
    </w:r>
    <w:r w:rsidR="00242180">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60C7F" w14:textId="77777777" w:rsidR="00A21175" w:rsidRDefault="00A21175">
      <w:r>
        <w:separator/>
      </w:r>
    </w:p>
  </w:footnote>
  <w:footnote w:type="continuationSeparator" w:id="0">
    <w:p w14:paraId="5BD92E2F" w14:textId="77777777" w:rsidR="00A21175" w:rsidRDefault="00A21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9F933A5"/>
    <w:multiLevelType w:val="hybridMultilevel"/>
    <w:tmpl w:val="03C4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E18DF"/>
    <w:multiLevelType w:val="hybridMultilevel"/>
    <w:tmpl w:val="BCCC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D6C25"/>
    <w:multiLevelType w:val="hybridMultilevel"/>
    <w:tmpl w:val="2E80433A"/>
    <w:lvl w:ilvl="0" w:tplc="080C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74850AC"/>
    <w:multiLevelType w:val="hybridMultilevel"/>
    <w:tmpl w:val="5850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690D9E"/>
    <w:multiLevelType w:val="hybridMultilevel"/>
    <w:tmpl w:val="93803CE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13F5A"/>
    <w:rsid w:val="00036097"/>
    <w:rsid w:val="00052D5A"/>
    <w:rsid w:val="000575F7"/>
    <w:rsid w:val="0006464B"/>
    <w:rsid w:val="0009727F"/>
    <w:rsid w:val="000B3441"/>
    <w:rsid w:val="000D6AA3"/>
    <w:rsid w:val="000E4B6B"/>
    <w:rsid w:val="000F03D6"/>
    <w:rsid w:val="00143A71"/>
    <w:rsid w:val="0015330A"/>
    <w:rsid w:val="0016227E"/>
    <w:rsid w:val="00165632"/>
    <w:rsid w:val="001766AB"/>
    <w:rsid w:val="00177DAC"/>
    <w:rsid w:val="001A2A15"/>
    <w:rsid w:val="001B4C16"/>
    <w:rsid w:val="001C7254"/>
    <w:rsid w:val="001F14CF"/>
    <w:rsid w:val="001F1C88"/>
    <w:rsid w:val="00205CD5"/>
    <w:rsid w:val="002346F9"/>
    <w:rsid w:val="00242180"/>
    <w:rsid w:val="002601CF"/>
    <w:rsid w:val="00273FDB"/>
    <w:rsid w:val="002925F3"/>
    <w:rsid w:val="00297572"/>
    <w:rsid w:val="002E2943"/>
    <w:rsid w:val="002E317A"/>
    <w:rsid w:val="00320C0B"/>
    <w:rsid w:val="0033272E"/>
    <w:rsid w:val="0033312F"/>
    <w:rsid w:val="003439B0"/>
    <w:rsid w:val="003876B5"/>
    <w:rsid w:val="00392924"/>
    <w:rsid w:val="00395758"/>
    <w:rsid w:val="003A16B5"/>
    <w:rsid w:val="003B459F"/>
    <w:rsid w:val="003C15D7"/>
    <w:rsid w:val="003C2604"/>
    <w:rsid w:val="003E1619"/>
    <w:rsid w:val="00423299"/>
    <w:rsid w:val="004251CF"/>
    <w:rsid w:val="004369DD"/>
    <w:rsid w:val="00436FC5"/>
    <w:rsid w:val="00460CC5"/>
    <w:rsid w:val="004A0843"/>
    <w:rsid w:val="004B002D"/>
    <w:rsid w:val="004C1631"/>
    <w:rsid w:val="004C21FA"/>
    <w:rsid w:val="004F4602"/>
    <w:rsid w:val="005041EB"/>
    <w:rsid w:val="00523051"/>
    <w:rsid w:val="0053459C"/>
    <w:rsid w:val="0055372E"/>
    <w:rsid w:val="00564B0D"/>
    <w:rsid w:val="005807C4"/>
    <w:rsid w:val="00585CF6"/>
    <w:rsid w:val="00590C1E"/>
    <w:rsid w:val="00595C33"/>
    <w:rsid w:val="005A249E"/>
    <w:rsid w:val="005E1A79"/>
    <w:rsid w:val="005E429A"/>
    <w:rsid w:val="005F5F8B"/>
    <w:rsid w:val="0060358F"/>
    <w:rsid w:val="00603CC9"/>
    <w:rsid w:val="00604EC1"/>
    <w:rsid w:val="00646E27"/>
    <w:rsid w:val="006733ED"/>
    <w:rsid w:val="006D4FFA"/>
    <w:rsid w:val="0070211E"/>
    <w:rsid w:val="007201DC"/>
    <w:rsid w:val="00724BFB"/>
    <w:rsid w:val="0073571F"/>
    <w:rsid w:val="00757919"/>
    <w:rsid w:val="007C6A55"/>
    <w:rsid w:val="00815851"/>
    <w:rsid w:val="00826375"/>
    <w:rsid w:val="00830673"/>
    <w:rsid w:val="0083134A"/>
    <w:rsid w:val="00841CF1"/>
    <w:rsid w:val="0086272D"/>
    <w:rsid w:val="00862EFF"/>
    <w:rsid w:val="008953F1"/>
    <w:rsid w:val="008A371F"/>
    <w:rsid w:val="008C6C82"/>
    <w:rsid w:val="008E0097"/>
    <w:rsid w:val="008E40B6"/>
    <w:rsid w:val="008F0B2D"/>
    <w:rsid w:val="008F2211"/>
    <w:rsid w:val="00903DA1"/>
    <w:rsid w:val="00911202"/>
    <w:rsid w:val="00911975"/>
    <w:rsid w:val="009326E3"/>
    <w:rsid w:val="00961F04"/>
    <w:rsid w:val="00964A13"/>
    <w:rsid w:val="00971143"/>
    <w:rsid w:val="0097354C"/>
    <w:rsid w:val="009E138D"/>
    <w:rsid w:val="00A14D3A"/>
    <w:rsid w:val="00A21175"/>
    <w:rsid w:val="00A53158"/>
    <w:rsid w:val="00A64D59"/>
    <w:rsid w:val="00A67235"/>
    <w:rsid w:val="00AA20D4"/>
    <w:rsid w:val="00AC59BB"/>
    <w:rsid w:val="00AE468A"/>
    <w:rsid w:val="00B0021F"/>
    <w:rsid w:val="00B20A62"/>
    <w:rsid w:val="00B36F98"/>
    <w:rsid w:val="00B37A48"/>
    <w:rsid w:val="00B52578"/>
    <w:rsid w:val="00BA48CB"/>
    <w:rsid w:val="00BC55A7"/>
    <w:rsid w:val="00BE2774"/>
    <w:rsid w:val="00BE7410"/>
    <w:rsid w:val="00BF51D5"/>
    <w:rsid w:val="00C01632"/>
    <w:rsid w:val="00C05B64"/>
    <w:rsid w:val="00C16376"/>
    <w:rsid w:val="00C311DE"/>
    <w:rsid w:val="00C4683E"/>
    <w:rsid w:val="00C70A05"/>
    <w:rsid w:val="00C87758"/>
    <w:rsid w:val="00C9047A"/>
    <w:rsid w:val="00CA3EA5"/>
    <w:rsid w:val="00CB7BA6"/>
    <w:rsid w:val="00CE01CF"/>
    <w:rsid w:val="00CF5FEA"/>
    <w:rsid w:val="00D27BD7"/>
    <w:rsid w:val="00D51BB2"/>
    <w:rsid w:val="00D51D12"/>
    <w:rsid w:val="00D54F5F"/>
    <w:rsid w:val="00D76ADB"/>
    <w:rsid w:val="00D806A2"/>
    <w:rsid w:val="00DD05A8"/>
    <w:rsid w:val="00DE2240"/>
    <w:rsid w:val="00E01ECC"/>
    <w:rsid w:val="00E23443"/>
    <w:rsid w:val="00E24886"/>
    <w:rsid w:val="00E55BBF"/>
    <w:rsid w:val="00E70261"/>
    <w:rsid w:val="00E70DD6"/>
    <w:rsid w:val="00EC0F0F"/>
    <w:rsid w:val="00EC67B4"/>
    <w:rsid w:val="00ED6BB4"/>
    <w:rsid w:val="00F01EB5"/>
    <w:rsid w:val="00F41CD8"/>
    <w:rsid w:val="00F56241"/>
    <w:rsid w:val="00F668E1"/>
    <w:rsid w:val="00F67934"/>
    <w:rsid w:val="00F77648"/>
    <w:rsid w:val="00F828D0"/>
    <w:rsid w:val="00F82A85"/>
    <w:rsid w:val="00FC461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customStyle="1" w:styleId="Default">
    <w:name w:val="Default"/>
    <w:rsid w:val="0033272E"/>
    <w:pPr>
      <w:autoSpaceDE w:val="0"/>
      <w:autoSpaceDN w:val="0"/>
      <w:adjustRightInd w:val="0"/>
    </w:pPr>
    <w:rPr>
      <w:rFonts w:eastAsiaTheme="minorHAnsi"/>
      <w:color w:val="000000"/>
      <w:sz w:val="24"/>
      <w:szCs w:val="24"/>
      <w:lang w:val="en-US" w:eastAsia="en-US"/>
    </w:rPr>
  </w:style>
  <w:style w:type="table" w:customStyle="1" w:styleId="TableGrid1">
    <w:name w:val="Table Grid1"/>
    <w:basedOn w:val="TableNormal"/>
    <w:next w:val="TableGrid"/>
    <w:rsid w:val="0033272E"/>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32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1EB"/>
    <w:pPr>
      <w:ind w:left="720"/>
      <w:contextualSpacing/>
    </w:pPr>
  </w:style>
  <w:style w:type="paragraph" w:styleId="Revision">
    <w:name w:val="Revision"/>
    <w:hidden/>
    <w:uiPriority w:val="99"/>
    <w:semiHidden/>
    <w:rsid w:val="005A249E"/>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085762">
      <w:bodyDiv w:val="1"/>
      <w:marLeft w:val="0"/>
      <w:marRight w:val="0"/>
      <w:marTop w:val="0"/>
      <w:marBottom w:val="0"/>
      <w:divBdr>
        <w:top w:val="none" w:sz="0" w:space="0" w:color="auto"/>
        <w:left w:val="none" w:sz="0" w:space="0" w:color="auto"/>
        <w:bottom w:val="none" w:sz="0" w:space="0" w:color="auto"/>
        <w:right w:val="none" w:sz="0" w:space="0" w:color="auto"/>
      </w:divBdr>
      <w:divsChild>
        <w:div w:id="105005569">
          <w:marLeft w:val="0"/>
          <w:marRight w:val="0"/>
          <w:marTop w:val="0"/>
          <w:marBottom w:val="0"/>
          <w:divBdr>
            <w:top w:val="none" w:sz="0" w:space="0" w:color="auto"/>
            <w:left w:val="none" w:sz="0" w:space="0" w:color="auto"/>
            <w:bottom w:val="none" w:sz="0" w:space="0" w:color="auto"/>
            <w:right w:val="none" w:sz="0" w:space="0" w:color="auto"/>
          </w:divBdr>
        </w:div>
      </w:divsChild>
    </w:div>
    <w:div w:id="1721592442">
      <w:bodyDiv w:val="1"/>
      <w:marLeft w:val="0"/>
      <w:marRight w:val="0"/>
      <w:marTop w:val="0"/>
      <w:marBottom w:val="0"/>
      <w:divBdr>
        <w:top w:val="none" w:sz="0" w:space="0" w:color="auto"/>
        <w:left w:val="none" w:sz="0" w:space="0" w:color="auto"/>
        <w:bottom w:val="none" w:sz="0" w:space="0" w:color="auto"/>
        <w:right w:val="none" w:sz="0" w:space="0" w:color="auto"/>
      </w:divBdr>
      <w:divsChild>
        <w:div w:id="1389765217">
          <w:marLeft w:val="0"/>
          <w:marRight w:val="0"/>
          <w:marTop w:val="0"/>
          <w:marBottom w:val="0"/>
          <w:divBdr>
            <w:top w:val="none" w:sz="0" w:space="0" w:color="auto"/>
            <w:left w:val="none" w:sz="0" w:space="0" w:color="auto"/>
            <w:bottom w:val="none" w:sz="0" w:space="0" w:color="auto"/>
            <w:right w:val="none" w:sz="0" w:space="0" w:color="auto"/>
          </w:divBdr>
        </w:div>
      </w:divsChild>
    </w:div>
    <w:div w:id="1763604168">
      <w:bodyDiv w:val="1"/>
      <w:marLeft w:val="0"/>
      <w:marRight w:val="0"/>
      <w:marTop w:val="0"/>
      <w:marBottom w:val="0"/>
      <w:divBdr>
        <w:top w:val="none" w:sz="0" w:space="0" w:color="auto"/>
        <w:left w:val="none" w:sz="0" w:space="0" w:color="auto"/>
        <w:bottom w:val="none" w:sz="0" w:space="0" w:color="auto"/>
        <w:right w:val="none" w:sz="0" w:space="0" w:color="auto"/>
      </w:divBdr>
      <w:divsChild>
        <w:div w:id="1145657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A6WAAD5KZT2Q-284857674-11125</_dlc_DocId>
    <_dlc_DocIdUrl xmlns="1a33af13-4045-4f88-9d7b-618e30f79918">
      <Url>http://dm/eesc/2025/_layouts/15/DocIdRedir.aspx?ID=A6WAAD5KZT2Q-284857674-11125</Url>
      <Description>A6WAAD5KZT2Q-284857674-11125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2026-03-20T12:00:00+00:00</ProductionDate>
    <FicheYear xmlns="1a33af13-4045-4f88-9d7b-618e30f79918">2025</FicheYear>
    <DocumentNumber xmlns="27994258-8564-426c-a7a1-d6286d62992e">3854</DocumentNumber>
    <DossierNumber xmlns="1a33af13-4045-4f88-9d7b-618e30f79918">863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83</Value>
      <Value>78</Value>
      <Value>8</Value>
      <Value>5</Value>
      <Value>3</Value>
      <Value>1</Value>
      <Value>15</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KATTNIG</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3223</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2026-03-18T12:00:00+00:00</AdoptionDate>
    <RequestingService xmlns="1a33af13-4045-4f88-9d7b-618e30f79918">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F359A70C-5351-44AC-ACB5-4077FD0B55A3}"/>
</file>

<file path=customXml/itemProps2.xml><?xml version="1.0" encoding="utf-8"?>
<ds:datastoreItem xmlns:ds="http://schemas.openxmlformats.org/officeDocument/2006/customXml" ds:itemID="{D0CD5761-B1D2-422E-B01F-ECD39B3222AD}"/>
</file>

<file path=customXml/itemProps3.xml><?xml version="1.0" encoding="utf-8"?>
<ds:datastoreItem xmlns:ds="http://schemas.openxmlformats.org/officeDocument/2006/customXml" ds:itemID="{74E784E5-4C94-499B-9957-0BC4320F76D3}"/>
</file>

<file path=customXml/itemProps4.xml><?xml version="1.0" encoding="utf-8"?>
<ds:datastoreItem xmlns:ds="http://schemas.openxmlformats.org/officeDocument/2006/customXml" ds:itemID="{C61282CF-47DD-4A81-82F8-D338BDE2A6F8}"/>
</file>

<file path=docProps/app.xml><?xml version="1.0" encoding="utf-8"?>
<Properties xmlns="http://schemas.openxmlformats.org/officeDocument/2006/extended-properties" xmlns:vt="http://schemas.openxmlformats.org/officeDocument/2006/docPropsVTypes">
  <Template>Normal</Template>
  <TotalTime>0</TotalTime>
  <Pages>2</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EU Hydrogen bank</vt:lpstr>
    </vt:vector>
  </TitlesOfParts>
  <Company>CESE-CdR</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Grids Package</dc:title>
  <dc:subject>Record of proceedings</dc:subject>
  <dc:creator>Hilary Morris</dc:creator>
  <cp:keywords>EESC-2025-03854-00-00-CR-TRA-EN</cp:keywords>
  <dc:description>Rapporteur: - KATTNIG Original language: - EN Date of document: - 20/03/2026 Date of meeting: -  External documents: - COM(2025)1005- final Administrator responsible: -  BORDIGNON GIORGIA ANDREA</dc:description>
  <cp:lastModifiedBy>TDriveSVCUserProd</cp:lastModifiedBy>
  <cp:revision>5</cp:revision>
  <cp:lastPrinted>2004-02-16T15:16:00Z</cp:lastPrinted>
  <dcterms:created xsi:type="dcterms:W3CDTF">2026-03-19T17:26:00Z</dcterms:created>
  <dcterms:modified xsi:type="dcterms:W3CDTF">2026-03-20T06:30:00Z</dcterms:modified>
  <cp:category>TEN/863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73bc3bcc-cbea-4942-a890-290f2b71425c</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3854</vt:i4>
  </property>
  <property fmtid="{D5CDD505-2E9C-101B-9397-08002B2CF9AE}" pid="14" name="FicheYear">
    <vt:i4>2025</vt:i4>
  </property>
  <property fmtid="{D5CDD505-2E9C-101B-9397-08002B2CF9AE}" pid="15" name="DocumentVersion">
    <vt:i4>0</vt:i4>
  </property>
  <property fmtid="{D5CDD505-2E9C-101B-9397-08002B2CF9AE}" pid="16" name="DossierNumber">
    <vt:i4>863</vt:i4>
  </property>
  <property fmtid="{D5CDD505-2E9C-101B-9397-08002B2CF9AE}" pid="17" name="DocumentStatus">
    <vt:lpwstr>3;#REF|722611fd-7eaf-44e3-8780-a3226646f5f0</vt:lpwstr>
  </property>
  <property fmtid="{D5CDD505-2E9C-101B-9397-08002B2CF9AE}" pid="18" name="DossierName">
    <vt:lpwstr>83;#TEN|5e12260d-3aca-41f8-baf2-ad3d18475f10</vt:lpwstr>
  </property>
  <property fmtid="{D5CDD505-2E9C-101B-9397-08002B2CF9AE}" pid="19" name="RequestingService">
    <vt:lpwstr>Transports, énergie, infrastructures et société de l'information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83;#TEN|5e12260d-3aca-41f8-baf2-ad3d18475f10;#78;#CR|3d8a0a7b-557a-49c4-997f-22056dbd9ff4;#8;#Final|ea5e6674-7b27-4bac-b091-73adbb394efe;#5;#EN|f2175f21-25d7-44a3-96da-d6a61b075e1b;#3;#REF|722611fd-7eaf-44e3-8780-a3226646f5f0;#1;#EESC|422833ec-8d7e-4e65-8e4e-8bed07ffb729;#15;#Unrestricted|826e22d7-d029-4ec0-a450-0c28ff673572</vt:lpwstr>
  </property>
  <property fmtid="{D5CDD505-2E9C-101B-9397-08002B2CF9AE}" pid="30" name="Rapporteur">
    <vt:lpwstr>KATTNIG</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3223</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2026-03-18T12:00:00Z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