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9737E8" w:rsidP="009737E8" w:rsidRDefault="009737E8" w14:paraId="4FFCAB7D" w14:textId="2CF5173D">
      <w:pPr>
        <w:jc w:val="right"/>
      </w:pPr>
      <w:r w:rsidRPr="009737E8">
        <w:rPr>
          <w:b/>
        </w:rPr>
        <w:t xml:space="preserve"> </w:t>
      </w:r>
      <w:r w:rsidRPr="00091A65">
        <w:rPr>
          <w:b/>
        </w:rPr>
        <w:t>TEN/</w:t>
      </w:r>
      <w:r>
        <w:rPr>
          <w:b/>
        </w:rPr>
        <w:t>862</w:t>
      </w:r>
    </w:p>
    <w:p w:rsidRPr="00462783" w:rsidR="009737E8" w:rsidP="009737E8" w:rsidRDefault="009737E8" w14:paraId="2B4BB05B" w14:textId="77777777">
      <w:pPr>
        <w:jc w:val="right"/>
        <w:rPr>
          <w:b/>
          <w:bCs/>
        </w:rPr>
      </w:pPr>
      <w:r w:rsidRPr="00222B42">
        <w:rPr>
          <w:b/>
          <w:bCs/>
        </w:rPr>
        <w:t>Clean corporate vehicles</w:t>
      </w:r>
    </w:p>
    <w:p w:rsidR="009737E8" w:rsidP="009737E8" w:rsidRDefault="009737E8" w14:paraId="11B953A6" w14:textId="77777777"/>
    <w:p w:rsidRPr="00A67235" w:rsidR="009737E8" w:rsidP="009737E8" w:rsidRDefault="009737E8" w14:paraId="0DCAD0D0" w14:textId="77777777"/>
    <w:p w:rsidRPr="00A67235" w:rsidR="009737E8" w:rsidP="009737E8" w:rsidRDefault="009737E8" w14:paraId="38B9764F" w14:textId="77777777">
      <w:pPr>
        <w:jc w:val="right"/>
      </w:pPr>
      <w:r w:rsidRPr="00A67235">
        <w:t xml:space="preserve">Brussels, </w:t>
      </w:r>
      <w:r>
        <w:t>18 March 2026</w:t>
      </w:r>
    </w:p>
    <w:p w:rsidRPr="00A67235" w:rsidR="009737E8" w:rsidP="009737E8" w:rsidRDefault="009737E8" w14:paraId="3DFC77C3" w14:textId="77777777"/>
    <w:p w:rsidRPr="00A67235" w:rsidR="009737E8" w:rsidP="009737E8" w:rsidRDefault="009737E8" w14:paraId="198B3D1F" w14:textId="77777777"/>
    <w:p w:rsidRPr="00A67235" w:rsidR="009737E8" w:rsidP="009737E8" w:rsidRDefault="009737E8" w14:paraId="0DB49A78" w14:textId="77777777"/>
    <w:p w:rsidRPr="00A67235" w:rsidR="009737E8" w:rsidP="009737E8" w:rsidRDefault="009737E8" w14:paraId="649696A7" w14:textId="77777777"/>
    <w:p w:rsidRPr="00A64C42" w:rsidR="009737E8" w:rsidP="009737E8" w:rsidRDefault="009737E8" w14:paraId="001E7331" w14:textId="77777777">
      <w:pPr>
        <w:ind w:left="737" w:right="737"/>
        <w:jc w:val="center"/>
        <w:rPr>
          <w:b/>
          <w:bCs/>
        </w:rPr>
      </w:pPr>
      <w:r w:rsidRPr="00A67235">
        <w:rPr>
          <w:b/>
          <w:sz w:val="32"/>
        </w:rPr>
        <w:t>RECORD OF THE PROCEEDINGS</w:t>
      </w:r>
      <w:r>
        <w:rPr>
          <w:b/>
          <w:sz w:val="32"/>
        </w:rPr>
        <w:br/>
      </w:r>
      <w:r>
        <w:br/>
      </w:r>
      <w:r w:rsidRPr="00A67235">
        <w:t>European Economic and Social Committee</w:t>
      </w:r>
      <w:r>
        <w:br/>
      </w:r>
      <w:r>
        <w:br/>
      </w:r>
      <w:r w:rsidRPr="00A64C42">
        <w:rPr>
          <w:b/>
          <w:bCs/>
        </w:rPr>
        <w:t>Proposal for a Regulation of the European Parliament and of the Council on clean corporate vehicles</w:t>
      </w:r>
    </w:p>
    <w:p w:rsidRPr="00A64C42" w:rsidR="009737E8" w:rsidP="009737E8" w:rsidRDefault="009737E8" w14:paraId="2B35CF35" w14:textId="77777777">
      <w:pPr>
        <w:jc w:val="center"/>
        <w:rPr>
          <w:highlight w:val="yellow"/>
        </w:rPr>
      </w:pPr>
      <w:r w:rsidRPr="00A64C42">
        <w:t>(COM(2025) 994 final - 2025/0421 (COD))</w:t>
      </w:r>
    </w:p>
    <w:p w:rsidRPr="00A67235" w:rsidR="009737E8" w:rsidP="009737E8" w:rsidRDefault="009737E8" w14:paraId="4A5AE4C5" w14:textId="77777777">
      <w:pPr>
        <w:jc w:val="center"/>
      </w:pPr>
      <w:r w:rsidRPr="00A67235">
        <w:t>_____________</w:t>
      </w:r>
    </w:p>
    <w:p w:rsidRPr="00A67235" w:rsidR="009737E8" w:rsidP="009737E8" w:rsidRDefault="009737E8" w14:paraId="1C072A7E" w14:textId="77777777">
      <w:pPr>
        <w:jc w:val="center"/>
      </w:pPr>
    </w:p>
    <w:p w:rsidRPr="00A67235" w:rsidR="009737E8" w:rsidP="009737E8" w:rsidRDefault="009737E8" w14:paraId="59F5DDD7" w14:textId="77777777">
      <w:pPr>
        <w:jc w:val="center"/>
        <w:rPr>
          <w:bCs/>
        </w:rPr>
      </w:pPr>
      <w:r>
        <w:t>604</w:t>
      </w:r>
      <w:r w:rsidRPr="00BD2E2A">
        <w:rPr>
          <w:vertAlign w:val="superscript"/>
        </w:rPr>
        <w:t>th</w:t>
      </w:r>
      <w:r>
        <w:t xml:space="preserve"> plenary session</w:t>
      </w:r>
      <w:r>
        <w:br/>
      </w:r>
      <w:r>
        <w:rPr>
          <w:bCs/>
        </w:rPr>
        <w:br/>
      </w:r>
      <w:r w:rsidRPr="00A67235">
        <w:rPr>
          <w:bCs/>
        </w:rPr>
        <w:t>Brussels</w:t>
      </w:r>
      <w:r>
        <w:rPr>
          <w:bCs/>
        </w:rPr>
        <w:br/>
        <w:t>18-19 March 2026</w:t>
      </w:r>
    </w:p>
    <w:p w:rsidRPr="00A67235" w:rsidR="009737E8" w:rsidP="009737E8" w:rsidRDefault="009737E8" w14:paraId="484C788A" w14:textId="77777777">
      <w:pPr>
        <w:jc w:val="center"/>
      </w:pPr>
      <w:r w:rsidRPr="00A67235">
        <w:t>_____________</w:t>
      </w:r>
    </w:p>
    <w:p w:rsidRPr="00A67235" w:rsidR="009737E8" w:rsidP="009737E8" w:rsidRDefault="009737E8" w14:paraId="38B93481" w14:textId="77777777">
      <w:pPr>
        <w:jc w:val="center"/>
      </w:pPr>
    </w:p>
    <w:p w:rsidRPr="00A67235" w:rsidR="009737E8" w:rsidP="009737E8" w:rsidRDefault="009737E8" w14:paraId="342001B2" w14:textId="77777777">
      <w:pPr>
        <w:jc w:val="center"/>
      </w:pPr>
      <w:r w:rsidRPr="00A67235">
        <w:t xml:space="preserve">Meeting of </w:t>
      </w:r>
      <w:r>
        <w:t>18 March 2026</w:t>
      </w:r>
      <w:r>
        <w:br/>
      </w:r>
      <w:r w:rsidRPr="00A67235">
        <w:rPr>
          <w:bCs/>
        </w:rPr>
        <w:t>_____________</w:t>
      </w:r>
    </w:p>
    <w:p w:rsidRPr="00A67235" w:rsidR="009737E8" w:rsidP="009737E8" w:rsidRDefault="009737E8" w14:paraId="4AEDD26B" w14:textId="77777777">
      <w:pPr>
        <w:jc w:val="center"/>
      </w:pPr>
    </w:p>
    <w:p w:rsidRPr="00A67235" w:rsidR="009737E8" w:rsidP="009737E8" w:rsidRDefault="009737E8" w14:paraId="20AE3B06" w14:textId="77777777">
      <w:pPr>
        <w:pStyle w:val="Footer"/>
        <w:jc w:val="center"/>
      </w:pPr>
      <w:r w:rsidRPr="00A67235">
        <w:t>Agenda item</w:t>
      </w:r>
      <w:r>
        <w:t xml:space="preserve"> 14</w:t>
      </w:r>
    </w:p>
    <w:p w:rsidRPr="00A67235" w:rsidR="009737E8" w:rsidP="009737E8" w:rsidRDefault="009737E8" w14:paraId="571B1B16" w14:textId="77777777">
      <w:pPr>
        <w:pStyle w:val="Footer"/>
        <w:jc w:val="center"/>
      </w:pPr>
      <w:r w:rsidRPr="00A67235">
        <w:t>_____________</w:t>
      </w:r>
    </w:p>
    <w:p w:rsidRPr="00A67235" w:rsidR="009737E8" w:rsidP="009737E8" w:rsidRDefault="009737E8" w14:paraId="45EB06E4" w14:textId="77777777"/>
    <w:p w:rsidRPr="00A67235" w:rsidR="009737E8" w:rsidP="009737E8" w:rsidRDefault="009737E8" w14:paraId="647421E2" w14:textId="77777777">
      <w:r w:rsidRPr="00A67235">
        <w:rPr>
          <w:b/>
          <w:bCs/>
        </w:rPr>
        <w:br w:type="page"/>
      </w:r>
    </w:p>
    <w:p w:rsidR="009737E8" w:rsidP="009737E8" w:rsidRDefault="009737E8" w14:paraId="5644B8C3" w14:textId="77777777">
      <w:pPr>
        <w:spacing w:line="240" w:lineRule="auto"/>
        <w:rPr>
          <w:lang w:eastAsia="en-GB"/>
        </w:rPr>
      </w:pPr>
      <w:r w:rsidRPr="00DD7078">
        <w:rPr>
          <w:b/>
          <w:bCs/>
          <w:lang w:eastAsia="en-GB"/>
        </w:rPr>
        <w:lastRenderedPageBreak/>
        <w:t xml:space="preserve">The President </w:t>
      </w:r>
      <w:r w:rsidRPr="00DD7078">
        <w:rPr>
          <w:lang w:eastAsia="en-GB"/>
        </w:rPr>
        <w:t xml:space="preserve">asked that the Committee turn to agenda item </w:t>
      </w:r>
      <w:r>
        <w:rPr>
          <w:lang w:eastAsia="en-GB"/>
        </w:rPr>
        <w:t>14</w:t>
      </w:r>
      <w:r w:rsidRPr="00DD7078">
        <w:rPr>
          <w:lang w:eastAsia="en-GB"/>
        </w:rPr>
        <w:t xml:space="preserve"> – </w:t>
      </w:r>
      <w:r w:rsidRPr="00A67235">
        <w:t>adoption of an opinion on the</w:t>
      </w:r>
    </w:p>
    <w:p w:rsidR="009737E8" w:rsidP="009737E8" w:rsidRDefault="009737E8" w14:paraId="2570ECA1" w14:textId="77777777">
      <w:pPr>
        <w:spacing w:line="240" w:lineRule="auto"/>
        <w:rPr>
          <w:lang w:eastAsia="en-GB"/>
        </w:rPr>
      </w:pPr>
    </w:p>
    <w:p w:rsidRPr="00D81CAF" w:rsidR="009737E8" w:rsidP="009737E8" w:rsidRDefault="009737E8" w14:paraId="7832A384" w14:textId="77777777">
      <w:pPr>
        <w:ind w:left="1430"/>
        <w:rPr>
          <w:i/>
          <w:iCs/>
        </w:rPr>
      </w:pPr>
      <w:r w:rsidRPr="003E7E01">
        <w:rPr>
          <w:i/>
          <w:iCs/>
        </w:rPr>
        <w:t>Proposal for a Regulation of the European Parliament and of the Council on clean corporate vehicles</w:t>
      </w:r>
      <w:r w:rsidRPr="00D81CAF">
        <w:rPr>
          <w:i/>
          <w:iCs/>
        </w:rPr>
        <w:t xml:space="preserve"> for the opinion of the </w:t>
      </w:r>
    </w:p>
    <w:p w:rsidRPr="00D81CAF" w:rsidR="009737E8" w:rsidP="009737E8" w:rsidRDefault="009737E8" w14:paraId="49B806A6" w14:textId="77777777">
      <w:pPr>
        <w:ind w:left="1430"/>
        <w:rPr>
          <w:i/>
          <w:iCs/>
        </w:rPr>
      </w:pPr>
      <w:r w:rsidRPr="00D81CAF">
        <w:rPr>
          <w:i/>
          <w:iCs/>
        </w:rPr>
        <w:t>European Economic and Social Committee</w:t>
      </w:r>
    </w:p>
    <w:p w:rsidRPr="00D81CAF" w:rsidR="009737E8" w:rsidP="009737E8" w:rsidRDefault="009737E8" w14:paraId="33E3E659" w14:textId="77777777">
      <w:pPr>
        <w:ind w:left="1430"/>
      </w:pPr>
      <w:r w:rsidRPr="00D81CAF">
        <w:t>(</w:t>
      </w:r>
      <w:r w:rsidRPr="0008590F">
        <w:t>COM(2025) 994 final - 2025/0421 (COD))</w:t>
      </w:r>
    </w:p>
    <w:p w:rsidRPr="00DD7078" w:rsidR="009737E8" w:rsidP="009737E8" w:rsidRDefault="009737E8" w14:paraId="4908A838" w14:textId="77777777">
      <w:pPr>
        <w:spacing w:line="240" w:lineRule="auto"/>
        <w:rPr>
          <w:lang w:eastAsia="en-GB"/>
        </w:rPr>
      </w:pPr>
      <w:r w:rsidRPr="00DD7078">
        <w:rPr>
          <w:lang w:eastAsia="en-GB"/>
        </w:rPr>
        <w:t> </w:t>
      </w:r>
    </w:p>
    <w:p w:rsidRPr="007A283C" w:rsidR="009737E8" w:rsidP="009737E8" w:rsidRDefault="009737E8" w14:paraId="6C2A358C" w14:textId="77777777">
      <w:pPr>
        <w:spacing w:line="240" w:lineRule="auto"/>
        <w:rPr>
          <w:lang w:eastAsia="en-GB"/>
        </w:rPr>
      </w:pPr>
      <w:r w:rsidRPr="00DD7078">
        <w:rPr>
          <w:lang w:eastAsia="en-GB"/>
        </w:rPr>
        <w:t>The preliminary work had been carried out by the Section for Transport, Energy, Infrastructure and the Information Society (</w:t>
      </w:r>
      <w:r>
        <w:rPr>
          <w:lang w:eastAsia="en-GB"/>
        </w:rPr>
        <w:t>p</w:t>
      </w:r>
      <w:r w:rsidRPr="00DD7078">
        <w:rPr>
          <w:lang w:eastAsia="en-GB"/>
        </w:rPr>
        <w:t>resident</w:t>
      </w:r>
      <w:r>
        <w:rPr>
          <w:lang w:eastAsia="en-GB"/>
        </w:rPr>
        <w:t>:</w:t>
      </w:r>
      <w:r w:rsidRPr="00DD7078">
        <w:rPr>
          <w:lang w:eastAsia="en-GB"/>
        </w:rPr>
        <w:t xml:space="preserve"> </w:t>
      </w:r>
      <w:r>
        <w:rPr>
          <w:b/>
          <w:bCs/>
        </w:rPr>
        <w:t>Marcin NOWACKI</w:t>
      </w:r>
      <w:r w:rsidRPr="00DD7078">
        <w:rPr>
          <w:lang w:eastAsia="en-GB"/>
        </w:rPr>
        <w:t xml:space="preserve">). </w:t>
      </w:r>
      <w:r w:rsidRPr="000149F1">
        <w:rPr>
          <w:lang w:eastAsia="en-GB"/>
        </w:rPr>
        <w:t>The rapporteur was</w:t>
      </w:r>
      <w:r w:rsidRPr="000149F1">
        <w:rPr>
          <w:b/>
          <w:bCs/>
          <w:lang w:eastAsia="en-GB"/>
        </w:rPr>
        <w:t xml:space="preserve"> </w:t>
      </w:r>
      <w:r w:rsidRPr="0007526F">
        <w:rPr>
          <w:b/>
          <w:bCs/>
          <w:lang w:eastAsia="en-GB"/>
        </w:rPr>
        <w:t xml:space="preserve">Corina MURAFA BENGA </w:t>
      </w:r>
      <w:r w:rsidRPr="0007526F">
        <w:rPr>
          <w:lang w:eastAsia="en-GB"/>
        </w:rPr>
        <w:t>(RO-III).</w:t>
      </w:r>
      <w:r w:rsidRPr="000149F1">
        <w:rPr>
          <w:lang w:eastAsia="en-GB"/>
        </w:rPr>
        <w:t xml:space="preserve"> </w:t>
      </w:r>
      <w:r w:rsidRPr="007A283C">
        <w:rPr>
          <w:lang w:eastAsia="en-GB"/>
        </w:rPr>
        <w:t xml:space="preserve">The section adopted its opinion on </w:t>
      </w:r>
      <w:r>
        <w:rPr>
          <w:lang w:eastAsia="en-GB"/>
        </w:rPr>
        <w:t xml:space="preserve">9 March </w:t>
      </w:r>
      <w:r w:rsidRPr="007A283C">
        <w:rPr>
          <w:lang w:eastAsia="en-GB"/>
        </w:rPr>
        <w:t>202</w:t>
      </w:r>
      <w:r>
        <w:rPr>
          <w:lang w:eastAsia="en-GB"/>
        </w:rPr>
        <w:t>6</w:t>
      </w:r>
      <w:r w:rsidRPr="007A283C">
        <w:rPr>
          <w:lang w:val="en-US" w:eastAsia="en-GB"/>
        </w:rPr>
        <w:t xml:space="preserve"> by </w:t>
      </w:r>
      <w:r>
        <w:rPr>
          <w:lang w:val="en-US" w:eastAsia="en-GB"/>
        </w:rPr>
        <w:t>59</w:t>
      </w:r>
      <w:r w:rsidRPr="007A283C">
        <w:rPr>
          <w:lang w:val="en-US" w:eastAsia="en-GB"/>
        </w:rPr>
        <w:t xml:space="preserve"> votes to </w:t>
      </w:r>
      <w:r>
        <w:rPr>
          <w:lang w:val="en-US" w:eastAsia="en-GB"/>
        </w:rPr>
        <w:t>7</w:t>
      </w:r>
      <w:r w:rsidRPr="007A283C">
        <w:rPr>
          <w:lang w:val="en-US" w:eastAsia="en-GB"/>
        </w:rPr>
        <w:t xml:space="preserve"> and </w:t>
      </w:r>
      <w:r>
        <w:rPr>
          <w:lang w:val="en-US" w:eastAsia="en-GB"/>
        </w:rPr>
        <w:t>four</w:t>
      </w:r>
      <w:r w:rsidRPr="007A283C">
        <w:rPr>
          <w:lang w:val="en-US" w:eastAsia="en-GB"/>
        </w:rPr>
        <w:t xml:space="preserve"> abstentions.</w:t>
      </w:r>
    </w:p>
    <w:p w:rsidR="009737E8" w:rsidP="009737E8" w:rsidRDefault="009737E8" w14:paraId="2A552775" w14:textId="77777777">
      <w:pPr>
        <w:spacing w:line="240" w:lineRule="auto"/>
        <w:rPr>
          <w:lang w:val="en-US" w:eastAsia="en-GB"/>
        </w:rPr>
      </w:pPr>
    </w:p>
    <w:p w:rsidRPr="000149F1" w:rsidR="009737E8" w:rsidP="009737E8" w:rsidRDefault="009737E8" w14:paraId="1FD7870D" w14:textId="77777777">
      <w:pPr>
        <w:spacing w:line="240" w:lineRule="auto"/>
        <w:rPr>
          <w:lang w:eastAsia="en-GB"/>
        </w:rPr>
      </w:pPr>
      <w:r w:rsidRPr="00C209B7">
        <w:rPr>
          <w:lang w:eastAsia="en-GB"/>
        </w:rPr>
        <w:t xml:space="preserve">The President </w:t>
      </w:r>
      <w:r w:rsidRPr="000149F1">
        <w:rPr>
          <w:lang w:eastAsia="en-GB"/>
        </w:rPr>
        <w:t xml:space="preserve">gives the floor to the rapporteur </w:t>
      </w:r>
      <w:r w:rsidRPr="0007526F">
        <w:rPr>
          <w:b/>
          <w:bCs/>
          <w:lang w:eastAsia="en-GB"/>
        </w:rPr>
        <w:t xml:space="preserve">Corina MURAFA BENGA </w:t>
      </w:r>
      <w:r w:rsidRPr="000149F1">
        <w:rPr>
          <w:lang w:eastAsia="en-GB"/>
        </w:rPr>
        <w:t xml:space="preserve">who introduces the opinion. The Rapporteur briefly presents the state of play of </w:t>
      </w:r>
      <w:r>
        <w:rPr>
          <w:lang w:eastAsia="en-GB"/>
        </w:rPr>
        <w:t xml:space="preserve">opinion. </w:t>
      </w:r>
    </w:p>
    <w:p w:rsidRPr="000149F1" w:rsidR="009737E8" w:rsidP="009737E8" w:rsidRDefault="009737E8" w14:paraId="2A64C581" w14:textId="77777777">
      <w:pPr>
        <w:spacing w:line="240" w:lineRule="auto"/>
        <w:rPr>
          <w:lang w:eastAsia="en-GB"/>
        </w:rPr>
      </w:pPr>
    </w:p>
    <w:p w:rsidRPr="000149F1" w:rsidR="009737E8" w:rsidP="009737E8" w:rsidRDefault="009737E8" w14:paraId="76F9C026" w14:textId="77777777">
      <w:pPr>
        <w:spacing w:line="240" w:lineRule="auto"/>
        <w:rPr>
          <w:lang w:eastAsia="en-GB"/>
        </w:rPr>
      </w:pPr>
      <w:r w:rsidRPr="000149F1">
        <w:rPr>
          <w:lang w:eastAsia="en-GB"/>
        </w:rPr>
        <w:t xml:space="preserve">During the debate, the following members take the floor: </w:t>
      </w:r>
      <w:r w:rsidRPr="00C209B7">
        <w:rPr>
          <w:lang w:eastAsia="en-GB"/>
        </w:rPr>
        <w:t>Mr</w:t>
      </w:r>
      <w:r>
        <w:rPr>
          <w:lang w:eastAsia="en-GB"/>
        </w:rPr>
        <w:t xml:space="preserve">. </w:t>
      </w:r>
      <w:r w:rsidRPr="00C209B7">
        <w:rPr>
          <w:lang w:eastAsia="en-GB"/>
        </w:rPr>
        <w:t>George</w:t>
      </w:r>
      <w:r w:rsidRPr="000149F1">
        <w:rPr>
          <w:lang w:eastAsia="en-GB"/>
        </w:rPr>
        <w:t xml:space="preserve"> </w:t>
      </w:r>
      <w:r w:rsidRPr="00C209B7">
        <w:rPr>
          <w:caps/>
          <w:lang w:eastAsia="en-GB"/>
        </w:rPr>
        <w:t>Badescu</w:t>
      </w:r>
      <w:r>
        <w:rPr>
          <w:caps/>
          <w:lang w:eastAsia="en-GB"/>
        </w:rPr>
        <w:t xml:space="preserve"> (GR I)</w:t>
      </w:r>
      <w:r>
        <w:rPr>
          <w:lang w:eastAsia="en-GB"/>
        </w:rPr>
        <w:t xml:space="preserve">, Mr. </w:t>
      </w:r>
      <w:r w:rsidRPr="00C209B7">
        <w:rPr>
          <w:lang w:eastAsia="en-GB"/>
        </w:rPr>
        <w:t xml:space="preserve">Domantas </w:t>
      </w:r>
      <w:r w:rsidRPr="00C209B7">
        <w:rPr>
          <w:caps/>
          <w:lang w:eastAsia="en-GB"/>
        </w:rPr>
        <w:t>Tracevicius</w:t>
      </w:r>
      <w:r>
        <w:rPr>
          <w:caps/>
          <w:lang w:eastAsia="en-GB"/>
        </w:rPr>
        <w:t xml:space="preserve"> (GR III)</w:t>
      </w:r>
      <w:r>
        <w:rPr>
          <w:lang w:eastAsia="en-GB"/>
        </w:rPr>
        <w:t xml:space="preserve">, Ms </w:t>
      </w:r>
      <w:r w:rsidRPr="00C209B7">
        <w:rPr>
          <w:lang w:eastAsia="en-GB"/>
        </w:rPr>
        <w:t xml:space="preserve">Reet </w:t>
      </w:r>
      <w:r w:rsidRPr="00C209B7">
        <w:rPr>
          <w:caps/>
          <w:lang w:eastAsia="en-GB"/>
        </w:rPr>
        <w:t>Teder</w:t>
      </w:r>
      <w:r>
        <w:rPr>
          <w:caps/>
          <w:lang w:eastAsia="en-GB"/>
        </w:rPr>
        <w:t xml:space="preserve"> (GR I)</w:t>
      </w:r>
      <w:r>
        <w:rPr>
          <w:lang w:eastAsia="en-GB"/>
        </w:rPr>
        <w:t xml:space="preserve">, Mr. </w:t>
      </w:r>
      <w:r w:rsidRPr="00C209B7">
        <w:rPr>
          <w:lang w:eastAsia="en-GB"/>
        </w:rPr>
        <w:t xml:space="preserve">Eitvydas </w:t>
      </w:r>
      <w:r w:rsidRPr="00C209B7">
        <w:rPr>
          <w:caps/>
          <w:lang w:eastAsia="en-GB"/>
        </w:rPr>
        <w:t>Bajarunas</w:t>
      </w:r>
      <w:r>
        <w:rPr>
          <w:caps/>
          <w:lang w:eastAsia="en-GB"/>
        </w:rPr>
        <w:t xml:space="preserve"> (GR I)</w:t>
      </w:r>
      <w:r>
        <w:rPr>
          <w:lang w:eastAsia="en-GB"/>
        </w:rPr>
        <w:t xml:space="preserve">, Mr. </w:t>
      </w:r>
      <w:r w:rsidRPr="00C209B7">
        <w:rPr>
          <w:lang w:eastAsia="en-GB"/>
        </w:rPr>
        <w:t xml:space="preserve">Dumitru </w:t>
      </w:r>
      <w:r w:rsidRPr="00C209B7">
        <w:rPr>
          <w:caps/>
          <w:lang w:eastAsia="en-GB"/>
        </w:rPr>
        <w:t>Fornea</w:t>
      </w:r>
      <w:r>
        <w:rPr>
          <w:caps/>
          <w:lang w:eastAsia="en-GB"/>
        </w:rPr>
        <w:t xml:space="preserve"> (GR II)</w:t>
      </w:r>
      <w:r>
        <w:rPr>
          <w:lang w:eastAsia="en-GB"/>
        </w:rPr>
        <w:t xml:space="preserve">, Ms </w:t>
      </w:r>
      <w:r w:rsidRPr="00C209B7">
        <w:rPr>
          <w:lang w:eastAsia="en-GB"/>
        </w:rPr>
        <w:t xml:space="preserve">Mariya </w:t>
      </w:r>
      <w:r w:rsidRPr="00C209B7">
        <w:rPr>
          <w:caps/>
          <w:lang w:eastAsia="en-GB"/>
        </w:rPr>
        <w:t>Mincheva</w:t>
      </w:r>
      <w:r>
        <w:rPr>
          <w:caps/>
          <w:lang w:eastAsia="en-GB"/>
        </w:rPr>
        <w:t xml:space="preserve"> (GR I)</w:t>
      </w:r>
      <w:r>
        <w:rPr>
          <w:lang w:eastAsia="en-GB"/>
        </w:rPr>
        <w:t>.</w:t>
      </w:r>
      <w:r w:rsidRPr="00C209B7">
        <w:rPr>
          <w:lang w:eastAsia="en-GB"/>
        </w:rPr>
        <w:t xml:space="preserve"> </w:t>
      </w:r>
      <w:r w:rsidRPr="000149F1">
        <w:rPr>
          <w:lang w:eastAsia="en-GB"/>
        </w:rPr>
        <w:t xml:space="preserve">The following points are raised: </w:t>
      </w:r>
    </w:p>
    <w:p w:rsidRPr="000149F1" w:rsidR="009737E8" w:rsidP="009737E8" w:rsidRDefault="009737E8" w14:paraId="664D6D49" w14:textId="77777777">
      <w:pPr>
        <w:spacing w:line="240" w:lineRule="auto"/>
        <w:rPr>
          <w:lang w:eastAsia="en-GB"/>
        </w:rPr>
      </w:pPr>
    </w:p>
    <w:p w:rsidR="009737E8" w:rsidP="009737E8" w:rsidRDefault="009737E8" w14:paraId="4366708C" w14:textId="77777777">
      <w:pPr>
        <w:numPr>
          <w:ilvl w:val="0"/>
          <w:numId w:val="4"/>
        </w:numPr>
        <w:spacing w:line="240" w:lineRule="auto"/>
        <w:rPr>
          <w:lang w:eastAsia="en-GB"/>
        </w:rPr>
      </w:pPr>
      <w:r>
        <w:rPr>
          <w:lang w:eastAsia="en-GB"/>
        </w:rPr>
        <w:t xml:space="preserve">Congratulations for the way the Rapporteur has integrated the very divers views of the Study Group Members; </w:t>
      </w:r>
    </w:p>
    <w:p w:rsidRPr="000149F1" w:rsidR="009737E8" w:rsidP="009737E8" w:rsidRDefault="009737E8" w14:paraId="4BF87B55" w14:textId="77777777">
      <w:pPr>
        <w:numPr>
          <w:ilvl w:val="0"/>
          <w:numId w:val="4"/>
        </w:numPr>
        <w:spacing w:line="240" w:lineRule="auto"/>
        <w:rPr>
          <w:lang w:eastAsia="en-GB"/>
        </w:rPr>
      </w:pPr>
      <w:r>
        <w:rPr>
          <w:lang w:eastAsia="en-GB"/>
        </w:rPr>
        <w:t xml:space="preserve">The approach of the European Commission is not always understood by the actors in the market; </w:t>
      </w:r>
    </w:p>
    <w:p w:rsidRPr="000149F1" w:rsidR="009737E8" w:rsidP="009737E8" w:rsidRDefault="009737E8" w14:paraId="16A048DE" w14:textId="77777777">
      <w:pPr>
        <w:numPr>
          <w:ilvl w:val="0"/>
          <w:numId w:val="4"/>
        </w:numPr>
        <w:spacing w:line="240" w:lineRule="auto"/>
        <w:rPr>
          <w:lang w:eastAsia="en-GB"/>
        </w:rPr>
      </w:pPr>
      <w:r>
        <w:rPr>
          <w:lang w:eastAsia="en-GB"/>
        </w:rPr>
        <w:t>Electric vehicles are the future; however, considering that already now 10% of cars sold in EU are made in China, the new legislation shall carefully take into consideration EU interests;</w:t>
      </w:r>
    </w:p>
    <w:p w:rsidR="009737E8" w:rsidP="009737E8" w:rsidRDefault="009737E8" w14:paraId="1E183016" w14:textId="77777777">
      <w:pPr>
        <w:numPr>
          <w:ilvl w:val="0"/>
          <w:numId w:val="4"/>
        </w:numPr>
        <w:spacing w:line="240" w:lineRule="auto"/>
        <w:rPr>
          <w:lang w:eastAsia="en-GB"/>
        </w:rPr>
      </w:pPr>
      <w:r>
        <w:rPr>
          <w:lang w:eastAsia="en-GB"/>
        </w:rPr>
        <w:t xml:space="preserve">Security aspects are important and shall be taken it into account; as it looks now, the proposal includes in its scope vehicles used for defence purposes as well and this might trigger negative consequences;  </w:t>
      </w:r>
    </w:p>
    <w:p w:rsidR="009737E8" w:rsidP="009737E8" w:rsidRDefault="009737E8" w14:paraId="20F981C1" w14:textId="77777777">
      <w:pPr>
        <w:numPr>
          <w:ilvl w:val="0"/>
          <w:numId w:val="4"/>
        </w:numPr>
        <w:spacing w:line="240" w:lineRule="auto"/>
        <w:rPr>
          <w:lang w:eastAsia="en-GB"/>
        </w:rPr>
      </w:pPr>
      <w:r>
        <w:rPr>
          <w:lang w:eastAsia="en-GB"/>
        </w:rPr>
        <w:t xml:space="preserve">Including or not SMEs in the scope of the proposal has been subject of negotiations among Members of the SG and remains an open question;  </w:t>
      </w:r>
    </w:p>
    <w:p w:rsidRPr="000149F1" w:rsidR="009737E8" w:rsidP="009737E8" w:rsidRDefault="009737E8" w14:paraId="1EF380B6" w14:textId="77777777">
      <w:pPr>
        <w:numPr>
          <w:ilvl w:val="0"/>
          <w:numId w:val="4"/>
        </w:numPr>
        <w:spacing w:line="240" w:lineRule="auto"/>
        <w:rPr>
          <w:lang w:eastAsia="en-GB"/>
        </w:rPr>
      </w:pPr>
      <w:r>
        <w:rPr>
          <w:lang w:eastAsia="en-GB"/>
        </w:rPr>
        <w:t xml:space="preserve">EU speaks about deregulation, while this specific proposal of the Commission seems not to be such an example; it would be better to let the market to regulate. </w:t>
      </w:r>
    </w:p>
    <w:p w:rsidRPr="000264FF" w:rsidR="009737E8" w:rsidP="009737E8" w:rsidRDefault="009737E8" w14:paraId="7E9D9769" w14:textId="77777777">
      <w:pPr>
        <w:rPr>
          <w:lang w:eastAsia="en-GB"/>
        </w:rPr>
      </w:pPr>
    </w:p>
    <w:p w:rsidR="009737E8" w:rsidP="009737E8" w:rsidRDefault="009737E8" w14:paraId="7EC69A6A" w14:textId="77777777">
      <w:pPr>
        <w:rPr>
          <w:lang w:eastAsia="en-GB"/>
        </w:rPr>
      </w:pPr>
      <w:r w:rsidRPr="00367D0E">
        <w:rPr>
          <w:lang w:eastAsia="en-GB"/>
        </w:rPr>
        <w:t>Following the debate, the Assembly examines</w:t>
      </w:r>
      <w:r>
        <w:rPr>
          <w:lang w:eastAsia="en-GB"/>
        </w:rPr>
        <w:t xml:space="preserve"> and adopts the below 1 </w:t>
      </w:r>
      <w:r w:rsidRPr="00367D0E">
        <w:rPr>
          <w:lang w:eastAsia="en-GB"/>
        </w:rPr>
        <w:t>compromise</w:t>
      </w:r>
      <w:r>
        <w:rPr>
          <w:lang w:eastAsia="en-GB"/>
        </w:rPr>
        <w:t xml:space="preserve"> </w:t>
      </w:r>
      <w:r w:rsidRPr="00367D0E">
        <w:rPr>
          <w:lang w:eastAsia="en-GB"/>
        </w:rPr>
        <w:t xml:space="preserve">and </w:t>
      </w:r>
      <w:r>
        <w:rPr>
          <w:lang w:eastAsia="en-GB"/>
        </w:rPr>
        <w:t>1</w:t>
      </w:r>
      <w:r w:rsidRPr="00367D0E">
        <w:rPr>
          <w:lang w:eastAsia="en-GB"/>
        </w:rPr>
        <w:t xml:space="preserve"> accepted amendment.</w:t>
      </w:r>
      <w:r>
        <w:rPr>
          <w:lang w:eastAsia="en-GB"/>
        </w:rPr>
        <w:t xml:space="preserve"> </w:t>
      </w:r>
    </w:p>
    <w:p w:rsidR="009737E8" w:rsidP="009737E8" w:rsidRDefault="009737E8" w14:paraId="241EDDB4" w14:textId="77777777">
      <w:pPr>
        <w:rPr>
          <w:lang w:eastAsia="en-GB"/>
        </w:rPr>
      </w:pPr>
    </w:p>
    <w:p w:rsidR="009737E8" w:rsidP="009737E8" w:rsidRDefault="009737E8" w14:paraId="67E27085" w14:textId="77777777">
      <w:pPr>
        <w:rPr>
          <w:lang w:eastAsia="en-GB"/>
        </w:rPr>
      </w:pPr>
    </w:p>
    <w:tbl>
      <w:tblPr>
        <w:tblW w:w="5001" w:type="pct"/>
        <w:tblBorders>
          <w:insideH w:val="nil"/>
          <w:insideV w:val="nil"/>
        </w:tblBorders>
        <w:tblLook w:val="01E0" w:firstRow="1" w:lastRow="1" w:firstColumn="1" w:lastColumn="1" w:noHBand="0" w:noVBand="0"/>
      </w:tblPr>
      <w:tblGrid>
        <w:gridCol w:w="5129"/>
        <w:gridCol w:w="3946"/>
      </w:tblGrid>
      <w:tr w:rsidRPr="009726A9" w:rsidR="009737E8" w:rsidTr="0092493F" w14:paraId="10D5172C" w14:textId="77777777">
        <w:tc>
          <w:tcPr>
            <w:tcW w:w="2826" w:type="pct"/>
            <w:tcBorders>
              <w:top w:val="nil"/>
              <w:left w:val="nil"/>
              <w:bottom w:val="nil"/>
              <w:right w:val="nil"/>
            </w:tcBorders>
          </w:tcPr>
          <w:p w:rsidRPr="009726A9" w:rsidR="009737E8" w:rsidP="0092493F" w:rsidRDefault="009737E8" w14:paraId="75039560" w14:textId="77777777">
            <w:pPr>
              <w:rPr>
                <w:b/>
                <w:bCs/>
                <w:sz w:val="32"/>
                <w:szCs w:val="32"/>
              </w:rPr>
            </w:pPr>
            <w:r w:rsidRPr="009726A9">
              <w:rPr>
                <w:b/>
                <w:bCs/>
                <w:sz w:val="32"/>
                <w:szCs w:val="32"/>
                <w:lang w:val="en-US"/>
              </w:rPr>
              <w:t>Compromise to Amendment 1</w:t>
            </w:r>
          </w:p>
          <w:p w:rsidRPr="009726A9" w:rsidR="009737E8" w:rsidP="0092493F" w:rsidRDefault="009737E8" w14:paraId="258675C5" w14:textId="77777777">
            <w:pPr>
              <w:rPr>
                <w:b/>
                <w:bCs/>
              </w:rPr>
            </w:pPr>
          </w:p>
          <w:p w:rsidRPr="009726A9" w:rsidR="009737E8" w:rsidP="0092493F" w:rsidRDefault="009737E8" w14:paraId="3260BDA4" w14:textId="77777777">
            <w:pPr>
              <w:rPr>
                <w:b/>
                <w:bCs/>
              </w:rPr>
            </w:pPr>
            <w:r w:rsidRPr="009726A9">
              <w:rPr>
                <w:b/>
                <w:bCs/>
              </w:rPr>
              <w:t>TEN/862</w:t>
            </w:r>
          </w:p>
          <w:p w:rsidRPr="009726A9" w:rsidR="009737E8" w:rsidP="0092493F" w:rsidRDefault="009737E8" w14:paraId="44580376" w14:textId="77777777">
            <w:pPr>
              <w:rPr>
                <w:b/>
                <w:bCs/>
              </w:rPr>
            </w:pPr>
            <w:r w:rsidRPr="009726A9">
              <w:rPr>
                <w:b/>
                <w:bCs/>
              </w:rPr>
              <w:t>Clean corporate vehicles</w:t>
            </w:r>
          </w:p>
          <w:p w:rsidRPr="009726A9" w:rsidR="009737E8" w:rsidP="0092493F" w:rsidRDefault="009737E8" w14:paraId="7F899942" w14:textId="77777777">
            <w:pPr>
              <w:rPr>
                <w:b/>
                <w:bCs/>
              </w:rPr>
            </w:pPr>
          </w:p>
          <w:p w:rsidRPr="009726A9" w:rsidR="009737E8" w:rsidP="0092493F" w:rsidRDefault="009737E8" w14:paraId="5CC97F8C" w14:textId="77777777">
            <w:pPr>
              <w:rPr>
                <w:b/>
                <w:bCs/>
              </w:rPr>
            </w:pPr>
            <w:r w:rsidRPr="009726A9">
              <w:rPr>
                <w:b/>
                <w:bCs/>
              </w:rPr>
              <w:t>Point 1.4</w:t>
            </w:r>
          </w:p>
          <w:p w:rsidRPr="009726A9" w:rsidR="009737E8" w:rsidP="0092493F" w:rsidRDefault="009737E8" w14:paraId="392F0064" w14:textId="77777777">
            <w:pPr>
              <w:rPr>
                <w:b/>
                <w:bCs/>
              </w:rPr>
            </w:pPr>
          </w:p>
          <w:p w:rsidRPr="009726A9" w:rsidR="009737E8" w:rsidP="0092493F" w:rsidRDefault="009737E8" w14:paraId="5B2ED0B2" w14:textId="77777777">
            <w:pPr>
              <w:rPr>
                <w:b/>
                <w:bCs/>
              </w:rPr>
            </w:pPr>
            <w:r w:rsidRPr="009726A9">
              <w:rPr>
                <w:b/>
                <w:bCs/>
              </w:rPr>
              <w:t>Amend as follows:</w:t>
            </w:r>
          </w:p>
        </w:tc>
        <w:tc>
          <w:tcPr>
            <w:tcW w:w="2174" w:type="pct"/>
            <w:tcBorders>
              <w:top w:val="nil"/>
              <w:left w:val="nil"/>
              <w:bottom w:val="nil"/>
              <w:right w:val="nil"/>
            </w:tcBorders>
            <w:hideMark/>
          </w:tcPr>
          <w:p w:rsidRPr="009726A9" w:rsidR="009737E8" w:rsidP="0092493F" w:rsidRDefault="009737E8" w14:paraId="2E092ABC" w14:textId="77777777">
            <w:pPr>
              <w:jc w:val="left"/>
              <w:rPr>
                <w:b/>
                <w:bCs/>
                <w:lang w:val="es-ES"/>
              </w:rPr>
            </w:pPr>
            <w:r w:rsidRPr="009726A9">
              <w:rPr>
                <w:b/>
                <w:bCs/>
                <w:lang w:val="es-ES"/>
              </w:rPr>
              <w:t>Tabled by:</w:t>
            </w:r>
          </w:p>
          <w:p w:rsidRPr="009726A9" w:rsidR="009737E8" w:rsidP="0092493F" w:rsidRDefault="009737E8" w14:paraId="30B9419E" w14:textId="77777777">
            <w:pPr>
              <w:jc w:val="left"/>
              <w:rPr>
                <w:lang w:val="es-ES"/>
              </w:rPr>
            </w:pPr>
            <w:r w:rsidRPr="009726A9">
              <w:rPr>
                <w:lang w:val="es-ES"/>
              </w:rPr>
              <w:t>DE MELLO Vasco</w:t>
            </w:r>
          </w:p>
          <w:p w:rsidRPr="009726A9" w:rsidR="009737E8" w:rsidP="0092493F" w:rsidRDefault="009737E8" w14:paraId="4E1723A3" w14:textId="77777777">
            <w:pPr>
              <w:jc w:val="left"/>
              <w:rPr>
                <w:lang w:val="es-ES"/>
              </w:rPr>
            </w:pPr>
            <w:r w:rsidRPr="009726A9">
              <w:rPr>
                <w:lang w:val="es-ES"/>
              </w:rPr>
              <w:t>FERRARINI Lisa</w:t>
            </w:r>
          </w:p>
          <w:p w:rsidRPr="009726A9" w:rsidR="009737E8" w:rsidP="0092493F" w:rsidRDefault="009737E8" w14:paraId="68BF0ADD" w14:textId="77777777">
            <w:pPr>
              <w:jc w:val="left"/>
            </w:pPr>
            <w:r w:rsidRPr="009726A9">
              <w:t xml:space="preserve">GERSTEIN Antje </w:t>
            </w:r>
          </w:p>
          <w:p w:rsidRPr="009726A9" w:rsidR="009737E8" w:rsidP="0092493F" w:rsidRDefault="009737E8" w14:paraId="0410BAA6" w14:textId="77777777">
            <w:pPr>
              <w:jc w:val="left"/>
            </w:pPr>
            <w:r w:rsidRPr="009726A9">
              <w:t>MINCHEVA Mariya</w:t>
            </w:r>
          </w:p>
        </w:tc>
      </w:tr>
    </w:tbl>
    <w:p w:rsidRPr="009726A9" w:rsidR="009737E8" w:rsidP="009737E8" w:rsidRDefault="009737E8" w14:paraId="59E6B48C" w14:textId="77777777">
      <w:pPr>
        <w:jc w:val="center"/>
      </w:pPr>
    </w:p>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9726A9" w:rsidR="009737E8" w:rsidTr="0092493F" w14:paraId="71079206" w14:textId="77777777">
        <w:tc>
          <w:tcPr>
            <w:tcW w:w="2500" w:type="pct"/>
            <w:tcBorders>
              <w:top w:val="single" w:color="auto" w:sz="4" w:space="0"/>
              <w:left w:val="single" w:color="auto" w:sz="4" w:space="0"/>
              <w:bottom w:val="single" w:color="auto" w:sz="4" w:space="0"/>
              <w:right w:val="single" w:color="auto" w:sz="4" w:space="0"/>
            </w:tcBorders>
            <w:hideMark/>
          </w:tcPr>
          <w:p w:rsidRPr="009726A9" w:rsidR="009737E8" w:rsidP="0092493F" w:rsidRDefault="009737E8" w14:paraId="02A9363B" w14:textId="77777777">
            <w:pPr>
              <w:jc w:val="center"/>
              <w:rPr>
                <w:b/>
                <w:bCs/>
                <w:i/>
              </w:rPr>
            </w:pPr>
            <w:r w:rsidRPr="009726A9">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9726A9" w:rsidR="009737E8" w:rsidP="0092493F" w:rsidRDefault="009737E8" w14:paraId="309220F8" w14:textId="77777777">
            <w:pPr>
              <w:jc w:val="center"/>
              <w:rPr>
                <w:b/>
                <w:bCs/>
                <w:i/>
                <w:lang w:val="en-US"/>
              </w:rPr>
            </w:pPr>
            <w:r w:rsidRPr="009726A9">
              <w:rPr>
                <w:b/>
                <w:bCs/>
                <w:i/>
                <w:lang w:val="en-US"/>
              </w:rPr>
              <w:t>Compromise</w:t>
            </w:r>
          </w:p>
        </w:tc>
      </w:tr>
      <w:tr w:rsidRPr="009726A9" w:rsidR="009737E8" w:rsidTr="0092493F" w14:paraId="7F9B02FA" w14:textId="77777777">
        <w:tc>
          <w:tcPr>
            <w:tcW w:w="2500" w:type="pct"/>
            <w:tcBorders>
              <w:top w:val="single" w:color="auto" w:sz="4" w:space="0"/>
              <w:left w:val="single" w:color="auto" w:sz="4" w:space="0"/>
              <w:bottom w:val="single" w:color="auto" w:sz="4" w:space="0"/>
              <w:right w:val="single" w:color="auto" w:sz="4" w:space="0"/>
            </w:tcBorders>
            <w:hideMark/>
          </w:tcPr>
          <w:p w:rsidRPr="009726A9" w:rsidR="009737E8" w:rsidP="0092493F" w:rsidRDefault="009737E8" w14:paraId="4A79EF68" w14:textId="77777777">
            <w:pPr>
              <w:spacing w:before="80" w:after="80"/>
              <w:ind w:left="80" w:right="80"/>
              <w:rPr>
                <w:lang w:val="en-US"/>
              </w:rPr>
            </w:pPr>
            <w:r w:rsidRPr="009726A9">
              <w:rPr>
                <w:lang w:val="en-US"/>
              </w:rPr>
              <w:t>recognises that SMEs may be affected indirectly through supply chains and leasing markets. Where Member States introduce support schemes, these should be open to companies of all sizes. Schemes should support vehicle operators and end users, including lessees, rather than lessors;</w:t>
            </w:r>
          </w:p>
        </w:tc>
        <w:tc>
          <w:tcPr>
            <w:tcW w:w="2500" w:type="pct"/>
            <w:tcBorders>
              <w:top w:val="single" w:color="auto" w:sz="4" w:space="0"/>
              <w:left w:val="single" w:color="auto" w:sz="4" w:space="0"/>
              <w:bottom w:val="single" w:color="auto" w:sz="4" w:space="0"/>
              <w:right w:val="single" w:color="auto" w:sz="4" w:space="0"/>
            </w:tcBorders>
            <w:shd w:val="clear" w:color="auto" w:fill="FFFFFF"/>
            <w:hideMark/>
          </w:tcPr>
          <w:p w:rsidRPr="009726A9" w:rsidR="009737E8" w:rsidP="0092493F" w:rsidRDefault="009737E8" w14:paraId="42E2531B" w14:textId="77777777">
            <w:pPr>
              <w:spacing w:before="80" w:after="80"/>
              <w:ind w:left="79" w:right="79"/>
              <w:rPr>
                <w:lang w:val="en-US"/>
              </w:rPr>
            </w:pPr>
            <w:r w:rsidRPr="0020154E">
              <w:t xml:space="preserve">recognises that SMEs may be affected indirectly through supply chains and leasing markets </w:t>
            </w:r>
            <w:r w:rsidRPr="0020154E">
              <w:rPr>
                <w:b/>
                <w:bCs/>
                <w:i/>
              </w:rPr>
              <w:t>and calls on the Commission to assess the overall direct and indirect impact on SMEs if they were mandated with targets for zero-emission cars and vans. The results of this assessment should inform any potential inclusion of SMEs in the scope of the regulation, upon future revision processes it will undergo</w:t>
            </w:r>
            <w:r w:rsidRPr="0020154E">
              <w:t>. Where Member States introduce support schemes, these should be open to companies of all sizes. Schemes should support vehicle operators and end users, including lessees, rather than lessors;</w:t>
            </w:r>
          </w:p>
        </w:tc>
      </w:tr>
    </w:tbl>
    <w:p w:rsidRPr="009726A9" w:rsidR="009737E8" w:rsidP="009737E8" w:rsidRDefault="009737E8" w14:paraId="78CE3EA8" w14:textId="77777777">
      <w:pPr>
        <w:jc w:val="center"/>
      </w:pPr>
    </w:p>
    <w:tbl>
      <w:tblPr>
        <w:tblStyle w:val="TableGrid"/>
        <w:tblW w:w="5000" w:type="pct"/>
        <w:tblLook w:val="01E0" w:firstRow="1" w:lastRow="1" w:firstColumn="1" w:lastColumn="1" w:noHBand="0" w:noVBand="0"/>
      </w:tblPr>
      <w:tblGrid>
        <w:gridCol w:w="9063"/>
      </w:tblGrid>
      <w:tr w:rsidRPr="009726A9" w:rsidR="009737E8" w:rsidTr="0092493F" w14:paraId="0176A0A3" w14:textId="77777777">
        <w:tc>
          <w:tcPr>
            <w:tcW w:w="5000" w:type="pct"/>
            <w:tcBorders>
              <w:top w:val="single" w:color="auto" w:sz="4" w:space="0"/>
              <w:left w:val="single" w:color="auto" w:sz="4" w:space="0"/>
              <w:bottom w:val="single" w:color="auto" w:sz="4" w:space="0"/>
              <w:right w:val="single" w:color="auto" w:sz="4" w:space="0"/>
            </w:tcBorders>
            <w:hideMark/>
          </w:tcPr>
          <w:p w:rsidRPr="009726A9" w:rsidR="009737E8" w:rsidP="0092493F" w:rsidRDefault="009737E8" w14:paraId="1B46AD64" w14:textId="77777777">
            <w:pPr>
              <w:jc w:val="center"/>
            </w:pPr>
            <w:r w:rsidRPr="009726A9">
              <w:rPr>
                <w:b/>
                <w:bCs/>
              </w:rPr>
              <w:t>Reason</w:t>
            </w:r>
          </w:p>
        </w:tc>
      </w:tr>
      <w:tr w:rsidRPr="009726A9" w:rsidR="009737E8" w:rsidTr="0092493F" w14:paraId="120F95DA" w14:textId="77777777">
        <w:tc>
          <w:tcPr>
            <w:tcW w:w="5000" w:type="pct"/>
            <w:tcBorders>
              <w:top w:val="single" w:color="auto" w:sz="4" w:space="0"/>
              <w:left w:val="single" w:color="auto" w:sz="4" w:space="0"/>
              <w:bottom w:val="single" w:color="auto" w:sz="4" w:space="0"/>
              <w:right w:val="single" w:color="auto" w:sz="4" w:space="0"/>
            </w:tcBorders>
            <w:hideMark/>
          </w:tcPr>
          <w:p w:rsidRPr="009726A9" w:rsidR="009737E8" w:rsidP="0092493F" w:rsidRDefault="009737E8" w14:paraId="3EFD2F62" w14:textId="77777777">
            <w:r w:rsidRPr="009726A9">
              <w:t xml:space="preserve">We suggest adding here a request to the European Commission to assess the overall impact on SMEs – direct and indirect and deleting p. 1.16. Based on this, further proposals to the Regulation can be made in the future.  </w:t>
            </w:r>
          </w:p>
        </w:tc>
      </w:tr>
    </w:tbl>
    <w:p w:rsidR="009737E8" w:rsidP="009737E8" w:rsidRDefault="009737E8" w14:paraId="7AF48390" w14:textId="77777777">
      <w:pPr>
        <w:jc w:val="left"/>
      </w:pPr>
    </w:p>
    <w:p w:rsidRPr="009726A9" w:rsidR="009737E8" w:rsidP="009737E8" w:rsidRDefault="009737E8" w14:paraId="1168346F" w14:textId="77777777">
      <w:pPr>
        <w:jc w:val="left"/>
      </w:pPr>
      <w:r w:rsidRPr="00CB635F">
        <w:tab/>
      </w:r>
    </w:p>
    <w:tbl>
      <w:tblPr>
        <w:tblW w:w="5001" w:type="pct"/>
        <w:tblBorders>
          <w:insideH w:val="nil"/>
          <w:insideV w:val="nil"/>
        </w:tblBorders>
        <w:tblLook w:val="01E0" w:firstRow="1" w:lastRow="1" w:firstColumn="1" w:lastColumn="1" w:noHBand="0" w:noVBand="0"/>
      </w:tblPr>
      <w:tblGrid>
        <w:gridCol w:w="5129"/>
        <w:gridCol w:w="3946"/>
      </w:tblGrid>
      <w:tr w:rsidRPr="00CB635F" w:rsidR="009737E8" w:rsidTr="0092493F" w14:paraId="0BDDF66D" w14:textId="77777777">
        <w:tc>
          <w:tcPr>
            <w:tcW w:w="2826" w:type="pct"/>
            <w:tcBorders>
              <w:top w:val="nil"/>
              <w:left w:val="nil"/>
              <w:bottom w:val="nil"/>
              <w:right w:val="nil"/>
            </w:tcBorders>
          </w:tcPr>
          <w:p w:rsidRPr="00CB635F" w:rsidR="009737E8" w:rsidP="0092493F" w:rsidRDefault="009737E8" w14:paraId="65B04962" w14:textId="77777777">
            <w:pPr>
              <w:rPr>
                <w:b/>
                <w:bCs/>
                <w:sz w:val="32"/>
                <w:szCs w:val="32"/>
              </w:rPr>
            </w:pPr>
            <w:r w:rsidRPr="00CB635F">
              <w:rPr>
                <w:b/>
                <w:bCs/>
                <w:sz w:val="32"/>
                <w:szCs w:val="32"/>
              </w:rPr>
              <w:t>AMENDMENT 2</w:t>
            </w:r>
          </w:p>
          <w:p w:rsidRPr="00CB635F" w:rsidR="009737E8" w:rsidP="0092493F" w:rsidRDefault="009737E8" w14:paraId="36FC243F" w14:textId="77777777">
            <w:pPr>
              <w:rPr>
                <w:b/>
                <w:bCs/>
              </w:rPr>
            </w:pPr>
          </w:p>
          <w:p w:rsidRPr="00CB635F" w:rsidR="009737E8" w:rsidP="0092493F" w:rsidRDefault="009737E8" w14:paraId="02075118" w14:textId="77777777">
            <w:pPr>
              <w:rPr>
                <w:b/>
                <w:bCs/>
              </w:rPr>
            </w:pPr>
            <w:r w:rsidRPr="00CB635F">
              <w:rPr>
                <w:b/>
                <w:bCs/>
              </w:rPr>
              <w:t>TEN/862</w:t>
            </w:r>
          </w:p>
          <w:p w:rsidRPr="00CB635F" w:rsidR="009737E8" w:rsidP="0092493F" w:rsidRDefault="009737E8" w14:paraId="6DBEAEC7" w14:textId="77777777">
            <w:pPr>
              <w:rPr>
                <w:b/>
                <w:bCs/>
              </w:rPr>
            </w:pPr>
            <w:r w:rsidRPr="00CB635F">
              <w:rPr>
                <w:b/>
                <w:bCs/>
              </w:rPr>
              <w:t>Clean corporate vehicles</w:t>
            </w:r>
          </w:p>
          <w:p w:rsidRPr="00CB635F" w:rsidR="009737E8" w:rsidP="0092493F" w:rsidRDefault="009737E8" w14:paraId="4743F6D0" w14:textId="77777777">
            <w:pPr>
              <w:rPr>
                <w:b/>
                <w:bCs/>
              </w:rPr>
            </w:pPr>
          </w:p>
          <w:p w:rsidRPr="00CB635F" w:rsidR="009737E8" w:rsidP="0092493F" w:rsidRDefault="009737E8" w14:paraId="15607756" w14:textId="77777777">
            <w:pPr>
              <w:rPr>
                <w:b/>
                <w:bCs/>
              </w:rPr>
            </w:pPr>
            <w:r w:rsidRPr="00CB635F">
              <w:rPr>
                <w:b/>
                <w:bCs/>
              </w:rPr>
              <w:t>Point 1.16</w:t>
            </w:r>
          </w:p>
          <w:p w:rsidRPr="00CB635F" w:rsidR="009737E8" w:rsidP="0092493F" w:rsidRDefault="009737E8" w14:paraId="30CED5B1" w14:textId="77777777">
            <w:pPr>
              <w:rPr>
                <w:b/>
                <w:bCs/>
              </w:rPr>
            </w:pPr>
          </w:p>
          <w:p w:rsidRPr="00CB635F" w:rsidR="009737E8" w:rsidP="0092493F" w:rsidRDefault="009737E8" w14:paraId="09E8AAAA" w14:textId="77777777">
            <w:pPr>
              <w:rPr>
                <w:b/>
                <w:bCs/>
              </w:rPr>
            </w:pPr>
            <w:r w:rsidRPr="00CB635F">
              <w:rPr>
                <w:b/>
                <w:bCs/>
              </w:rPr>
              <w:t>Delete point.</w:t>
            </w:r>
          </w:p>
        </w:tc>
        <w:tc>
          <w:tcPr>
            <w:tcW w:w="2174" w:type="pct"/>
            <w:tcBorders>
              <w:top w:val="nil"/>
              <w:left w:val="nil"/>
              <w:bottom w:val="nil"/>
              <w:right w:val="nil"/>
            </w:tcBorders>
            <w:hideMark/>
          </w:tcPr>
          <w:p w:rsidRPr="00CB635F" w:rsidR="009737E8" w:rsidP="0092493F" w:rsidRDefault="009737E8" w14:paraId="3DE7FA8C" w14:textId="77777777">
            <w:pPr>
              <w:jc w:val="left"/>
              <w:rPr>
                <w:b/>
                <w:bCs/>
                <w:lang w:val="es-ES"/>
              </w:rPr>
            </w:pPr>
            <w:r w:rsidRPr="00CB635F">
              <w:rPr>
                <w:b/>
                <w:bCs/>
                <w:lang w:val="es-ES"/>
              </w:rPr>
              <w:t>Tabled by:</w:t>
            </w:r>
          </w:p>
          <w:p w:rsidRPr="00CB635F" w:rsidR="009737E8" w:rsidP="0092493F" w:rsidRDefault="009737E8" w14:paraId="0783AEF2" w14:textId="77777777">
            <w:pPr>
              <w:jc w:val="left"/>
              <w:rPr>
                <w:lang w:val="es-ES"/>
              </w:rPr>
            </w:pPr>
            <w:r w:rsidRPr="00CB635F">
              <w:rPr>
                <w:lang w:val="es-ES"/>
              </w:rPr>
              <w:t>DE MELLO Vasco</w:t>
            </w:r>
          </w:p>
          <w:p w:rsidRPr="00CB635F" w:rsidR="009737E8" w:rsidP="0092493F" w:rsidRDefault="009737E8" w14:paraId="61DB2479" w14:textId="77777777">
            <w:pPr>
              <w:jc w:val="left"/>
              <w:rPr>
                <w:lang w:val="es-ES"/>
              </w:rPr>
            </w:pPr>
            <w:r w:rsidRPr="00CB635F">
              <w:rPr>
                <w:lang w:val="es-ES"/>
              </w:rPr>
              <w:t>FERRARINI Lisa</w:t>
            </w:r>
          </w:p>
          <w:p w:rsidRPr="00CB635F" w:rsidR="009737E8" w:rsidP="0092493F" w:rsidRDefault="009737E8" w14:paraId="2F131664" w14:textId="77777777">
            <w:pPr>
              <w:jc w:val="left"/>
            </w:pPr>
            <w:r w:rsidRPr="00CB635F">
              <w:t xml:space="preserve">GERSTEIN Antje </w:t>
            </w:r>
          </w:p>
          <w:p w:rsidRPr="00CB635F" w:rsidR="009737E8" w:rsidP="0092493F" w:rsidRDefault="009737E8" w14:paraId="0A4ECB67" w14:textId="77777777">
            <w:pPr>
              <w:jc w:val="left"/>
            </w:pPr>
            <w:r w:rsidRPr="00CB635F">
              <w:t>MINCHEVA Mariya</w:t>
            </w:r>
          </w:p>
        </w:tc>
      </w:tr>
    </w:tbl>
    <w:p w:rsidRPr="00CB635F" w:rsidR="009737E8" w:rsidP="009737E8" w:rsidRDefault="009737E8" w14:paraId="5D437C6D" w14:textId="77777777">
      <w:pPr>
        <w:jc w:val="center"/>
      </w:pPr>
    </w:p>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CB635F" w:rsidR="009737E8" w:rsidTr="0092493F" w14:paraId="55A360C3" w14:textId="77777777">
        <w:tc>
          <w:tcPr>
            <w:tcW w:w="2500" w:type="pct"/>
            <w:tcBorders>
              <w:top w:val="single" w:color="auto" w:sz="4" w:space="0"/>
              <w:left w:val="single" w:color="auto" w:sz="4" w:space="0"/>
              <w:bottom w:val="single" w:color="auto" w:sz="4" w:space="0"/>
              <w:right w:val="single" w:color="auto" w:sz="4" w:space="0"/>
            </w:tcBorders>
            <w:hideMark/>
          </w:tcPr>
          <w:p w:rsidRPr="00CB635F" w:rsidR="009737E8" w:rsidP="0092493F" w:rsidRDefault="009737E8" w14:paraId="010950B8" w14:textId="77777777">
            <w:pPr>
              <w:jc w:val="center"/>
              <w:rPr>
                <w:b/>
                <w:bCs/>
                <w:i/>
              </w:rPr>
            </w:pPr>
            <w:r w:rsidRPr="00CB635F">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B635F" w:rsidR="009737E8" w:rsidP="0092493F" w:rsidRDefault="009737E8" w14:paraId="5D6A64A1" w14:textId="77777777">
            <w:pPr>
              <w:jc w:val="center"/>
              <w:rPr>
                <w:b/>
                <w:bCs/>
                <w:i/>
                <w:lang w:val="en-US"/>
              </w:rPr>
            </w:pPr>
            <w:r w:rsidRPr="00CB635F">
              <w:rPr>
                <w:b/>
                <w:bCs/>
                <w:i/>
                <w:lang w:val="en-US"/>
              </w:rPr>
              <w:t>Amendment</w:t>
            </w:r>
          </w:p>
        </w:tc>
      </w:tr>
      <w:tr w:rsidRPr="00CB635F" w:rsidR="009737E8" w:rsidTr="0092493F" w14:paraId="2A35BE65" w14:textId="77777777">
        <w:tc>
          <w:tcPr>
            <w:tcW w:w="2500" w:type="pct"/>
            <w:tcBorders>
              <w:top w:val="single" w:color="auto" w:sz="4" w:space="0"/>
              <w:left w:val="single" w:color="auto" w:sz="4" w:space="0"/>
              <w:bottom w:val="single" w:color="auto" w:sz="4" w:space="0"/>
              <w:right w:val="single" w:color="auto" w:sz="4" w:space="0"/>
            </w:tcBorders>
            <w:hideMark/>
          </w:tcPr>
          <w:p w:rsidRPr="00CB635F" w:rsidR="009737E8" w:rsidP="0092493F" w:rsidRDefault="009737E8" w14:paraId="77C3E9D6" w14:textId="77777777">
            <w:pPr>
              <w:spacing w:before="80" w:after="80"/>
              <w:ind w:left="80" w:right="80"/>
              <w:rPr>
                <w:b/>
                <w:bCs/>
                <w:i/>
                <w:lang w:val="en-US"/>
              </w:rPr>
            </w:pPr>
            <w:r w:rsidRPr="00CB635F">
              <w:rPr>
                <w:b/>
                <w:bCs/>
                <w:i/>
                <w:lang w:val="en-US"/>
              </w:rPr>
              <w:t>calls for the Commission to assess impact on SMEs if they would be mandated with zero emission cars and vans. In case of net benefits – SMEs should be included in the scope of the policy.</w:t>
            </w:r>
          </w:p>
        </w:tc>
        <w:tc>
          <w:tcPr>
            <w:tcW w:w="2500" w:type="pct"/>
            <w:tcBorders>
              <w:top w:val="single" w:color="auto" w:sz="4" w:space="0"/>
              <w:left w:val="single" w:color="auto" w:sz="4" w:space="0"/>
              <w:bottom w:val="single" w:color="auto" w:sz="4" w:space="0"/>
              <w:right w:val="single" w:color="auto" w:sz="4" w:space="0"/>
            </w:tcBorders>
            <w:hideMark/>
          </w:tcPr>
          <w:p w:rsidRPr="00CB635F" w:rsidR="009737E8" w:rsidP="0092493F" w:rsidRDefault="009737E8" w14:paraId="31EE9E25" w14:textId="77777777">
            <w:pPr>
              <w:rPr>
                <w:b/>
                <w:bCs/>
                <w:i/>
                <w:lang w:val="en-US"/>
              </w:rPr>
            </w:pPr>
          </w:p>
        </w:tc>
      </w:tr>
    </w:tbl>
    <w:p w:rsidRPr="00CB635F" w:rsidR="009737E8" w:rsidP="009737E8" w:rsidRDefault="009737E8" w14:paraId="6AD5F112" w14:textId="77777777">
      <w:pPr>
        <w:jc w:val="center"/>
      </w:pPr>
    </w:p>
    <w:tbl>
      <w:tblPr>
        <w:tblStyle w:val="TableGrid"/>
        <w:tblW w:w="5000" w:type="pct"/>
        <w:tblLook w:val="01E0" w:firstRow="1" w:lastRow="1" w:firstColumn="1" w:lastColumn="1" w:noHBand="0" w:noVBand="0"/>
      </w:tblPr>
      <w:tblGrid>
        <w:gridCol w:w="9063"/>
      </w:tblGrid>
      <w:tr w:rsidRPr="00CB635F" w:rsidR="009737E8" w:rsidTr="0092493F" w14:paraId="651C9134" w14:textId="77777777">
        <w:tc>
          <w:tcPr>
            <w:tcW w:w="5000" w:type="pct"/>
            <w:tcBorders>
              <w:top w:val="single" w:color="auto" w:sz="4" w:space="0"/>
              <w:left w:val="single" w:color="auto" w:sz="4" w:space="0"/>
              <w:bottom w:val="single" w:color="auto" w:sz="4" w:space="0"/>
              <w:right w:val="single" w:color="auto" w:sz="4" w:space="0"/>
            </w:tcBorders>
            <w:hideMark/>
          </w:tcPr>
          <w:p w:rsidRPr="00CB635F" w:rsidR="009737E8" w:rsidP="0092493F" w:rsidRDefault="009737E8" w14:paraId="2C8E2B36" w14:textId="77777777">
            <w:pPr>
              <w:jc w:val="center"/>
            </w:pPr>
            <w:r w:rsidRPr="00CB635F">
              <w:rPr>
                <w:b/>
                <w:bCs/>
              </w:rPr>
              <w:t>Reason</w:t>
            </w:r>
          </w:p>
        </w:tc>
      </w:tr>
      <w:tr w:rsidRPr="00CB635F" w:rsidR="009737E8" w:rsidTr="0092493F" w14:paraId="2EF37CA5" w14:textId="77777777">
        <w:tc>
          <w:tcPr>
            <w:tcW w:w="5000" w:type="pct"/>
            <w:tcBorders>
              <w:top w:val="single" w:color="auto" w:sz="4" w:space="0"/>
              <w:left w:val="single" w:color="auto" w:sz="4" w:space="0"/>
              <w:bottom w:val="single" w:color="auto" w:sz="4" w:space="0"/>
              <w:right w:val="single" w:color="auto" w:sz="4" w:space="0"/>
            </w:tcBorders>
            <w:hideMark/>
          </w:tcPr>
          <w:p w:rsidRPr="00CB635F" w:rsidR="009737E8" w:rsidP="0092493F" w:rsidRDefault="009737E8" w14:paraId="13FB68E3" w14:textId="77777777">
            <w:r w:rsidRPr="00CB635F">
              <w:t xml:space="preserve">This is not the systematic place to discuss SMEs. Instead, an amendment is proposed in 1.4. which discusses SMEs, based on the argumentation pointed out in p. 2.9. </w:t>
            </w:r>
          </w:p>
        </w:tc>
      </w:tr>
    </w:tbl>
    <w:p w:rsidR="009737E8" w:rsidP="00EC0F0F" w:rsidRDefault="009737E8" w14:paraId="19BF2627" w14:textId="77777777">
      <w:pPr>
        <w:jc w:val="center"/>
      </w:pPr>
    </w:p>
    <w:p w:rsidRPr="001040A5" w:rsidR="001A6A39" w:rsidP="001A6A39" w:rsidRDefault="001A6A39" w14:paraId="09BFC1AA" w14:textId="77777777">
      <w:pPr>
        <w:rPr>
          <w:lang w:eastAsia="en-GB"/>
        </w:rPr>
      </w:pPr>
      <w:r>
        <w:rPr>
          <w:lang w:eastAsia="en-GB"/>
        </w:rPr>
        <w:t>The opinion is adopted with</w:t>
      </w:r>
      <w:r w:rsidRPr="001040A5">
        <w:rPr>
          <w:lang w:eastAsia="en-GB"/>
        </w:rPr>
        <w:t xml:space="preserve"> 191</w:t>
      </w:r>
      <w:r>
        <w:rPr>
          <w:lang w:eastAsia="en-GB"/>
        </w:rPr>
        <w:t xml:space="preserve"> votes in favour, </w:t>
      </w:r>
      <w:r w:rsidRPr="001040A5">
        <w:rPr>
          <w:lang w:eastAsia="en-GB"/>
        </w:rPr>
        <w:t>7</w:t>
      </w:r>
      <w:r>
        <w:rPr>
          <w:lang w:eastAsia="en-GB"/>
        </w:rPr>
        <w:t xml:space="preserve"> </w:t>
      </w:r>
      <w:r w:rsidRPr="001040A5">
        <w:rPr>
          <w:lang w:eastAsia="en-GB"/>
        </w:rPr>
        <w:t>against</w:t>
      </w:r>
      <w:r>
        <w:rPr>
          <w:lang w:eastAsia="en-GB"/>
        </w:rPr>
        <w:t xml:space="preserve"> and 3 </w:t>
      </w:r>
      <w:r w:rsidRPr="001040A5">
        <w:rPr>
          <w:lang w:eastAsia="en-GB"/>
        </w:rPr>
        <w:t>abs</w:t>
      </w:r>
      <w:r>
        <w:rPr>
          <w:lang w:eastAsia="en-GB"/>
        </w:rPr>
        <w:t xml:space="preserve">tentions. </w:t>
      </w:r>
    </w:p>
    <w:p w:rsidR="001A6A39" w:rsidP="001A6A39" w:rsidRDefault="001A6A39" w14:paraId="3ECE3214" w14:textId="77777777">
      <w:pPr>
        <w:jc w:val="left"/>
      </w:pPr>
    </w:p>
    <w:p w:rsidR="001A6A39" w:rsidP="00EC0F0F" w:rsidRDefault="001A6A39" w14:paraId="464A20CE" w14:textId="77777777">
      <w:pPr>
        <w:jc w:val="center"/>
      </w:pPr>
    </w:p>
    <w:p w:rsidRPr="00A67235" w:rsidR="000E4B6B" w:rsidP="00EC0F0F" w:rsidRDefault="000E4B6B" w14:paraId="0B23E20E" w14:textId="2AD19B93">
      <w:pPr>
        <w:jc w:val="center"/>
      </w:pPr>
      <w:r w:rsidRPr="00A67235">
        <w:t>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8EFD5" w14:textId="77777777" w:rsidR="008737A0" w:rsidRDefault="008737A0">
      <w:r>
        <w:separator/>
      </w:r>
    </w:p>
  </w:endnote>
  <w:endnote w:type="continuationSeparator" w:id="0">
    <w:p w14:paraId="09B1DDFC" w14:textId="77777777" w:rsidR="008737A0" w:rsidRDefault="0087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50C26679" w:rsidR="00964A13" w:rsidRPr="00964A13" w:rsidRDefault="00964A13" w:rsidP="00964A13">
    <w:pPr>
      <w:pStyle w:val="Footer"/>
    </w:pPr>
    <w:r>
      <w:t>EESC-</w:t>
    </w:r>
    <w:r w:rsidR="009737E8">
      <w:t>2025</w:t>
    </w:r>
    <w:r>
      <w:t>-</w:t>
    </w:r>
    <w:r w:rsidR="009737E8">
      <w:t>03938</w:t>
    </w:r>
    <w:r>
      <w:t>-</w:t>
    </w:r>
    <w:r w:rsidR="009737E8">
      <w:t>00</w:t>
    </w:r>
    <w:r>
      <w:t>-</w:t>
    </w:r>
    <w:r w:rsidR="009737E8">
      <w:t>00</w:t>
    </w:r>
    <w:r>
      <w:t>-CR-REF (</w:t>
    </w:r>
    <w:r w:rsidR="009737E8">
      <w:t>EN</w:t>
    </w:r>
    <w:r>
      <w:t xml:space="preserve">) </w:t>
    </w:r>
    <w:r>
      <w:fldChar w:fldCharType="begin"/>
    </w:r>
    <w:r>
      <w:instrText xml:space="preserve"> PAGE  \* Arabic  \* MERGEFORMAT </w:instrText>
    </w:r>
    <w:r>
      <w:fldChar w:fldCharType="separate"/>
    </w:r>
    <w:r w:rsidR="008E0742">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8E0742">
      <w:rPr>
        <w:noProof/>
      </w:rPr>
      <w:instrText>1</w:instrText>
    </w:r>
    <w:r>
      <w:fldChar w:fldCharType="end"/>
    </w:r>
    <w:r>
      <w:instrText xml:space="preserve"> -0 </w:instrText>
    </w:r>
    <w:r>
      <w:fldChar w:fldCharType="separate"/>
    </w:r>
    <w:r w:rsidR="008E074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8FBC5" w14:textId="77777777" w:rsidR="008737A0" w:rsidRDefault="008737A0">
      <w:r>
        <w:separator/>
      </w:r>
    </w:p>
  </w:footnote>
  <w:footnote w:type="continuationSeparator" w:id="0">
    <w:p w14:paraId="65D6B2BC" w14:textId="77777777" w:rsidR="008737A0" w:rsidRDefault="00873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0521ED0"/>
    <w:multiLevelType w:val="hybridMultilevel"/>
    <w:tmpl w:val="B36234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B3441"/>
    <w:rsid w:val="000D6AA3"/>
    <w:rsid w:val="000E4B6B"/>
    <w:rsid w:val="000F03D6"/>
    <w:rsid w:val="00143A71"/>
    <w:rsid w:val="0015330A"/>
    <w:rsid w:val="00165632"/>
    <w:rsid w:val="001766AB"/>
    <w:rsid w:val="00177DAC"/>
    <w:rsid w:val="001A6A39"/>
    <w:rsid w:val="001C7254"/>
    <w:rsid w:val="002346F9"/>
    <w:rsid w:val="002601CF"/>
    <w:rsid w:val="00273FDB"/>
    <w:rsid w:val="002925F3"/>
    <w:rsid w:val="00297572"/>
    <w:rsid w:val="00320C0B"/>
    <w:rsid w:val="003439B0"/>
    <w:rsid w:val="003876B5"/>
    <w:rsid w:val="00392924"/>
    <w:rsid w:val="003C15D7"/>
    <w:rsid w:val="003C2604"/>
    <w:rsid w:val="003E1619"/>
    <w:rsid w:val="00423299"/>
    <w:rsid w:val="00460CC5"/>
    <w:rsid w:val="004A0843"/>
    <w:rsid w:val="00564B0D"/>
    <w:rsid w:val="00590C1E"/>
    <w:rsid w:val="005E1A79"/>
    <w:rsid w:val="00646E27"/>
    <w:rsid w:val="0073571F"/>
    <w:rsid w:val="007C6A55"/>
    <w:rsid w:val="00815851"/>
    <w:rsid w:val="00826375"/>
    <w:rsid w:val="0085676D"/>
    <w:rsid w:val="00862EFF"/>
    <w:rsid w:val="008737A0"/>
    <w:rsid w:val="008A371F"/>
    <w:rsid w:val="008E0097"/>
    <w:rsid w:val="008E0742"/>
    <w:rsid w:val="008F2211"/>
    <w:rsid w:val="00911202"/>
    <w:rsid w:val="009326E3"/>
    <w:rsid w:val="00961F04"/>
    <w:rsid w:val="00964A13"/>
    <w:rsid w:val="009737E8"/>
    <w:rsid w:val="009E138D"/>
    <w:rsid w:val="00A14D3A"/>
    <w:rsid w:val="00A53158"/>
    <w:rsid w:val="00A64D59"/>
    <w:rsid w:val="00A67235"/>
    <w:rsid w:val="00BE7410"/>
    <w:rsid w:val="00C05B64"/>
    <w:rsid w:val="00C4683E"/>
    <w:rsid w:val="00C87758"/>
    <w:rsid w:val="00D54F5F"/>
    <w:rsid w:val="00D806A2"/>
    <w:rsid w:val="00D91C0B"/>
    <w:rsid w:val="00DD05A8"/>
    <w:rsid w:val="00DF42E5"/>
    <w:rsid w:val="00E24886"/>
    <w:rsid w:val="00E55BBF"/>
    <w:rsid w:val="00E70261"/>
    <w:rsid w:val="00EC0F0F"/>
    <w:rsid w:val="00ED6BB4"/>
    <w:rsid w:val="00F01E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uiPriority w:val="99"/>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9737E8"/>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737E8"/>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A6WAAD5KZT2Q-284857674-11151</_dlc_DocId>
    <_dlc_DocIdUrl xmlns="1a33af13-4045-4f88-9d7b-618e30f79918">
      <Url>http://dm/eesc/2025/_layouts/15/DocIdRedir.aspx?ID=A6WAAD5KZT2Q-284857674-11151</Url>
      <Description>A6WAAD5KZT2Q-284857674-11151</Description>
    </_dlc_DocIdUrl>
    <Procedure xmlns="1a33af13-4045-4f88-9d7b-618e30f79918">2025/0421(COD)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2026-03-20T12:00:00+00:00</ProductionDate>
    <FicheYear xmlns="1a33af13-4045-4f88-9d7b-618e30f79918">2025</FicheYear>
    <DocumentNumber xmlns="27994258-8564-426c-a7a1-d6286d62992e">3938</DocumentNumber>
    <DossierNumber xmlns="1a33af13-4045-4f88-9d7b-618e30f79918">862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83</Value>
      <Value>78</Value>
      <Value>8</Value>
      <Value>5</Value>
      <Value>3</Value>
      <Value>1</Value>
      <Value>15</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MURAFA BENGA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3255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2026-03-18T12:00:00+00:00</AdoptionDate>
    <RequestingService xmlns="1a33af13-4045-4f88-9d7b-618e30f79918">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7FDC45D2-B10A-4BEB-89B6-AAB75A06A9CA}"/>
</file>

<file path=customXml/itemProps2.xml><?xml version="1.0" encoding="utf-8"?>
<ds:datastoreItem xmlns:ds="http://schemas.openxmlformats.org/officeDocument/2006/customXml" ds:itemID="{B54F8E5A-E168-4E62-82C2-E5EA79013F5A}"/>
</file>

<file path=customXml/itemProps3.xml><?xml version="1.0" encoding="utf-8"?>
<ds:datastoreItem xmlns:ds="http://schemas.openxmlformats.org/officeDocument/2006/customXml" ds:itemID="{7A65F759-0590-476F-B176-8245CD756863}"/>
</file>

<file path=customXml/itemProps4.xml><?xml version="1.0" encoding="utf-8"?>
<ds:datastoreItem xmlns:ds="http://schemas.openxmlformats.org/officeDocument/2006/customXml" ds:itemID="{A9D1A98F-AB5D-489D-82B3-38FB536CD6CF}"/>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INTERNAL DOCUMENT F_SOC5910-2008_PIEC_DOC-INT_EN</vt:lpstr>
    </vt:vector>
  </TitlesOfParts>
  <Company>CESE-CdR</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corporate vehicles</dc:title>
  <dc:subject>Record of proceedings</dc:subject>
  <dc:creator>Hilary Morris</dc:creator>
  <cp:keywords>EESC-2025-03938-00-00-CR-TRA-EN</cp:keywords>
  <dc:description>Rapporteur: - MURAFA BENGA Original language: - EN Date of document: - 20/03/2026 Date of meeting: -  External documents: - COM(2025)994- final Administrator responsible: -  PRECUP ALBERT</dc:description>
  <cp:lastModifiedBy>TDriveSVCUserProd</cp:lastModifiedBy>
  <cp:revision>4</cp:revision>
  <cp:lastPrinted>2004-02-16T15:16:00Z</cp:lastPrinted>
  <dcterms:created xsi:type="dcterms:W3CDTF">2026-03-20T08:19:00Z</dcterms:created>
  <dcterms:modified xsi:type="dcterms:W3CDTF">2026-03-20T11:01:00Z</dcterms:modified>
  <cp:category>TEN/862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80746ee8-27b1-4240-b84c-dcdb8376c627</vt:lpwstr>
  </property>
  <property fmtid="{D5CDD505-2E9C-101B-9397-08002B2CF9AE}" pid="9" name="Procedure">
    <vt:lpwstr>2025/0421(COD)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DocumentNumber">
    <vt:i4>3938</vt:i4>
  </property>
  <property fmtid="{D5CDD505-2E9C-101B-9397-08002B2CF9AE}" pid="15" name="FicheYear">
    <vt:i4>2025</vt:i4>
  </property>
  <property fmtid="{D5CDD505-2E9C-101B-9397-08002B2CF9AE}" pid="16" name="DocumentVersion">
    <vt:i4>0</vt:i4>
  </property>
  <property fmtid="{D5CDD505-2E9C-101B-9397-08002B2CF9AE}" pid="17" name="DossierNumber">
    <vt:i4>862</vt:i4>
  </property>
  <property fmtid="{D5CDD505-2E9C-101B-9397-08002B2CF9AE}" pid="18" name="DocumentStatus">
    <vt:lpwstr>3;#REF|722611fd-7eaf-44e3-8780-a3226646f5f0</vt:lpwstr>
  </property>
  <property fmtid="{D5CDD505-2E9C-101B-9397-08002B2CF9AE}" pid="19" name="DossierName">
    <vt:lpwstr>83;#TEN|5e12260d-3aca-41f8-baf2-ad3d18475f10</vt:lpwstr>
  </property>
  <property fmtid="{D5CDD505-2E9C-101B-9397-08002B2CF9AE}" pid="20" name="RequestingService">
    <vt:lpwstr>Transports, énergie, infrastructures et société de l'information</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83;#TEN|5e12260d-3aca-41f8-baf2-ad3d18475f10;#78;#CR|3d8a0a7b-557a-49c4-997f-22056dbd9ff4;#8;#Final|ea5e6674-7b27-4bac-b091-73adbb394efe;#5;#EN|f2175f21-25d7-44a3-96da-d6a61b075e1b;#3;#REF|722611fd-7eaf-44e3-8780-a3226646f5f0;#1;#EESC|422833ec-8d7e-4e65-8e4e-8bed07ffb729;#15;#Unrestricted|826e22d7-d029-4ec0-a450-0c28ff673572</vt:lpwstr>
  </property>
  <property fmtid="{D5CDD505-2E9C-101B-9397-08002B2CF9AE}" pid="31" name="Rapporteur">
    <vt:lpwstr>MURAFA BENGA</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3255</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2026-03-18T12:00:00Z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