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6B1057" w:rsidRDefault="00077C4F" w:rsidP="00442552">
      <w:pPr>
        <w:rPr>
          <w:rFonts w:ascii="Times New Roman" w:hAnsi="Times New Roman"/>
          <w:b/>
          <w:sz w:val="2"/>
          <w:szCs w:val="2"/>
          <w:u w:val="single"/>
          <w:lang w:val="en-GB"/>
        </w:rPr>
      </w:pPr>
    </w:p>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5C5836" w14:paraId="7E6372DC" w14:textId="77777777" w:rsidTr="6A87A82F">
        <w:trPr>
          <w:jc w:val="center"/>
        </w:trPr>
        <w:tc>
          <w:tcPr>
            <w:tcW w:w="9711" w:type="dxa"/>
          </w:tcPr>
          <w:p w14:paraId="3A4EDC3A" w14:textId="0B75EFDE" w:rsidR="001C4138" w:rsidRPr="005C5836" w:rsidRDefault="005C26B6" w:rsidP="006B1057">
            <w:pPr>
              <w:widowControl w:val="0"/>
              <w:spacing w:before="120" w:after="120"/>
              <w:rPr>
                <w:rFonts w:ascii="Times New Roman" w:hAnsi="Times New Roman"/>
                <w:b/>
                <w:sz w:val="24"/>
                <w:szCs w:val="24"/>
                <w:lang w:val="en-GB"/>
              </w:rPr>
            </w:pPr>
            <w:r w:rsidRPr="005C5836">
              <w:rPr>
                <w:rFonts w:ascii="Times New Roman" w:hAnsi="Times New Roman"/>
                <w:b/>
                <w:sz w:val="24"/>
                <w:szCs w:val="24"/>
                <w:lang w:val="en-GB"/>
              </w:rPr>
              <w:t>AI, Big Data and rare diseases</w:t>
            </w:r>
            <w:r w:rsidR="001C4138" w:rsidRPr="005C5836">
              <w:rPr>
                <w:rFonts w:ascii="Times New Roman" w:hAnsi="Times New Roman"/>
                <w:b/>
                <w:sz w:val="24"/>
                <w:szCs w:val="24"/>
                <w:lang w:val="en-GB"/>
              </w:rPr>
              <w:br/>
            </w:r>
            <w:r w:rsidRPr="005C5836">
              <w:rPr>
                <w:rFonts w:ascii="Times New Roman" w:hAnsi="Times New Roman"/>
                <w:b/>
                <w:sz w:val="24"/>
                <w:szCs w:val="24"/>
                <w:lang w:val="en-GB"/>
              </w:rPr>
              <w:t>Exploratory opinion requested by the Danish Presidency of the Council of the EU</w:t>
            </w:r>
            <w:r w:rsidR="001C4138" w:rsidRPr="005C5836">
              <w:rPr>
                <w:rFonts w:ascii="Times New Roman" w:hAnsi="Times New Roman"/>
                <w:b/>
                <w:sz w:val="24"/>
                <w:szCs w:val="24"/>
                <w:lang w:val="en-GB"/>
              </w:rPr>
              <w:br/>
              <w:t>EESC-</w:t>
            </w:r>
            <w:r w:rsidRPr="005C5836">
              <w:rPr>
                <w:rFonts w:ascii="Times New Roman" w:hAnsi="Times New Roman"/>
                <w:b/>
                <w:sz w:val="24"/>
                <w:szCs w:val="24"/>
                <w:lang w:val="en-GB"/>
              </w:rPr>
              <w:t>2025-01013</w:t>
            </w:r>
            <w:r w:rsidR="001C4138" w:rsidRPr="005C5836">
              <w:rPr>
                <w:rFonts w:ascii="Times New Roman" w:hAnsi="Times New Roman"/>
                <w:b/>
                <w:sz w:val="24"/>
                <w:szCs w:val="24"/>
                <w:lang w:val="en-GB"/>
              </w:rPr>
              <w:t xml:space="preserve"> ‒ </w:t>
            </w:r>
            <w:r w:rsidRPr="005C5836">
              <w:rPr>
                <w:rFonts w:ascii="Times New Roman" w:hAnsi="Times New Roman"/>
                <w:b/>
                <w:sz w:val="24"/>
                <w:szCs w:val="24"/>
                <w:lang w:val="en-GB"/>
              </w:rPr>
              <w:t>SOC/834</w:t>
            </w:r>
            <w:r w:rsidR="001C4138" w:rsidRPr="005C5836">
              <w:rPr>
                <w:rFonts w:ascii="Times New Roman" w:hAnsi="Times New Roman"/>
                <w:b/>
                <w:sz w:val="24"/>
                <w:szCs w:val="24"/>
                <w:lang w:val="en-GB"/>
              </w:rPr>
              <w:br/>
            </w:r>
            <w:r w:rsidRPr="005C5836">
              <w:rPr>
                <w:rFonts w:ascii="Times New Roman" w:hAnsi="Times New Roman"/>
                <w:b/>
                <w:sz w:val="24"/>
                <w:szCs w:val="24"/>
                <w:lang w:val="en-GB"/>
              </w:rPr>
              <w:t>599</w:t>
            </w:r>
            <w:r w:rsidRPr="005C5836">
              <w:rPr>
                <w:rFonts w:ascii="Times New Roman" w:hAnsi="Times New Roman"/>
                <w:b/>
                <w:sz w:val="24"/>
                <w:szCs w:val="24"/>
                <w:vertAlign w:val="superscript"/>
                <w:lang w:val="en-GB"/>
              </w:rPr>
              <w:t>th</w:t>
            </w:r>
            <w:r w:rsidRPr="005C5836">
              <w:rPr>
                <w:rFonts w:ascii="Times New Roman" w:hAnsi="Times New Roman"/>
                <w:b/>
                <w:sz w:val="24"/>
                <w:szCs w:val="24"/>
                <w:lang w:val="en-GB"/>
              </w:rPr>
              <w:t xml:space="preserve"> </w:t>
            </w:r>
            <w:r w:rsidR="001C4138" w:rsidRPr="005C5836">
              <w:rPr>
                <w:rFonts w:ascii="Times New Roman" w:hAnsi="Times New Roman"/>
                <w:b/>
                <w:sz w:val="24"/>
                <w:szCs w:val="24"/>
                <w:lang w:val="en-GB"/>
              </w:rPr>
              <w:t xml:space="preserve">Plenary Session – </w:t>
            </w:r>
            <w:r w:rsidRPr="005C5836">
              <w:rPr>
                <w:rFonts w:ascii="Times New Roman" w:hAnsi="Times New Roman"/>
                <w:b/>
                <w:sz w:val="24"/>
                <w:szCs w:val="24"/>
                <w:lang w:val="en-GB"/>
              </w:rPr>
              <w:t>September 2025</w:t>
            </w:r>
            <w:r w:rsidR="001C4138" w:rsidRPr="005C5836">
              <w:rPr>
                <w:rFonts w:ascii="Times New Roman" w:hAnsi="Times New Roman"/>
                <w:b/>
                <w:sz w:val="24"/>
                <w:szCs w:val="24"/>
                <w:lang w:val="en-GB"/>
              </w:rPr>
              <w:br/>
              <w:t xml:space="preserve">Rapporteur: </w:t>
            </w:r>
            <w:r w:rsidRPr="005C5836">
              <w:rPr>
                <w:rFonts w:ascii="Times New Roman" w:hAnsi="Times New Roman"/>
                <w:b/>
                <w:sz w:val="24"/>
                <w:szCs w:val="24"/>
                <w:lang w:val="en-GB"/>
              </w:rPr>
              <w:t>Juliane Marie NEIIENDAM (DK</w:t>
            </w:r>
            <w:r w:rsidR="00D02019">
              <w:rPr>
                <w:rFonts w:ascii="Times New Roman" w:hAnsi="Times New Roman"/>
                <w:b/>
                <w:sz w:val="24"/>
                <w:szCs w:val="24"/>
                <w:lang w:val="en-GB"/>
              </w:rPr>
              <w:t>-III</w:t>
            </w:r>
            <w:r w:rsidRPr="005C5836">
              <w:rPr>
                <w:rFonts w:ascii="Times New Roman" w:hAnsi="Times New Roman"/>
                <w:b/>
                <w:sz w:val="24"/>
                <w:szCs w:val="24"/>
                <w:lang w:val="en-GB"/>
              </w:rPr>
              <w:t>)</w:t>
            </w:r>
            <w:r w:rsidR="001C4138" w:rsidRPr="005C5836">
              <w:rPr>
                <w:rFonts w:ascii="Times New Roman" w:hAnsi="Times New Roman"/>
                <w:b/>
                <w:sz w:val="24"/>
                <w:szCs w:val="24"/>
                <w:lang w:val="en-GB"/>
              </w:rPr>
              <w:br/>
              <w:t xml:space="preserve">DG </w:t>
            </w:r>
            <w:r w:rsidRPr="005C5836">
              <w:rPr>
                <w:rFonts w:ascii="Times New Roman" w:hAnsi="Times New Roman"/>
                <w:b/>
                <w:sz w:val="24"/>
                <w:szCs w:val="24"/>
                <w:lang w:val="en-GB"/>
              </w:rPr>
              <w:t>SANTE</w:t>
            </w:r>
            <w:r w:rsidR="001C4138" w:rsidRPr="005C5836">
              <w:rPr>
                <w:rFonts w:ascii="Times New Roman" w:hAnsi="Times New Roman"/>
                <w:b/>
                <w:sz w:val="24"/>
                <w:szCs w:val="24"/>
                <w:lang w:val="en-GB"/>
              </w:rPr>
              <w:t xml:space="preserve"> – Commissioner </w:t>
            </w:r>
            <w:r w:rsidR="00D02019" w:rsidRPr="005C5836">
              <w:rPr>
                <w:rFonts w:ascii="Times New Roman" w:hAnsi="Times New Roman"/>
                <w:b/>
                <w:sz w:val="24"/>
                <w:szCs w:val="24"/>
                <w:lang w:val="en-GB"/>
              </w:rPr>
              <w:t>VÁRHELYI</w:t>
            </w:r>
          </w:p>
        </w:tc>
      </w:tr>
      <w:tr w:rsidR="00734613" w:rsidRPr="005C5836" w14:paraId="1937071F" w14:textId="77777777" w:rsidTr="6A87A82F">
        <w:trPr>
          <w:jc w:val="center"/>
        </w:trPr>
        <w:tc>
          <w:tcPr>
            <w:tcW w:w="9711" w:type="dxa"/>
          </w:tcPr>
          <w:p w14:paraId="1E50B4DB" w14:textId="2740E0A1" w:rsidR="00734613" w:rsidRPr="005C5836" w:rsidRDefault="004F6117" w:rsidP="006B1057">
            <w:pPr>
              <w:widowControl w:val="0"/>
              <w:spacing w:before="120" w:after="120"/>
              <w:jc w:val="center"/>
              <w:rPr>
                <w:rFonts w:ascii="Times New Roman" w:hAnsi="Times New Roman"/>
                <w:b/>
                <w:sz w:val="24"/>
                <w:szCs w:val="24"/>
                <w:lang w:val="en-GB"/>
              </w:rPr>
            </w:pPr>
            <w:r w:rsidRPr="005C5836">
              <w:rPr>
                <w:rFonts w:ascii="Times New Roman" w:hAnsi="Times New Roman"/>
                <w:b/>
                <w:sz w:val="24"/>
                <w:szCs w:val="24"/>
                <w:lang w:val="en-GB"/>
              </w:rPr>
              <w:t xml:space="preserve">European Commission position on points </w:t>
            </w:r>
            <w:r w:rsidRPr="005C5836">
              <w:rPr>
                <w:rFonts w:ascii="Times New Roman" w:hAnsi="Times New Roman"/>
                <w:b/>
                <w:sz w:val="24"/>
                <w:szCs w:val="24"/>
                <w:lang w:val="en-GB"/>
              </w:rPr>
              <w:br/>
              <w:t>of the European Economic and Social Committee</w:t>
            </w:r>
            <w:r w:rsidR="00D02019">
              <w:rPr>
                <w:rFonts w:ascii="Times New Roman" w:hAnsi="Times New Roman"/>
                <w:b/>
                <w:sz w:val="24"/>
                <w:szCs w:val="24"/>
                <w:lang w:val="en-GB"/>
              </w:rPr>
              <w:t xml:space="preserve"> (EESC)</w:t>
            </w:r>
            <w:r w:rsidRPr="005C5836">
              <w:rPr>
                <w:rFonts w:ascii="Times New Roman" w:hAnsi="Times New Roman"/>
                <w:b/>
                <w:sz w:val="24"/>
                <w:szCs w:val="24"/>
                <w:lang w:val="en-GB"/>
              </w:rPr>
              <w:t xml:space="preserve"> opinion</w:t>
            </w:r>
            <w:r w:rsidR="00E83C12" w:rsidRPr="005C5836">
              <w:rPr>
                <w:rFonts w:ascii="Times New Roman" w:hAnsi="Times New Roman"/>
                <w:b/>
                <w:sz w:val="24"/>
                <w:szCs w:val="24"/>
                <w:lang w:val="en-GB"/>
              </w:rPr>
              <w:t xml:space="preserve"> considered as essential</w:t>
            </w:r>
          </w:p>
        </w:tc>
      </w:tr>
      <w:tr w:rsidR="00734613" w:rsidRPr="00CB1144" w14:paraId="673DDC1B" w14:textId="77777777" w:rsidTr="6A87A82F">
        <w:trPr>
          <w:jc w:val="center"/>
        </w:trPr>
        <w:tc>
          <w:tcPr>
            <w:tcW w:w="9711" w:type="dxa"/>
          </w:tcPr>
          <w:p w14:paraId="68BB40DB" w14:textId="002965BD" w:rsidR="6A87A82F" w:rsidRPr="006B1057" w:rsidRDefault="6A87A82F" w:rsidP="00D02019">
            <w:pPr>
              <w:spacing w:before="120" w:after="120"/>
              <w:jc w:val="both"/>
              <w:rPr>
                <w:rFonts w:ascii="Times New Roman" w:eastAsia="Times New Roman" w:hAnsi="Times New Roman"/>
                <w:b/>
                <w:bCs/>
                <w:sz w:val="2"/>
                <w:szCs w:val="2"/>
                <w:lang w:val="en-GB"/>
              </w:rPr>
            </w:pPr>
          </w:p>
          <w:p w14:paraId="001C072D" w14:textId="2FB19B86" w:rsidR="665013F5" w:rsidRPr="005C5836" w:rsidRDefault="378A2163"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1.</w:t>
            </w:r>
            <w:r w:rsidR="1017659F" w:rsidRPr="6A87A82F">
              <w:rPr>
                <w:rFonts w:ascii="Times New Roman" w:eastAsia="Times New Roman" w:hAnsi="Times New Roman"/>
                <w:b/>
                <w:bCs/>
                <w:sz w:val="24"/>
                <w:szCs w:val="24"/>
                <w:lang w:val="en-GB"/>
              </w:rPr>
              <w:t>2</w:t>
            </w:r>
            <w:r w:rsidR="00D02019">
              <w:rPr>
                <w:rFonts w:ascii="Times New Roman" w:eastAsia="Times New Roman" w:hAnsi="Times New Roman"/>
                <w:b/>
                <w:bCs/>
                <w:sz w:val="24"/>
                <w:szCs w:val="24"/>
                <w:lang w:val="en-GB"/>
              </w:rPr>
              <w:t>:</w:t>
            </w:r>
            <w:r w:rsidRPr="6A87A82F">
              <w:rPr>
                <w:rFonts w:ascii="Times New Roman" w:eastAsia="Times New Roman" w:hAnsi="Times New Roman"/>
                <w:b/>
                <w:bCs/>
                <w:sz w:val="24"/>
                <w:szCs w:val="24"/>
                <w:lang w:val="en-GB"/>
              </w:rPr>
              <w:t xml:space="preserve"> </w:t>
            </w:r>
            <w:r w:rsidRPr="6A87A82F">
              <w:rPr>
                <w:rFonts w:ascii="Times New Roman" w:eastAsia="Times New Roman" w:hAnsi="Times New Roman"/>
                <w:sz w:val="24"/>
                <w:szCs w:val="24"/>
                <w:lang w:val="en-GB"/>
              </w:rPr>
              <w:t xml:space="preserve">The </w:t>
            </w:r>
            <w:r w:rsidR="000902D0" w:rsidRPr="6A87A82F">
              <w:rPr>
                <w:rFonts w:ascii="Times New Roman" w:eastAsia="Times New Roman" w:hAnsi="Times New Roman"/>
                <w:sz w:val="24"/>
                <w:szCs w:val="24"/>
                <w:lang w:val="en-GB"/>
              </w:rPr>
              <w:t xml:space="preserve">Commission takes note of the </w:t>
            </w:r>
            <w:r w:rsidR="00D02019">
              <w:rPr>
                <w:rFonts w:ascii="Times New Roman" w:eastAsia="Times New Roman" w:hAnsi="Times New Roman"/>
                <w:sz w:val="24"/>
                <w:szCs w:val="24"/>
                <w:lang w:val="en-GB"/>
              </w:rPr>
              <w:t>Committee’s</w:t>
            </w:r>
            <w:r w:rsidR="00D02019" w:rsidRPr="6A87A82F">
              <w:rPr>
                <w:rFonts w:ascii="Times New Roman" w:eastAsia="Times New Roman" w:hAnsi="Times New Roman"/>
                <w:sz w:val="24"/>
                <w:szCs w:val="24"/>
                <w:lang w:val="en-GB"/>
              </w:rPr>
              <w:t xml:space="preserve"> </w:t>
            </w:r>
            <w:r w:rsidR="53A56843" w:rsidRPr="6A87A82F">
              <w:rPr>
                <w:rFonts w:ascii="Times New Roman" w:eastAsia="Times New Roman" w:hAnsi="Times New Roman"/>
                <w:sz w:val="24"/>
                <w:szCs w:val="24"/>
                <w:lang w:val="en-GB"/>
              </w:rPr>
              <w:t xml:space="preserve">recommendation </w:t>
            </w:r>
            <w:r w:rsidR="332B7F92" w:rsidRPr="6A87A82F">
              <w:rPr>
                <w:rFonts w:ascii="Times New Roman" w:eastAsia="Times New Roman" w:hAnsi="Times New Roman"/>
                <w:sz w:val="24"/>
                <w:szCs w:val="24"/>
                <w:lang w:val="en-GB"/>
              </w:rPr>
              <w:t>to</w:t>
            </w:r>
            <w:r w:rsidR="00B609CF" w:rsidRPr="6A87A82F">
              <w:rPr>
                <w:rFonts w:ascii="Times New Roman" w:eastAsia="Times New Roman" w:hAnsi="Times New Roman"/>
                <w:sz w:val="24"/>
                <w:szCs w:val="24"/>
                <w:lang w:val="en-GB"/>
              </w:rPr>
              <w:t xml:space="preserve"> Member States regarding digitalisation of health data and the use </w:t>
            </w:r>
            <w:r w:rsidR="002D754C" w:rsidRPr="6A87A82F">
              <w:rPr>
                <w:rFonts w:ascii="Times New Roman" w:eastAsia="Times New Roman" w:hAnsi="Times New Roman"/>
                <w:sz w:val="24"/>
                <w:szCs w:val="24"/>
                <w:lang w:val="en-GB"/>
              </w:rPr>
              <w:t>of</w:t>
            </w:r>
            <w:r w:rsidR="7C47FB52" w:rsidRPr="6A87A82F">
              <w:rPr>
                <w:rFonts w:ascii="Times New Roman" w:eastAsia="Times New Roman" w:hAnsi="Times New Roman"/>
                <w:sz w:val="24"/>
                <w:szCs w:val="24"/>
                <w:lang w:val="en-GB"/>
              </w:rPr>
              <w:t xml:space="preserve"> the </w:t>
            </w:r>
            <w:proofErr w:type="spellStart"/>
            <w:r w:rsidR="5AA0A1A8" w:rsidRPr="6A87A82F">
              <w:rPr>
                <w:rFonts w:ascii="Times New Roman" w:eastAsia="Times New Roman" w:hAnsi="Times New Roman"/>
                <w:sz w:val="24"/>
                <w:szCs w:val="24"/>
                <w:lang w:val="en-GB"/>
              </w:rPr>
              <w:t>ORPHAcodes</w:t>
            </w:r>
            <w:proofErr w:type="spellEnd"/>
            <w:r w:rsidR="00D02019">
              <w:rPr>
                <w:rStyle w:val="FootnoteReference"/>
                <w:rFonts w:ascii="Times New Roman" w:eastAsia="Times New Roman" w:hAnsi="Times New Roman"/>
                <w:sz w:val="24"/>
                <w:szCs w:val="24"/>
                <w:lang w:val="en-GB"/>
              </w:rPr>
              <w:footnoteReference w:id="2"/>
            </w:r>
            <w:r w:rsidR="5AA0A1A8" w:rsidRPr="6A87A82F">
              <w:rPr>
                <w:rFonts w:ascii="Times New Roman" w:eastAsia="Times New Roman" w:hAnsi="Times New Roman"/>
                <w:sz w:val="24"/>
                <w:szCs w:val="24"/>
                <w:lang w:val="en-GB"/>
              </w:rPr>
              <w:t>.</w:t>
            </w:r>
            <w:r w:rsidR="1DF2BC3D" w:rsidRPr="6A87A82F">
              <w:rPr>
                <w:rFonts w:ascii="Times New Roman" w:eastAsia="Times New Roman" w:hAnsi="Times New Roman"/>
                <w:sz w:val="24"/>
                <w:szCs w:val="24"/>
                <w:lang w:val="en-GB"/>
              </w:rPr>
              <w:t xml:space="preserve"> </w:t>
            </w:r>
            <w:r w:rsidR="665013F5" w:rsidRPr="6A87A82F">
              <w:rPr>
                <w:rFonts w:ascii="Times New Roman" w:eastAsia="Times New Roman" w:hAnsi="Times New Roman"/>
                <w:sz w:val="24"/>
                <w:szCs w:val="24"/>
                <w:lang w:val="en-GB"/>
              </w:rPr>
              <w:t>In addition to supporting the</w:t>
            </w:r>
            <w:r w:rsidR="1505CF21" w:rsidRPr="6A87A82F">
              <w:rPr>
                <w:rFonts w:ascii="Times New Roman" w:eastAsia="Times New Roman" w:hAnsi="Times New Roman"/>
                <w:sz w:val="24"/>
                <w:szCs w:val="24"/>
                <w:lang w:val="en-GB"/>
              </w:rPr>
              <w:t xml:space="preserve"> </w:t>
            </w:r>
            <w:proofErr w:type="spellStart"/>
            <w:r w:rsidR="1505CF21" w:rsidRPr="6A87A82F">
              <w:rPr>
                <w:rFonts w:ascii="Times New Roman" w:eastAsia="Times New Roman" w:hAnsi="Times New Roman"/>
                <w:sz w:val="24"/>
                <w:szCs w:val="24"/>
                <w:lang w:val="en-GB"/>
              </w:rPr>
              <w:t>ORPHANet</w:t>
            </w:r>
            <w:proofErr w:type="spellEnd"/>
            <w:r w:rsidR="1505CF21" w:rsidRPr="6A87A82F">
              <w:rPr>
                <w:rFonts w:ascii="Times New Roman" w:eastAsia="Times New Roman" w:hAnsi="Times New Roman"/>
                <w:sz w:val="24"/>
                <w:szCs w:val="24"/>
                <w:lang w:val="en-GB"/>
              </w:rPr>
              <w:t xml:space="preserve"> in </w:t>
            </w:r>
            <w:r w:rsidR="0714422F" w:rsidRPr="6A87A82F">
              <w:rPr>
                <w:rFonts w:ascii="Times New Roman" w:eastAsia="Times New Roman" w:hAnsi="Times New Roman"/>
                <w:sz w:val="24"/>
                <w:szCs w:val="24"/>
                <w:lang w:val="en-GB"/>
              </w:rPr>
              <w:t>its work on</w:t>
            </w:r>
            <w:r w:rsidR="1505CF21" w:rsidRPr="6A87A82F">
              <w:rPr>
                <w:rFonts w:ascii="Times New Roman" w:eastAsia="Times New Roman" w:hAnsi="Times New Roman"/>
                <w:sz w:val="24"/>
                <w:szCs w:val="24"/>
                <w:lang w:val="en-GB"/>
              </w:rPr>
              <w:t xml:space="preserve"> the</w:t>
            </w:r>
            <w:r w:rsidR="665013F5" w:rsidRPr="6A87A82F">
              <w:rPr>
                <w:rFonts w:ascii="Times New Roman" w:eastAsia="Times New Roman" w:hAnsi="Times New Roman"/>
                <w:sz w:val="24"/>
                <w:szCs w:val="24"/>
                <w:lang w:val="en-GB"/>
              </w:rPr>
              <w:t xml:space="preserve"> </w:t>
            </w:r>
            <w:proofErr w:type="spellStart"/>
            <w:r w:rsidR="665013F5" w:rsidRPr="6A87A82F">
              <w:rPr>
                <w:rFonts w:ascii="Times New Roman" w:eastAsia="Times New Roman" w:hAnsi="Times New Roman"/>
                <w:sz w:val="24"/>
                <w:szCs w:val="24"/>
                <w:lang w:val="en-GB"/>
              </w:rPr>
              <w:t>ORPHAcodes</w:t>
            </w:r>
            <w:proofErr w:type="spellEnd"/>
            <w:r w:rsidR="665013F5" w:rsidRPr="6A87A82F">
              <w:rPr>
                <w:rFonts w:ascii="Times New Roman" w:eastAsia="Times New Roman" w:hAnsi="Times New Roman"/>
                <w:sz w:val="24"/>
                <w:szCs w:val="24"/>
                <w:lang w:val="en-GB"/>
              </w:rPr>
              <w:t>, the Commission has been supporting the development of rare disease patients’ registries</w:t>
            </w:r>
            <w:r w:rsidR="4AABEF91" w:rsidRPr="6A87A82F">
              <w:rPr>
                <w:rFonts w:ascii="Times New Roman" w:eastAsia="Times New Roman" w:hAnsi="Times New Roman"/>
                <w:sz w:val="24"/>
                <w:szCs w:val="24"/>
                <w:lang w:val="en-GB"/>
              </w:rPr>
              <w:t>. This has included</w:t>
            </w:r>
            <w:r w:rsidR="00D02019">
              <w:rPr>
                <w:rFonts w:ascii="Times New Roman" w:eastAsia="Times New Roman" w:hAnsi="Times New Roman"/>
                <w:sz w:val="24"/>
                <w:szCs w:val="24"/>
                <w:lang w:val="en-GB"/>
              </w:rPr>
              <w:t>,</w:t>
            </w:r>
            <w:r w:rsidR="3CD7105C" w:rsidRPr="6A87A82F">
              <w:rPr>
                <w:rFonts w:ascii="Times New Roman" w:eastAsia="Times New Roman" w:hAnsi="Times New Roman"/>
                <w:sz w:val="24"/>
                <w:szCs w:val="24"/>
                <w:lang w:val="en-GB"/>
              </w:rPr>
              <w:t xml:space="preserve"> for example</w:t>
            </w:r>
            <w:r w:rsidR="00D02019">
              <w:rPr>
                <w:rFonts w:ascii="Times New Roman" w:eastAsia="Times New Roman" w:hAnsi="Times New Roman"/>
                <w:sz w:val="24"/>
                <w:szCs w:val="24"/>
                <w:lang w:val="en-GB"/>
              </w:rPr>
              <w:t>,</w:t>
            </w:r>
            <w:r w:rsidR="4AABEF91" w:rsidRPr="6A87A82F">
              <w:rPr>
                <w:rFonts w:ascii="Times New Roman" w:eastAsia="Times New Roman" w:hAnsi="Times New Roman"/>
                <w:sz w:val="24"/>
                <w:szCs w:val="24"/>
                <w:lang w:val="en-GB"/>
              </w:rPr>
              <w:t xml:space="preserve"> providing the funding for rare disease registries under the calls</w:t>
            </w:r>
            <w:r w:rsidR="39B171A3" w:rsidRPr="6A87A82F">
              <w:rPr>
                <w:rFonts w:ascii="Times New Roman" w:eastAsia="Times New Roman" w:hAnsi="Times New Roman"/>
                <w:sz w:val="24"/>
                <w:szCs w:val="24"/>
                <w:lang w:val="en-GB"/>
              </w:rPr>
              <w:t xml:space="preserve">: </w:t>
            </w:r>
            <w:r w:rsidR="6E2DE356" w:rsidRPr="6A87A82F">
              <w:rPr>
                <w:rFonts w:ascii="Times New Roman" w:eastAsia="Times New Roman" w:hAnsi="Times New Roman"/>
                <w:sz w:val="24"/>
                <w:szCs w:val="24"/>
                <w:lang w:val="en-GB"/>
              </w:rPr>
              <w:t>HP-PJ-06-2016, PJ-01-2019</w:t>
            </w:r>
            <w:r w:rsidR="7ED72989" w:rsidRPr="6A87A82F">
              <w:rPr>
                <w:rFonts w:ascii="Times New Roman" w:eastAsia="Times New Roman" w:hAnsi="Times New Roman"/>
                <w:sz w:val="24"/>
                <w:szCs w:val="24"/>
                <w:lang w:val="en-GB"/>
              </w:rPr>
              <w:t xml:space="preserve"> and HS-g-23-49</w:t>
            </w:r>
            <w:r w:rsidR="3B82258D" w:rsidRPr="6A87A82F">
              <w:rPr>
                <w:rFonts w:ascii="Times New Roman" w:eastAsia="Times New Roman" w:hAnsi="Times New Roman"/>
                <w:sz w:val="24"/>
                <w:szCs w:val="24"/>
                <w:lang w:val="en-GB"/>
              </w:rPr>
              <w:t xml:space="preserve"> in the recognition that sufficient amounts of high-quality data are necessary for any research on rare diseases</w:t>
            </w:r>
            <w:r w:rsidR="2E98BE15" w:rsidRPr="6A87A82F">
              <w:rPr>
                <w:rFonts w:ascii="Times New Roman" w:eastAsia="Times New Roman" w:hAnsi="Times New Roman"/>
                <w:sz w:val="24"/>
                <w:szCs w:val="24"/>
                <w:lang w:val="en-GB"/>
              </w:rPr>
              <w:t>, including successful training and deployment of AI algorithms, with small patients’ populations as the particular challenge in this area.</w:t>
            </w:r>
            <w:r w:rsidR="0A084EAE" w:rsidRPr="6A87A82F">
              <w:rPr>
                <w:rFonts w:ascii="Times New Roman" w:eastAsia="Times New Roman" w:hAnsi="Times New Roman"/>
                <w:sz w:val="24"/>
                <w:szCs w:val="24"/>
                <w:lang w:val="en-GB"/>
              </w:rPr>
              <w:t xml:space="preserve"> The EC-funded projects </w:t>
            </w:r>
            <w:r w:rsidR="7F243E80" w:rsidRPr="6A87A82F">
              <w:rPr>
                <w:rFonts w:ascii="Times New Roman" w:eastAsia="Times New Roman" w:hAnsi="Times New Roman"/>
                <w:sz w:val="24"/>
                <w:szCs w:val="24"/>
                <w:lang w:val="en-GB"/>
              </w:rPr>
              <w:t>leveraging</w:t>
            </w:r>
            <w:r w:rsidR="0A084EAE" w:rsidRPr="6A87A82F">
              <w:rPr>
                <w:rFonts w:ascii="Times New Roman" w:eastAsia="Times New Roman" w:hAnsi="Times New Roman"/>
                <w:sz w:val="24"/>
                <w:szCs w:val="24"/>
                <w:lang w:val="en-GB"/>
              </w:rPr>
              <w:t xml:space="preserve"> rare disease</w:t>
            </w:r>
            <w:r w:rsidR="294D8600" w:rsidRPr="6A87A82F">
              <w:rPr>
                <w:rFonts w:ascii="Times New Roman" w:eastAsia="Times New Roman" w:hAnsi="Times New Roman"/>
                <w:sz w:val="24"/>
                <w:szCs w:val="24"/>
                <w:lang w:val="en-GB"/>
              </w:rPr>
              <w:t xml:space="preserve"> patients’ data</w:t>
            </w:r>
            <w:r w:rsidR="0A084EAE" w:rsidRPr="6A87A82F">
              <w:rPr>
                <w:rFonts w:ascii="Times New Roman" w:eastAsia="Times New Roman" w:hAnsi="Times New Roman"/>
                <w:sz w:val="24"/>
                <w:szCs w:val="24"/>
                <w:lang w:val="en-GB"/>
              </w:rPr>
              <w:t xml:space="preserve"> and AI have shown the specificity of this area of he</w:t>
            </w:r>
            <w:r w:rsidR="3C524D2F" w:rsidRPr="6A87A82F">
              <w:rPr>
                <w:rFonts w:ascii="Times New Roman" w:eastAsia="Times New Roman" w:hAnsi="Times New Roman"/>
                <w:sz w:val="24"/>
                <w:szCs w:val="24"/>
                <w:lang w:val="en-GB"/>
              </w:rPr>
              <w:t>althcare</w:t>
            </w:r>
            <w:r w:rsidR="443BB7D6" w:rsidRPr="6A87A82F">
              <w:rPr>
                <w:rFonts w:ascii="Times New Roman" w:eastAsia="Times New Roman" w:hAnsi="Times New Roman"/>
                <w:sz w:val="24"/>
                <w:szCs w:val="24"/>
                <w:lang w:val="en-GB"/>
              </w:rPr>
              <w:t xml:space="preserve"> and the</w:t>
            </w:r>
            <w:r w:rsidR="075712D0" w:rsidRPr="6A87A82F">
              <w:rPr>
                <w:rFonts w:ascii="Times New Roman" w:eastAsia="Times New Roman" w:hAnsi="Times New Roman"/>
                <w:sz w:val="24"/>
                <w:szCs w:val="24"/>
                <w:lang w:val="en-GB"/>
              </w:rPr>
              <w:t xml:space="preserve"> </w:t>
            </w:r>
            <w:r w:rsidR="0CFCDD26" w:rsidRPr="6A87A82F">
              <w:rPr>
                <w:rFonts w:ascii="Times New Roman" w:eastAsia="Times New Roman" w:hAnsi="Times New Roman"/>
                <w:sz w:val="24"/>
                <w:szCs w:val="24"/>
                <w:lang w:val="en-GB"/>
              </w:rPr>
              <w:t>importance</w:t>
            </w:r>
            <w:r w:rsidR="443BB7D6" w:rsidRPr="6A87A82F">
              <w:rPr>
                <w:rFonts w:ascii="Times New Roman" w:eastAsia="Times New Roman" w:hAnsi="Times New Roman"/>
                <w:sz w:val="24"/>
                <w:szCs w:val="24"/>
                <w:lang w:val="en-GB"/>
              </w:rPr>
              <w:t xml:space="preserve"> of taking rare disease healthcare professionals’ experience</w:t>
            </w:r>
            <w:r w:rsidR="28B1BF44" w:rsidRPr="6A87A82F">
              <w:rPr>
                <w:rFonts w:ascii="Times New Roman" w:eastAsia="Times New Roman" w:hAnsi="Times New Roman"/>
                <w:sz w:val="24"/>
                <w:szCs w:val="24"/>
                <w:lang w:val="en-GB"/>
              </w:rPr>
              <w:t>s</w:t>
            </w:r>
            <w:r w:rsidR="443BB7D6" w:rsidRPr="6A87A82F">
              <w:rPr>
                <w:rFonts w:ascii="Times New Roman" w:eastAsia="Times New Roman" w:hAnsi="Times New Roman"/>
                <w:sz w:val="24"/>
                <w:szCs w:val="24"/>
                <w:lang w:val="en-GB"/>
              </w:rPr>
              <w:t xml:space="preserve"> into account in defining </w:t>
            </w:r>
            <w:r w:rsidR="392EA6D8" w:rsidRPr="6A87A82F">
              <w:rPr>
                <w:rFonts w:ascii="Times New Roman" w:eastAsia="Times New Roman" w:hAnsi="Times New Roman"/>
                <w:sz w:val="24"/>
                <w:szCs w:val="24"/>
                <w:lang w:val="en-GB"/>
              </w:rPr>
              <w:t>future</w:t>
            </w:r>
            <w:r w:rsidR="443BB7D6" w:rsidRPr="6A87A82F">
              <w:rPr>
                <w:rFonts w:ascii="Times New Roman" w:eastAsia="Times New Roman" w:hAnsi="Times New Roman"/>
                <w:sz w:val="24"/>
                <w:szCs w:val="24"/>
                <w:lang w:val="en-GB"/>
              </w:rPr>
              <w:t xml:space="preserve"> research goals</w:t>
            </w:r>
            <w:r w:rsidR="7CB08064" w:rsidRPr="6A87A82F">
              <w:rPr>
                <w:rFonts w:ascii="Times New Roman" w:eastAsia="Times New Roman" w:hAnsi="Times New Roman"/>
                <w:sz w:val="24"/>
                <w:szCs w:val="24"/>
                <w:lang w:val="en-GB"/>
              </w:rPr>
              <w:t>.</w:t>
            </w:r>
          </w:p>
          <w:p w14:paraId="1B5EA7D9" w14:textId="4BA82458" w:rsidR="0B7D2CFF" w:rsidRPr="005C5836" w:rsidRDefault="0B7D2CFF"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1.3</w:t>
            </w:r>
            <w:r w:rsidR="004D2F50">
              <w:rPr>
                <w:rFonts w:ascii="Times New Roman" w:eastAsia="Times New Roman" w:hAnsi="Times New Roman"/>
                <w:b/>
                <w:bCs/>
                <w:sz w:val="24"/>
                <w:szCs w:val="24"/>
                <w:lang w:val="en-GB"/>
              </w:rPr>
              <w:t>:</w:t>
            </w:r>
            <w:r w:rsidRPr="6A87A82F">
              <w:rPr>
                <w:rFonts w:ascii="Times New Roman" w:eastAsia="Times New Roman" w:hAnsi="Times New Roman"/>
                <w:sz w:val="24"/>
                <w:szCs w:val="24"/>
                <w:lang w:val="en-GB"/>
              </w:rPr>
              <w:t xml:space="preserve"> The</w:t>
            </w:r>
            <w:r w:rsidR="00F34A2E">
              <w:rPr>
                <w:rFonts w:ascii="Times New Roman" w:eastAsia="Times New Roman" w:hAnsi="Times New Roman"/>
                <w:sz w:val="24"/>
                <w:szCs w:val="24"/>
                <w:lang w:val="en-GB"/>
              </w:rPr>
              <w:t xml:space="preserve"> European Health Data Space</w:t>
            </w:r>
            <w:r w:rsidRPr="6A87A82F">
              <w:rPr>
                <w:rFonts w:ascii="Times New Roman" w:eastAsia="Times New Roman" w:hAnsi="Times New Roman"/>
                <w:sz w:val="24"/>
                <w:szCs w:val="24"/>
                <w:lang w:val="en-GB"/>
              </w:rPr>
              <w:t xml:space="preserve"> </w:t>
            </w:r>
            <w:r w:rsidR="00F34A2E">
              <w:rPr>
                <w:rFonts w:ascii="Times New Roman" w:eastAsia="Times New Roman" w:hAnsi="Times New Roman"/>
                <w:sz w:val="24"/>
                <w:szCs w:val="24"/>
                <w:lang w:val="en-GB"/>
              </w:rPr>
              <w:t>(</w:t>
            </w:r>
            <w:r w:rsidR="235939C9" w:rsidRPr="6A87A82F">
              <w:rPr>
                <w:rFonts w:ascii="Times New Roman" w:eastAsia="Times New Roman" w:hAnsi="Times New Roman"/>
                <w:sz w:val="24"/>
                <w:szCs w:val="24"/>
                <w:lang w:val="en-GB"/>
              </w:rPr>
              <w:t>EHDS</w:t>
            </w:r>
            <w:r w:rsidR="00F34A2E">
              <w:rPr>
                <w:rFonts w:ascii="Times New Roman" w:eastAsia="Times New Roman" w:hAnsi="Times New Roman"/>
                <w:sz w:val="24"/>
                <w:szCs w:val="24"/>
                <w:lang w:val="en-GB"/>
              </w:rPr>
              <w:t>)</w:t>
            </w:r>
            <w:r w:rsidR="235939C9" w:rsidRPr="6A87A82F">
              <w:rPr>
                <w:rFonts w:ascii="Times New Roman" w:eastAsia="Times New Roman" w:hAnsi="Times New Roman"/>
                <w:sz w:val="24"/>
                <w:szCs w:val="24"/>
                <w:lang w:val="en-GB"/>
              </w:rPr>
              <w:t xml:space="preserve"> Regulation</w:t>
            </w:r>
            <w:r w:rsidR="004D2F50">
              <w:rPr>
                <w:rStyle w:val="FootnoteReference"/>
                <w:rFonts w:ascii="Times New Roman" w:eastAsia="Times New Roman" w:hAnsi="Times New Roman"/>
                <w:sz w:val="24"/>
                <w:szCs w:val="24"/>
                <w:lang w:val="en-GB"/>
              </w:rPr>
              <w:footnoteReference w:id="3"/>
            </w:r>
            <w:r w:rsidR="235939C9" w:rsidRPr="6A87A82F">
              <w:rPr>
                <w:rFonts w:ascii="Times New Roman" w:eastAsia="Times New Roman" w:hAnsi="Times New Roman"/>
                <w:sz w:val="24"/>
                <w:szCs w:val="24"/>
                <w:lang w:val="en-GB"/>
              </w:rPr>
              <w:t xml:space="preserve"> sets out clear rules on how data are to be made available for secondary use. Notably, data will only be made available to health data users in anonymised or</w:t>
            </w:r>
            <w:r w:rsidR="004D2F50">
              <w:rPr>
                <w:rFonts w:ascii="Times New Roman" w:eastAsia="Times New Roman" w:hAnsi="Times New Roman"/>
                <w:sz w:val="24"/>
                <w:szCs w:val="24"/>
                <w:lang w:val="en-GB"/>
              </w:rPr>
              <w:t>,</w:t>
            </w:r>
            <w:r w:rsidR="235939C9" w:rsidRPr="6A87A82F">
              <w:rPr>
                <w:rFonts w:ascii="Times New Roman" w:eastAsia="Times New Roman" w:hAnsi="Times New Roman"/>
                <w:sz w:val="24"/>
                <w:szCs w:val="24"/>
                <w:lang w:val="en-GB"/>
              </w:rPr>
              <w:t xml:space="preserve"> </w:t>
            </w:r>
            <w:r w:rsidR="6449D47F" w:rsidRPr="6A87A82F">
              <w:rPr>
                <w:rFonts w:ascii="Times New Roman" w:eastAsia="Times New Roman" w:hAnsi="Times New Roman"/>
                <w:sz w:val="24"/>
                <w:szCs w:val="24"/>
                <w:lang w:val="en-GB"/>
              </w:rPr>
              <w:t>w</w:t>
            </w:r>
            <w:r w:rsidR="004D2F50">
              <w:rPr>
                <w:rFonts w:ascii="Times New Roman" w:eastAsia="Times New Roman" w:hAnsi="Times New Roman"/>
                <w:sz w:val="24"/>
                <w:szCs w:val="24"/>
                <w:lang w:val="en-GB"/>
              </w:rPr>
              <w:t>h</w:t>
            </w:r>
            <w:r w:rsidR="6449D47F" w:rsidRPr="6A87A82F">
              <w:rPr>
                <w:rFonts w:ascii="Times New Roman" w:eastAsia="Times New Roman" w:hAnsi="Times New Roman"/>
                <w:sz w:val="24"/>
                <w:szCs w:val="24"/>
                <w:lang w:val="en-GB"/>
              </w:rPr>
              <w:t>ere</w:t>
            </w:r>
            <w:r w:rsidR="235939C9" w:rsidRPr="6A87A82F">
              <w:rPr>
                <w:rFonts w:ascii="Times New Roman" w:eastAsia="Times New Roman" w:hAnsi="Times New Roman"/>
                <w:sz w:val="24"/>
                <w:szCs w:val="24"/>
                <w:lang w:val="en-GB"/>
              </w:rPr>
              <w:t xml:space="preserve"> justified</w:t>
            </w:r>
            <w:r w:rsidR="004D2F50">
              <w:rPr>
                <w:rFonts w:ascii="Times New Roman" w:eastAsia="Times New Roman" w:hAnsi="Times New Roman"/>
                <w:sz w:val="24"/>
                <w:szCs w:val="24"/>
                <w:lang w:val="en-GB"/>
              </w:rPr>
              <w:t>,</w:t>
            </w:r>
            <w:r w:rsidR="235939C9" w:rsidRPr="6A87A82F">
              <w:rPr>
                <w:rFonts w:ascii="Times New Roman" w:eastAsia="Times New Roman" w:hAnsi="Times New Roman"/>
                <w:sz w:val="24"/>
                <w:szCs w:val="24"/>
                <w:lang w:val="en-GB"/>
              </w:rPr>
              <w:t xml:space="preserve"> pseudonymised form (see Articles 66(3), 67(</w:t>
            </w:r>
            <w:r w:rsidR="4E1A1447" w:rsidRPr="6A87A82F">
              <w:rPr>
                <w:rFonts w:ascii="Times New Roman" w:eastAsia="Times New Roman" w:hAnsi="Times New Roman"/>
                <w:sz w:val="24"/>
                <w:szCs w:val="24"/>
                <w:lang w:val="en-GB"/>
              </w:rPr>
              <w:t xml:space="preserve">2)(e) and (4), 68(1)(c) </w:t>
            </w:r>
            <w:r w:rsidR="004D2F50">
              <w:rPr>
                <w:rFonts w:ascii="Times New Roman" w:eastAsia="Times New Roman" w:hAnsi="Times New Roman"/>
                <w:sz w:val="24"/>
                <w:szCs w:val="24"/>
                <w:lang w:val="en-GB"/>
              </w:rPr>
              <w:t xml:space="preserve">of the </w:t>
            </w:r>
            <w:r w:rsidR="4E1A1447" w:rsidRPr="6A87A82F">
              <w:rPr>
                <w:rFonts w:ascii="Times New Roman" w:eastAsia="Times New Roman" w:hAnsi="Times New Roman"/>
                <w:sz w:val="24"/>
                <w:szCs w:val="24"/>
                <w:lang w:val="en-GB"/>
              </w:rPr>
              <w:t xml:space="preserve">EHDS Regulation). </w:t>
            </w:r>
            <w:r w:rsidR="25510C92" w:rsidRPr="6A87A82F">
              <w:rPr>
                <w:rFonts w:ascii="Times New Roman" w:eastAsia="Times New Roman" w:hAnsi="Times New Roman"/>
                <w:sz w:val="24"/>
                <w:szCs w:val="24"/>
                <w:lang w:val="en-GB"/>
              </w:rPr>
              <w:t xml:space="preserve">It will be prohibited for health data users to (attempt to) re-identify the natural persons to whom data made available relate (see Article 61(3) </w:t>
            </w:r>
            <w:r w:rsidR="004D2F50">
              <w:rPr>
                <w:rFonts w:ascii="Times New Roman" w:eastAsia="Times New Roman" w:hAnsi="Times New Roman"/>
                <w:sz w:val="24"/>
                <w:szCs w:val="24"/>
                <w:lang w:val="en-GB"/>
              </w:rPr>
              <w:t xml:space="preserve">of the </w:t>
            </w:r>
            <w:r w:rsidR="25510C92" w:rsidRPr="6A87A82F">
              <w:rPr>
                <w:rFonts w:ascii="Times New Roman" w:eastAsia="Times New Roman" w:hAnsi="Times New Roman"/>
                <w:sz w:val="24"/>
                <w:szCs w:val="24"/>
                <w:lang w:val="en-GB"/>
              </w:rPr>
              <w:t>EHDS Regulation). Breaches will be subject to administrative fines (see Article 6</w:t>
            </w:r>
            <w:r w:rsidR="499EA073" w:rsidRPr="6A87A82F">
              <w:rPr>
                <w:rFonts w:ascii="Times New Roman" w:eastAsia="Times New Roman" w:hAnsi="Times New Roman"/>
                <w:sz w:val="24"/>
                <w:szCs w:val="24"/>
                <w:lang w:val="en-GB"/>
              </w:rPr>
              <w:t xml:space="preserve">4(5)(c) </w:t>
            </w:r>
            <w:r w:rsidR="004D2F50">
              <w:rPr>
                <w:rFonts w:ascii="Times New Roman" w:eastAsia="Times New Roman" w:hAnsi="Times New Roman"/>
                <w:sz w:val="24"/>
                <w:szCs w:val="24"/>
                <w:lang w:val="en-GB"/>
              </w:rPr>
              <w:t xml:space="preserve">of the </w:t>
            </w:r>
            <w:r w:rsidR="499EA073" w:rsidRPr="6A87A82F">
              <w:rPr>
                <w:rFonts w:ascii="Times New Roman" w:eastAsia="Times New Roman" w:hAnsi="Times New Roman"/>
                <w:sz w:val="24"/>
                <w:szCs w:val="24"/>
                <w:lang w:val="en-GB"/>
              </w:rPr>
              <w:t xml:space="preserve">EHDS Regulation). Making available data for secondary use under the EHDS </w:t>
            </w:r>
            <w:r w:rsidR="004D2F50">
              <w:rPr>
                <w:rFonts w:ascii="Times New Roman" w:eastAsia="Times New Roman" w:hAnsi="Times New Roman"/>
                <w:sz w:val="24"/>
                <w:szCs w:val="24"/>
                <w:lang w:val="en-GB"/>
              </w:rPr>
              <w:t xml:space="preserve">Regulation </w:t>
            </w:r>
            <w:r w:rsidR="499EA073" w:rsidRPr="6A87A82F">
              <w:rPr>
                <w:rFonts w:ascii="Times New Roman" w:eastAsia="Times New Roman" w:hAnsi="Times New Roman"/>
                <w:sz w:val="24"/>
                <w:szCs w:val="24"/>
                <w:lang w:val="en-GB"/>
              </w:rPr>
              <w:t xml:space="preserve">is not consent-based (see recital 52 </w:t>
            </w:r>
            <w:r w:rsidR="004D2F50">
              <w:rPr>
                <w:rFonts w:ascii="Times New Roman" w:eastAsia="Times New Roman" w:hAnsi="Times New Roman"/>
                <w:sz w:val="24"/>
                <w:szCs w:val="24"/>
                <w:lang w:val="en-GB"/>
              </w:rPr>
              <w:t xml:space="preserve">of the </w:t>
            </w:r>
            <w:r w:rsidR="499EA073" w:rsidRPr="6A87A82F">
              <w:rPr>
                <w:rFonts w:ascii="Times New Roman" w:eastAsia="Times New Roman" w:hAnsi="Times New Roman"/>
                <w:sz w:val="24"/>
                <w:szCs w:val="24"/>
                <w:lang w:val="en-GB"/>
              </w:rPr>
              <w:t>EHDS Regulation).</w:t>
            </w:r>
          </w:p>
          <w:p w14:paraId="54A50BBD" w14:textId="4D745F4C" w:rsidR="0050477F" w:rsidRDefault="667F07A1"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1.4</w:t>
            </w:r>
            <w:r w:rsidR="004D2F50">
              <w:rPr>
                <w:rFonts w:ascii="Times New Roman" w:eastAsia="Times New Roman" w:hAnsi="Times New Roman"/>
                <w:b/>
                <w:bCs/>
                <w:sz w:val="24"/>
                <w:szCs w:val="24"/>
                <w:lang w:val="en-GB"/>
              </w:rPr>
              <w:t>:</w:t>
            </w:r>
            <w:r w:rsidRPr="6A87A82F">
              <w:rPr>
                <w:rFonts w:ascii="Times New Roman" w:eastAsia="Times New Roman" w:hAnsi="Times New Roman"/>
                <w:sz w:val="24"/>
                <w:szCs w:val="24"/>
                <w:lang w:val="en-GB"/>
              </w:rPr>
              <w:t xml:space="preserve"> The European Medicines Agency (EMA) is already working through their</w:t>
            </w:r>
            <w:r w:rsidR="004D2F50">
              <w:rPr>
                <w:rFonts w:ascii="Times New Roman" w:eastAsia="Times New Roman" w:hAnsi="Times New Roman"/>
                <w:sz w:val="24"/>
                <w:szCs w:val="24"/>
                <w:lang w:val="en-GB"/>
              </w:rPr>
              <w:t xml:space="preserve"> Heads of Medicine Agencies</w:t>
            </w:r>
            <w:r w:rsidR="009C22C9">
              <w:rPr>
                <w:rFonts w:ascii="Times New Roman" w:eastAsia="Times New Roman" w:hAnsi="Times New Roman"/>
                <w:sz w:val="24"/>
                <w:szCs w:val="24"/>
                <w:lang w:val="en-GB"/>
              </w:rPr>
              <w:t xml:space="preserve"> (HMA)</w:t>
            </w:r>
            <w:r w:rsidRPr="6A87A82F">
              <w:rPr>
                <w:rFonts w:ascii="Times New Roman" w:eastAsia="Times New Roman" w:hAnsi="Times New Roman"/>
                <w:sz w:val="24"/>
                <w:szCs w:val="24"/>
                <w:lang w:val="en-GB"/>
              </w:rPr>
              <w:t xml:space="preserve">/EMA Network Data Steering Group (NDSG) on developing guidelines for the application of AI in the </w:t>
            </w:r>
            <w:r w:rsidR="28495972" w:rsidRPr="6A87A82F">
              <w:rPr>
                <w:rFonts w:ascii="Times New Roman" w:eastAsia="Times New Roman" w:hAnsi="Times New Roman"/>
                <w:sz w:val="24"/>
                <w:szCs w:val="24"/>
                <w:lang w:val="en-GB"/>
              </w:rPr>
              <w:t>medicine's</w:t>
            </w:r>
            <w:r w:rsidRPr="6A87A82F">
              <w:rPr>
                <w:rFonts w:ascii="Times New Roman" w:eastAsia="Times New Roman" w:hAnsi="Times New Roman"/>
                <w:sz w:val="24"/>
                <w:szCs w:val="24"/>
                <w:lang w:val="en-GB"/>
              </w:rPr>
              <w:t xml:space="preserve"> lifecycle. Also, according to </w:t>
            </w:r>
            <w:r w:rsidR="004D2F50">
              <w:rPr>
                <w:rFonts w:ascii="Times New Roman" w:eastAsia="Times New Roman" w:hAnsi="Times New Roman"/>
                <w:sz w:val="24"/>
                <w:szCs w:val="24"/>
                <w:lang w:val="en-GB"/>
              </w:rPr>
              <w:t xml:space="preserve">the </w:t>
            </w:r>
            <w:r w:rsidRPr="6A87A82F">
              <w:rPr>
                <w:rFonts w:ascii="Times New Roman" w:eastAsia="Times New Roman" w:hAnsi="Times New Roman"/>
                <w:sz w:val="24"/>
                <w:szCs w:val="24"/>
                <w:lang w:val="en-GB"/>
              </w:rPr>
              <w:t>Regulation</w:t>
            </w:r>
            <w:r w:rsidR="004D2F50">
              <w:t xml:space="preserve"> </w:t>
            </w:r>
            <w:r w:rsidR="004D2F50" w:rsidRPr="004D2F50">
              <w:rPr>
                <w:rFonts w:ascii="Times New Roman" w:eastAsia="Times New Roman" w:hAnsi="Times New Roman"/>
                <w:sz w:val="24"/>
                <w:szCs w:val="24"/>
                <w:lang w:val="en-GB"/>
              </w:rPr>
              <w:t>laying down Community procedures for the authorisation and supervision of medicinal products for human and veterinary use and establishing a European Medicines Agency</w:t>
            </w:r>
            <w:r w:rsidR="004D2F50">
              <w:rPr>
                <w:rStyle w:val="FootnoteReference"/>
                <w:rFonts w:ascii="Times New Roman" w:eastAsia="Times New Roman" w:hAnsi="Times New Roman"/>
                <w:sz w:val="24"/>
                <w:szCs w:val="24"/>
                <w:lang w:val="en-GB"/>
              </w:rPr>
              <w:footnoteReference w:id="4"/>
            </w:r>
            <w:r w:rsidRPr="6A87A82F">
              <w:rPr>
                <w:rFonts w:ascii="Times New Roman" w:eastAsia="Times New Roman" w:hAnsi="Times New Roman"/>
                <w:sz w:val="24"/>
                <w:szCs w:val="24"/>
                <w:lang w:val="en-GB"/>
              </w:rPr>
              <w:t xml:space="preserve">, the EMA’s legal </w:t>
            </w:r>
            <w:r w:rsidRPr="6A87A82F">
              <w:rPr>
                <w:rFonts w:ascii="Times New Roman" w:eastAsia="Times New Roman" w:hAnsi="Times New Roman"/>
                <w:sz w:val="24"/>
                <w:szCs w:val="24"/>
                <w:lang w:val="en-GB"/>
              </w:rPr>
              <w:lastRenderedPageBreak/>
              <w:t>mandate concerns the scientific opinions and recommendations on authorisation, supervision, and pharmacovigilance of medicinal products for human and veterinary use. It does not extend to regulating ‘healthcare’ in general, and we would appreciate clarification on which aspects of healthcare the EESC is referring to in this sentence in relation to the EMA.</w:t>
            </w:r>
            <w:bookmarkStart w:id="0" w:name="_Hlk212482858"/>
          </w:p>
          <w:p w14:paraId="22350905" w14:textId="2819E657" w:rsidR="667F07A1" w:rsidRPr="005C5836" w:rsidRDefault="667F07A1"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sz w:val="24"/>
                <w:szCs w:val="24"/>
                <w:lang w:val="en-GB"/>
              </w:rPr>
              <w:t xml:space="preserve">Furthermore, </w:t>
            </w:r>
            <w:r w:rsidR="00917E0E" w:rsidRPr="6A87A82F">
              <w:rPr>
                <w:rFonts w:ascii="Times New Roman" w:eastAsia="Times New Roman" w:hAnsi="Times New Roman"/>
                <w:sz w:val="24"/>
                <w:szCs w:val="24"/>
                <w:lang w:val="en-GB"/>
              </w:rPr>
              <w:t xml:space="preserve">we note the discrepancy in the use of </w:t>
            </w:r>
            <w:r w:rsidRPr="6A87A82F">
              <w:rPr>
                <w:rFonts w:ascii="Times New Roman" w:eastAsia="Times New Roman" w:hAnsi="Times New Roman"/>
                <w:sz w:val="24"/>
                <w:szCs w:val="24"/>
                <w:lang w:val="en-GB"/>
              </w:rPr>
              <w:t xml:space="preserve">the word </w:t>
            </w:r>
            <w:r w:rsidRPr="6A87A82F">
              <w:rPr>
                <w:rFonts w:ascii="Times New Roman" w:eastAsia="Times New Roman" w:hAnsi="Times New Roman"/>
                <w:i/>
                <w:iCs/>
                <w:sz w:val="24"/>
                <w:szCs w:val="24"/>
                <w:lang w:val="en-GB"/>
              </w:rPr>
              <w:t>physician</w:t>
            </w:r>
            <w:r w:rsidR="0016433F" w:rsidRPr="6A87A82F">
              <w:rPr>
                <w:rFonts w:ascii="Times New Roman" w:eastAsia="Times New Roman" w:hAnsi="Times New Roman"/>
                <w:sz w:val="24"/>
                <w:szCs w:val="24"/>
                <w:lang w:val="en-GB"/>
              </w:rPr>
              <w:t xml:space="preserve">; the term healthcare professional (HCP) is, instead, more appropriate, as it </w:t>
            </w:r>
            <w:r w:rsidRPr="6A87A82F">
              <w:rPr>
                <w:rFonts w:ascii="Times New Roman" w:eastAsia="Times New Roman" w:hAnsi="Times New Roman"/>
                <w:sz w:val="24"/>
                <w:szCs w:val="24"/>
                <w:lang w:val="en-GB"/>
              </w:rPr>
              <w:t>include</w:t>
            </w:r>
            <w:r w:rsidR="0016433F" w:rsidRPr="6A87A82F">
              <w:rPr>
                <w:rFonts w:ascii="Times New Roman" w:eastAsia="Times New Roman" w:hAnsi="Times New Roman"/>
                <w:sz w:val="24"/>
                <w:szCs w:val="24"/>
                <w:lang w:val="en-GB"/>
              </w:rPr>
              <w:t>s</w:t>
            </w:r>
            <w:r w:rsidRPr="6A87A82F">
              <w:rPr>
                <w:rFonts w:ascii="Times New Roman" w:eastAsia="Times New Roman" w:hAnsi="Times New Roman"/>
                <w:sz w:val="24"/>
                <w:szCs w:val="24"/>
                <w:lang w:val="en-GB"/>
              </w:rPr>
              <w:t xml:space="preserve"> physicians, pharmacists, nurses, and other qualified clinical practitioners involved in patient care and therapeutic decision-making. Th</w:t>
            </w:r>
            <w:r w:rsidR="0016433F" w:rsidRPr="6A87A82F">
              <w:rPr>
                <w:rFonts w:ascii="Times New Roman" w:eastAsia="Times New Roman" w:hAnsi="Times New Roman"/>
                <w:sz w:val="24"/>
                <w:szCs w:val="24"/>
                <w:lang w:val="en-GB"/>
              </w:rPr>
              <w:t>e use of this term better</w:t>
            </w:r>
            <w:r w:rsidRPr="6A87A82F">
              <w:rPr>
                <w:rFonts w:ascii="Times New Roman" w:eastAsia="Times New Roman" w:hAnsi="Times New Roman"/>
                <w:sz w:val="24"/>
                <w:szCs w:val="24"/>
                <w:lang w:val="en-GB"/>
              </w:rPr>
              <w:t xml:space="preserve"> ensure that the text reflects the multidisciplinary reality of healthcare delivery and aligns with EU terminology, which typically uses </w:t>
            </w:r>
            <w:r w:rsidR="004D2F50">
              <w:rPr>
                <w:rFonts w:ascii="Times New Roman" w:eastAsia="Times New Roman" w:hAnsi="Times New Roman"/>
                <w:sz w:val="24"/>
                <w:szCs w:val="24"/>
                <w:lang w:val="en-GB"/>
              </w:rPr>
              <w:t>‘</w:t>
            </w:r>
            <w:r w:rsidRPr="6A87A82F">
              <w:rPr>
                <w:rFonts w:ascii="Times New Roman" w:eastAsia="Times New Roman" w:hAnsi="Times New Roman"/>
                <w:sz w:val="24"/>
                <w:szCs w:val="24"/>
                <w:lang w:val="en-GB"/>
              </w:rPr>
              <w:t>healthcare professional</w:t>
            </w:r>
            <w:r w:rsidR="004D2F50">
              <w:rPr>
                <w:rFonts w:ascii="Times New Roman" w:eastAsia="Times New Roman" w:hAnsi="Times New Roman"/>
                <w:sz w:val="24"/>
                <w:szCs w:val="24"/>
                <w:lang w:val="en-GB"/>
              </w:rPr>
              <w:t>’</w:t>
            </w:r>
            <w:r w:rsidRPr="6A87A82F">
              <w:rPr>
                <w:rFonts w:ascii="Times New Roman" w:eastAsia="Times New Roman" w:hAnsi="Times New Roman"/>
                <w:sz w:val="24"/>
                <w:szCs w:val="24"/>
                <w:lang w:val="en-GB"/>
              </w:rPr>
              <w:t xml:space="preserve"> to encompass all regulated professions contributing to diagnosis, treatment, and monitoring.</w:t>
            </w:r>
          </w:p>
          <w:p w14:paraId="5324EDC9" w14:textId="6341A917" w:rsidR="667F07A1" w:rsidRPr="005C5836" w:rsidRDefault="667F07A1"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sz w:val="24"/>
                <w:szCs w:val="24"/>
                <w:lang w:val="en-GB"/>
              </w:rPr>
              <w:t xml:space="preserve">In addition, </w:t>
            </w:r>
            <w:r w:rsidR="0016433F" w:rsidRPr="6A87A82F">
              <w:rPr>
                <w:rFonts w:ascii="Times New Roman" w:eastAsia="Times New Roman" w:hAnsi="Times New Roman"/>
                <w:sz w:val="24"/>
                <w:szCs w:val="24"/>
                <w:lang w:val="en-GB"/>
              </w:rPr>
              <w:t xml:space="preserve">we believe that </w:t>
            </w:r>
            <w:r w:rsidRPr="6A87A82F">
              <w:rPr>
                <w:rFonts w:ascii="Times New Roman" w:eastAsia="Times New Roman" w:hAnsi="Times New Roman"/>
                <w:sz w:val="24"/>
                <w:szCs w:val="24"/>
                <w:lang w:val="en-GB"/>
              </w:rPr>
              <w:t xml:space="preserve">the term </w:t>
            </w:r>
            <w:r w:rsidRPr="6A87A82F">
              <w:rPr>
                <w:rFonts w:ascii="Times New Roman" w:eastAsia="Times New Roman" w:hAnsi="Times New Roman"/>
                <w:i/>
                <w:iCs/>
                <w:sz w:val="24"/>
                <w:szCs w:val="24"/>
                <w:lang w:val="en-GB"/>
              </w:rPr>
              <w:t>mandatory</w:t>
            </w:r>
            <w:r w:rsidRPr="6A87A82F">
              <w:rPr>
                <w:rFonts w:ascii="Times New Roman" w:eastAsia="Times New Roman" w:hAnsi="Times New Roman"/>
                <w:sz w:val="24"/>
                <w:szCs w:val="24"/>
                <w:lang w:val="en-GB"/>
              </w:rPr>
              <w:t xml:space="preserve"> may not fully align with the approach taken in the AI Act</w:t>
            </w:r>
            <w:r w:rsidR="00A437B5">
              <w:rPr>
                <w:rStyle w:val="FootnoteReference"/>
                <w:rFonts w:ascii="Times New Roman" w:eastAsia="Times New Roman" w:hAnsi="Times New Roman"/>
                <w:sz w:val="24"/>
                <w:szCs w:val="24"/>
                <w:lang w:val="en-GB"/>
              </w:rPr>
              <w:footnoteReference w:id="5"/>
            </w:r>
            <w:r w:rsidRPr="6A87A82F">
              <w:rPr>
                <w:rFonts w:ascii="Times New Roman" w:eastAsia="Times New Roman" w:hAnsi="Times New Roman"/>
                <w:sz w:val="24"/>
                <w:szCs w:val="24"/>
                <w:lang w:val="en-GB"/>
              </w:rPr>
              <w:t xml:space="preserve">. The AI Act does not prescribe mandatory oversight for all AI systems in healthcare; rather, it requires that high-risk AI </w:t>
            </w:r>
            <w:r w:rsidR="5751DABB" w:rsidRPr="6A87A82F">
              <w:rPr>
                <w:rFonts w:ascii="Times New Roman" w:eastAsia="Times New Roman" w:hAnsi="Times New Roman"/>
                <w:sz w:val="24"/>
                <w:szCs w:val="24"/>
                <w:lang w:val="en-GB"/>
              </w:rPr>
              <w:t>systems</w:t>
            </w:r>
            <w:r w:rsidRPr="6A87A82F">
              <w:rPr>
                <w:rFonts w:ascii="Times New Roman" w:eastAsia="Times New Roman" w:hAnsi="Times New Roman"/>
                <w:sz w:val="24"/>
                <w:szCs w:val="24"/>
                <w:lang w:val="en-GB"/>
              </w:rPr>
              <w:t xml:space="preserve"> are designed and developed to allow for appropriate human oversight (Article 14). </w:t>
            </w:r>
          </w:p>
          <w:p w14:paraId="5AFEEF07" w14:textId="2B2B5FF5" w:rsidR="59B3EDCE" w:rsidRPr="005C5836" w:rsidRDefault="667F07A1"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1.5</w:t>
            </w:r>
            <w:r w:rsidR="00EF6EEB">
              <w:rPr>
                <w:rFonts w:ascii="Times New Roman" w:eastAsia="Times New Roman" w:hAnsi="Times New Roman"/>
                <w:b/>
                <w:bCs/>
                <w:sz w:val="24"/>
                <w:szCs w:val="24"/>
                <w:lang w:val="en-GB"/>
              </w:rPr>
              <w:t>:</w:t>
            </w:r>
            <w:r w:rsidRPr="6A87A82F">
              <w:rPr>
                <w:rFonts w:ascii="Times New Roman" w:eastAsia="Times New Roman" w:hAnsi="Times New Roman"/>
                <w:sz w:val="24"/>
                <w:szCs w:val="24"/>
                <w:lang w:val="en-GB"/>
              </w:rPr>
              <w:t xml:space="preserve"> The word </w:t>
            </w:r>
            <w:r w:rsidRPr="6A87A82F">
              <w:rPr>
                <w:rFonts w:ascii="Times New Roman" w:eastAsia="Times New Roman" w:hAnsi="Times New Roman"/>
                <w:i/>
                <w:iCs/>
                <w:sz w:val="24"/>
                <w:szCs w:val="24"/>
                <w:lang w:val="en-GB"/>
              </w:rPr>
              <w:t>oversight</w:t>
            </w:r>
            <w:r w:rsidRPr="6A87A82F">
              <w:rPr>
                <w:rFonts w:ascii="Times New Roman" w:eastAsia="Times New Roman" w:hAnsi="Times New Roman"/>
                <w:sz w:val="24"/>
                <w:szCs w:val="24"/>
                <w:lang w:val="en-GB"/>
              </w:rPr>
              <w:t xml:space="preserve"> should be complemented by the words </w:t>
            </w:r>
            <w:r w:rsidRPr="6A87A82F">
              <w:rPr>
                <w:rFonts w:ascii="Times New Roman" w:eastAsia="Times New Roman" w:hAnsi="Times New Roman"/>
                <w:i/>
                <w:iCs/>
                <w:sz w:val="24"/>
                <w:szCs w:val="24"/>
                <w:lang w:val="en-GB"/>
              </w:rPr>
              <w:t>where appropriate according to EU legislation.</w:t>
            </w:r>
          </w:p>
          <w:bookmarkEnd w:id="0"/>
          <w:p w14:paraId="60738A94" w14:textId="04A64E28" w:rsidR="4CC19581" w:rsidRPr="005C5836" w:rsidRDefault="1BC749E2"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1.6</w:t>
            </w:r>
            <w:r w:rsidR="00A437B5">
              <w:rPr>
                <w:rFonts w:ascii="Times New Roman" w:eastAsia="Times New Roman" w:hAnsi="Times New Roman"/>
                <w:b/>
                <w:bCs/>
                <w:sz w:val="24"/>
                <w:szCs w:val="24"/>
                <w:lang w:val="en-GB"/>
              </w:rPr>
              <w:t>:</w:t>
            </w:r>
            <w:r w:rsidR="7474664A" w:rsidRPr="6A87A82F">
              <w:rPr>
                <w:rFonts w:ascii="Times New Roman" w:eastAsia="Times New Roman" w:hAnsi="Times New Roman"/>
                <w:sz w:val="24"/>
                <w:szCs w:val="24"/>
                <w:lang w:val="en-GB"/>
              </w:rPr>
              <w:t xml:space="preserve"> </w:t>
            </w:r>
            <w:r w:rsidR="4CC19581" w:rsidRPr="6A87A82F">
              <w:rPr>
                <w:rFonts w:ascii="Times New Roman" w:eastAsia="Times New Roman" w:hAnsi="Times New Roman"/>
                <w:sz w:val="24"/>
                <w:szCs w:val="24"/>
                <w:lang w:val="en-GB"/>
              </w:rPr>
              <w:t xml:space="preserve">Gender-balanced datasets are essential to avoid bias in pharmaceutical development and evaluation; however, in some cases, gender-specific models are also necessary, as biological and pharmacological differences between men and women can significantly influence diagnosis, drug response, and safety profiles. </w:t>
            </w:r>
            <w:r w:rsidR="77DDD0F1" w:rsidRPr="6A87A82F">
              <w:rPr>
                <w:rFonts w:ascii="Times New Roman" w:eastAsia="Times New Roman" w:hAnsi="Times New Roman"/>
                <w:sz w:val="24"/>
                <w:szCs w:val="24"/>
                <w:lang w:val="en-GB"/>
              </w:rPr>
              <w:t>W</w:t>
            </w:r>
            <w:r w:rsidR="7474664A" w:rsidRPr="6A87A82F">
              <w:rPr>
                <w:rFonts w:ascii="Times New Roman" w:eastAsia="Times New Roman" w:hAnsi="Times New Roman"/>
                <w:sz w:val="24"/>
                <w:szCs w:val="24"/>
                <w:lang w:val="en-GB"/>
              </w:rPr>
              <w:t>here</w:t>
            </w:r>
            <w:r w:rsidR="4CC19581" w:rsidRPr="6A87A82F">
              <w:rPr>
                <w:rFonts w:ascii="Times New Roman" w:eastAsia="Times New Roman" w:hAnsi="Times New Roman"/>
                <w:sz w:val="24"/>
                <w:szCs w:val="24"/>
                <w:lang w:val="en-GB"/>
              </w:rPr>
              <w:t xml:space="preserve"> clinically relevant, sex-disaggregated or gender-specific AI models should be developed alongside balanced datasets.</w:t>
            </w:r>
            <w:r w:rsidR="3C768DEE" w:rsidRPr="6A87A82F">
              <w:rPr>
                <w:rFonts w:ascii="Times New Roman" w:eastAsia="Times New Roman" w:hAnsi="Times New Roman"/>
                <w:sz w:val="24"/>
                <w:szCs w:val="24"/>
                <w:lang w:val="en-GB"/>
              </w:rPr>
              <w:t xml:space="preserve"> </w:t>
            </w:r>
            <w:r w:rsidR="74C6E378" w:rsidRPr="6A87A82F">
              <w:rPr>
                <w:rFonts w:ascii="Times New Roman" w:eastAsia="Times New Roman" w:hAnsi="Times New Roman"/>
                <w:sz w:val="24"/>
                <w:szCs w:val="24"/>
                <w:lang w:val="en-GB"/>
              </w:rPr>
              <w:t>In addition, some diseases are very gender-</w:t>
            </w:r>
            <w:r w:rsidR="01F77CEF" w:rsidRPr="6A87A82F">
              <w:rPr>
                <w:rFonts w:ascii="Times New Roman" w:eastAsia="Times New Roman" w:hAnsi="Times New Roman"/>
                <w:sz w:val="24"/>
                <w:szCs w:val="24"/>
                <w:lang w:val="en-GB"/>
              </w:rPr>
              <w:t>specific,</w:t>
            </w:r>
            <w:r w:rsidR="74C6E378" w:rsidRPr="6A87A82F">
              <w:rPr>
                <w:rFonts w:ascii="Times New Roman" w:eastAsia="Times New Roman" w:hAnsi="Times New Roman"/>
                <w:sz w:val="24"/>
                <w:szCs w:val="24"/>
                <w:lang w:val="en-GB"/>
              </w:rPr>
              <w:t xml:space="preserve"> so a gender-balanced dataset would not reflect the real-life situation. </w:t>
            </w:r>
          </w:p>
          <w:p w14:paraId="7E8554B1" w14:textId="0A7973FF" w:rsidR="5AED5A12" w:rsidRDefault="5AED5A12"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sz w:val="24"/>
                <w:szCs w:val="24"/>
                <w:lang w:val="en-GB"/>
              </w:rPr>
              <w:t>Under Article 10 of the AI Act, high-risk AI systems must be trained, validated and tested on high-quality datasets reflecting the specific context of use, with risk and quality management, and conformity assessments to prevent discrimination. The Apply AI Strategy</w:t>
            </w:r>
            <w:r w:rsidR="00FE361A">
              <w:rPr>
                <w:rStyle w:val="FootnoteReference"/>
                <w:rFonts w:ascii="Times New Roman" w:eastAsia="Times New Roman" w:hAnsi="Times New Roman"/>
                <w:sz w:val="24"/>
                <w:szCs w:val="24"/>
                <w:lang w:val="en-GB"/>
              </w:rPr>
              <w:footnoteReference w:id="6"/>
            </w:r>
            <w:r w:rsidRPr="6A87A82F">
              <w:rPr>
                <w:rFonts w:ascii="Times New Roman" w:eastAsia="Times New Roman" w:hAnsi="Times New Roman"/>
                <w:sz w:val="24"/>
                <w:szCs w:val="24"/>
                <w:lang w:val="en-GB"/>
              </w:rPr>
              <w:t xml:space="preserve"> further foresees European AI-powered advanced screening centres, which could support real-world testing and validation of medical AI models, including gender-specific considerations, while facilitating access to high-quality datasets through the European Health Data Space and other European infrastructures.</w:t>
            </w:r>
          </w:p>
          <w:p w14:paraId="244609D3" w14:textId="77777777" w:rsidR="007729B8" w:rsidRPr="007729B8" w:rsidRDefault="007729B8" w:rsidP="00D02019">
            <w:pPr>
              <w:spacing w:before="120" w:after="120"/>
              <w:jc w:val="both"/>
              <w:rPr>
                <w:rFonts w:ascii="Times New Roman" w:eastAsia="Times New Roman" w:hAnsi="Times New Roman"/>
                <w:sz w:val="24"/>
                <w:szCs w:val="24"/>
                <w:lang w:val="en-GB"/>
              </w:rPr>
            </w:pPr>
            <w:r w:rsidRPr="007729B8">
              <w:rPr>
                <w:rFonts w:ascii="Times New Roman" w:eastAsia="Times New Roman" w:hAnsi="Times New Roman"/>
                <w:sz w:val="24"/>
                <w:szCs w:val="24"/>
                <w:lang w:val="en-GB"/>
              </w:rPr>
              <w:t xml:space="preserve">The Digital Education Action Plan already includes a dedicated initiative to promote the participation of girls and women in STEM and digital fields. It features </w:t>
            </w:r>
            <w:r w:rsidRPr="007729B8">
              <w:rPr>
                <w:rFonts w:ascii="Times New Roman" w:eastAsia="Times New Roman" w:hAnsi="Times New Roman"/>
                <w:b/>
                <w:bCs/>
                <w:sz w:val="24"/>
                <w:szCs w:val="24"/>
                <w:lang w:val="en-GB"/>
              </w:rPr>
              <w:t>Girls Go Circular</w:t>
            </w:r>
            <w:r w:rsidRPr="007729B8">
              <w:rPr>
                <w:rFonts w:ascii="Times New Roman" w:eastAsia="Times New Roman" w:hAnsi="Times New Roman"/>
                <w:b/>
                <w:bCs/>
                <w:sz w:val="24"/>
                <w:szCs w:val="24"/>
                <w:vertAlign w:val="superscript"/>
                <w:lang w:val="en-GB"/>
              </w:rPr>
              <w:footnoteReference w:id="7"/>
            </w:r>
            <w:r w:rsidRPr="007729B8">
              <w:rPr>
                <w:rFonts w:ascii="Times New Roman" w:eastAsia="Times New Roman" w:hAnsi="Times New Roman"/>
                <w:sz w:val="24"/>
                <w:szCs w:val="24"/>
                <w:lang w:val="en-GB"/>
              </w:rPr>
              <w:t xml:space="preserve">, a free online learning programme for 14–19-year-old girls designed to strengthen their STEM and entrepreneurial competences. So far, the programme has trained over </w:t>
            </w:r>
            <w:r w:rsidRPr="007729B8">
              <w:rPr>
                <w:rFonts w:ascii="Times New Roman" w:eastAsia="Times New Roman" w:hAnsi="Times New Roman"/>
                <w:b/>
                <w:bCs/>
                <w:sz w:val="24"/>
                <w:szCs w:val="24"/>
                <w:lang w:val="en-GB"/>
              </w:rPr>
              <w:t xml:space="preserve">60 000 girls across 23 </w:t>
            </w:r>
            <w:r w:rsidRPr="007729B8">
              <w:rPr>
                <w:rFonts w:ascii="Times New Roman" w:eastAsia="Times New Roman" w:hAnsi="Times New Roman"/>
                <w:b/>
                <w:bCs/>
                <w:sz w:val="24"/>
                <w:szCs w:val="24"/>
                <w:lang w:val="en-GB"/>
              </w:rPr>
              <w:lastRenderedPageBreak/>
              <w:t>countries</w:t>
            </w:r>
            <w:r w:rsidRPr="007729B8">
              <w:rPr>
                <w:rFonts w:ascii="Times New Roman" w:eastAsia="Times New Roman" w:hAnsi="Times New Roman"/>
                <w:sz w:val="24"/>
                <w:szCs w:val="24"/>
                <w:lang w:val="en-GB"/>
              </w:rPr>
              <w:t xml:space="preserve"> and recently evolved into </w:t>
            </w:r>
            <w:r w:rsidRPr="007729B8">
              <w:rPr>
                <w:rFonts w:ascii="Times New Roman" w:eastAsia="Times New Roman" w:hAnsi="Times New Roman"/>
                <w:b/>
                <w:bCs/>
                <w:sz w:val="24"/>
                <w:szCs w:val="24"/>
                <w:lang w:val="en-GB"/>
              </w:rPr>
              <w:t>Girls Go STEM</w:t>
            </w:r>
            <w:r w:rsidRPr="007729B8">
              <w:rPr>
                <w:rFonts w:ascii="Times New Roman" w:eastAsia="Times New Roman" w:hAnsi="Times New Roman"/>
                <w:sz w:val="24"/>
                <w:szCs w:val="24"/>
                <w:lang w:val="en-GB"/>
              </w:rPr>
              <w:t xml:space="preserve"> as part of the broader STEM Education Strategic Action Plan</w:t>
            </w:r>
            <w:r w:rsidRPr="007729B8">
              <w:rPr>
                <w:rFonts w:ascii="Times New Roman" w:eastAsia="Times New Roman" w:hAnsi="Times New Roman"/>
                <w:sz w:val="24"/>
                <w:szCs w:val="24"/>
                <w:vertAlign w:val="superscript"/>
                <w:lang w:val="en-GB"/>
              </w:rPr>
              <w:footnoteReference w:id="8"/>
            </w:r>
            <w:r w:rsidRPr="007729B8">
              <w:rPr>
                <w:rFonts w:ascii="Times New Roman" w:eastAsia="Times New Roman" w:hAnsi="Times New Roman"/>
                <w:sz w:val="24"/>
                <w:szCs w:val="24"/>
                <w:lang w:val="en-GB"/>
              </w:rPr>
              <w:t xml:space="preserve">. Additionally, the Plan supports </w:t>
            </w:r>
            <w:r w:rsidRPr="007729B8">
              <w:rPr>
                <w:rFonts w:ascii="Times New Roman" w:eastAsia="Times New Roman" w:hAnsi="Times New Roman"/>
                <w:b/>
                <w:bCs/>
                <w:sz w:val="24"/>
                <w:szCs w:val="24"/>
                <w:lang w:val="en-GB"/>
              </w:rPr>
              <w:t>ESTEAM Fests</w:t>
            </w:r>
            <w:r w:rsidRPr="007729B8">
              <w:rPr>
                <w:rFonts w:ascii="Times New Roman" w:eastAsia="Times New Roman" w:hAnsi="Times New Roman"/>
                <w:b/>
                <w:bCs/>
                <w:sz w:val="24"/>
                <w:szCs w:val="24"/>
                <w:vertAlign w:val="superscript"/>
                <w:lang w:val="en-GB"/>
              </w:rPr>
              <w:footnoteReference w:id="9"/>
            </w:r>
            <w:r w:rsidRPr="007729B8">
              <w:rPr>
                <w:rFonts w:ascii="Times New Roman" w:eastAsia="Times New Roman" w:hAnsi="Times New Roman"/>
                <w:sz w:val="24"/>
                <w:szCs w:val="24"/>
                <w:lang w:val="en-GB"/>
              </w:rPr>
              <w:t xml:space="preserve">, one-day workshops for girls and women of all ages. To date, </w:t>
            </w:r>
            <w:r w:rsidRPr="007729B8">
              <w:rPr>
                <w:rFonts w:ascii="Times New Roman" w:eastAsia="Times New Roman" w:hAnsi="Times New Roman"/>
                <w:b/>
                <w:bCs/>
                <w:sz w:val="24"/>
                <w:szCs w:val="24"/>
                <w:lang w:val="en-GB"/>
              </w:rPr>
              <w:t>22 Fests</w:t>
            </w:r>
            <w:r w:rsidRPr="007729B8">
              <w:rPr>
                <w:rFonts w:ascii="Times New Roman" w:eastAsia="Times New Roman" w:hAnsi="Times New Roman"/>
                <w:sz w:val="24"/>
                <w:szCs w:val="24"/>
                <w:lang w:val="en-GB"/>
              </w:rPr>
              <w:t xml:space="preserve"> have been organised in </w:t>
            </w:r>
            <w:r w:rsidRPr="007729B8">
              <w:rPr>
                <w:rFonts w:ascii="Times New Roman" w:eastAsia="Times New Roman" w:hAnsi="Times New Roman"/>
                <w:b/>
                <w:bCs/>
                <w:sz w:val="24"/>
                <w:szCs w:val="24"/>
                <w:lang w:val="en-GB"/>
              </w:rPr>
              <w:t>13 countries</w:t>
            </w:r>
            <w:r w:rsidRPr="007729B8">
              <w:rPr>
                <w:rFonts w:ascii="Times New Roman" w:eastAsia="Times New Roman" w:hAnsi="Times New Roman"/>
                <w:sz w:val="24"/>
                <w:szCs w:val="24"/>
                <w:lang w:val="en-GB"/>
              </w:rPr>
              <w:t xml:space="preserve">, reaching </w:t>
            </w:r>
            <w:r w:rsidRPr="007729B8">
              <w:rPr>
                <w:rFonts w:ascii="Times New Roman" w:eastAsia="Times New Roman" w:hAnsi="Times New Roman"/>
                <w:b/>
                <w:bCs/>
                <w:sz w:val="24"/>
                <w:szCs w:val="24"/>
                <w:lang w:val="en-GB"/>
              </w:rPr>
              <w:t>4 564 participants</w:t>
            </w:r>
            <w:r w:rsidRPr="007729B8">
              <w:rPr>
                <w:rFonts w:ascii="Times New Roman" w:eastAsia="Times New Roman" w:hAnsi="Times New Roman"/>
                <w:sz w:val="24"/>
                <w:szCs w:val="24"/>
                <w:lang w:val="en-GB"/>
              </w:rPr>
              <w:t>. These actions collectively foster greater inclusion of women in areas such as AI and medical data science.</w:t>
            </w:r>
          </w:p>
          <w:p w14:paraId="3C5A7FBB" w14:textId="58C5F6E1" w:rsidR="007729B8" w:rsidRPr="008429AA" w:rsidRDefault="007729B8" w:rsidP="00D02019">
            <w:pPr>
              <w:spacing w:before="120" w:after="120"/>
              <w:jc w:val="both"/>
              <w:rPr>
                <w:rFonts w:ascii="Times New Roman" w:eastAsia="Times New Roman" w:hAnsi="Times New Roman"/>
                <w:sz w:val="24"/>
                <w:szCs w:val="24"/>
                <w:lang w:val="en-GB"/>
              </w:rPr>
            </w:pPr>
            <w:r w:rsidRPr="007729B8">
              <w:rPr>
                <w:rFonts w:ascii="Times New Roman" w:eastAsia="Times New Roman" w:hAnsi="Times New Roman"/>
                <w:b/>
                <w:bCs/>
                <w:sz w:val="24"/>
                <w:szCs w:val="24"/>
                <w:lang w:val="en-GB"/>
              </w:rPr>
              <w:t>Point 1.7</w:t>
            </w:r>
            <w:r w:rsidR="00A437B5">
              <w:rPr>
                <w:rFonts w:ascii="Times New Roman" w:eastAsia="Times New Roman" w:hAnsi="Times New Roman"/>
                <w:b/>
                <w:bCs/>
                <w:sz w:val="24"/>
                <w:szCs w:val="24"/>
                <w:lang w:val="en-GB"/>
              </w:rPr>
              <w:t>:</w:t>
            </w:r>
            <w:r w:rsidRPr="007729B8">
              <w:rPr>
                <w:rFonts w:ascii="Times New Roman" w:eastAsia="Times New Roman" w:hAnsi="Times New Roman"/>
                <w:sz w:val="24"/>
                <w:szCs w:val="24"/>
                <w:lang w:val="en-GB"/>
              </w:rPr>
              <w:t xml:space="preserve"> The Commission acknowledges the importance of advancing female participation in AI-driven healthcare. </w:t>
            </w:r>
            <w:r w:rsidRPr="00E94067">
              <w:rPr>
                <w:rFonts w:ascii="Times New Roman" w:eastAsia="Times New Roman" w:hAnsi="Times New Roman"/>
                <w:sz w:val="24"/>
                <w:szCs w:val="24"/>
                <w:lang w:val="en-GB"/>
              </w:rPr>
              <w:t>The European Institute of Innovation and Technology’s (EIT) Knowledge and Innovation Communit</w:t>
            </w:r>
            <w:r w:rsidR="00E64070">
              <w:rPr>
                <w:rFonts w:ascii="Times New Roman" w:eastAsia="Times New Roman" w:hAnsi="Times New Roman"/>
                <w:sz w:val="24"/>
                <w:szCs w:val="24"/>
                <w:lang w:val="en-GB"/>
              </w:rPr>
              <w:t>y</w:t>
            </w:r>
            <w:r w:rsidRPr="00E94067">
              <w:rPr>
                <w:rFonts w:ascii="Times New Roman" w:eastAsia="Times New Roman" w:hAnsi="Times New Roman"/>
                <w:sz w:val="24"/>
                <w:szCs w:val="24"/>
                <w:lang w:val="en-GB"/>
              </w:rPr>
              <w:t xml:space="preserve"> EIT Health</w:t>
            </w:r>
            <w:r w:rsidRPr="00E94067">
              <w:rPr>
                <w:rFonts w:ascii="Times New Roman" w:eastAsia="Times New Roman" w:hAnsi="Times New Roman"/>
                <w:sz w:val="24"/>
                <w:szCs w:val="24"/>
                <w:vertAlign w:val="superscript"/>
                <w:lang w:val="en-GB"/>
              </w:rPr>
              <w:footnoteReference w:id="10"/>
            </w:r>
            <w:r w:rsidRPr="00E94067">
              <w:rPr>
                <w:rFonts w:ascii="Times New Roman" w:eastAsia="Times New Roman" w:hAnsi="Times New Roman"/>
                <w:sz w:val="24"/>
                <w:szCs w:val="24"/>
                <w:lang w:val="en-GB"/>
              </w:rPr>
              <w:t xml:space="preserve"> already offers the ‘Women Entrepreneurship Bootcamp’</w:t>
            </w:r>
            <w:r w:rsidRPr="6A87A82F">
              <w:rPr>
                <w:rFonts w:ascii="Times New Roman" w:eastAsia="Times New Roman" w:hAnsi="Times New Roman"/>
                <w:sz w:val="24"/>
                <w:szCs w:val="24"/>
                <w:lang w:val="en-GB"/>
              </w:rPr>
              <w:t>, a</w:t>
            </w:r>
            <w:r w:rsidR="00A437B5">
              <w:rPr>
                <w:rFonts w:ascii="Times New Roman" w:eastAsia="Times New Roman" w:hAnsi="Times New Roman"/>
                <w:sz w:val="24"/>
                <w:szCs w:val="24"/>
                <w:lang w:val="en-GB"/>
              </w:rPr>
              <w:t> </w:t>
            </w:r>
            <w:r w:rsidRPr="6A87A82F">
              <w:rPr>
                <w:rFonts w:ascii="Times New Roman" w:eastAsia="Times New Roman" w:hAnsi="Times New Roman"/>
                <w:sz w:val="24"/>
                <w:szCs w:val="24"/>
                <w:lang w:val="en-GB"/>
              </w:rPr>
              <w:t>programme offering personalised training, dedicated mentoring, networking opportunities</w:t>
            </w:r>
            <w:r w:rsidRPr="007729B8">
              <w:rPr>
                <w:rFonts w:ascii="Times New Roman" w:eastAsia="Times New Roman" w:hAnsi="Times New Roman"/>
                <w:sz w:val="24"/>
                <w:szCs w:val="24"/>
                <w:lang w:val="en-GB"/>
              </w:rPr>
              <w:t xml:space="preserve"> and alumni support to women-led or co-led healthcare start-ups.</w:t>
            </w:r>
          </w:p>
          <w:p w14:paraId="10E1864E" w14:textId="3D9CF379" w:rsidR="060AC922" w:rsidRPr="005C5836" w:rsidRDefault="14F57E41"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2.5</w:t>
            </w:r>
            <w:r w:rsidR="00A437B5">
              <w:rPr>
                <w:rFonts w:ascii="Times New Roman" w:eastAsia="Times New Roman" w:hAnsi="Times New Roman"/>
                <w:b/>
                <w:bCs/>
                <w:sz w:val="24"/>
                <w:szCs w:val="24"/>
                <w:lang w:val="en-GB"/>
              </w:rPr>
              <w:t>:</w:t>
            </w:r>
            <w:r w:rsidRPr="6A87A82F">
              <w:rPr>
                <w:rFonts w:ascii="Times New Roman" w:eastAsia="Times New Roman" w:hAnsi="Times New Roman"/>
                <w:sz w:val="24"/>
                <w:szCs w:val="24"/>
                <w:lang w:val="en-GB"/>
              </w:rPr>
              <w:t xml:space="preserve"> The Apply AI Strategy complements these initiatives by promoting the adoption of AI in healthcare, facilitating cross-border collaboration and supporting the development of AI tools tailored to address unmet medical needs, while initiatives such as 1+MG</w:t>
            </w:r>
            <w:r w:rsidR="005C6724">
              <w:rPr>
                <w:rStyle w:val="FootnoteReference"/>
                <w:rFonts w:ascii="Times New Roman" w:eastAsia="Times New Roman" w:hAnsi="Times New Roman"/>
                <w:sz w:val="24"/>
                <w:szCs w:val="24"/>
                <w:lang w:val="en-GB"/>
              </w:rPr>
              <w:footnoteReference w:id="11"/>
            </w:r>
            <w:r w:rsidRPr="6A87A82F">
              <w:rPr>
                <w:rFonts w:ascii="Times New Roman" w:eastAsia="Times New Roman" w:hAnsi="Times New Roman"/>
                <w:sz w:val="24"/>
                <w:szCs w:val="24"/>
                <w:lang w:val="en-GB"/>
              </w:rPr>
              <w:t xml:space="preserve"> are developing a</w:t>
            </w:r>
            <w:r w:rsidR="00A437B5">
              <w:rPr>
                <w:rFonts w:ascii="Times New Roman" w:eastAsia="Times New Roman" w:hAnsi="Times New Roman"/>
                <w:sz w:val="24"/>
                <w:szCs w:val="24"/>
                <w:lang w:val="en-GB"/>
              </w:rPr>
              <w:t> </w:t>
            </w:r>
            <w:r w:rsidRPr="6A87A82F">
              <w:rPr>
                <w:rFonts w:ascii="Times New Roman" w:eastAsia="Times New Roman" w:hAnsi="Times New Roman"/>
                <w:sz w:val="24"/>
                <w:szCs w:val="24"/>
                <w:lang w:val="en-GB"/>
              </w:rPr>
              <w:t xml:space="preserve">European data infrastructure that could be harnessed to improve access to genomic and health data and may support rare disease research. </w:t>
            </w:r>
          </w:p>
          <w:p w14:paraId="285F409B" w14:textId="1F4A92CF" w:rsidR="008429AA" w:rsidRDefault="14F57E41"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3.2</w:t>
            </w:r>
            <w:r w:rsidR="00A437B5">
              <w:rPr>
                <w:rFonts w:ascii="Times New Roman" w:eastAsia="Times New Roman" w:hAnsi="Times New Roman"/>
                <w:b/>
                <w:bCs/>
                <w:sz w:val="24"/>
                <w:szCs w:val="24"/>
                <w:lang w:val="en-GB"/>
              </w:rPr>
              <w:t>:</w:t>
            </w:r>
            <w:r w:rsidRPr="6A87A82F">
              <w:rPr>
                <w:rFonts w:ascii="Times New Roman" w:eastAsia="Times New Roman" w:hAnsi="Times New Roman"/>
                <w:b/>
                <w:bCs/>
                <w:sz w:val="24"/>
                <w:szCs w:val="24"/>
                <w:lang w:val="en-GB"/>
              </w:rPr>
              <w:t xml:space="preserve"> </w:t>
            </w:r>
            <w:r w:rsidRPr="6A87A82F">
              <w:rPr>
                <w:rFonts w:ascii="Times New Roman" w:eastAsia="Times New Roman" w:hAnsi="Times New Roman"/>
                <w:sz w:val="24"/>
                <w:szCs w:val="24"/>
                <w:lang w:val="en-GB"/>
              </w:rPr>
              <w:t>The Apply AI Strategy further strengthens these efforts by supporting a healthcare flagship and collaborative frameworks that promote AI adoption across the sector. These frameworks could also be applied to rare disease research and healthcare provision, complemented by initiatives such as 1+MG, which are building harmonised genomic and health data resources that may contribute to rare disease research while serving broader healthcare applications.</w:t>
            </w:r>
          </w:p>
          <w:p w14:paraId="03AB96A3" w14:textId="2053FDFF" w:rsidR="008429AA" w:rsidRDefault="14F57E41"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3.3</w:t>
            </w:r>
            <w:r w:rsidR="00A437B5">
              <w:rPr>
                <w:rFonts w:ascii="Times New Roman" w:eastAsia="Times New Roman" w:hAnsi="Times New Roman"/>
                <w:b/>
                <w:bCs/>
                <w:sz w:val="24"/>
                <w:szCs w:val="24"/>
                <w:lang w:val="en-GB"/>
              </w:rPr>
              <w:t>:</w:t>
            </w:r>
            <w:r w:rsidRPr="6A87A82F">
              <w:rPr>
                <w:rFonts w:ascii="Times New Roman" w:eastAsia="Times New Roman" w:hAnsi="Times New Roman"/>
                <w:sz w:val="24"/>
                <w:szCs w:val="24"/>
                <w:lang w:val="en-GB"/>
              </w:rPr>
              <w:t xml:space="preserve"> Support for these pilot projects should be encouraged to promote sustainable and structural benefits for the Member States and institutions involved. Separately, initiatives such as 1+MG are developing cross-border genomic and health datasets that could potentially be applied to support rare disease research.</w:t>
            </w:r>
          </w:p>
          <w:p w14:paraId="21154FEB" w14:textId="4EED002F" w:rsidR="060AC922" w:rsidRPr="005C5836" w:rsidRDefault="17EFF0C1"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3.5</w:t>
            </w:r>
            <w:r w:rsidR="00A437B5">
              <w:rPr>
                <w:rFonts w:ascii="Times New Roman" w:eastAsia="Times New Roman" w:hAnsi="Times New Roman"/>
                <w:b/>
                <w:bCs/>
                <w:sz w:val="24"/>
                <w:szCs w:val="24"/>
                <w:lang w:val="en-GB"/>
              </w:rPr>
              <w:t>:</w:t>
            </w:r>
            <w:r w:rsidRPr="6A87A82F">
              <w:rPr>
                <w:rFonts w:ascii="Times New Roman" w:eastAsia="Times New Roman" w:hAnsi="Times New Roman"/>
                <w:sz w:val="24"/>
                <w:szCs w:val="24"/>
                <w:lang w:val="en-GB"/>
              </w:rPr>
              <w:t xml:space="preserve"> AI does</w:t>
            </w:r>
            <w:r w:rsidR="04C6A68E" w:rsidRPr="6A87A82F">
              <w:rPr>
                <w:rFonts w:ascii="Times New Roman" w:eastAsia="Times New Roman" w:hAnsi="Times New Roman"/>
                <w:sz w:val="24"/>
                <w:szCs w:val="24"/>
                <w:lang w:val="en-GB"/>
              </w:rPr>
              <w:t xml:space="preserve"> not</w:t>
            </w:r>
            <w:r w:rsidRPr="6A87A82F">
              <w:rPr>
                <w:rFonts w:ascii="Times New Roman" w:eastAsia="Times New Roman" w:hAnsi="Times New Roman"/>
                <w:sz w:val="24"/>
                <w:szCs w:val="24"/>
                <w:lang w:val="en-GB"/>
              </w:rPr>
              <w:t xml:space="preserve"> usually model direct compound–mutation interactions, but rather predicts how compounds affect molecular targets, pathways, or proteins altered by those mutations. Directly modelling compound–mutation interactions is generally not feasible, as it would require exhaustive experimental data on every possible compound–mutation pair—an astronomically large and biologically complex space that exceeds current computational and data capabilities.</w:t>
            </w:r>
            <w:r w:rsidR="5232BCFF" w:rsidRPr="6A87A82F">
              <w:rPr>
                <w:rFonts w:ascii="Times New Roman" w:eastAsia="Times New Roman" w:hAnsi="Times New Roman"/>
                <w:sz w:val="24"/>
                <w:szCs w:val="24"/>
                <w:lang w:val="en-GB"/>
              </w:rPr>
              <w:t xml:space="preserve"> </w:t>
            </w:r>
            <w:r w:rsidR="3B33CE4A" w:rsidRPr="6A87A82F">
              <w:rPr>
                <w:rFonts w:ascii="Times New Roman" w:eastAsia="Times New Roman" w:hAnsi="Times New Roman"/>
                <w:sz w:val="24"/>
                <w:szCs w:val="24"/>
                <w:lang w:val="en-GB"/>
              </w:rPr>
              <w:t xml:space="preserve">In this context, it may be useful to clarify that AI approaches instead focus on predicting how potential compounds interact with biological targets affected by disease-causing mutations. </w:t>
            </w:r>
            <w:r w:rsidR="432AB223" w:rsidRPr="6A87A82F">
              <w:rPr>
                <w:rFonts w:ascii="Times New Roman" w:eastAsia="Times New Roman" w:hAnsi="Times New Roman"/>
                <w:sz w:val="24"/>
                <w:szCs w:val="24"/>
                <w:lang w:val="en-GB"/>
              </w:rPr>
              <w:t>Moreover, it is important to stress that there is different potential of AI at different stages of drug development and different needs as regards the oversight/explainability.</w:t>
            </w:r>
          </w:p>
          <w:p w14:paraId="317BEA2D" w14:textId="22B98E24" w:rsidR="1DD34580" w:rsidRPr="008429AA" w:rsidRDefault="1DD34580"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3.6</w:t>
            </w:r>
            <w:r w:rsidR="00A437B5">
              <w:rPr>
                <w:rFonts w:ascii="Times New Roman" w:eastAsia="Times New Roman" w:hAnsi="Times New Roman"/>
                <w:b/>
                <w:bCs/>
                <w:sz w:val="24"/>
                <w:szCs w:val="24"/>
                <w:lang w:val="en-GB"/>
              </w:rPr>
              <w:t>:</w:t>
            </w:r>
            <w:r w:rsidRPr="6A87A82F">
              <w:rPr>
                <w:rFonts w:ascii="Times New Roman" w:eastAsia="Times New Roman" w:hAnsi="Times New Roman"/>
                <w:b/>
                <w:bCs/>
                <w:sz w:val="24"/>
                <w:szCs w:val="24"/>
                <w:lang w:val="en-GB"/>
              </w:rPr>
              <w:t xml:space="preserve"> </w:t>
            </w:r>
            <w:r w:rsidRPr="6A87A82F">
              <w:rPr>
                <w:rFonts w:ascii="Times New Roman" w:eastAsia="Times New Roman" w:hAnsi="Times New Roman"/>
                <w:sz w:val="24"/>
                <w:szCs w:val="24"/>
                <w:lang w:val="en-GB"/>
              </w:rPr>
              <w:t xml:space="preserve">Additionally, the Apply AI Strategy’s drug discovery challenge for unmet medical needs could enhance the development of novel therapies for rare diseases. </w:t>
            </w:r>
            <w:r w:rsidR="65819F31" w:rsidRPr="6A87A82F">
              <w:rPr>
                <w:rFonts w:ascii="Times New Roman" w:eastAsia="Times New Roman" w:hAnsi="Times New Roman"/>
                <w:sz w:val="24"/>
                <w:szCs w:val="24"/>
                <w:lang w:val="en-GB"/>
              </w:rPr>
              <w:t>Separately</w:t>
            </w:r>
            <w:r w:rsidRPr="6A87A82F">
              <w:rPr>
                <w:rFonts w:ascii="Times New Roman" w:eastAsia="Times New Roman" w:hAnsi="Times New Roman"/>
                <w:sz w:val="24"/>
                <w:szCs w:val="24"/>
                <w:lang w:val="en-GB"/>
              </w:rPr>
              <w:t xml:space="preserve">, initiatives </w:t>
            </w:r>
            <w:r w:rsidRPr="6A87A82F">
              <w:rPr>
                <w:rFonts w:ascii="Times New Roman" w:eastAsia="Times New Roman" w:hAnsi="Times New Roman"/>
                <w:sz w:val="24"/>
                <w:szCs w:val="24"/>
                <w:lang w:val="en-GB"/>
              </w:rPr>
              <w:lastRenderedPageBreak/>
              <w:t>such as 1+MG are developing cross-border genomic and health datasets that could be leveraged to advance research on rare disease while serving broader health research.</w:t>
            </w:r>
          </w:p>
          <w:p w14:paraId="74AF98F5" w14:textId="395B017B" w:rsidR="060AC922" w:rsidRPr="008429AA" w:rsidRDefault="060AC922"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4.2.1</w:t>
            </w:r>
            <w:r w:rsidR="00A437B5">
              <w:rPr>
                <w:rFonts w:ascii="Times New Roman" w:eastAsia="Times New Roman" w:hAnsi="Times New Roman"/>
                <w:b/>
                <w:bCs/>
                <w:sz w:val="24"/>
                <w:szCs w:val="24"/>
                <w:lang w:val="en-GB"/>
              </w:rPr>
              <w:t>:</w:t>
            </w:r>
            <w:r w:rsidRPr="6A87A82F">
              <w:rPr>
                <w:rFonts w:ascii="Times New Roman" w:eastAsia="Times New Roman" w:hAnsi="Times New Roman"/>
                <w:b/>
                <w:bCs/>
                <w:sz w:val="24"/>
                <w:szCs w:val="24"/>
                <w:lang w:val="en-GB"/>
              </w:rPr>
              <w:t xml:space="preserve"> </w:t>
            </w:r>
            <w:r w:rsidRPr="6A87A82F">
              <w:rPr>
                <w:rFonts w:ascii="Times New Roman" w:eastAsia="Times New Roman" w:hAnsi="Times New Roman"/>
                <w:sz w:val="24"/>
                <w:szCs w:val="24"/>
                <w:lang w:val="en-GB"/>
              </w:rPr>
              <w:t>The EU pharmaceutical reform</w:t>
            </w:r>
            <w:r w:rsidR="005C6724">
              <w:rPr>
                <w:rStyle w:val="FootnoteReference"/>
                <w:rFonts w:ascii="Times New Roman" w:eastAsia="Times New Roman" w:hAnsi="Times New Roman"/>
                <w:sz w:val="24"/>
                <w:szCs w:val="24"/>
                <w:lang w:val="en-GB"/>
              </w:rPr>
              <w:footnoteReference w:id="12"/>
            </w:r>
            <w:r w:rsidRPr="6A87A82F">
              <w:rPr>
                <w:rFonts w:ascii="Times New Roman" w:eastAsia="Times New Roman" w:hAnsi="Times New Roman"/>
                <w:sz w:val="24"/>
                <w:szCs w:val="24"/>
                <w:lang w:val="en-GB"/>
              </w:rPr>
              <w:t xml:space="preserve"> aims to steer pharmaceutical investment into medicines for unmet medical needs through targeted protection incentives and regulatory support, with the aim to ensure that the products concerned bring an added therapeutic value to patients that suffer from serious diseases that are not yet sufficiently addressed by existing treatments. It will help steer innovation from the current supply-driven model towards a more need-driven innovation model, that will better serve patients and health systems.</w:t>
            </w:r>
          </w:p>
          <w:p w14:paraId="68016AAA" w14:textId="0C88E57E" w:rsidR="060AC922" w:rsidRPr="005C5836" w:rsidRDefault="060AC922"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sz w:val="24"/>
                <w:szCs w:val="24"/>
                <w:lang w:val="en-GB"/>
              </w:rPr>
              <w:t xml:space="preserve">The EU pharmaceutical legislation reform includes </w:t>
            </w:r>
            <w:proofErr w:type="gramStart"/>
            <w:r w:rsidRPr="6A87A82F">
              <w:rPr>
                <w:rFonts w:ascii="Times New Roman" w:eastAsia="Times New Roman" w:hAnsi="Times New Roman"/>
                <w:sz w:val="24"/>
                <w:szCs w:val="24"/>
                <w:lang w:val="en-GB"/>
              </w:rPr>
              <w:t>a number of</w:t>
            </w:r>
            <w:proofErr w:type="gramEnd"/>
            <w:r w:rsidRPr="6A87A82F">
              <w:rPr>
                <w:rFonts w:ascii="Times New Roman" w:eastAsia="Times New Roman" w:hAnsi="Times New Roman"/>
                <w:sz w:val="24"/>
                <w:szCs w:val="24"/>
                <w:lang w:val="en-GB"/>
              </w:rPr>
              <w:t xml:space="preserve"> measures that will contribute to greater affordability. Measures to facilitate earlier market entry of generic and biosimilar medicines will increase competition between medicines, reduce their </w:t>
            </w:r>
            <w:r w:rsidR="71D88E61" w:rsidRPr="6A87A82F">
              <w:rPr>
                <w:rFonts w:ascii="Times New Roman" w:eastAsia="Times New Roman" w:hAnsi="Times New Roman"/>
                <w:sz w:val="24"/>
                <w:szCs w:val="24"/>
                <w:lang w:val="en-GB"/>
              </w:rPr>
              <w:t>prices,</w:t>
            </w:r>
            <w:r w:rsidRPr="6A87A82F">
              <w:rPr>
                <w:rFonts w:ascii="Times New Roman" w:eastAsia="Times New Roman" w:hAnsi="Times New Roman"/>
                <w:sz w:val="24"/>
                <w:szCs w:val="24"/>
                <w:lang w:val="en-GB"/>
              </w:rPr>
              <w:t xml:space="preserve"> and promote affordability for patients and the sustainability of healthcare systems. Moreover, the generation of comparative clinical data will be </w:t>
            </w:r>
            <w:r w:rsidR="6342014D" w:rsidRPr="6A87A82F">
              <w:rPr>
                <w:rFonts w:ascii="Times New Roman" w:eastAsia="Times New Roman" w:hAnsi="Times New Roman"/>
                <w:sz w:val="24"/>
                <w:szCs w:val="24"/>
                <w:lang w:val="en-GB"/>
              </w:rPr>
              <w:t>incentivized</w:t>
            </w:r>
            <w:r w:rsidRPr="6A87A82F">
              <w:rPr>
                <w:rFonts w:ascii="Times New Roman" w:eastAsia="Times New Roman" w:hAnsi="Times New Roman"/>
                <w:sz w:val="24"/>
                <w:szCs w:val="24"/>
                <w:lang w:val="en-GB"/>
              </w:rPr>
              <w:t xml:space="preserve"> to strengthen further the assessment of medicines and support downstream decision-making on pricing and reimbursement. In addition, improved cooperation between authorities responsible for marketing authorisation, health technology assessment and pricing and reimbursement will promote a more coherent approach on issues such as evidence generation along the medicine’s lifecycle. Transparency of public funding could also contribute to a reduction in medicine prices. Under the reform, pharmaceutical companies will be required to publish information on all direct financial support received from any public authority or publicly funded body to support activities related to research and development of medicines.</w:t>
            </w:r>
          </w:p>
          <w:p w14:paraId="0C4B5723" w14:textId="58485D83" w:rsidR="008429AA" w:rsidRDefault="060AC922"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sz w:val="24"/>
                <w:szCs w:val="24"/>
                <w:lang w:val="en-GB"/>
              </w:rPr>
              <w:t>Furthermore, the Commission would like to clarify that while the Pharmaceutical Strategy for Europe</w:t>
            </w:r>
            <w:r w:rsidR="00594FD8">
              <w:rPr>
                <w:rStyle w:val="FootnoteReference"/>
                <w:rFonts w:ascii="Times New Roman" w:eastAsia="Times New Roman" w:hAnsi="Times New Roman"/>
                <w:sz w:val="24"/>
                <w:szCs w:val="24"/>
                <w:lang w:val="en-GB"/>
              </w:rPr>
              <w:footnoteReference w:id="13"/>
            </w:r>
            <w:r w:rsidRPr="6A87A82F">
              <w:rPr>
                <w:rFonts w:ascii="Times New Roman" w:eastAsia="Times New Roman" w:hAnsi="Times New Roman"/>
                <w:sz w:val="24"/>
                <w:szCs w:val="24"/>
                <w:lang w:val="en-GB"/>
              </w:rPr>
              <w:t xml:space="preserve"> promotes innovation and digitalisation, it does not explicitly mention AI-based drug discovery as a specific focus. Rephrasing would be appropriate </w:t>
            </w:r>
            <w:proofErr w:type="gramStart"/>
            <w:r w:rsidRPr="6A87A82F">
              <w:rPr>
                <w:rFonts w:ascii="Times New Roman" w:eastAsia="Times New Roman" w:hAnsi="Times New Roman"/>
                <w:sz w:val="24"/>
                <w:szCs w:val="24"/>
                <w:lang w:val="en-GB"/>
              </w:rPr>
              <w:t>in order to</w:t>
            </w:r>
            <w:proofErr w:type="gramEnd"/>
            <w:r w:rsidRPr="6A87A82F">
              <w:rPr>
                <w:rFonts w:ascii="Times New Roman" w:eastAsia="Times New Roman" w:hAnsi="Times New Roman"/>
                <w:sz w:val="24"/>
                <w:szCs w:val="24"/>
                <w:lang w:val="en-GB"/>
              </w:rPr>
              <w:t xml:space="preserve"> reflect that the Strategy supports the use of advanced technologies, including AI, to enhance pharmaceutical innovation.</w:t>
            </w:r>
          </w:p>
          <w:p w14:paraId="18360DBA" w14:textId="7AFFB63E" w:rsidR="008429AA" w:rsidRDefault="02EAA34F"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4.2.2</w:t>
            </w:r>
            <w:r w:rsidR="00A437B5">
              <w:rPr>
                <w:rFonts w:ascii="Times New Roman" w:eastAsia="Times New Roman" w:hAnsi="Times New Roman"/>
                <w:b/>
                <w:bCs/>
                <w:sz w:val="24"/>
                <w:szCs w:val="24"/>
                <w:lang w:val="en-GB"/>
              </w:rPr>
              <w:t>:</w:t>
            </w:r>
            <w:r w:rsidRPr="6A87A82F">
              <w:rPr>
                <w:rFonts w:ascii="Times New Roman" w:eastAsia="Times New Roman" w:hAnsi="Times New Roman"/>
                <w:sz w:val="24"/>
                <w:szCs w:val="24"/>
                <w:lang w:val="en-GB"/>
              </w:rPr>
              <w:t xml:space="preserve"> Cross-border initiatives such as 1+MG aim to overcome this by providing secure access to aggregated genomic and health datasets, enabling AI models to perform more comprehensive analyses. Such collaborative European efforts are essential to unlock insights from limited data, while maintaining ethical standards, personal data protection and security requirements.</w:t>
            </w:r>
          </w:p>
          <w:p w14:paraId="767E3D87" w14:textId="44582900" w:rsidR="14AFF156" w:rsidRPr="005C5836" w:rsidRDefault="555589FE"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4.</w:t>
            </w:r>
            <w:r w:rsidR="075E2143" w:rsidRPr="6A87A82F">
              <w:rPr>
                <w:rFonts w:ascii="Times New Roman" w:eastAsia="Times New Roman" w:hAnsi="Times New Roman"/>
                <w:b/>
                <w:bCs/>
                <w:sz w:val="24"/>
                <w:szCs w:val="24"/>
                <w:lang w:val="en-GB"/>
              </w:rPr>
              <w:t>4</w:t>
            </w:r>
            <w:r w:rsidRPr="6A87A82F">
              <w:rPr>
                <w:rFonts w:ascii="Times New Roman" w:eastAsia="Times New Roman" w:hAnsi="Times New Roman"/>
                <w:b/>
                <w:bCs/>
                <w:sz w:val="24"/>
                <w:szCs w:val="24"/>
                <w:lang w:val="en-GB"/>
              </w:rPr>
              <w:t>.1</w:t>
            </w:r>
            <w:r w:rsidR="00A437B5">
              <w:rPr>
                <w:rFonts w:ascii="Times New Roman" w:eastAsia="Times New Roman" w:hAnsi="Times New Roman"/>
                <w:b/>
                <w:bCs/>
                <w:sz w:val="24"/>
                <w:szCs w:val="24"/>
                <w:lang w:val="en-GB"/>
              </w:rPr>
              <w:t>:</w:t>
            </w:r>
            <w:r w:rsidRPr="6A87A82F">
              <w:rPr>
                <w:rFonts w:ascii="Times New Roman" w:eastAsia="Times New Roman" w:hAnsi="Times New Roman"/>
                <w:b/>
                <w:bCs/>
                <w:sz w:val="24"/>
                <w:szCs w:val="24"/>
                <w:lang w:val="en-GB"/>
              </w:rPr>
              <w:t xml:space="preserve"> </w:t>
            </w:r>
            <w:r w:rsidR="001B2747" w:rsidRPr="6A87A82F">
              <w:rPr>
                <w:rFonts w:ascii="Times New Roman" w:eastAsia="Times New Roman" w:hAnsi="Times New Roman"/>
                <w:sz w:val="24"/>
                <w:szCs w:val="24"/>
                <w:lang w:val="en-GB"/>
              </w:rPr>
              <w:t xml:space="preserve">The Commission would like to point out that </w:t>
            </w:r>
            <w:r w:rsidR="06414767" w:rsidRPr="6A87A82F">
              <w:rPr>
                <w:rFonts w:ascii="Times New Roman" w:eastAsia="Times New Roman" w:hAnsi="Times New Roman"/>
                <w:sz w:val="24"/>
                <w:szCs w:val="24"/>
                <w:lang w:val="en-GB"/>
              </w:rPr>
              <w:t>m</w:t>
            </w:r>
            <w:r w:rsidR="52AC9F15" w:rsidRPr="6A87A82F">
              <w:rPr>
                <w:rFonts w:ascii="Times New Roman" w:eastAsia="Times New Roman" w:hAnsi="Times New Roman"/>
                <w:sz w:val="24"/>
                <w:szCs w:val="24"/>
                <w:lang w:val="en-GB"/>
              </w:rPr>
              <w:t>aking</w:t>
            </w:r>
            <w:r w:rsidR="28E9A8D0" w:rsidRPr="6A87A82F">
              <w:rPr>
                <w:rFonts w:ascii="Times New Roman" w:eastAsia="Times New Roman" w:hAnsi="Times New Roman"/>
                <w:sz w:val="24"/>
                <w:szCs w:val="24"/>
                <w:lang w:val="en-GB"/>
              </w:rPr>
              <w:t xml:space="preserve"> </w:t>
            </w:r>
            <w:r w:rsidR="00A85F58" w:rsidRPr="6A87A82F">
              <w:rPr>
                <w:rFonts w:ascii="Times New Roman" w:eastAsia="Times New Roman" w:hAnsi="Times New Roman"/>
                <w:sz w:val="24"/>
                <w:szCs w:val="24"/>
                <w:lang w:val="en-GB"/>
              </w:rPr>
              <w:t xml:space="preserve">health data </w:t>
            </w:r>
            <w:r w:rsidR="28E9A8D0" w:rsidRPr="6A87A82F">
              <w:rPr>
                <w:rFonts w:ascii="Times New Roman" w:eastAsia="Times New Roman" w:hAnsi="Times New Roman"/>
                <w:sz w:val="24"/>
                <w:szCs w:val="24"/>
                <w:lang w:val="en-GB"/>
              </w:rPr>
              <w:t xml:space="preserve">available for secondary use under the EHDS </w:t>
            </w:r>
            <w:r w:rsidR="00A85F58" w:rsidRPr="6A87A82F">
              <w:rPr>
                <w:rFonts w:ascii="Times New Roman" w:eastAsia="Times New Roman" w:hAnsi="Times New Roman"/>
                <w:sz w:val="24"/>
                <w:szCs w:val="24"/>
                <w:lang w:val="en-GB"/>
              </w:rPr>
              <w:t xml:space="preserve">Regulation </w:t>
            </w:r>
            <w:r w:rsidR="28E9A8D0" w:rsidRPr="6A87A82F">
              <w:rPr>
                <w:rFonts w:ascii="Times New Roman" w:eastAsia="Times New Roman" w:hAnsi="Times New Roman"/>
                <w:sz w:val="24"/>
                <w:szCs w:val="24"/>
                <w:lang w:val="en-GB"/>
              </w:rPr>
              <w:t xml:space="preserve">is not consent-based (see recital 52 </w:t>
            </w:r>
            <w:r w:rsidR="00594FD8">
              <w:rPr>
                <w:rFonts w:ascii="Times New Roman" w:eastAsia="Times New Roman" w:hAnsi="Times New Roman"/>
                <w:sz w:val="24"/>
                <w:szCs w:val="24"/>
                <w:lang w:val="en-GB"/>
              </w:rPr>
              <w:t xml:space="preserve">of the </w:t>
            </w:r>
            <w:r w:rsidR="28E9A8D0" w:rsidRPr="6A87A82F">
              <w:rPr>
                <w:rFonts w:ascii="Times New Roman" w:eastAsia="Times New Roman" w:hAnsi="Times New Roman"/>
                <w:sz w:val="24"/>
                <w:szCs w:val="24"/>
                <w:lang w:val="en-GB"/>
              </w:rPr>
              <w:t>EHDS Regulation).</w:t>
            </w:r>
          </w:p>
          <w:p w14:paraId="6202197D" w14:textId="49354BB6" w:rsidR="2EDA8123" w:rsidRDefault="2EDA8123"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4.4.2</w:t>
            </w:r>
            <w:r w:rsidR="00A437B5">
              <w:rPr>
                <w:rFonts w:ascii="Times New Roman" w:eastAsia="Times New Roman" w:hAnsi="Times New Roman"/>
                <w:b/>
                <w:bCs/>
                <w:sz w:val="24"/>
                <w:szCs w:val="24"/>
                <w:lang w:val="en-GB"/>
              </w:rPr>
              <w:t>:</w:t>
            </w:r>
            <w:r w:rsidRPr="6A87A82F">
              <w:rPr>
                <w:rFonts w:ascii="Times New Roman" w:eastAsia="Times New Roman" w:hAnsi="Times New Roman"/>
                <w:b/>
                <w:bCs/>
                <w:sz w:val="24"/>
                <w:szCs w:val="24"/>
                <w:lang w:val="en-GB"/>
              </w:rPr>
              <w:t xml:space="preserve"> </w:t>
            </w:r>
            <w:r w:rsidRPr="6A87A82F">
              <w:rPr>
                <w:rFonts w:ascii="Times New Roman" w:eastAsia="Times New Roman" w:hAnsi="Times New Roman"/>
                <w:sz w:val="24"/>
                <w:szCs w:val="24"/>
                <w:lang w:val="en-GB"/>
              </w:rPr>
              <w:t>Where the processing of personal data for research is based on the data subject’s consent</w:t>
            </w:r>
            <w:r w:rsidR="00D00733" w:rsidRPr="6A87A82F">
              <w:rPr>
                <w:rFonts w:ascii="Times New Roman" w:eastAsia="Times New Roman" w:hAnsi="Times New Roman"/>
                <w:sz w:val="24"/>
                <w:szCs w:val="24"/>
                <w:lang w:val="en-GB"/>
              </w:rPr>
              <w:t xml:space="preserve"> (which is not the case under</w:t>
            </w:r>
            <w:r w:rsidR="00381391">
              <w:rPr>
                <w:rFonts w:ascii="Times New Roman" w:eastAsia="Times New Roman" w:hAnsi="Times New Roman"/>
                <w:sz w:val="24"/>
                <w:szCs w:val="24"/>
                <w:lang w:val="en-GB"/>
              </w:rPr>
              <w:t xml:space="preserve"> the</w:t>
            </w:r>
            <w:r w:rsidR="00D00733" w:rsidRPr="6A87A82F">
              <w:rPr>
                <w:rFonts w:ascii="Times New Roman" w:eastAsia="Times New Roman" w:hAnsi="Times New Roman"/>
                <w:sz w:val="24"/>
                <w:szCs w:val="24"/>
                <w:lang w:val="en-GB"/>
              </w:rPr>
              <w:t xml:space="preserve"> EHDS Regulation as explained under point 4.4.1. above)</w:t>
            </w:r>
            <w:r w:rsidRPr="6A87A82F">
              <w:rPr>
                <w:rFonts w:ascii="Times New Roman" w:eastAsia="Times New Roman" w:hAnsi="Times New Roman"/>
                <w:sz w:val="24"/>
                <w:szCs w:val="24"/>
                <w:lang w:val="en-GB"/>
              </w:rPr>
              <w:t xml:space="preserve">, the requirements of </w:t>
            </w:r>
            <w:r w:rsidR="00594FD8">
              <w:rPr>
                <w:rFonts w:ascii="Times New Roman" w:eastAsia="Times New Roman" w:hAnsi="Times New Roman"/>
                <w:sz w:val="24"/>
                <w:szCs w:val="24"/>
                <w:lang w:val="en-GB"/>
              </w:rPr>
              <w:t xml:space="preserve">the </w:t>
            </w:r>
            <w:r w:rsidR="00594FD8" w:rsidRPr="00594FD8">
              <w:rPr>
                <w:rFonts w:ascii="Times New Roman" w:eastAsia="Times New Roman" w:hAnsi="Times New Roman"/>
                <w:sz w:val="24"/>
                <w:szCs w:val="24"/>
                <w:lang w:val="en-GB"/>
              </w:rPr>
              <w:t>General Data Protection Regulation</w:t>
            </w:r>
            <w:r w:rsidR="00381391">
              <w:rPr>
                <w:rFonts w:ascii="Times New Roman" w:eastAsia="Times New Roman" w:hAnsi="Times New Roman"/>
                <w:sz w:val="24"/>
                <w:szCs w:val="24"/>
                <w:lang w:val="en-GB"/>
              </w:rPr>
              <w:t xml:space="preserve"> (GDPR)</w:t>
            </w:r>
            <w:r w:rsidR="00594FD8">
              <w:rPr>
                <w:rStyle w:val="FootnoteReference"/>
                <w:rFonts w:ascii="Times New Roman" w:eastAsia="Times New Roman" w:hAnsi="Times New Roman"/>
                <w:sz w:val="24"/>
                <w:szCs w:val="24"/>
                <w:lang w:val="en-GB"/>
              </w:rPr>
              <w:footnoteReference w:id="14"/>
            </w:r>
            <w:r w:rsidR="00594FD8">
              <w:rPr>
                <w:rFonts w:ascii="Times New Roman" w:eastAsia="Times New Roman" w:hAnsi="Times New Roman"/>
                <w:sz w:val="24"/>
                <w:szCs w:val="24"/>
                <w:lang w:val="en-GB"/>
              </w:rPr>
              <w:t xml:space="preserve"> </w:t>
            </w:r>
            <w:r w:rsidRPr="6A87A82F">
              <w:rPr>
                <w:rFonts w:ascii="Times New Roman" w:eastAsia="Times New Roman" w:hAnsi="Times New Roman"/>
                <w:sz w:val="24"/>
                <w:szCs w:val="24"/>
                <w:lang w:val="en-GB"/>
              </w:rPr>
              <w:t xml:space="preserve">apply. Consent must, </w:t>
            </w:r>
            <w:r w:rsidRPr="6A87A82F">
              <w:rPr>
                <w:rFonts w:ascii="Times New Roman" w:eastAsia="Times New Roman" w:hAnsi="Times New Roman"/>
                <w:sz w:val="24"/>
                <w:szCs w:val="24"/>
                <w:lang w:val="en-GB"/>
              </w:rPr>
              <w:lastRenderedPageBreak/>
              <w:t xml:space="preserve">among other things, be free, specific, and informed. </w:t>
            </w:r>
            <w:r w:rsidR="6F8CA47F" w:rsidRPr="6A87A82F">
              <w:rPr>
                <w:rFonts w:ascii="Times New Roman" w:eastAsia="Times New Roman" w:hAnsi="Times New Roman"/>
                <w:sz w:val="24"/>
                <w:szCs w:val="24"/>
                <w:lang w:val="en-GB"/>
              </w:rPr>
              <w:t xml:space="preserve">The GDPR provides for some specificities regarding the processing of personal data for scientific research purposes. </w:t>
            </w:r>
            <w:proofErr w:type="gramStart"/>
            <w:r w:rsidR="6F8CA47F" w:rsidRPr="6A87A82F">
              <w:rPr>
                <w:rFonts w:ascii="Times New Roman" w:eastAsia="Times New Roman" w:hAnsi="Times New Roman"/>
                <w:sz w:val="24"/>
                <w:szCs w:val="24"/>
                <w:lang w:val="en-GB"/>
              </w:rPr>
              <w:t>In particular, where</w:t>
            </w:r>
            <w:proofErr w:type="gramEnd"/>
            <w:r w:rsidR="6F8CA47F" w:rsidRPr="6A87A82F">
              <w:rPr>
                <w:rFonts w:ascii="Times New Roman" w:eastAsia="Times New Roman" w:hAnsi="Times New Roman"/>
                <w:sz w:val="24"/>
                <w:szCs w:val="24"/>
                <w:lang w:val="en-GB"/>
              </w:rPr>
              <w:t xml:space="preserve"> the purposes of research are not fully known at the time of collecting the personal data, it is possible for controllers to rely on the “consent to certain areas of scientific research when in keeping with recognised ethical standards for scientific research” (so called ‘broad consent’ referred in recital 33 GDPR).</w:t>
            </w:r>
          </w:p>
          <w:p w14:paraId="4AE2C752" w14:textId="41E44E40" w:rsidR="1812BB2D" w:rsidRDefault="1812BB2D"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sz w:val="24"/>
                <w:szCs w:val="24"/>
                <w:lang w:val="en-GB"/>
              </w:rPr>
              <w:t xml:space="preserve">Furthermore, health data fall within the special categories of personal data which can be processed only if one of the conditions </w:t>
            </w:r>
            <w:r w:rsidR="13AF83B5" w:rsidRPr="6A87A82F">
              <w:rPr>
                <w:rFonts w:ascii="Times New Roman" w:eastAsia="Times New Roman" w:hAnsi="Times New Roman"/>
                <w:sz w:val="24"/>
                <w:szCs w:val="24"/>
                <w:lang w:val="en-GB"/>
              </w:rPr>
              <w:t xml:space="preserve">in </w:t>
            </w:r>
            <w:r w:rsidRPr="6A87A82F">
              <w:rPr>
                <w:rFonts w:ascii="Times New Roman" w:eastAsia="Times New Roman" w:hAnsi="Times New Roman"/>
                <w:sz w:val="24"/>
                <w:szCs w:val="24"/>
                <w:lang w:val="en-GB"/>
              </w:rPr>
              <w:t>Article 9(2) GDPR is fulfilled. This provides an additional layer of protection considering the potential risks arising from the processing of this type of data.</w:t>
            </w:r>
          </w:p>
          <w:p w14:paraId="4B8A7F00" w14:textId="1CA66E65" w:rsidR="3E00D04F" w:rsidRPr="005C5836" w:rsidRDefault="2EDA8123" w:rsidP="00D02019">
            <w:pPr>
              <w:shd w:val="clear" w:color="auto" w:fill="FFFFFF" w:themeFill="background1"/>
              <w:spacing w:before="120" w:after="120"/>
              <w:jc w:val="both"/>
              <w:rPr>
                <w:rFonts w:ascii="Times New Roman" w:eastAsia="Times New Roman" w:hAnsi="Times New Roman"/>
                <w:color w:val="333333"/>
                <w:sz w:val="24"/>
                <w:szCs w:val="24"/>
                <w:lang w:val="en-GB"/>
              </w:rPr>
            </w:pPr>
            <w:r w:rsidRPr="6A87A82F">
              <w:rPr>
                <w:rFonts w:ascii="Times New Roman" w:eastAsia="Times New Roman" w:hAnsi="Times New Roman"/>
                <w:sz w:val="24"/>
                <w:szCs w:val="24"/>
                <w:lang w:val="en-GB"/>
              </w:rPr>
              <w:t xml:space="preserve">Compliance with </w:t>
            </w:r>
            <w:r w:rsidR="4EA2BFF6" w:rsidRPr="6A87A82F">
              <w:rPr>
                <w:rFonts w:ascii="Times New Roman" w:eastAsia="Times New Roman" w:hAnsi="Times New Roman"/>
                <w:sz w:val="24"/>
                <w:szCs w:val="24"/>
                <w:lang w:val="en-GB"/>
              </w:rPr>
              <w:t>the applicable</w:t>
            </w:r>
            <w:r w:rsidRPr="6A87A82F">
              <w:rPr>
                <w:rFonts w:ascii="Times New Roman" w:eastAsia="Times New Roman" w:hAnsi="Times New Roman"/>
                <w:sz w:val="24"/>
                <w:szCs w:val="24"/>
                <w:lang w:val="en-GB"/>
              </w:rPr>
              <w:t xml:space="preserve"> rules of the GDPR is enforced by the </w:t>
            </w:r>
            <w:r w:rsidR="668A046D" w:rsidRPr="6A87A82F">
              <w:rPr>
                <w:rFonts w:ascii="Times New Roman" w:eastAsia="Times New Roman" w:hAnsi="Times New Roman"/>
                <w:sz w:val="24"/>
                <w:szCs w:val="24"/>
                <w:lang w:val="en-GB"/>
              </w:rPr>
              <w:t xml:space="preserve">national </w:t>
            </w:r>
            <w:r w:rsidRPr="6A87A82F">
              <w:rPr>
                <w:rFonts w:ascii="Times New Roman" w:eastAsia="Times New Roman" w:hAnsi="Times New Roman"/>
                <w:sz w:val="24"/>
                <w:szCs w:val="24"/>
                <w:lang w:val="en-GB"/>
              </w:rPr>
              <w:t xml:space="preserve">independent supervisory authorities for data protection. </w:t>
            </w:r>
            <w:r w:rsidR="2B2D5754" w:rsidRPr="6A87A82F">
              <w:rPr>
                <w:rFonts w:ascii="Times New Roman" w:eastAsia="Times New Roman" w:hAnsi="Times New Roman"/>
                <w:sz w:val="24"/>
                <w:szCs w:val="24"/>
                <w:lang w:val="en-GB"/>
              </w:rPr>
              <w:t>Should a controller relying on consent as a legal basis for the data processing fail to comply with the GDPR</w:t>
            </w:r>
            <w:r w:rsidR="596F7EAE" w:rsidRPr="6A87A82F">
              <w:rPr>
                <w:rFonts w:ascii="Times New Roman" w:eastAsia="Times New Roman" w:hAnsi="Times New Roman"/>
                <w:sz w:val="24"/>
                <w:szCs w:val="24"/>
                <w:lang w:val="en-GB"/>
              </w:rPr>
              <w:t xml:space="preserve">, the enforcement is </w:t>
            </w:r>
            <w:r w:rsidR="00381391">
              <w:rPr>
                <w:rFonts w:ascii="Times New Roman" w:eastAsia="Times New Roman" w:hAnsi="Times New Roman"/>
                <w:sz w:val="24"/>
                <w:szCs w:val="24"/>
                <w:lang w:val="en-GB"/>
              </w:rPr>
              <w:t>to be carried out by</w:t>
            </w:r>
            <w:r w:rsidR="596F7EAE" w:rsidRPr="6A87A82F">
              <w:rPr>
                <w:rFonts w:ascii="Times New Roman" w:eastAsia="Times New Roman" w:hAnsi="Times New Roman"/>
                <w:sz w:val="24"/>
                <w:szCs w:val="24"/>
                <w:lang w:val="en-GB"/>
              </w:rPr>
              <w:t xml:space="preserve"> the competent data protection authority.</w:t>
            </w:r>
          </w:p>
          <w:p w14:paraId="21FF66F8" w14:textId="070431B8" w:rsidR="495028DB" w:rsidRDefault="495028DB" w:rsidP="00D02019">
            <w:pPr>
              <w:shd w:val="clear" w:color="auto" w:fill="FFFFFF" w:themeFill="background1"/>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4.4.3</w:t>
            </w:r>
            <w:r w:rsidR="00A437B5">
              <w:rPr>
                <w:rFonts w:ascii="Times New Roman" w:eastAsia="Times New Roman" w:hAnsi="Times New Roman"/>
                <w:b/>
                <w:bCs/>
                <w:sz w:val="24"/>
                <w:szCs w:val="24"/>
                <w:lang w:val="en-GB"/>
              </w:rPr>
              <w:t>:</w:t>
            </w:r>
            <w:r w:rsidRPr="6A87A82F">
              <w:rPr>
                <w:rFonts w:ascii="Times New Roman" w:eastAsia="Times New Roman" w:hAnsi="Times New Roman"/>
                <w:sz w:val="24"/>
                <w:szCs w:val="24"/>
                <w:lang w:val="en-GB"/>
              </w:rPr>
              <w:t xml:space="preserve"> </w:t>
            </w:r>
            <w:r w:rsidR="55F1EAE8" w:rsidRPr="6A87A82F">
              <w:rPr>
                <w:rFonts w:ascii="Times New Roman" w:eastAsia="Times New Roman" w:hAnsi="Times New Roman"/>
                <w:sz w:val="24"/>
                <w:szCs w:val="24"/>
                <w:lang w:val="en-GB"/>
              </w:rPr>
              <w:t>Th</w:t>
            </w:r>
            <w:r w:rsidR="3A6F4B09" w:rsidRPr="6A87A82F">
              <w:rPr>
                <w:rFonts w:ascii="Times New Roman" w:eastAsia="Times New Roman" w:hAnsi="Times New Roman"/>
                <w:sz w:val="24"/>
                <w:szCs w:val="24"/>
                <w:lang w:val="en-GB"/>
              </w:rPr>
              <w:t>e</w:t>
            </w:r>
            <w:r w:rsidR="55F1EAE8" w:rsidRPr="6A87A82F">
              <w:rPr>
                <w:rFonts w:ascii="Times New Roman" w:eastAsia="Times New Roman" w:hAnsi="Times New Roman"/>
                <w:sz w:val="24"/>
                <w:szCs w:val="24"/>
                <w:lang w:val="en-GB"/>
              </w:rPr>
              <w:t xml:space="preserve"> </w:t>
            </w:r>
            <w:r w:rsidR="320C5A2C" w:rsidRPr="6A87A82F">
              <w:rPr>
                <w:rFonts w:ascii="Times New Roman" w:eastAsia="Times New Roman" w:hAnsi="Times New Roman"/>
                <w:sz w:val="24"/>
                <w:szCs w:val="24"/>
                <w:lang w:val="en-GB"/>
              </w:rPr>
              <w:t xml:space="preserve">data protection </w:t>
            </w:r>
            <w:r w:rsidR="55F1EAE8" w:rsidRPr="6A87A82F">
              <w:rPr>
                <w:rFonts w:ascii="Times New Roman" w:eastAsia="Times New Roman" w:hAnsi="Times New Roman"/>
                <w:sz w:val="24"/>
                <w:szCs w:val="24"/>
                <w:lang w:val="en-GB"/>
              </w:rPr>
              <w:t xml:space="preserve">authorities, cooperating </w:t>
            </w:r>
            <w:r w:rsidR="3909CC2F" w:rsidRPr="6A87A82F">
              <w:rPr>
                <w:rFonts w:ascii="Times New Roman" w:eastAsia="Times New Roman" w:hAnsi="Times New Roman"/>
                <w:sz w:val="24"/>
                <w:szCs w:val="24"/>
                <w:lang w:val="en-GB"/>
              </w:rPr>
              <w:t>at the level of</w:t>
            </w:r>
            <w:r w:rsidR="55F1EAE8" w:rsidRPr="6A87A82F">
              <w:rPr>
                <w:rFonts w:ascii="Times New Roman" w:eastAsia="Times New Roman" w:hAnsi="Times New Roman"/>
                <w:sz w:val="24"/>
                <w:szCs w:val="24"/>
                <w:lang w:val="en-GB"/>
              </w:rPr>
              <w:t xml:space="preserve"> the European Data Protection Board</w:t>
            </w:r>
            <w:r w:rsidR="5F876667" w:rsidRPr="6A87A82F">
              <w:rPr>
                <w:rFonts w:ascii="Times New Roman" w:eastAsia="Times New Roman" w:hAnsi="Times New Roman"/>
                <w:sz w:val="24"/>
                <w:szCs w:val="24"/>
                <w:lang w:val="en-GB"/>
              </w:rPr>
              <w:t xml:space="preserve"> (EDPB)</w:t>
            </w:r>
            <w:r w:rsidR="55F1EAE8" w:rsidRPr="6A87A82F">
              <w:rPr>
                <w:rFonts w:ascii="Times New Roman" w:eastAsia="Times New Roman" w:hAnsi="Times New Roman"/>
                <w:sz w:val="24"/>
                <w:szCs w:val="24"/>
                <w:lang w:val="en-GB"/>
              </w:rPr>
              <w:t xml:space="preserve">, are </w:t>
            </w:r>
            <w:r w:rsidR="3D463F53" w:rsidRPr="6A87A82F">
              <w:rPr>
                <w:rFonts w:ascii="Times New Roman" w:eastAsia="Times New Roman" w:hAnsi="Times New Roman"/>
                <w:sz w:val="24"/>
                <w:szCs w:val="24"/>
                <w:lang w:val="en-GB"/>
              </w:rPr>
              <w:t xml:space="preserve">currently developing </w:t>
            </w:r>
            <w:r w:rsidR="55F1EAE8" w:rsidRPr="6A87A82F">
              <w:rPr>
                <w:rFonts w:ascii="Times New Roman" w:eastAsia="Times New Roman" w:hAnsi="Times New Roman"/>
                <w:sz w:val="24"/>
                <w:szCs w:val="24"/>
                <w:lang w:val="en-GB"/>
              </w:rPr>
              <w:t xml:space="preserve">guidelines on the processing of personal data for </w:t>
            </w:r>
            <w:r w:rsidR="5F30ACB7" w:rsidRPr="6A87A82F">
              <w:rPr>
                <w:rFonts w:ascii="Times New Roman" w:eastAsia="Times New Roman" w:hAnsi="Times New Roman"/>
                <w:sz w:val="24"/>
                <w:szCs w:val="24"/>
                <w:lang w:val="en-GB"/>
              </w:rPr>
              <w:t xml:space="preserve">scientific </w:t>
            </w:r>
            <w:r w:rsidR="55F1EAE8" w:rsidRPr="6A87A82F">
              <w:rPr>
                <w:rFonts w:ascii="Times New Roman" w:eastAsia="Times New Roman" w:hAnsi="Times New Roman"/>
                <w:sz w:val="24"/>
                <w:szCs w:val="24"/>
                <w:lang w:val="en-GB"/>
              </w:rPr>
              <w:t xml:space="preserve">research purposes. </w:t>
            </w:r>
            <w:r w:rsidR="34DFB254" w:rsidRPr="6A87A82F">
              <w:rPr>
                <w:rFonts w:ascii="Times New Roman" w:eastAsia="Times New Roman" w:hAnsi="Times New Roman"/>
                <w:sz w:val="24"/>
                <w:szCs w:val="24"/>
                <w:lang w:val="en-GB"/>
              </w:rPr>
              <w:t xml:space="preserve">The guidelines </w:t>
            </w:r>
            <w:r w:rsidR="5025057C" w:rsidRPr="6A87A82F">
              <w:rPr>
                <w:rFonts w:ascii="Times New Roman" w:eastAsia="Times New Roman" w:hAnsi="Times New Roman"/>
                <w:sz w:val="24"/>
                <w:szCs w:val="24"/>
                <w:lang w:val="en-GB"/>
              </w:rPr>
              <w:t>should provide useful clarifications to the research community, especially as regards the notion of broad consent, transparency obligations, appropriate safeguards when processing health data and the role of cross-border data infrastructures</w:t>
            </w:r>
            <w:r w:rsidR="58E8B37C" w:rsidRPr="6A87A82F">
              <w:rPr>
                <w:rFonts w:ascii="Times New Roman" w:eastAsia="Times New Roman" w:hAnsi="Times New Roman"/>
                <w:sz w:val="24"/>
                <w:szCs w:val="24"/>
                <w:lang w:val="en-GB"/>
              </w:rPr>
              <w:t>.</w:t>
            </w:r>
            <w:r w:rsidR="34DFB254" w:rsidRPr="6A87A82F">
              <w:rPr>
                <w:rFonts w:ascii="Times New Roman" w:eastAsia="Times New Roman" w:hAnsi="Times New Roman"/>
                <w:sz w:val="24"/>
                <w:szCs w:val="24"/>
                <w:lang w:val="en-GB"/>
              </w:rPr>
              <w:t xml:space="preserve"> </w:t>
            </w:r>
            <w:r w:rsidR="7377CF24" w:rsidRPr="6A87A82F">
              <w:rPr>
                <w:rFonts w:ascii="Times New Roman" w:eastAsia="Times New Roman" w:hAnsi="Times New Roman"/>
                <w:sz w:val="24"/>
                <w:szCs w:val="24"/>
                <w:lang w:val="en-GB"/>
              </w:rPr>
              <w:t xml:space="preserve">The GDPR has a dual aim, to protect personal data and to facilitate its free movement. Among other things, </w:t>
            </w:r>
            <w:r w:rsidR="1FF09187" w:rsidRPr="6A87A82F">
              <w:rPr>
                <w:rFonts w:ascii="Times New Roman" w:eastAsia="Times New Roman" w:hAnsi="Times New Roman"/>
                <w:sz w:val="24"/>
                <w:szCs w:val="24"/>
                <w:lang w:val="en-GB"/>
              </w:rPr>
              <w:t xml:space="preserve">the </w:t>
            </w:r>
            <w:r w:rsidR="007775C6" w:rsidRPr="6A87A82F">
              <w:rPr>
                <w:rFonts w:ascii="Times New Roman" w:eastAsia="Times New Roman" w:hAnsi="Times New Roman"/>
                <w:sz w:val="24"/>
                <w:szCs w:val="24"/>
                <w:lang w:val="en-GB"/>
              </w:rPr>
              <w:t>R</w:t>
            </w:r>
            <w:r w:rsidR="1FF09187" w:rsidRPr="6A87A82F">
              <w:rPr>
                <w:rFonts w:ascii="Times New Roman" w:eastAsia="Times New Roman" w:hAnsi="Times New Roman"/>
                <w:sz w:val="24"/>
                <w:szCs w:val="24"/>
                <w:lang w:val="en-GB"/>
              </w:rPr>
              <w:t>egulation</w:t>
            </w:r>
            <w:r w:rsidR="7377CF24" w:rsidRPr="6A87A82F">
              <w:rPr>
                <w:rFonts w:ascii="Times New Roman" w:eastAsia="Times New Roman" w:hAnsi="Times New Roman"/>
                <w:sz w:val="24"/>
                <w:szCs w:val="24"/>
                <w:lang w:val="en-GB"/>
              </w:rPr>
              <w:t xml:space="preserve"> requires that controllers are transparent about their </w:t>
            </w:r>
            <w:r w:rsidR="383DF667" w:rsidRPr="6A87A82F">
              <w:rPr>
                <w:rFonts w:ascii="Times New Roman" w:eastAsia="Times New Roman" w:hAnsi="Times New Roman"/>
                <w:sz w:val="24"/>
                <w:szCs w:val="24"/>
                <w:lang w:val="en-GB"/>
              </w:rPr>
              <w:t xml:space="preserve">data </w:t>
            </w:r>
            <w:r w:rsidR="7377CF24" w:rsidRPr="6A87A82F">
              <w:rPr>
                <w:rFonts w:ascii="Times New Roman" w:eastAsia="Times New Roman" w:hAnsi="Times New Roman"/>
                <w:sz w:val="24"/>
                <w:szCs w:val="24"/>
                <w:lang w:val="en-GB"/>
              </w:rPr>
              <w:t xml:space="preserve">processing, accountable for </w:t>
            </w:r>
            <w:r w:rsidR="00BF1998" w:rsidRPr="6A87A82F">
              <w:rPr>
                <w:rFonts w:ascii="Times New Roman" w:eastAsia="Times New Roman" w:hAnsi="Times New Roman"/>
                <w:sz w:val="24"/>
                <w:szCs w:val="24"/>
                <w:lang w:val="en-GB"/>
              </w:rPr>
              <w:t>it, handle</w:t>
            </w:r>
            <w:r w:rsidR="3478F0A2" w:rsidRPr="6A87A82F">
              <w:rPr>
                <w:rFonts w:ascii="Times New Roman" w:eastAsia="Times New Roman" w:hAnsi="Times New Roman"/>
                <w:sz w:val="24"/>
                <w:szCs w:val="24"/>
                <w:lang w:val="en-GB"/>
              </w:rPr>
              <w:t xml:space="preserve"> requests for exercise of </w:t>
            </w:r>
            <w:r w:rsidR="7377CF24" w:rsidRPr="6A87A82F">
              <w:rPr>
                <w:rFonts w:ascii="Times New Roman" w:eastAsia="Times New Roman" w:hAnsi="Times New Roman"/>
                <w:sz w:val="24"/>
                <w:szCs w:val="24"/>
                <w:lang w:val="en-GB"/>
              </w:rPr>
              <w:t>data subjects’ rights, and implement appropriate security measures, independently of whether they use AI techniques to process the data or not.</w:t>
            </w:r>
          </w:p>
          <w:p w14:paraId="28144C5D" w14:textId="1A5AF2CA" w:rsidR="28E9A8D0" w:rsidRDefault="28E9A8D0"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t>Point 4.6</w:t>
            </w:r>
            <w:r w:rsidR="00A437B5">
              <w:rPr>
                <w:rFonts w:ascii="Times New Roman" w:eastAsia="Times New Roman" w:hAnsi="Times New Roman"/>
                <w:b/>
                <w:bCs/>
                <w:sz w:val="24"/>
                <w:szCs w:val="24"/>
                <w:lang w:val="en-GB"/>
              </w:rPr>
              <w:t>:</w:t>
            </w:r>
            <w:r w:rsidRPr="6A87A82F">
              <w:rPr>
                <w:rFonts w:ascii="Times New Roman" w:eastAsia="Times New Roman" w:hAnsi="Times New Roman"/>
                <w:sz w:val="24"/>
                <w:szCs w:val="24"/>
                <w:lang w:val="en-GB"/>
              </w:rPr>
              <w:t xml:space="preserve"> This point </w:t>
            </w:r>
            <w:r w:rsidR="33E2B13D" w:rsidRPr="6A87A82F">
              <w:rPr>
                <w:rFonts w:ascii="Times New Roman" w:eastAsia="Times New Roman" w:hAnsi="Times New Roman"/>
                <w:sz w:val="24"/>
                <w:szCs w:val="24"/>
                <w:lang w:val="en-GB"/>
              </w:rPr>
              <w:t>present</w:t>
            </w:r>
            <w:r w:rsidR="6A1F7EE9" w:rsidRPr="6A87A82F">
              <w:rPr>
                <w:rFonts w:ascii="Times New Roman" w:eastAsia="Times New Roman" w:hAnsi="Times New Roman"/>
                <w:sz w:val="24"/>
                <w:szCs w:val="24"/>
                <w:lang w:val="en-GB"/>
              </w:rPr>
              <w:t>s</w:t>
            </w:r>
            <w:r w:rsidR="33E2B13D" w:rsidRPr="6A87A82F">
              <w:rPr>
                <w:rFonts w:ascii="Times New Roman" w:eastAsia="Times New Roman" w:hAnsi="Times New Roman"/>
                <w:sz w:val="24"/>
                <w:szCs w:val="24"/>
                <w:lang w:val="en-GB"/>
              </w:rPr>
              <w:t xml:space="preserve"> sev</w:t>
            </w:r>
            <w:r w:rsidRPr="6A87A82F">
              <w:rPr>
                <w:rFonts w:ascii="Times New Roman" w:eastAsia="Times New Roman" w:hAnsi="Times New Roman"/>
                <w:sz w:val="24"/>
                <w:szCs w:val="24"/>
                <w:lang w:val="en-GB"/>
              </w:rPr>
              <w:t>e</w:t>
            </w:r>
            <w:r w:rsidR="33E2B13D" w:rsidRPr="6A87A82F">
              <w:rPr>
                <w:rFonts w:ascii="Times New Roman" w:eastAsia="Times New Roman" w:hAnsi="Times New Roman"/>
                <w:sz w:val="24"/>
                <w:szCs w:val="24"/>
                <w:lang w:val="en-GB"/>
              </w:rPr>
              <w:t>ral inaccuracies</w:t>
            </w:r>
            <w:r w:rsidRPr="6A87A82F">
              <w:rPr>
                <w:rFonts w:ascii="Times New Roman" w:eastAsia="Times New Roman" w:hAnsi="Times New Roman"/>
                <w:sz w:val="24"/>
                <w:szCs w:val="24"/>
                <w:lang w:val="en-GB"/>
              </w:rPr>
              <w:t xml:space="preserve">. </w:t>
            </w:r>
            <w:r w:rsidR="000910B2">
              <w:rPr>
                <w:rFonts w:ascii="Times New Roman" w:eastAsia="Times New Roman" w:hAnsi="Times New Roman"/>
                <w:sz w:val="24"/>
                <w:szCs w:val="24"/>
                <w:lang w:val="en-GB"/>
              </w:rPr>
              <w:t>Regarding t</w:t>
            </w:r>
            <w:r w:rsidR="005A17D4">
              <w:rPr>
                <w:rFonts w:ascii="Times New Roman" w:eastAsia="Times New Roman" w:hAnsi="Times New Roman"/>
                <w:sz w:val="24"/>
                <w:szCs w:val="24"/>
                <w:lang w:val="en-GB"/>
              </w:rPr>
              <w:t>h</w:t>
            </w:r>
            <w:r w:rsidRPr="6A87A82F">
              <w:rPr>
                <w:rFonts w:ascii="Times New Roman" w:eastAsia="Times New Roman" w:hAnsi="Times New Roman"/>
                <w:sz w:val="24"/>
                <w:szCs w:val="24"/>
                <w:lang w:val="en-GB"/>
              </w:rPr>
              <w:t xml:space="preserve">e term </w:t>
            </w:r>
            <w:r w:rsidR="006F1E13">
              <w:rPr>
                <w:rFonts w:ascii="Times New Roman" w:eastAsia="Times New Roman" w:hAnsi="Times New Roman"/>
                <w:sz w:val="24"/>
                <w:szCs w:val="24"/>
                <w:lang w:val="en-GB"/>
              </w:rPr>
              <w:t>‘</w:t>
            </w:r>
            <w:r w:rsidRPr="6A87A82F">
              <w:rPr>
                <w:rFonts w:ascii="Times New Roman" w:eastAsia="Times New Roman" w:hAnsi="Times New Roman"/>
                <w:sz w:val="24"/>
                <w:szCs w:val="24"/>
                <w:lang w:val="en-GB"/>
              </w:rPr>
              <w:t>Healthcare AI</w:t>
            </w:r>
            <w:r w:rsidR="006F1E13">
              <w:rPr>
                <w:rFonts w:ascii="Times New Roman" w:eastAsia="Times New Roman" w:hAnsi="Times New Roman"/>
                <w:sz w:val="24"/>
                <w:szCs w:val="24"/>
                <w:lang w:val="en-GB"/>
              </w:rPr>
              <w:t>’</w:t>
            </w:r>
            <w:r w:rsidR="000910B2">
              <w:rPr>
                <w:rFonts w:ascii="Times New Roman" w:eastAsia="Times New Roman" w:hAnsi="Times New Roman"/>
                <w:sz w:val="24"/>
                <w:szCs w:val="24"/>
                <w:lang w:val="en-GB"/>
              </w:rPr>
              <w:t>, it</w:t>
            </w:r>
            <w:r w:rsidRPr="6A87A82F">
              <w:rPr>
                <w:rFonts w:ascii="Times New Roman" w:eastAsia="Times New Roman" w:hAnsi="Times New Roman"/>
                <w:sz w:val="24"/>
                <w:szCs w:val="24"/>
                <w:lang w:val="en-GB"/>
              </w:rPr>
              <w:t xml:space="preserve"> is not clear to what it refers. The AI Act classifies some AI systems in healthcare as high risk </w:t>
            </w:r>
            <w:proofErr w:type="gramStart"/>
            <w:r w:rsidRPr="6A87A82F">
              <w:rPr>
                <w:rFonts w:ascii="Times New Roman" w:eastAsia="Times New Roman" w:hAnsi="Times New Roman"/>
                <w:sz w:val="24"/>
                <w:szCs w:val="24"/>
                <w:lang w:val="en-GB"/>
              </w:rPr>
              <w:t xml:space="preserve">on the basis </w:t>
            </w:r>
            <w:r w:rsidR="4D8B1CB4" w:rsidRPr="6A87A82F">
              <w:rPr>
                <w:rFonts w:ascii="Times New Roman" w:eastAsia="Times New Roman" w:hAnsi="Times New Roman"/>
                <w:sz w:val="24"/>
                <w:szCs w:val="24"/>
                <w:lang w:val="en-GB"/>
              </w:rPr>
              <w:t>of</w:t>
            </w:r>
            <w:proofErr w:type="gramEnd"/>
            <w:r w:rsidR="4D8B1CB4" w:rsidRPr="6A87A82F">
              <w:rPr>
                <w:rFonts w:ascii="Times New Roman" w:eastAsia="Times New Roman" w:hAnsi="Times New Roman"/>
                <w:sz w:val="24"/>
                <w:szCs w:val="24"/>
                <w:lang w:val="en-GB"/>
              </w:rPr>
              <w:t xml:space="preserve"> certain conditions set therein. High-risk AI systems would need to comply with certain requirements. However, saying</w:t>
            </w:r>
            <w:r w:rsidR="724898D4" w:rsidRPr="6A87A82F">
              <w:rPr>
                <w:rFonts w:ascii="Times New Roman" w:eastAsia="Times New Roman" w:hAnsi="Times New Roman"/>
                <w:sz w:val="24"/>
                <w:szCs w:val="24"/>
                <w:lang w:val="en-GB"/>
              </w:rPr>
              <w:t xml:space="preserve"> that they need to be </w:t>
            </w:r>
            <w:r w:rsidR="006F1E13">
              <w:rPr>
                <w:rFonts w:ascii="Times New Roman" w:eastAsia="Times New Roman" w:hAnsi="Times New Roman"/>
                <w:sz w:val="24"/>
                <w:szCs w:val="24"/>
                <w:lang w:val="en-GB"/>
              </w:rPr>
              <w:t>‘</w:t>
            </w:r>
            <w:r w:rsidR="724898D4" w:rsidRPr="6A87A82F">
              <w:rPr>
                <w:rFonts w:ascii="Times New Roman" w:eastAsia="Times New Roman" w:hAnsi="Times New Roman"/>
                <w:sz w:val="24"/>
                <w:szCs w:val="24"/>
                <w:lang w:val="en-GB"/>
              </w:rPr>
              <w:t>explainable</w:t>
            </w:r>
            <w:r w:rsidR="006F1E13">
              <w:rPr>
                <w:rFonts w:ascii="Times New Roman" w:eastAsia="Times New Roman" w:hAnsi="Times New Roman"/>
                <w:sz w:val="24"/>
                <w:szCs w:val="24"/>
                <w:lang w:val="en-GB"/>
              </w:rPr>
              <w:t>’</w:t>
            </w:r>
            <w:r w:rsidR="724898D4" w:rsidRPr="6A87A82F">
              <w:rPr>
                <w:rFonts w:ascii="Times New Roman" w:eastAsia="Times New Roman" w:hAnsi="Times New Roman"/>
                <w:sz w:val="24"/>
                <w:szCs w:val="24"/>
                <w:lang w:val="en-GB"/>
              </w:rPr>
              <w:t xml:space="preserve"> is not accurate. What the AI Act provides for AI systems is that their “operation is sufficiently transparent to enable deployers to interpret a system’s output and</w:t>
            </w:r>
            <w:r w:rsidR="219AF8D5" w:rsidRPr="6A87A82F">
              <w:rPr>
                <w:rFonts w:ascii="Times New Roman" w:eastAsia="Times New Roman" w:hAnsi="Times New Roman"/>
                <w:sz w:val="24"/>
                <w:szCs w:val="24"/>
                <w:lang w:val="en-GB"/>
              </w:rPr>
              <w:t xml:space="preserve"> </w:t>
            </w:r>
            <w:r w:rsidR="724898D4" w:rsidRPr="6A87A82F">
              <w:rPr>
                <w:rFonts w:ascii="Times New Roman" w:eastAsia="Times New Roman" w:hAnsi="Times New Roman"/>
                <w:sz w:val="24"/>
                <w:szCs w:val="24"/>
                <w:lang w:val="en-GB"/>
              </w:rPr>
              <w:t xml:space="preserve">use it appropriately”. Additionally, the term </w:t>
            </w:r>
            <w:r w:rsidR="5E2C7237" w:rsidRPr="6A87A82F">
              <w:rPr>
                <w:rFonts w:ascii="Times New Roman" w:eastAsia="Times New Roman" w:hAnsi="Times New Roman"/>
                <w:sz w:val="24"/>
                <w:szCs w:val="24"/>
                <w:lang w:val="en-GB"/>
              </w:rPr>
              <w:t xml:space="preserve">to be </w:t>
            </w:r>
            <w:r w:rsidR="724898D4" w:rsidRPr="6A87A82F">
              <w:rPr>
                <w:rFonts w:ascii="Times New Roman" w:eastAsia="Times New Roman" w:hAnsi="Times New Roman"/>
                <w:sz w:val="24"/>
                <w:szCs w:val="24"/>
                <w:lang w:val="en-GB"/>
              </w:rPr>
              <w:t>used is “system”</w:t>
            </w:r>
            <w:r w:rsidR="66CB07D8" w:rsidRPr="6A87A82F">
              <w:rPr>
                <w:rFonts w:ascii="Times New Roman" w:eastAsia="Times New Roman" w:hAnsi="Times New Roman"/>
                <w:sz w:val="24"/>
                <w:szCs w:val="24"/>
                <w:lang w:val="en-GB"/>
              </w:rPr>
              <w:t xml:space="preserve"> not </w:t>
            </w:r>
            <w:r w:rsidR="2DF03B97" w:rsidRPr="6A87A82F">
              <w:rPr>
                <w:rFonts w:ascii="Times New Roman" w:eastAsia="Times New Roman" w:hAnsi="Times New Roman"/>
                <w:sz w:val="24"/>
                <w:szCs w:val="24"/>
                <w:lang w:val="en-GB"/>
              </w:rPr>
              <w:t>the term “model”</w:t>
            </w:r>
            <w:r w:rsidR="6631D0E9" w:rsidRPr="6A87A82F">
              <w:rPr>
                <w:rFonts w:ascii="Times New Roman" w:eastAsia="Times New Roman" w:hAnsi="Times New Roman"/>
                <w:sz w:val="24"/>
                <w:szCs w:val="24"/>
                <w:lang w:val="en-GB"/>
              </w:rPr>
              <w:t>,</w:t>
            </w:r>
            <w:r w:rsidR="2DF03B97" w:rsidRPr="6A87A82F">
              <w:rPr>
                <w:rFonts w:ascii="Times New Roman" w:eastAsia="Times New Roman" w:hAnsi="Times New Roman"/>
                <w:sz w:val="24"/>
                <w:szCs w:val="24"/>
                <w:lang w:val="en-GB"/>
              </w:rPr>
              <w:t xml:space="preserve"> as</w:t>
            </w:r>
            <w:r w:rsidR="36D0EB1F" w:rsidRPr="6A87A82F">
              <w:rPr>
                <w:rFonts w:ascii="Times New Roman" w:eastAsia="Times New Roman" w:hAnsi="Times New Roman"/>
                <w:sz w:val="24"/>
                <w:szCs w:val="24"/>
                <w:lang w:val="en-GB"/>
              </w:rPr>
              <w:t xml:space="preserve"> the latter has</w:t>
            </w:r>
            <w:r w:rsidR="2DF03B97" w:rsidRPr="6A87A82F">
              <w:rPr>
                <w:rFonts w:ascii="Times New Roman" w:eastAsia="Times New Roman" w:hAnsi="Times New Roman"/>
                <w:sz w:val="24"/>
                <w:szCs w:val="24"/>
                <w:lang w:val="en-GB"/>
              </w:rPr>
              <w:t xml:space="preserve"> a different meaning</w:t>
            </w:r>
            <w:r w:rsidR="66B74A31" w:rsidRPr="6A87A82F">
              <w:rPr>
                <w:rFonts w:ascii="Times New Roman" w:eastAsia="Times New Roman" w:hAnsi="Times New Roman"/>
                <w:sz w:val="24"/>
                <w:szCs w:val="24"/>
                <w:lang w:val="en-GB"/>
              </w:rPr>
              <w:t xml:space="preserve"> in the context of the AI Act</w:t>
            </w:r>
            <w:r w:rsidR="2DF03B97" w:rsidRPr="6A87A82F">
              <w:rPr>
                <w:rFonts w:ascii="Times New Roman" w:eastAsia="Times New Roman" w:hAnsi="Times New Roman"/>
                <w:sz w:val="24"/>
                <w:szCs w:val="24"/>
                <w:lang w:val="en-GB"/>
              </w:rPr>
              <w:t xml:space="preserve"> tha</w:t>
            </w:r>
            <w:r w:rsidR="5617EBEC" w:rsidRPr="6A87A82F">
              <w:rPr>
                <w:rFonts w:ascii="Times New Roman" w:eastAsia="Times New Roman" w:hAnsi="Times New Roman"/>
                <w:sz w:val="24"/>
                <w:szCs w:val="24"/>
                <w:lang w:val="en-GB"/>
              </w:rPr>
              <w:t>n</w:t>
            </w:r>
            <w:r w:rsidR="2DF03B97" w:rsidRPr="6A87A82F">
              <w:rPr>
                <w:rFonts w:ascii="Times New Roman" w:eastAsia="Times New Roman" w:hAnsi="Times New Roman"/>
                <w:sz w:val="24"/>
                <w:szCs w:val="24"/>
                <w:lang w:val="en-GB"/>
              </w:rPr>
              <w:t xml:space="preserve"> the one </w:t>
            </w:r>
            <w:r w:rsidR="5AE507F2" w:rsidRPr="6A87A82F">
              <w:rPr>
                <w:rFonts w:ascii="Times New Roman" w:eastAsia="Times New Roman" w:hAnsi="Times New Roman"/>
                <w:sz w:val="24"/>
                <w:szCs w:val="24"/>
                <w:lang w:val="en-GB"/>
              </w:rPr>
              <w:t xml:space="preserve">used within </w:t>
            </w:r>
            <w:r w:rsidR="2DF03B97" w:rsidRPr="6A87A82F">
              <w:rPr>
                <w:rFonts w:ascii="Times New Roman" w:eastAsia="Times New Roman" w:hAnsi="Times New Roman"/>
                <w:sz w:val="24"/>
                <w:szCs w:val="24"/>
                <w:lang w:val="en-GB"/>
              </w:rPr>
              <w:t xml:space="preserve">this communication, namely </w:t>
            </w:r>
            <w:r w:rsidR="006F1E13" w:rsidRPr="6A87A82F">
              <w:rPr>
                <w:rFonts w:ascii="Times New Roman" w:eastAsia="Times New Roman" w:hAnsi="Times New Roman"/>
                <w:sz w:val="24"/>
                <w:szCs w:val="24"/>
                <w:lang w:val="en-GB"/>
              </w:rPr>
              <w:t>general-purpose</w:t>
            </w:r>
            <w:r w:rsidR="2DF03B97" w:rsidRPr="6A87A82F">
              <w:rPr>
                <w:rFonts w:ascii="Times New Roman" w:eastAsia="Times New Roman" w:hAnsi="Times New Roman"/>
                <w:sz w:val="24"/>
                <w:szCs w:val="24"/>
                <w:lang w:val="en-GB"/>
              </w:rPr>
              <w:t xml:space="preserve"> AI models subject to different type of obligations. </w:t>
            </w:r>
            <w:r w:rsidR="00DE1CB4" w:rsidRPr="6A87A82F">
              <w:rPr>
                <w:rFonts w:ascii="Times New Roman" w:eastAsia="Times New Roman" w:hAnsi="Times New Roman"/>
                <w:sz w:val="24"/>
                <w:szCs w:val="24"/>
                <w:lang w:val="en-GB"/>
              </w:rPr>
              <w:t>With respect to the reference to the need for</w:t>
            </w:r>
            <w:r w:rsidR="68D08C35" w:rsidRPr="6A87A82F">
              <w:rPr>
                <w:rFonts w:ascii="Times New Roman" w:eastAsia="Times New Roman" w:hAnsi="Times New Roman"/>
                <w:sz w:val="24"/>
                <w:szCs w:val="24"/>
                <w:lang w:val="en-GB"/>
              </w:rPr>
              <w:t xml:space="preserve"> “strong public oversight”</w:t>
            </w:r>
            <w:r w:rsidR="00DE1CB4" w:rsidRPr="6A87A82F">
              <w:rPr>
                <w:rFonts w:ascii="Times New Roman" w:eastAsia="Times New Roman" w:hAnsi="Times New Roman"/>
                <w:sz w:val="24"/>
                <w:szCs w:val="24"/>
                <w:lang w:val="en-GB"/>
              </w:rPr>
              <w:t>,</w:t>
            </w:r>
            <w:r w:rsidR="68D08C35" w:rsidRPr="6A87A82F">
              <w:rPr>
                <w:rFonts w:ascii="Times New Roman" w:eastAsia="Times New Roman" w:hAnsi="Times New Roman"/>
                <w:sz w:val="24"/>
                <w:szCs w:val="24"/>
                <w:lang w:val="en-GB"/>
              </w:rPr>
              <w:t xml:space="preserve"> </w:t>
            </w:r>
            <w:r w:rsidR="00DE1CB4" w:rsidRPr="6A87A82F">
              <w:rPr>
                <w:rFonts w:ascii="Times New Roman" w:eastAsia="Times New Roman" w:hAnsi="Times New Roman"/>
                <w:sz w:val="24"/>
                <w:szCs w:val="24"/>
                <w:lang w:val="en-GB"/>
              </w:rPr>
              <w:t>the Commission would like to point out that, to the extent that</w:t>
            </w:r>
            <w:r w:rsidR="68D08C35" w:rsidRPr="6A87A82F">
              <w:rPr>
                <w:rFonts w:ascii="Times New Roman" w:eastAsia="Times New Roman" w:hAnsi="Times New Roman"/>
                <w:sz w:val="24"/>
                <w:szCs w:val="24"/>
                <w:lang w:val="en-GB"/>
              </w:rPr>
              <w:t xml:space="preserve"> this refers to oversight of data protection rules, the national data protection authorities are notably in charge of monitoring and enforcing the application of the GDPR on the territories of their Member States. This includes also the processing of health data for AI applications. Moreover, the EDPB adopted recently </w:t>
            </w:r>
            <w:r w:rsidR="68D08C35" w:rsidRPr="6A87A82F">
              <w:rPr>
                <w:rFonts w:ascii="Times New Roman" w:eastAsia="Times New Roman" w:hAnsi="Times New Roman"/>
                <w:i/>
                <w:iCs/>
                <w:sz w:val="24"/>
                <w:szCs w:val="24"/>
                <w:lang w:val="en-GB"/>
              </w:rPr>
              <w:t>Opinion 28/2024 on certain data protection aspects related to the processing of personal data in the context of AI models</w:t>
            </w:r>
            <w:r w:rsidR="002E05CF">
              <w:rPr>
                <w:rStyle w:val="FootnoteReference"/>
                <w:rFonts w:ascii="Times New Roman" w:eastAsia="Times New Roman" w:hAnsi="Times New Roman"/>
                <w:i/>
                <w:iCs/>
                <w:sz w:val="24"/>
                <w:szCs w:val="24"/>
                <w:lang w:val="en-GB"/>
              </w:rPr>
              <w:footnoteReference w:id="15"/>
            </w:r>
            <w:r w:rsidR="68D08C35" w:rsidRPr="6A87A82F">
              <w:rPr>
                <w:rFonts w:ascii="Times New Roman" w:eastAsia="Times New Roman" w:hAnsi="Times New Roman"/>
                <w:i/>
                <w:iCs/>
                <w:sz w:val="24"/>
                <w:szCs w:val="24"/>
                <w:lang w:val="en-GB"/>
              </w:rPr>
              <w:t xml:space="preserve">, </w:t>
            </w:r>
            <w:r w:rsidR="68D08C35" w:rsidRPr="6A87A82F">
              <w:rPr>
                <w:rFonts w:ascii="Times New Roman" w:eastAsia="Times New Roman" w:hAnsi="Times New Roman"/>
                <w:sz w:val="24"/>
                <w:szCs w:val="24"/>
                <w:lang w:val="en-GB"/>
              </w:rPr>
              <w:t xml:space="preserve">and it is also currently developing guidelines on the interplay </w:t>
            </w:r>
            <w:r w:rsidR="5EEAD324" w:rsidRPr="6A87A82F">
              <w:rPr>
                <w:rFonts w:ascii="Times New Roman" w:eastAsia="Times New Roman" w:hAnsi="Times New Roman"/>
                <w:sz w:val="24"/>
                <w:szCs w:val="24"/>
                <w:lang w:val="en-GB"/>
              </w:rPr>
              <w:t>between</w:t>
            </w:r>
            <w:r w:rsidR="68D08C35" w:rsidRPr="6A87A82F">
              <w:rPr>
                <w:rFonts w:ascii="Times New Roman" w:eastAsia="Times New Roman" w:hAnsi="Times New Roman"/>
                <w:sz w:val="24"/>
                <w:szCs w:val="24"/>
                <w:lang w:val="en-GB"/>
              </w:rPr>
              <w:t xml:space="preserve"> the AI act</w:t>
            </w:r>
            <w:r w:rsidR="060855E8" w:rsidRPr="6A87A82F">
              <w:rPr>
                <w:rFonts w:ascii="Times New Roman" w:eastAsia="Times New Roman" w:hAnsi="Times New Roman"/>
                <w:sz w:val="24"/>
                <w:szCs w:val="24"/>
                <w:lang w:val="en-GB"/>
              </w:rPr>
              <w:t xml:space="preserve"> and data protection law.</w:t>
            </w:r>
            <w:r w:rsidR="68D08C35" w:rsidRPr="6A87A82F">
              <w:rPr>
                <w:rFonts w:ascii="Times New Roman" w:eastAsia="Times New Roman" w:hAnsi="Times New Roman"/>
                <w:sz w:val="24"/>
                <w:szCs w:val="24"/>
                <w:lang w:val="en-GB"/>
              </w:rPr>
              <w:t xml:space="preserve"> </w:t>
            </w:r>
          </w:p>
          <w:p w14:paraId="1D209843" w14:textId="75485B1D" w:rsidR="3068FEB9" w:rsidRPr="005C5836" w:rsidRDefault="4CC55FE9" w:rsidP="00D02019">
            <w:pPr>
              <w:spacing w:before="120" w:after="120"/>
              <w:jc w:val="both"/>
              <w:rPr>
                <w:rFonts w:ascii="Times New Roman" w:eastAsia="Times New Roman" w:hAnsi="Times New Roman"/>
                <w:sz w:val="24"/>
                <w:szCs w:val="24"/>
                <w:lang w:val="en-GB"/>
              </w:rPr>
            </w:pPr>
            <w:r w:rsidRPr="6A87A82F">
              <w:rPr>
                <w:rFonts w:ascii="Times New Roman" w:eastAsia="Times New Roman" w:hAnsi="Times New Roman"/>
                <w:b/>
                <w:bCs/>
                <w:sz w:val="24"/>
                <w:szCs w:val="24"/>
                <w:lang w:val="en-GB"/>
              </w:rPr>
              <w:lastRenderedPageBreak/>
              <w:t>Point 5.1</w:t>
            </w:r>
            <w:r w:rsidR="00A437B5">
              <w:rPr>
                <w:rFonts w:ascii="Times New Roman" w:eastAsia="Times New Roman" w:hAnsi="Times New Roman"/>
                <w:b/>
                <w:bCs/>
                <w:sz w:val="24"/>
                <w:szCs w:val="24"/>
                <w:lang w:val="en-GB"/>
              </w:rPr>
              <w:t>:</w:t>
            </w:r>
            <w:r w:rsidRPr="6A87A82F">
              <w:rPr>
                <w:rFonts w:ascii="Times New Roman" w:eastAsia="Times New Roman" w:hAnsi="Times New Roman"/>
                <w:sz w:val="24"/>
                <w:szCs w:val="24"/>
                <w:lang w:val="en-GB"/>
              </w:rPr>
              <w:t xml:space="preserve"> </w:t>
            </w:r>
            <w:r w:rsidR="4ACDAB37" w:rsidRPr="6A87A82F">
              <w:rPr>
                <w:rFonts w:ascii="Times New Roman" w:eastAsia="Times New Roman" w:hAnsi="Times New Roman"/>
                <w:sz w:val="24"/>
                <w:szCs w:val="24"/>
                <w:lang w:val="en-GB"/>
              </w:rPr>
              <w:t>The Apply AI Strategy promot</w:t>
            </w:r>
            <w:r w:rsidR="00310C99">
              <w:rPr>
                <w:rFonts w:ascii="Times New Roman" w:eastAsia="Times New Roman" w:hAnsi="Times New Roman"/>
                <w:sz w:val="24"/>
                <w:szCs w:val="24"/>
                <w:lang w:val="en-GB"/>
              </w:rPr>
              <w:t>es</w:t>
            </w:r>
            <w:r w:rsidR="4ACDAB37" w:rsidRPr="6A87A82F">
              <w:rPr>
                <w:rFonts w:ascii="Times New Roman" w:eastAsia="Times New Roman" w:hAnsi="Times New Roman"/>
                <w:sz w:val="24"/>
                <w:szCs w:val="24"/>
                <w:lang w:val="en-GB"/>
              </w:rPr>
              <w:t xml:space="preserve"> AI skills development, providing practical trainings through the AI Skills Academy, encouraging industry participation and using competence frameworks to equip healthcare professionals with the skills needed to work safely and effectively with AI, including in rare disease care.</w:t>
            </w:r>
            <w:r w:rsidR="4084030C" w:rsidRPr="6A87A82F">
              <w:rPr>
                <w:rFonts w:ascii="Times New Roman" w:eastAsia="Times New Roman" w:hAnsi="Times New Roman"/>
                <w:color w:val="000000" w:themeColor="text1"/>
                <w:sz w:val="24"/>
                <w:szCs w:val="24"/>
                <w:lang w:val="en-GB"/>
              </w:rPr>
              <w:t xml:space="preserve"> </w:t>
            </w:r>
          </w:p>
          <w:p w14:paraId="30D14481" w14:textId="6AE33FA0" w:rsidR="0049246C" w:rsidRPr="005C5836" w:rsidRDefault="4084030C" w:rsidP="00D02019">
            <w:pPr>
              <w:spacing w:before="120" w:after="120"/>
              <w:jc w:val="both"/>
              <w:rPr>
                <w:rFonts w:ascii="Times New Roman" w:eastAsia="Times New Roman" w:hAnsi="Times New Roman"/>
                <w:sz w:val="24"/>
                <w:szCs w:val="24"/>
                <w:lang w:val="en-GB"/>
              </w:rPr>
            </w:pPr>
            <w:r w:rsidRPr="005C5836">
              <w:rPr>
                <w:rFonts w:ascii="Times New Roman" w:eastAsia="Times New Roman" w:hAnsi="Times New Roman"/>
                <w:color w:val="000000"/>
                <w:sz w:val="24"/>
                <w:szCs w:val="24"/>
                <w:lang w:val="en-GB"/>
              </w:rPr>
              <w:t>Regarding digital skills, the Nursing Action</w:t>
            </w:r>
            <w:r w:rsidR="2D94417C" w:rsidRPr="005C5836">
              <w:rPr>
                <w:rStyle w:val="FootnoteReference"/>
                <w:rFonts w:ascii="Times New Roman" w:eastAsia="Times New Roman" w:hAnsi="Times New Roman"/>
                <w:color w:val="000000"/>
                <w:sz w:val="24"/>
                <w:szCs w:val="24"/>
                <w:lang w:val="en-GB"/>
              </w:rPr>
              <w:footnoteReference w:id="16"/>
            </w:r>
            <w:r w:rsidRPr="005C5836">
              <w:rPr>
                <w:rFonts w:ascii="Times New Roman" w:eastAsia="Times New Roman" w:hAnsi="Times New Roman"/>
                <w:color w:val="000000"/>
                <w:sz w:val="24"/>
                <w:szCs w:val="24"/>
                <w:lang w:val="en-GB"/>
              </w:rPr>
              <w:t xml:space="preserve"> develops massive open access online courses to support educators in health facilities and education institutions. The project also develop</w:t>
            </w:r>
            <w:r w:rsidR="5DFCB482" w:rsidRPr="005C5836">
              <w:rPr>
                <w:rFonts w:ascii="Times New Roman" w:eastAsia="Times New Roman" w:hAnsi="Times New Roman"/>
                <w:color w:val="000000"/>
                <w:sz w:val="24"/>
                <w:szCs w:val="24"/>
                <w:lang w:val="en-GB"/>
              </w:rPr>
              <w:t>s</w:t>
            </w:r>
            <w:r w:rsidRPr="005C5836">
              <w:rPr>
                <w:rFonts w:ascii="Times New Roman" w:eastAsia="Times New Roman" w:hAnsi="Times New Roman"/>
                <w:color w:val="000000"/>
                <w:sz w:val="24"/>
                <w:szCs w:val="24"/>
                <w:lang w:val="en-GB"/>
              </w:rPr>
              <w:t xml:space="preserve"> mutual learning cycle including on digitalisation and use of </w:t>
            </w:r>
            <w:r w:rsidR="1DA3D46F" w:rsidRPr="005C5836">
              <w:rPr>
                <w:rFonts w:ascii="Times New Roman" w:eastAsia="Times New Roman" w:hAnsi="Times New Roman"/>
                <w:color w:val="000000"/>
                <w:sz w:val="24"/>
                <w:szCs w:val="24"/>
                <w:lang w:val="en-GB"/>
              </w:rPr>
              <w:t>AI</w:t>
            </w:r>
            <w:r w:rsidRPr="005C5836">
              <w:rPr>
                <w:rFonts w:ascii="Times New Roman" w:eastAsia="Times New Roman" w:hAnsi="Times New Roman"/>
                <w:color w:val="000000"/>
                <w:sz w:val="24"/>
                <w:szCs w:val="24"/>
                <w:lang w:val="en-GB"/>
              </w:rPr>
              <w:t xml:space="preserve"> in healthcare. The '</w:t>
            </w:r>
            <w:proofErr w:type="spellStart"/>
            <w:r w:rsidRPr="005C5836">
              <w:rPr>
                <w:rFonts w:ascii="Times New Roman" w:eastAsia="Times New Roman" w:hAnsi="Times New Roman"/>
                <w:color w:val="000000"/>
                <w:sz w:val="24"/>
                <w:szCs w:val="24"/>
                <w:lang w:val="en-GB"/>
              </w:rPr>
              <w:t>Bewell</w:t>
            </w:r>
            <w:proofErr w:type="spellEnd"/>
            <w:r w:rsidRPr="005C5836">
              <w:rPr>
                <w:rFonts w:ascii="Times New Roman" w:eastAsia="Times New Roman" w:hAnsi="Times New Roman"/>
                <w:color w:val="000000"/>
                <w:sz w:val="24"/>
                <w:szCs w:val="24"/>
                <w:lang w:val="en-GB"/>
              </w:rPr>
              <w:t>'</w:t>
            </w:r>
            <w:r w:rsidR="2D94417C" w:rsidRPr="005C5836">
              <w:rPr>
                <w:rStyle w:val="FootnoteReference"/>
                <w:rFonts w:ascii="Times New Roman" w:eastAsia="Times New Roman" w:hAnsi="Times New Roman"/>
                <w:color w:val="000000"/>
                <w:sz w:val="24"/>
                <w:szCs w:val="24"/>
                <w:lang w:val="en-GB"/>
              </w:rPr>
              <w:footnoteReference w:id="17"/>
            </w:r>
            <w:r w:rsidRPr="005C5836">
              <w:rPr>
                <w:rFonts w:ascii="Times New Roman" w:eastAsia="Times New Roman" w:hAnsi="Times New Roman"/>
                <w:color w:val="000000"/>
                <w:sz w:val="24"/>
                <w:szCs w:val="24"/>
                <w:lang w:val="en-GB"/>
              </w:rPr>
              <w:t xml:space="preserve"> initiative is a</w:t>
            </w:r>
            <w:r w:rsidR="00A437B5">
              <w:rPr>
                <w:rFonts w:ascii="Times New Roman" w:eastAsia="Times New Roman" w:hAnsi="Times New Roman"/>
                <w:color w:val="000000"/>
                <w:sz w:val="24"/>
                <w:szCs w:val="24"/>
                <w:lang w:val="en-GB"/>
              </w:rPr>
              <w:t> </w:t>
            </w:r>
            <w:r w:rsidRPr="005C5836">
              <w:rPr>
                <w:rFonts w:ascii="Times New Roman" w:eastAsia="Times New Roman" w:hAnsi="Times New Roman"/>
                <w:color w:val="000000"/>
                <w:sz w:val="24"/>
                <w:szCs w:val="24"/>
                <w:lang w:val="en-GB"/>
              </w:rPr>
              <w:t xml:space="preserve">large-scale health partnership developing a comprehensive skills strategy for health workers under the Pact for Skills, focusing on both digital and green skills. </w:t>
            </w:r>
            <w:r w:rsidR="7B4A837C" w:rsidRPr="005C5836">
              <w:rPr>
                <w:rFonts w:ascii="Times New Roman" w:eastAsia="Times New Roman" w:hAnsi="Times New Roman"/>
                <w:color w:val="000000"/>
                <w:sz w:val="24"/>
                <w:szCs w:val="24"/>
                <w:lang w:val="en-GB"/>
              </w:rPr>
              <w:t xml:space="preserve">It also provides trainings including on ethical and safety considerations. </w:t>
            </w:r>
            <w:r w:rsidRPr="005C5836">
              <w:rPr>
                <w:rFonts w:ascii="Times New Roman" w:eastAsia="Times New Roman" w:hAnsi="Times New Roman"/>
                <w:color w:val="000000"/>
                <w:sz w:val="24"/>
                <w:szCs w:val="24"/>
                <w:lang w:val="en-GB"/>
              </w:rPr>
              <w:t>The EU4Health programme also supports seven projects</w:t>
            </w:r>
            <w:r w:rsidR="2D94417C" w:rsidRPr="005C5836">
              <w:rPr>
                <w:rStyle w:val="FootnoteReference"/>
                <w:rFonts w:ascii="Times New Roman" w:eastAsia="Times New Roman" w:hAnsi="Times New Roman"/>
                <w:color w:val="000000"/>
                <w:sz w:val="24"/>
                <w:szCs w:val="24"/>
                <w:lang w:val="en-GB"/>
              </w:rPr>
              <w:footnoteReference w:id="18"/>
            </w:r>
            <w:r w:rsidRPr="005C5836">
              <w:rPr>
                <w:rFonts w:ascii="Times New Roman" w:eastAsia="Times New Roman" w:hAnsi="Times New Roman"/>
                <w:color w:val="000000"/>
                <w:sz w:val="24"/>
                <w:szCs w:val="24"/>
                <w:lang w:val="en-GB"/>
              </w:rPr>
              <w:t xml:space="preserve"> for health professionals with a focus on digital competencies for a total of EUR 16 million. Besides these, the</w:t>
            </w:r>
            <w:r w:rsidR="0068570E">
              <w:rPr>
                <w:rFonts w:ascii="Times New Roman" w:eastAsia="Times New Roman" w:hAnsi="Times New Roman"/>
                <w:color w:val="000000"/>
                <w:sz w:val="24"/>
                <w:szCs w:val="24"/>
                <w:lang w:val="en-GB"/>
              </w:rPr>
              <w:t xml:space="preserve"> </w:t>
            </w:r>
            <w:proofErr w:type="spellStart"/>
            <w:r w:rsidR="0068570E">
              <w:rPr>
                <w:rFonts w:ascii="Times New Roman" w:eastAsia="Times New Roman" w:hAnsi="Times New Roman"/>
                <w:color w:val="000000"/>
                <w:sz w:val="24"/>
                <w:szCs w:val="24"/>
                <w:lang w:val="en-GB"/>
              </w:rPr>
              <w:t>Xpanding</w:t>
            </w:r>
            <w:proofErr w:type="spellEnd"/>
            <w:r w:rsidR="0068570E">
              <w:rPr>
                <w:rFonts w:ascii="Times New Roman" w:eastAsia="Times New Roman" w:hAnsi="Times New Roman"/>
                <w:color w:val="000000"/>
                <w:sz w:val="24"/>
                <w:szCs w:val="24"/>
                <w:lang w:val="en-GB"/>
              </w:rPr>
              <w:t xml:space="preserve"> Innovative Alliance</w:t>
            </w:r>
            <w:r w:rsidRPr="005C5836">
              <w:rPr>
                <w:rFonts w:ascii="Times New Roman" w:eastAsia="Times New Roman" w:hAnsi="Times New Roman"/>
                <w:color w:val="000000"/>
                <w:sz w:val="24"/>
                <w:szCs w:val="24"/>
                <w:lang w:val="en-GB"/>
              </w:rPr>
              <w:t xml:space="preserve"> </w:t>
            </w:r>
            <w:r w:rsidR="0068570E">
              <w:rPr>
                <w:rFonts w:ascii="Times New Roman" w:eastAsia="Times New Roman" w:hAnsi="Times New Roman"/>
                <w:color w:val="000000"/>
                <w:sz w:val="24"/>
                <w:szCs w:val="24"/>
                <w:lang w:val="en-GB"/>
              </w:rPr>
              <w:t>(</w:t>
            </w:r>
            <w:proofErr w:type="spellStart"/>
            <w:r w:rsidRPr="005C5836">
              <w:rPr>
                <w:rFonts w:ascii="Times New Roman" w:eastAsia="Times New Roman" w:hAnsi="Times New Roman"/>
                <w:color w:val="000000"/>
                <w:sz w:val="24"/>
                <w:szCs w:val="24"/>
                <w:lang w:val="en-GB"/>
              </w:rPr>
              <w:t>XiA</w:t>
            </w:r>
            <w:proofErr w:type="spellEnd"/>
            <w:r w:rsidR="0068570E">
              <w:rPr>
                <w:rFonts w:ascii="Times New Roman" w:eastAsia="Times New Roman" w:hAnsi="Times New Roman"/>
                <w:color w:val="000000"/>
                <w:sz w:val="24"/>
                <w:szCs w:val="24"/>
                <w:lang w:val="en-GB"/>
              </w:rPr>
              <w:t>)</w:t>
            </w:r>
            <w:r w:rsidR="2D94417C" w:rsidRPr="005C5836">
              <w:rPr>
                <w:rStyle w:val="FootnoteReference"/>
                <w:rFonts w:ascii="Times New Roman" w:eastAsia="Times New Roman" w:hAnsi="Times New Roman"/>
                <w:color w:val="000000"/>
                <w:sz w:val="24"/>
                <w:szCs w:val="24"/>
                <w:lang w:val="en-GB"/>
              </w:rPr>
              <w:footnoteReference w:id="19"/>
            </w:r>
            <w:r w:rsidRPr="005C5836">
              <w:rPr>
                <w:rFonts w:ascii="Times New Roman" w:eastAsia="Times New Roman" w:hAnsi="Times New Roman"/>
                <w:color w:val="000000"/>
                <w:sz w:val="24"/>
                <w:szCs w:val="24"/>
                <w:lang w:val="en-GB"/>
              </w:rPr>
              <w:t xml:space="preserve"> empowers healthcare professionals with skills for real-world application of</w:t>
            </w:r>
            <w:r w:rsidR="00700663">
              <w:rPr>
                <w:rFonts w:ascii="Times New Roman" w:eastAsia="Times New Roman" w:hAnsi="Times New Roman"/>
                <w:color w:val="000000"/>
                <w:sz w:val="24"/>
                <w:szCs w:val="24"/>
                <w:lang w:val="en-GB"/>
              </w:rPr>
              <w:t xml:space="preserve"> the</w:t>
            </w:r>
            <w:r w:rsidRPr="005C5836">
              <w:rPr>
                <w:rFonts w:ascii="Times New Roman" w:eastAsia="Times New Roman" w:hAnsi="Times New Roman"/>
                <w:color w:val="000000"/>
                <w:sz w:val="24"/>
                <w:szCs w:val="24"/>
                <w:lang w:val="en-GB"/>
              </w:rPr>
              <w:t xml:space="preserve"> European Health Data Space (EHDS)</w:t>
            </w:r>
            <w:r w:rsidR="2D94417C" w:rsidRPr="005C5836">
              <w:rPr>
                <w:rStyle w:val="FootnoteReference"/>
                <w:rFonts w:ascii="Times New Roman" w:eastAsia="Times New Roman" w:hAnsi="Times New Roman"/>
                <w:color w:val="000000"/>
                <w:sz w:val="24"/>
                <w:szCs w:val="24"/>
                <w:lang w:val="en-GB"/>
              </w:rPr>
              <w:footnoteReference w:id="20"/>
            </w:r>
            <w:r w:rsidR="00700663">
              <w:rPr>
                <w:rFonts w:ascii="Times New Roman" w:eastAsia="Times New Roman" w:hAnsi="Times New Roman"/>
                <w:color w:val="000000"/>
                <w:sz w:val="24"/>
                <w:szCs w:val="24"/>
                <w:lang w:val="en-GB"/>
              </w:rPr>
              <w:t xml:space="preserve">, and </w:t>
            </w:r>
            <w:r w:rsidRPr="005C5836">
              <w:rPr>
                <w:rFonts w:ascii="Times New Roman" w:eastAsia="Times New Roman" w:hAnsi="Times New Roman"/>
                <w:color w:val="000000"/>
                <w:sz w:val="24"/>
                <w:szCs w:val="24"/>
                <w:lang w:val="en-GB"/>
              </w:rPr>
              <w:t>integrates AI in healthcare by building expert communities, promoting education for healthcare providers, and supporting policymaking. Member States also receive direct grants to establish their national Health Data Access Bodies (HDAB) to comply with the EHDS regulation. Moreover, Member States are supported with trainings to be offered on the EU Academy and a toolkit for HDABs’ staff.</w:t>
            </w:r>
          </w:p>
        </w:tc>
      </w:tr>
    </w:tbl>
    <w:p w14:paraId="6AF07B14" w14:textId="26AEAB66" w:rsidR="004F6117" w:rsidRPr="006B1057" w:rsidRDefault="004F6117" w:rsidP="00BA5FAC">
      <w:pPr>
        <w:rPr>
          <w:rFonts w:ascii="Times New Roman" w:hAnsi="Times New Roman"/>
          <w:b/>
          <w:strike/>
          <w:sz w:val="2"/>
          <w:szCs w:val="2"/>
          <w:u w:val="single"/>
          <w:lang w:val="en-GB"/>
        </w:rPr>
      </w:pPr>
    </w:p>
    <w:sectPr w:rsidR="004F6117" w:rsidRPr="006B1057" w:rsidSect="005A17D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9321" w14:textId="77777777" w:rsidR="00562EC6" w:rsidRDefault="00562EC6" w:rsidP="00FF63EA">
      <w:pPr>
        <w:spacing w:after="0" w:line="240" w:lineRule="auto"/>
      </w:pPr>
      <w:r>
        <w:separator/>
      </w:r>
    </w:p>
  </w:endnote>
  <w:endnote w:type="continuationSeparator" w:id="0">
    <w:p w14:paraId="1A1D6BAF" w14:textId="77777777" w:rsidR="00562EC6" w:rsidRDefault="00562EC6" w:rsidP="00FF63EA">
      <w:pPr>
        <w:spacing w:after="0" w:line="240" w:lineRule="auto"/>
      </w:pPr>
      <w:r>
        <w:continuationSeparator/>
      </w:r>
    </w:p>
  </w:endnote>
  <w:endnote w:type="continuationNotice" w:id="1">
    <w:p w14:paraId="4E283881" w14:textId="77777777" w:rsidR="00562EC6" w:rsidRDefault="00562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EF57B" w14:textId="77777777" w:rsidR="00562EC6" w:rsidRDefault="00562EC6" w:rsidP="00FF63EA">
      <w:pPr>
        <w:spacing w:after="0" w:line="240" w:lineRule="auto"/>
      </w:pPr>
      <w:r>
        <w:separator/>
      </w:r>
    </w:p>
  </w:footnote>
  <w:footnote w:type="continuationSeparator" w:id="0">
    <w:p w14:paraId="7D149BFA" w14:textId="77777777" w:rsidR="00562EC6" w:rsidRDefault="00562EC6" w:rsidP="00FF63EA">
      <w:pPr>
        <w:spacing w:after="0" w:line="240" w:lineRule="auto"/>
      </w:pPr>
      <w:r>
        <w:continuationSeparator/>
      </w:r>
    </w:p>
  </w:footnote>
  <w:footnote w:type="continuationNotice" w:id="1">
    <w:p w14:paraId="07178F0E" w14:textId="77777777" w:rsidR="00562EC6" w:rsidRDefault="00562EC6">
      <w:pPr>
        <w:spacing w:after="0" w:line="240" w:lineRule="auto"/>
      </w:pPr>
    </w:p>
  </w:footnote>
  <w:footnote w:id="2">
    <w:p w14:paraId="6E84686A" w14:textId="6BFF5581" w:rsidR="00D02019" w:rsidRPr="005A17D4" w:rsidRDefault="00D02019" w:rsidP="005A17D4">
      <w:pPr>
        <w:pStyle w:val="FootnoteText"/>
        <w:tabs>
          <w:tab w:val="left" w:pos="9214"/>
        </w:tabs>
        <w:ind w:left="142" w:hanging="284"/>
        <w:jc w:val="both"/>
        <w:rPr>
          <w:rFonts w:ascii="Times New Roman" w:hAnsi="Times New Roman"/>
        </w:rPr>
      </w:pPr>
      <w:r w:rsidRPr="005A17D4">
        <w:rPr>
          <w:rStyle w:val="FootnoteReference"/>
          <w:rFonts w:ascii="Times New Roman" w:hAnsi="Times New Roman"/>
        </w:rPr>
        <w:footnoteRef/>
      </w:r>
      <w:r w:rsidRPr="005A17D4">
        <w:rPr>
          <w:rFonts w:ascii="Times New Roman" w:hAnsi="Times New Roman"/>
        </w:rPr>
        <w:t xml:space="preserve"> </w:t>
      </w:r>
      <w:r w:rsidRPr="005A17D4">
        <w:rPr>
          <w:rFonts w:ascii="Times New Roman" w:hAnsi="Times New Roman"/>
        </w:rPr>
        <w:tab/>
      </w:r>
      <w:proofErr w:type="spellStart"/>
      <w:r w:rsidRPr="005A17D4">
        <w:rPr>
          <w:rFonts w:ascii="Times New Roman" w:hAnsi="Times New Roman"/>
        </w:rPr>
        <w:t>Orphanet</w:t>
      </w:r>
      <w:proofErr w:type="spellEnd"/>
      <w:r w:rsidRPr="005A17D4">
        <w:rPr>
          <w:rFonts w:ascii="Times New Roman" w:hAnsi="Times New Roman"/>
        </w:rPr>
        <w:t xml:space="preserve"> Nomenclature of Rare Diseases (</w:t>
      </w:r>
      <w:proofErr w:type="spellStart"/>
      <w:r w:rsidRPr="005A17D4">
        <w:rPr>
          <w:rFonts w:ascii="Times New Roman" w:hAnsi="Times New Roman"/>
        </w:rPr>
        <w:fldChar w:fldCharType="begin"/>
      </w:r>
      <w:r w:rsidRPr="005A17D4">
        <w:rPr>
          <w:rFonts w:ascii="Times New Roman" w:hAnsi="Times New Roman"/>
        </w:rPr>
        <w:instrText>HYPERLINK "https://www.orphacode.org/"</w:instrText>
      </w:r>
      <w:r w:rsidRPr="005A17D4">
        <w:rPr>
          <w:rFonts w:ascii="Times New Roman" w:hAnsi="Times New Roman"/>
        </w:rPr>
      </w:r>
      <w:r w:rsidRPr="005A17D4">
        <w:rPr>
          <w:rFonts w:ascii="Times New Roman" w:hAnsi="Times New Roman"/>
        </w:rPr>
        <w:fldChar w:fldCharType="separate"/>
      </w:r>
      <w:r w:rsidRPr="005A17D4">
        <w:rPr>
          <w:rStyle w:val="Hyperlink"/>
          <w:rFonts w:ascii="Times New Roman" w:hAnsi="Times New Roman"/>
        </w:rPr>
        <w:t>ORPHAcodes</w:t>
      </w:r>
      <w:proofErr w:type="spellEnd"/>
      <w:r w:rsidRPr="005A17D4">
        <w:rPr>
          <w:rFonts w:ascii="Times New Roman" w:hAnsi="Times New Roman"/>
        </w:rPr>
        <w:fldChar w:fldCharType="end"/>
      </w:r>
      <w:r w:rsidRPr="005A17D4">
        <w:rPr>
          <w:rFonts w:ascii="Times New Roman" w:hAnsi="Times New Roman"/>
        </w:rPr>
        <w:t>).</w:t>
      </w:r>
    </w:p>
  </w:footnote>
  <w:footnote w:id="3">
    <w:p w14:paraId="0C779CB3" w14:textId="0F5D008F" w:rsidR="004D2F50" w:rsidRPr="005A17D4" w:rsidRDefault="004D2F50" w:rsidP="005A17D4">
      <w:pPr>
        <w:pStyle w:val="FootnoteText"/>
        <w:tabs>
          <w:tab w:val="left" w:pos="9214"/>
        </w:tabs>
        <w:ind w:left="142" w:hanging="284"/>
        <w:jc w:val="both"/>
        <w:rPr>
          <w:rFonts w:ascii="Times New Roman" w:hAnsi="Times New Roman"/>
        </w:rPr>
      </w:pPr>
      <w:r w:rsidRPr="005A17D4">
        <w:rPr>
          <w:rStyle w:val="FootnoteReference"/>
          <w:rFonts w:ascii="Times New Roman" w:hAnsi="Times New Roman"/>
        </w:rPr>
        <w:footnoteRef/>
      </w:r>
      <w:r w:rsidRPr="005A17D4">
        <w:rPr>
          <w:rFonts w:ascii="Times New Roman" w:hAnsi="Times New Roman"/>
        </w:rPr>
        <w:t xml:space="preserve"> </w:t>
      </w:r>
      <w:r w:rsidRPr="005A17D4">
        <w:rPr>
          <w:rFonts w:ascii="Times New Roman" w:hAnsi="Times New Roman"/>
        </w:rPr>
        <w:tab/>
        <w:t>Regulation (EU) 2025/327 of the European Parliament and of the Council of 11 February 2025 on the European Health Data Space and amending Directive 2011/24/EU and Regulation (EU) 2024/2847 (</w:t>
      </w:r>
      <w:hyperlink r:id="rId1" w:tooltip="Gives access to this document through its ELI URI." w:history="1">
        <w:r w:rsidRPr="005A17D4">
          <w:rPr>
            <w:rStyle w:val="Hyperlink"/>
            <w:rFonts w:ascii="Times New Roman" w:hAnsi="Times New Roman"/>
          </w:rPr>
          <w:t>http://data.europa.eu/eli/reg/2025/327/oj</w:t>
        </w:r>
      </w:hyperlink>
      <w:r w:rsidRPr="005A17D4">
        <w:rPr>
          <w:rFonts w:ascii="Times New Roman" w:hAnsi="Times New Roman"/>
        </w:rPr>
        <w:t>).</w:t>
      </w:r>
    </w:p>
  </w:footnote>
  <w:footnote w:id="4">
    <w:p w14:paraId="0697E150" w14:textId="3F4D395D" w:rsidR="004D2F50" w:rsidRPr="005A17D4" w:rsidRDefault="004D2F50" w:rsidP="005A17D4">
      <w:pPr>
        <w:pStyle w:val="FootnoteText"/>
        <w:widowControl w:val="0"/>
        <w:tabs>
          <w:tab w:val="left" w:pos="9214"/>
        </w:tabs>
        <w:spacing w:line="240" w:lineRule="auto"/>
        <w:ind w:left="142" w:hanging="284"/>
        <w:jc w:val="both"/>
        <w:rPr>
          <w:rFonts w:ascii="Times New Roman" w:hAnsi="Times New Roman"/>
          <w:lang w:val="en"/>
        </w:rPr>
      </w:pPr>
      <w:r w:rsidRPr="005A17D4">
        <w:rPr>
          <w:rStyle w:val="FootnoteReference"/>
          <w:rFonts w:ascii="Times New Roman" w:hAnsi="Times New Roman"/>
        </w:rPr>
        <w:footnoteRef/>
      </w:r>
      <w:r w:rsidRPr="005A17D4">
        <w:rPr>
          <w:rFonts w:ascii="Times New Roman" w:hAnsi="Times New Roman"/>
        </w:rPr>
        <w:t xml:space="preserve"> </w:t>
      </w:r>
      <w:r w:rsidRPr="005A17D4">
        <w:rPr>
          <w:rFonts w:ascii="Times New Roman" w:hAnsi="Times New Roman"/>
        </w:rPr>
        <w:tab/>
        <w:t>Regulation (EC) No 726/2004 of the European Parliament and of the Council of 31 March 2004 laying down Community procedures for the authorisation and supervision of medicinal products for human and veterinary use and establishing a European Medicines Agency (</w:t>
      </w:r>
      <w:hyperlink r:id="rId2" w:tooltip="Gives access to this document through its ELI URI." w:history="1">
        <w:r w:rsidRPr="005A17D4">
          <w:rPr>
            <w:rStyle w:val="Hyperlink"/>
            <w:rFonts w:ascii="Times New Roman" w:hAnsi="Times New Roman"/>
            <w:lang w:val="en"/>
          </w:rPr>
          <w:t>http://data.europa.eu/eli/reg/2004/726/oj</w:t>
        </w:r>
      </w:hyperlink>
      <w:r>
        <w:rPr>
          <w:rFonts w:ascii="Times New Roman" w:hAnsi="Times New Roman"/>
        </w:rPr>
        <w:t>).</w:t>
      </w:r>
    </w:p>
    <w:p w14:paraId="181299FE" w14:textId="57117EC2" w:rsidR="004D2F50" w:rsidRPr="005A17D4" w:rsidRDefault="004D2F50" w:rsidP="005A17D4">
      <w:pPr>
        <w:pStyle w:val="FootnoteText"/>
        <w:keepNext/>
        <w:keepLines/>
        <w:pageBreakBefore/>
        <w:jc w:val="both"/>
        <w:rPr>
          <w:lang w:val="en"/>
        </w:rPr>
      </w:pPr>
    </w:p>
  </w:footnote>
  <w:footnote w:id="5">
    <w:p w14:paraId="6900C07A" w14:textId="250EC85A" w:rsidR="00A437B5" w:rsidRPr="005A17D4" w:rsidRDefault="00A437B5" w:rsidP="005A17D4">
      <w:pPr>
        <w:pStyle w:val="FootnoteText"/>
        <w:widowControl w:val="0"/>
        <w:spacing w:line="240" w:lineRule="auto"/>
        <w:ind w:left="142" w:hanging="284"/>
        <w:jc w:val="both"/>
        <w:rPr>
          <w:rFonts w:ascii="Times New Roman" w:hAnsi="Times New Roman"/>
        </w:rPr>
      </w:pPr>
      <w:r w:rsidRPr="005A17D4">
        <w:rPr>
          <w:rStyle w:val="FootnoteReference"/>
          <w:rFonts w:ascii="Times New Roman" w:hAnsi="Times New Roman"/>
        </w:rPr>
        <w:footnoteRef/>
      </w:r>
      <w:r w:rsidRPr="005A17D4">
        <w:rPr>
          <w:rFonts w:ascii="Times New Roman" w:hAnsi="Times New Roman"/>
        </w:rPr>
        <w:t xml:space="preserve"> </w:t>
      </w:r>
      <w:r w:rsidRPr="005A17D4">
        <w:rPr>
          <w:rFonts w:ascii="Times New Roman" w:hAnsi="Times New Roman"/>
        </w:rPr>
        <w:tab/>
        <w:t>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w:t>
      </w:r>
      <w:r w:rsidRPr="005A17D4">
        <w:rPr>
          <w:rFonts w:ascii="Times New Roman" w:hAnsi="Times New Roman"/>
          <w:b/>
          <w:bCs/>
        </w:rPr>
        <w:t xml:space="preserve"> (</w:t>
      </w:r>
      <w:hyperlink r:id="rId3" w:tooltip="Gives access to this document through its ELI URI." w:history="1">
        <w:r w:rsidRPr="00CE3023">
          <w:rPr>
            <w:rStyle w:val="Hyperlink"/>
            <w:rFonts w:ascii="Times New Roman" w:hAnsi="Times New Roman"/>
          </w:rPr>
          <w:t>http://data.europa.eu/eli/reg/2024/1689/oj</w:t>
        </w:r>
      </w:hyperlink>
      <w:r w:rsidRPr="005A17D4">
        <w:rPr>
          <w:rFonts w:ascii="Times New Roman" w:hAnsi="Times New Roman"/>
          <w:b/>
          <w:bCs/>
        </w:rPr>
        <w:t>).</w:t>
      </w:r>
    </w:p>
  </w:footnote>
  <w:footnote w:id="6">
    <w:p w14:paraId="7063BB13" w14:textId="0E52D65E" w:rsidR="00FE361A" w:rsidRPr="005A17D4" w:rsidRDefault="00FE361A" w:rsidP="005A17D4">
      <w:pPr>
        <w:pStyle w:val="FootnoteText"/>
        <w:widowControl w:val="0"/>
        <w:spacing w:line="240" w:lineRule="auto"/>
        <w:ind w:left="142" w:hanging="284"/>
        <w:jc w:val="both"/>
        <w:rPr>
          <w:lang w:val="fr-BE"/>
        </w:rPr>
      </w:pPr>
      <w:r>
        <w:rPr>
          <w:rStyle w:val="FootnoteReference"/>
        </w:rPr>
        <w:footnoteRef/>
      </w:r>
      <w:r w:rsidRPr="005A17D4">
        <w:rPr>
          <w:lang w:val="fr-BE"/>
        </w:rPr>
        <w:t xml:space="preserve"> </w:t>
      </w:r>
      <w:r w:rsidRPr="005A17D4">
        <w:rPr>
          <w:lang w:val="fr-BE"/>
        </w:rPr>
        <w:tab/>
      </w:r>
      <w:proofErr w:type="gramStart"/>
      <w:r w:rsidRPr="005A17D4">
        <w:rPr>
          <w:lang w:val="fr-BE"/>
        </w:rPr>
        <w:t>COM(</w:t>
      </w:r>
      <w:proofErr w:type="gramEnd"/>
      <w:r w:rsidRPr="005A17D4">
        <w:rPr>
          <w:lang w:val="fr-BE"/>
        </w:rPr>
        <w:t>2025) 723 final (</w:t>
      </w:r>
      <w:r>
        <w:fldChar w:fldCharType="begin"/>
      </w:r>
      <w:r w:rsidRPr="00763856">
        <w:rPr>
          <w:lang w:val="fr-BE"/>
        </w:rPr>
        <w:instrText>HYPERLINK "https://eur-lex.europa.eu/legal-content/EN/TXT/?uri=celex:52025DC0723"</w:instrText>
      </w:r>
      <w:r>
        <w:fldChar w:fldCharType="separate"/>
      </w:r>
      <w:r w:rsidRPr="005A17D4">
        <w:rPr>
          <w:rStyle w:val="Hyperlink"/>
          <w:lang w:val="fr-BE"/>
        </w:rPr>
        <w:t>EUR-Lex - 52025DC0723 - EN - EUR-Lex</w:t>
      </w:r>
      <w:r>
        <w:fldChar w:fldCharType="end"/>
      </w:r>
      <w:r w:rsidRPr="005A17D4">
        <w:rPr>
          <w:lang w:val="fr-BE"/>
        </w:rPr>
        <w:t>)</w:t>
      </w:r>
      <w:r>
        <w:rPr>
          <w:lang w:val="fr-BE"/>
        </w:rPr>
        <w:t>.</w:t>
      </w:r>
    </w:p>
  </w:footnote>
  <w:footnote w:id="7">
    <w:p w14:paraId="74EB3F4E" w14:textId="2B0CDFE0" w:rsidR="007729B8" w:rsidRPr="00D02019" w:rsidRDefault="007729B8" w:rsidP="005A17D4">
      <w:pPr>
        <w:pStyle w:val="FootnoteText"/>
        <w:widowControl w:val="0"/>
        <w:spacing w:line="240" w:lineRule="auto"/>
        <w:ind w:left="142" w:hanging="284"/>
        <w:jc w:val="both"/>
        <w:rPr>
          <w:rFonts w:ascii="Times New Roman" w:hAnsi="Times New Roman"/>
        </w:rPr>
      </w:pPr>
      <w:r w:rsidRPr="00FE361A">
        <w:rPr>
          <w:rStyle w:val="FootnoteReference"/>
          <w:rFonts w:ascii="Times New Roman" w:hAnsi="Times New Roman"/>
        </w:rPr>
        <w:footnoteRef/>
      </w:r>
      <w:r w:rsidR="6A87A82F" w:rsidRPr="00FE361A">
        <w:rPr>
          <w:rFonts w:ascii="Times New Roman" w:hAnsi="Times New Roman"/>
        </w:rPr>
        <w:t xml:space="preserve"> </w:t>
      </w:r>
      <w:r w:rsidR="00FE361A">
        <w:rPr>
          <w:rFonts w:ascii="Times New Roman" w:hAnsi="Times New Roman"/>
        </w:rPr>
        <w:tab/>
      </w:r>
      <w:hyperlink r:id="rId4" w:history="1">
        <w:r w:rsidR="00FE361A" w:rsidRPr="0098483A">
          <w:rPr>
            <w:rStyle w:val="Hyperlink"/>
            <w:rFonts w:ascii="Times New Roman" w:hAnsi="Times New Roman"/>
          </w:rPr>
          <w:t>Empowering the Next Generation in Sustainability &amp; STEM (</w:t>
        </w:r>
        <w:r w:rsidR="00FE361A" w:rsidRPr="00FE361A">
          <w:rPr>
            <w:rStyle w:val="Hyperlink"/>
            <w:rFonts w:ascii="Times New Roman" w:hAnsi="Times New Roman"/>
          </w:rPr>
          <w:t>https://eit-girlsgostem.eu/</w:t>
        </w:r>
      </w:hyperlink>
      <w:r w:rsidR="00FE361A">
        <w:rPr>
          <w:rFonts w:ascii="Times New Roman" w:hAnsi="Times New Roman"/>
        </w:rPr>
        <w:t>).</w:t>
      </w:r>
    </w:p>
  </w:footnote>
  <w:footnote w:id="8">
    <w:p w14:paraId="7FE88154" w14:textId="686A435B" w:rsidR="007729B8" w:rsidRPr="005A17D4" w:rsidRDefault="007729B8" w:rsidP="005A17D4">
      <w:pPr>
        <w:pStyle w:val="FootnoteText"/>
        <w:widowControl w:val="0"/>
        <w:spacing w:line="240" w:lineRule="auto"/>
        <w:ind w:left="142" w:right="-142" w:hanging="284"/>
        <w:jc w:val="both"/>
        <w:rPr>
          <w:rFonts w:ascii="Times New Roman" w:hAnsi="Times New Roman"/>
          <w:lang w:val="fr-BE"/>
        </w:rPr>
      </w:pPr>
      <w:r w:rsidRPr="005C6724">
        <w:rPr>
          <w:rStyle w:val="FootnoteReference"/>
          <w:rFonts w:ascii="Times New Roman" w:hAnsi="Times New Roman"/>
        </w:rPr>
        <w:footnoteRef/>
      </w:r>
      <w:r w:rsidR="6A87A82F" w:rsidRPr="005A17D4">
        <w:rPr>
          <w:rFonts w:ascii="Times New Roman" w:hAnsi="Times New Roman"/>
          <w:lang w:val="fr-BE"/>
        </w:rPr>
        <w:t xml:space="preserve"> </w:t>
      </w:r>
      <w:r w:rsidR="00FE361A" w:rsidRPr="005A17D4">
        <w:rPr>
          <w:rFonts w:ascii="Times New Roman" w:hAnsi="Times New Roman"/>
          <w:lang w:val="fr-BE"/>
        </w:rPr>
        <w:tab/>
      </w:r>
      <w:proofErr w:type="gramStart"/>
      <w:r w:rsidR="6A87A82F" w:rsidRPr="005A17D4">
        <w:rPr>
          <w:rFonts w:ascii="Times New Roman" w:hAnsi="Times New Roman"/>
          <w:lang w:val="fr-BE"/>
        </w:rPr>
        <w:t>COM(</w:t>
      </w:r>
      <w:proofErr w:type="gramEnd"/>
      <w:r w:rsidR="6A87A82F" w:rsidRPr="005A17D4">
        <w:rPr>
          <w:rFonts w:ascii="Times New Roman" w:hAnsi="Times New Roman"/>
          <w:lang w:val="fr-BE"/>
        </w:rPr>
        <w:t>2025) 89 final</w:t>
      </w:r>
      <w:r w:rsidR="00FE361A" w:rsidRPr="005A17D4">
        <w:rPr>
          <w:rFonts w:ascii="Times New Roman" w:hAnsi="Times New Roman"/>
          <w:lang w:val="fr-BE"/>
        </w:rPr>
        <w:t xml:space="preserve"> (</w:t>
      </w:r>
      <w:r w:rsidR="00FE361A">
        <w:fldChar w:fldCharType="begin"/>
      </w:r>
      <w:r w:rsidR="00FE361A" w:rsidRPr="00763856">
        <w:rPr>
          <w:lang w:val="fr-BE"/>
        </w:rPr>
        <w:instrText>HYPERLINK "https://eur-lex.europa.eu/legal-content/EN/TXT/?uri=celex:52025DC0089"</w:instrText>
      </w:r>
      <w:r w:rsidR="00FE361A">
        <w:fldChar w:fldCharType="separate"/>
      </w:r>
      <w:r w:rsidR="00FE361A" w:rsidRPr="005A17D4">
        <w:rPr>
          <w:rStyle w:val="Hyperlink"/>
          <w:rFonts w:ascii="Times New Roman" w:hAnsi="Times New Roman"/>
          <w:lang w:val="fr-BE"/>
        </w:rPr>
        <w:t>EUR-Lex - 52025DC0089 - EN - EUR-Lex</w:t>
      </w:r>
      <w:r w:rsidR="00FE361A">
        <w:fldChar w:fldCharType="end"/>
      </w:r>
      <w:r w:rsidR="00FE361A" w:rsidRPr="005A17D4">
        <w:rPr>
          <w:rFonts w:ascii="Times New Roman" w:hAnsi="Times New Roman"/>
          <w:lang w:val="fr-BE"/>
        </w:rPr>
        <w:t>).</w:t>
      </w:r>
    </w:p>
  </w:footnote>
  <w:footnote w:id="9">
    <w:p w14:paraId="15B6663C" w14:textId="41F6DB8B" w:rsidR="007729B8" w:rsidRPr="005C6724" w:rsidRDefault="007729B8" w:rsidP="005A17D4">
      <w:pPr>
        <w:pStyle w:val="FootnoteText"/>
        <w:widowControl w:val="0"/>
        <w:spacing w:line="240" w:lineRule="auto"/>
        <w:ind w:left="142" w:right="-142" w:hanging="284"/>
        <w:jc w:val="both"/>
        <w:rPr>
          <w:rFonts w:ascii="Times New Roman" w:hAnsi="Times New Roman"/>
        </w:rPr>
      </w:pPr>
      <w:r w:rsidRPr="005C6724">
        <w:rPr>
          <w:rStyle w:val="FootnoteReference"/>
          <w:rFonts w:ascii="Times New Roman" w:hAnsi="Times New Roman"/>
        </w:rPr>
        <w:footnoteRef/>
      </w:r>
      <w:r w:rsidR="6A87A82F" w:rsidRPr="005C6724">
        <w:rPr>
          <w:rFonts w:ascii="Times New Roman" w:hAnsi="Times New Roman"/>
        </w:rPr>
        <w:t xml:space="preserve"> </w:t>
      </w:r>
      <w:r w:rsidR="00FE361A" w:rsidRPr="005C6724">
        <w:rPr>
          <w:rFonts w:ascii="Times New Roman" w:hAnsi="Times New Roman"/>
        </w:rPr>
        <w:tab/>
        <w:t>E</w:t>
      </w:r>
      <w:r w:rsidR="00FE361A" w:rsidRPr="005A17D4">
        <w:rPr>
          <w:rFonts w:ascii="Times New Roman" w:hAnsi="Times New Roman"/>
        </w:rPr>
        <w:t xml:space="preserve">STEAM </w:t>
      </w:r>
      <w:r w:rsidR="00FE361A" w:rsidRPr="005C6724">
        <w:rPr>
          <w:rFonts w:ascii="Times New Roman" w:hAnsi="Times New Roman"/>
        </w:rPr>
        <w:t>Fests and Communities (</w:t>
      </w:r>
      <w:hyperlink r:id="rId5" w:history="1">
        <w:r w:rsidR="00FE361A" w:rsidRPr="005C6724">
          <w:rPr>
            <w:rStyle w:val="Hyperlink"/>
            <w:rFonts w:ascii="Times New Roman" w:hAnsi="Times New Roman"/>
          </w:rPr>
          <w:t>https://eismea.ec.europa.eu/esteam-fests-and-communities-girls-and-women_en</w:t>
        </w:r>
      </w:hyperlink>
      <w:r w:rsidR="00FE361A" w:rsidRPr="005A17D4">
        <w:rPr>
          <w:rFonts w:ascii="Times New Roman" w:hAnsi="Times New Roman"/>
        </w:rPr>
        <w:t>).</w:t>
      </w:r>
    </w:p>
  </w:footnote>
  <w:footnote w:id="10">
    <w:p w14:paraId="117CC2DF" w14:textId="27F56CDE" w:rsidR="007729B8" w:rsidRPr="005A17D4" w:rsidRDefault="007729B8" w:rsidP="005A17D4">
      <w:pPr>
        <w:pStyle w:val="FootnoteText"/>
        <w:widowControl w:val="0"/>
        <w:spacing w:line="240" w:lineRule="auto"/>
        <w:ind w:left="142" w:right="-142" w:hanging="284"/>
        <w:jc w:val="both"/>
        <w:rPr>
          <w:rFonts w:ascii="Times New Roman" w:hAnsi="Times New Roman"/>
        </w:rPr>
      </w:pPr>
      <w:r w:rsidRPr="005C6724">
        <w:rPr>
          <w:rStyle w:val="FootnoteReference"/>
          <w:rFonts w:ascii="Times New Roman" w:hAnsi="Times New Roman"/>
        </w:rPr>
        <w:footnoteRef/>
      </w:r>
      <w:r w:rsidR="6A87A82F" w:rsidRPr="005C6724">
        <w:rPr>
          <w:rFonts w:ascii="Times New Roman" w:hAnsi="Times New Roman"/>
        </w:rPr>
        <w:t xml:space="preserve"> </w:t>
      </w:r>
      <w:hyperlink r:id="rId6" w:history="1">
        <w:r w:rsidR="00FE361A" w:rsidRPr="005A17D4">
          <w:rPr>
            <w:rStyle w:val="Hyperlink"/>
            <w:rFonts w:ascii="Times New Roman" w:hAnsi="Times New Roman"/>
          </w:rPr>
          <w:tab/>
          <w:t>EIT Health (</w:t>
        </w:r>
        <w:r w:rsidR="00FE361A" w:rsidRPr="005C6724">
          <w:rPr>
            <w:rStyle w:val="Hyperlink"/>
            <w:rFonts w:ascii="Times New Roman" w:hAnsi="Times New Roman"/>
          </w:rPr>
          <w:t>https://eithealth.eu/</w:t>
        </w:r>
      </w:hyperlink>
      <w:r w:rsidR="00FE361A" w:rsidRPr="005A17D4">
        <w:rPr>
          <w:rFonts w:ascii="Times New Roman" w:hAnsi="Times New Roman"/>
        </w:rPr>
        <w:t>).</w:t>
      </w:r>
    </w:p>
  </w:footnote>
  <w:footnote w:id="11">
    <w:p w14:paraId="648CA33F" w14:textId="44267A1F" w:rsidR="005C6724" w:rsidRPr="005C6724" w:rsidRDefault="005C6724" w:rsidP="005A17D4">
      <w:pPr>
        <w:pStyle w:val="FootnoteText"/>
        <w:widowControl w:val="0"/>
        <w:spacing w:line="240" w:lineRule="auto"/>
        <w:ind w:left="142" w:right="-141" w:hanging="284"/>
        <w:jc w:val="both"/>
      </w:pPr>
      <w:r w:rsidRPr="005A17D4">
        <w:rPr>
          <w:rStyle w:val="FootnoteReference"/>
          <w:rFonts w:ascii="Times New Roman" w:hAnsi="Times New Roman"/>
        </w:rPr>
        <w:footnoteRef/>
      </w:r>
      <w:r w:rsidRPr="005A17D4">
        <w:rPr>
          <w:rFonts w:ascii="Times New Roman" w:hAnsi="Times New Roman"/>
        </w:rPr>
        <w:t xml:space="preserve"> </w:t>
      </w:r>
      <w:r w:rsidRPr="005A17D4">
        <w:rPr>
          <w:rFonts w:ascii="Times New Roman" w:hAnsi="Times New Roman"/>
        </w:rPr>
        <w:tab/>
        <w:t>European ‘1+Million Genomes’ initiative (</w:t>
      </w:r>
      <w:hyperlink r:id="rId7" w:history="1">
        <w:r w:rsidRPr="005A17D4">
          <w:rPr>
            <w:rStyle w:val="Hyperlink"/>
            <w:rFonts w:ascii="Times New Roman" w:hAnsi="Times New Roman"/>
          </w:rPr>
          <w:t>European '1+ Million Genomes' initiative | Shaping Europe’s digital future</w:t>
        </w:r>
      </w:hyperlink>
      <w:r w:rsidRPr="005A17D4">
        <w:rPr>
          <w:rFonts w:ascii="Times New Roman" w:hAnsi="Times New Roman"/>
        </w:rPr>
        <w:t>).</w:t>
      </w:r>
    </w:p>
  </w:footnote>
  <w:footnote w:id="12">
    <w:p w14:paraId="7354A97E" w14:textId="207399A4" w:rsidR="005C6724" w:rsidRPr="005A17D4" w:rsidRDefault="005C6724" w:rsidP="005A17D4">
      <w:pPr>
        <w:pStyle w:val="FootnoteText"/>
        <w:widowControl w:val="0"/>
        <w:spacing w:line="240" w:lineRule="auto"/>
        <w:jc w:val="both"/>
        <w:rPr>
          <w:rFonts w:ascii="Times New Roman" w:hAnsi="Times New Roman"/>
        </w:rPr>
      </w:pPr>
      <w:r w:rsidRPr="005A17D4">
        <w:rPr>
          <w:rStyle w:val="FootnoteReference"/>
          <w:rFonts w:ascii="Times New Roman" w:hAnsi="Times New Roman"/>
        </w:rPr>
        <w:footnoteRef/>
      </w:r>
      <w:r w:rsidRPr="005A17D4">
        <w:rPr>
          <w:rFonts w:ascii="Times New Roman" w:hAnsi="Times New Roman"/>
        </w:rPr>
        <w:t xml:space="preserve"> </w:t>
      </w:r>
      <w:r w:rsidRPr="005A17D4">
        <w:rPr>
          <w:rFonts w:ascii="Times New Roman" w:hAnsi="Times New Roman"/>
        </w:rPr>
        <w:tab/>
        <w:t>COM(2023) 190 final (</w:t>
      </w:r>
      <w:hyperlink r:id="rId8" w:history="1">
        <w:r w:rsidRPr="005A17D4">
          <w:rPr>
            <w:rStyle w:val="Hyperlink"/>
            <w:rFonts w:ascii="Times New Roman" w:hAnsi="Times New Roman"/>
          </w:rPr>
          <w:t>EUR-Lex - 52023DC0190 - EN - EUR-Lex</w:t>
        </w:r>
      </w:hyperlink>
      <w:r w:rsidRPr="005A17D4">
        <w:rPr>
          <w:rFonts w:ascii="Times New Roman" w:hAnsi="Times New Roman"/>
        </w:rPr>
        <w:t>).</w:t>
      </w:r>
    </w:p>
  </w:footnote>
  <w:footnote w:id="13">
    <w:p w14:paraId="6B38482C" w14:textId="37B28CD8" w:rsidR="00594FD8" w:rsidRPr="005A17D4" w:rsidRDefault="00594FD8" w:rsidP="005A17D4">
      <w:pPr>
        <w:pStyle w:val="FootnoteText"/>
        <w:widowControl w:val="0"/>
        <w:spacing w:line="240" w:lineRule="auto"/>
        <w:jc w:val="both"/>
        <w:rPr>
          <w:rFonts w:ascii="Times New Roman" w:hAnsi="Times New Roman"/>
          <w:lang w:val="fr-BE"/>
        </w:rPr>
      </w:pPr>
      <w:r w:rsidRPr="005A17D4">
        <w:rPr>
          <w:rStyle w:val="FootnoteReference"/>
          <w:rFonts w:ascii="Times New Roman" w:hAnsi="Times New Roman"/>
        </w:rPr>
        <w:footnoteRef/>
      </w:r>
      <w:r w:rsidRPr="005A17D4">
        <w:rPr>
          <w:rFonts w:ascii="Times New Roman" w:hAnsi="Times New Roman"/>
          <w:lang w:val="fr-BE"/>
        </w:rPr>
        <w:t xml:space="preserve"> </w:t>
      </w:r>
      <w:r w:rsidRPr="005A17D4">
        <w:rPr>
          <w:rFonts w:ascii="Times New Roman" w:hAnsi="Times New Roman"/>
          <w:lang w:val="fr-BE"/>
        </w:rPr>
        <w:tab/>
      </w:r>
      <w:proofErr w:type="gramStart"/>
      <w:r w:rsidRPr="005A17D4">
        <w:rPr>
          <w:rFonts w:ascii="Times New Roman" w:hAnsi="Times New Roman"/>
          <w:lang w:val="fr-BE"/>
        </w:rPr>
        <w:t>COM(</w:t>
      </w:r>
      <w:proofErr w:type="gramEnd"/>
      <w:r w:rsidRPr="005A17D4">
        <w:rPr>
          <w:rFonts w:ascii="Times New Roman" w:hAnsi="Times New Roman"/>
          <w:lang w:val="fr-BE"/>
        </w:rPr>
        <w:t>2020) 761 final (</w:t>
      </w:r>
      <w:r>
        <w:fldChar w:fldCharType="begin"/>
      </w:r>
      <w:r w:rsidRPr="00763856">
        <w:rPr>
          <w:lang w:val="fr-BE"/>
        </w:rPr>
        <w:instrText>HYPERLINK "https://eur-lex.europa.eu/legal-content/EN/TXT/?uri=CELEX:52020DC0761"</w:instrText>
      </w:r>
      <w:r>
        <w:fldChar w:fldCharType="separate"/>
      </w:r>
      <w:r w:rsidRPr="005A17D4">
        <w:rPr>
          <w:rStyle w:val="Hyperlink"/>
          <w:rFonts w:ascii="Times New Roman" w:hAnsi="Times New Roman"/>
          <w:lang w:val="fr-BE"/>
        </w:rPr>
        <w:t>EUR-Lex - 52020DC0761 - EN - EUR-Lex</w:t>
      </w:r>
      <w:r>
        <w:fldChar w:fldCharType="end"/>
      </w:r>
      <w:r w:rsidRPr="005A17D4">
        <w:rPr>
          <w:rFonts w:ascii="Times New Roman" w:hAnsi="Times New Roman"/>
          <w:lang w:val="fr-BE"/>
        </w:rPr>
        <w:t>).</w:t>
      </w:r>
    </w:p>
  </w:footnote>
  <w:footnote w:id="14">
    <w:p w14:paraId="20E9A65F" w14:textId="5214C51F" w:rsidR="00594FD8" w:rsidRPr="005A17D4" w:rsidRDefault="00594FD8" w:rsidP="005A17D4">
      <w:pPr>
        <w:pStyle w:val="FootnoteText"/>
        <w:widowControl w:val="0"/>
        <w:spacing w:line="240" w:lineRule="auto"/>
        <w:jc w:val="both"/>
        <w:rPr>
          <w:rFonts w:ascii="Times New Roman" w:hAnsi="Times New Roman"/>
        </w:rPr>
      </w:pPr>
      <w:r w:rsidRPr="005A17D4">
        <w:rPr>
          <w:rStyle w:val="FootnoteReference"/>
          <w:rFonts w:ascii="Times New Roman" w:hAnsi="Times New Roman"/>
        </w:rPr>
        <w:footnoteRef/>
      </w:r>
      <w:r w:rsidRPr="005A17D4">
        <w:rPr>
          <w:rFonts w:ascii="Times New Roman" w:hAnsi="Times New Roman"/>
        </w:rPr>
        <w:t xml:space="preserve"> </w:t>
      </w:r>
      <w:r w:rsidRPr="005A17D4">
        <w:rPr>
          <w:rFonts w:ascii="Times New Roman" w:hAnsi="Times New Roman"/>
        </w:rP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 </w:t>
      </w:r>
      <w:hyperlink r:id="rId9" w:tooltip="Gives access to this document through its ELI URI." w:history="1">
        <w:r w:rsidRPr="005A17D4">
          <w:rPr>
            <w:rStyle w:val="Hyperlink"/>
            <w:rFonts w:ascii="Times New Roman" w:hAnsi="Times New Roman"/>
          </w:rPr>
          <w:t>http://data.europa.eu/eli/reg/2016/679/oj</w:t>
        </w:r>
      </w:hyperlink>
      <w:r w:rsidRPr="005A17D4">
        <w:rPr>
          <w:rFonts w:ascii="Times New Roman" w:hAnsi="Times New Roman"/>
        </w:rPr>
        <w:t>).</w:t>
      </w:r>
    </w:p>
  </w:footnote>
  <w:footnote w:id="15">
    <w:p w14:paraId="080959CD" w14:textId="6E3C70AE" w:rsidR="002E05CF" w:rsidRPr="00E94067" w:rsidRDefault="002E05CF" w:rsidP="00E94067">
      <w:pPr>
        <w:pStyle w:val="FootnoteText"/>
        <w:widowControl w:val="0"/>
        <w:spacing w:line="240" w:lineRule="auto"/>
        <w:ind w:left="142" w:right="-141" w:hanging="284"/>
        <w:jc w:val="both"/>
        <w:rPr>
          <w:rFonts w:ascii="Times New Roman" w:hAnsi="Times New Roman"/>
        </w:rPr>
      </w:pPr>
      <w:r w:rsidRPr="00E94067">
        <w:rPr>
          <w:rStyle w:val="FootnoteReference"/>
          <w:rFonts w:ascii="Times New Roman" w:hAnsi="Times New Roman"/>
        </w:rPr>
        <w:footnoteRef/>
      </w:r>
      <w:r w:rsidRPr="00E94067">
        <w:rPr>
          <w:rFonts w:ascii="Times New Roman" w:hAnsi="Times New Roman"/>
        </w:rPr>
        <w:t xml:space="preserve"> </w:t>
      </w:r>
      <w:r w:rsidRPr="00E94067">
        <w:rPr>
          <w:rFonts w:ascii="Times New Roman" w:hAnsi="Times New Roman"/>
        </w:rPr>
        <w:tab/>
      </w:r>
      <w:hyperlink r:id="rId10" w:history="1">
        <w:r w:rsidRPr="00E94067">
          <w:rPr>
            <w:rStyle w:val="Hyperlink"/>
            <w:rFonts w:ascii="Times New Roman" w:hAnsi="Times New Roman"/>
          </w:rPr>
          <w:t xml:space="preserve">Opinion 28/2024 on certain data protection aspects related to the processing of personal data in the context of </w:t>
        </w:r>
        <w:proofErr w:type="spellStart"/>
        <w:proofErr w:type="gramStart"/>
        <w:r w:rsidRPr="00E94067">
          <w:rPr>
            <w:rStyle w:val="Hyperlink"/>
            <w:rFonts w:ascii="Times New Roman" w:hAnsi="Times New Roman"/>
          </w:rPr>
          <w:t>AI</w:t>
        </w:r>
        <w:r w:rsidR="00442B26">
          <w:rPr>
            <w:rStyle w:val="Hyperlink"/>
            <w:rFonts w:ascii="Times New Roman" w:hAnsi="Times New Roman"/>
          </w:rPr>
          <w:t>.</w:t>
        </w:r>
        <w:r w:rsidRPr="00E94067">
          <w:rPr>
            <w:rStyle w:val="Hyperlink"/>
            <w:rFonts w:ascii="Times New Roman" w:hAnsi="Times New Roman"/>
          </w:rPr>
          <w:t>models</w:t>
        </w:r>
        <w:proofErr w:type="spellEnd"/>
        <w:proofErr w:type="gramEnd"/>
        <w:r w:rsidRPr="00E94067">
          <w:rPr>
            <w:rStyle w:val="Hyperlink"/>
            <w:rFonts w:ascii="Times New Roman" w:hAnsi="Times New Roman"/>
          </w:rPr>
          <w:t xml:space="preserve"> | European Data Protection Board</w:t>
        </w:r>
      </w:hyperlink>
      <w:r w:rsidRPr="00E94067">
        <w:rPr>
          <w:rFonts w:ascii="Times New Roman" w:hAnsi="Times New Roman"/>
        </w:rPr>
        <w:t>.</w:t>
      </w:r>
    </w:p>
  </w:footnote>
  <w:footnote w:id="16">
    <w:p w14:paraId="3862E4CC" w14:textId="0D5E47FC" w:rsidR="1BC8FD14" w:rsidRPr="00E94067" w:rsidRDefault="1BC8FD14" w:rsidP="00E94067">
      <w:pPr>
        <w:pStyle w:val="FootnoteText"/>
        <w:widowControl w:val="0"/>
        <w:spacing w:line="240" w:lineRule="auto"/>
        <w:ind w:left="142" w:right="-141" w:hanging="284"/>
        <w:jc w:val="both"/>
        <w:rPr>
          <w:rFonts w:ascii="Times New Roman" w:hAnsi="Times New Roman"/>
        </w:rPr>
      </w:pPr>
      <w:r w:rsidRPr="00E94067">
        <w:rPr>
          <w:rStyle w:val="FootnoteReference"/>
          <w:rFonts w:ascii="Times New Roman" w:hAnsi="Times New Roman"/>
        </w:rPr>
        <w:footnoteRef/>
      </w:r>
      <w:r w:rsidRPr="00E94067">
        <w:rPr>
          <w:rFonts w:ascii="Times New Roman" w:hAnsi="Times New Roman"/>
        </w:rPr>
        <w:t xml:space="preserve"> </w:t>
      </w:r>
      <w:r w:rsidR="00E94067" w:rsidRPr="00E94067">
        <w:rPr>
          <w:rFonts w:ascii="Times New Roman" w:hAnsi="Times New Roman"/>
        </w:rPr>
        <w:tab/>
      </w:r>
      <w:r w:rsidRPr="00E94067">
        <w:rPr>
          <w:rFonts w:ascii="Times New Roman" w:hAnsi="Times New Roman"/>
        </w:rPr>
        <w:t xml:space="preserve">Nursing Action </w:t>
      </w:r>
      <w:r w:rsidR="00E94067" w:rsidRPr="005A17D4">
        <w:rPr>
          <w:rFonts w:ascii="Times New Roman" w:hAnsi="Times New Roman"/>
        </w:rPr>
        <w:t>(</w:t>
      </w:r>
      <w:hyperlink r:id="rId11" w:history="1">
        <w:r w:rsidR="00E94067" w:rsidRPr="00E94067">
          <w:rPr>
            <w:rStyle w:val="Hyperlink"/>
            <w:rFonts w:ascii="Times New Roman" w:hAnsi="Times New Roman"/>
          </w:rPr>
          <w:t>Commission supports action across Europe to attract and retain nurses - Public Health</w:t>
        </w:r>
      </w:hyperlink>
      <w:r w:rsidR="00E94067" w:rsidRPr="00E94067">
        <w:rPr>
          <w:rFonts w:ascii="Times New Roman" w:hAnsi="Times New Roman"/>
        </w:rPr>
        <w:t>).</w:t>
      </w:r>
    </w:p>
  </w:footnote>
  <w:footnote w:id="17">
    <w:p w14:paraId="1E6A7CCB" w14:textId="1FBBB601" w:rsidR="1BC8FD14" w:rsidRPr="00E94067" w:rsidRDefault="1BC8FD14" w:rsidP="00E94067">
      <w:pPr>
        <w:pStyle w:val="FootnoteText"/>
        <w:widowControl w:val="0"/>
        <w:spacing w:line="240" w:lineRule="auto"/>
        <w:ind w:left="142" w:right="-141" w:hanging="284"/>
        <w:jc w:val="both"/>
        <w:rPr>
          <w:rFonts w:ascii="Times New Roman" w:hAnsi="Times New Roman"/>
        </w:rPr>
      </w:pPr>
      <w:r w:rsidRPr="00E94067">
        <w:rPr>
          <w:rStyle w:val="FootnoteReference"/>
          <w:rFonts w:ascii="Times New Roman" w:hAnsi="Times New Roman"/>
        </w:rPr>
        <w:footnoteRef/>
      </w:r>
      <w:r w:rsidRPr="00E94067">
        <w:rPr>
          <w:rFonts w:ascii="Times New Roman" w:hAnsi="Times New Roman"/>
        </w:rPr>
        <w:t xml:space="preserve"> </w:t>
      </w:r>
      <w:r w:rsidR="00E94067" w:rsidRPr="00E94067">
        <w:rPr>
          <w:rFonts w:ascii="Times New Roman" w:hAnsi="Times New Roman"/>
        </w:rPr>
        <w:tab/>
      </w:r>
      <w:proofErr w:type="spellStart"/>
      <w:r w:rsidR="00E94067" w:rsidRPr="00E94067">
        <w:rPr>
          <w:rFonts w:ascii="Times New Roman" w:hAnsi="Times New Roman"/>
        </w:rPr>
        <w:t>BeWell</w:t>
      </w:r>
      <w:proofErr w:type="spellEnd"/>
      <w:r w:rsidR="00E94067" w:rsidRPr="00E94067">
        <w:rPr>
          <w:rFonts w:ascii="Times New Roman" w:hAnsi="Times New Roman"/>
        </w:rPr>
        <w:t xml:space="preserve"> Project (</w:t>
      </w:r>
      <w:hyperlink r:id="rId12" w:history="1">
        <w:r w:rsidR="00E94067" w:rsidRPr="00E94067">
          <w:rPr>
            <w:rStyle w:val="Hyperlink"/>
            <w:rFonts w:ascii="Times New Roman" w:hAnsi="Times New Roman"/>
          </w:rPr>
          <w:t>https://bewell-project.eu/</w:t>
        </w:r>
      </w:hyperlink>
      <w:r w:rsidR="00E94067" w:rsidRPr="00E94067">
        <w:rPr>
          <w:rFonts w:ascii="Times New Roman" w:hAnsi="Times New Roman"/>
        </w:rPr>
        <w:t>)</w:t>
      </w:r>
      <w:r w:rsidR="00442B26">
        <w:rPr>
          <w:rFonts w:ascii="Times New Roman" w:hAnsi="Times New Roman"/>
        </w:rPr>
        <w:t>.</w:t>
      </w:r>
    </w:p>
  </w:footnote>
  <w:footnote w:id="18">
    <w:p w14:paraId="762C918B" w14:textId="74FC3F06" w:rsidR="1BC8FD14" w:rsidRPr="00E94067" w:rsidRDefault="1BC8FD14" w:rsidP="00E94067">
      <w:pPr>
        <w:pStyle w:val="FootnoteText"/>
        <w:widowControl w:val="0"/>
        <w:spacing w:line="240" w:lineRule="auto"/>
        <w:ind w:left="142" w:right="-141" w:hanging="284"/>
        <w:jc w:val="both"/>
        <w:rPr>
          <w:rFonts w:ascii="Times New Roman" w:hAnsi="Times New Roman"/>
        </w:rPr>
      </w:pPr>
      <w:r w:rsidRPr="00E94067">
        <w:rPr>
          <w:rStyle w:val="FootnoteReference"/>
          <w:rFonts w:ascii="Times New Roman" w:hAnsi="Times New Roman"/>
        </w:rPr>
        <w:footnoteRef/>
      </w:r>
      <w:r w:rsidRPr="00E94067">
        <w:rPr>
          <w:rFonts w:ascii="Times New Roman" w:hAnsi="Times New Roman"/>
        </w:rPr>
        <w:t xml:space="preserve"> </w:t>
      </w:r>
      <w:r w:rsidR="00E94067" w:rsidRPr="00E94067">
        <w:rPr>
          <w:rFonts w:ascii="Times New Roman" w:hAnsi="Times New Roman"/>
        </w:rPr>
        <w:tab/>
      </w:r>
      <w:r w:rsidRPr="00E94067">
        <w:rPr>
          <w:rFonts w:ascii="Times New Roman" w:hAnsi="Times New Roman"/>
        </w:rPr>
        <w:t xml:space="preserve">Training projects for health workforce, including digital skills </w:t>
      </w:r>
      <w:r w:rsidR="00E94067" w:rsidRPr="00E94067">
        <w:rPr>
          <w:rFonts w:ascii="Times New Roman" w:hAnsi="Times New Roman"/>
        </w:rPr>
        <w:t>(</w:t>
      </w:r>
      <w:hyperlink r:id="rId13" w:history="1">
        <w:r w:rsidR="00E94067" w:rsidRPr="00E94067">
          <w:rPr>
            <w:rStyle w:val="Hyperlink"/>
            <w:rFonts w:ascii="Times New Roman" w:hAnsi="Times New Roman"/>
          </w:rPr>
          <w:t>https://ec.europa.eu/info/funding-tenders/opportunities/portal/screen/opportunities/topic-details/EU4H-2022-PJ-06</w:t>
        </w:r>
      </w:hyperlink>
      <w:r w:rsidR="00E94067" w:rsidRPr="00E94067">
        <w:rPr>
          <w:rFonts w:ascii="Times New Roman" w:hAnsi="Times New Roman"/>
        </w:rPr>
        <w:t>).</w:t>
      </w:r>
    </w:p>
  </w:footnote>
  <w:footnote w:id="19">
    <w:p w14:paraId="06620B08" w14:textId="24D39F8D" w:rsidR="1BC8FD14" w:rsidRPr="00763856" w:rsidRDefault="1BC8FD14" w:rsidP="00E94067">
      <w:pPr>
        <w:pStyle w:val="FootnoteText"/>
        <w:widowControl w:val="0"/>
        <w:spacing w:line="240" w:lineRule="auto"/>
        <w:ind w:left="142" w:right="-141" w:hanging="284"/>
        <w:jc w:val="both"/>
        <w:rPr>
          <w:rFonts w:ascii="Times New Roman" w:hAnsi="Times New Roman"/>
          <w:lang w:val="pt-PT"/>
        </w:rPr>
      </w:pPr>
      <w:r w:rsidRPr="00E94067">
        <w:rPr>
          <w:rStyle w:val="FootnoteReference"/>
          <w:rFonts w:ascii="Times New Roman" w:hAnsi="Times New Roman"/>
        </w:rPr>
        <w:footnoteRef/>
      </w:r>
      <w:r w:rsidRPr="00763856">
        <w:rPr>
          <w:rFonts w:ascii="Times New Roman" w:hAnsi="Times New Roman"/>
          <w:lang w:val="pt-PT"/>
        </w:rPr>
        <w:t xml:space="preserve"> </w:t>
      </w:r>
      <w:r w:rsidR="00E94067" w:rsidRPr="00763856">
        <w:rPr>
          <w:rFonts w:ascii="Times New Roman" w:hAnsi="Times New Roman"/>
          <w:lang w:val="pt-PT"/>
        </w:rPr>
        <w:tab/>
        <w:t>XiA Project (</w:t>
      </w:r>
      <w:r w:rsidRPr="00763856">
        <w:rPr>
          <w:rFonts w:ascii="Times New Roman" w:eastAsia="Times New Roman" w:hAnsi="Times New Roman"/>
          <w:color w:val="0000FF"/>
          <w:u w:val="single"/>
          <w:lang w:val="pt-PT"/>
        </w:rPr>
        <w:t>https://health.ec.europa.eu/ehealth-digital-health-and-care/ehds-action/projects-supporting-ehds_en</w:t>
      </w:r>
      <w:r w:rsidRPr="00763856">
        <w:rPr>
          <w:rFonts w:ascii="Times New Roman" w:eastAsia="Times New Roman" w:hAnsi="Times New Roman"/>
          <w:color w:val="000000"/>
          <w:lang w:val="pt-PT"/>
        </w:rPr>
        <w:t xml:space="preserve"> </w:t>
      </w:r>
      <w:hyperlink r:id="rId14">
        <w:r w:rsidRPr="00763856">
          <w:rPr>
            <w:rStyle w:val="Hyperlink"/>
            <w:rFonts w:ascii="Times New Roman" w:eastAsia="Times New Roman" w:hAnsi="Times New Roman"/>
            <w:lang w:val="pt-PT"/>
          </w:rPr>
          <w:t>https://brudhi.iscte-iul.pt/2025/01/21/introducing-the-xia-project-transforming-healthcare-through-digital-interoperability-education/</w:t>
        </w:r>
      </w:hyperlink>
      <w:r w:rsidR="00E94067" w:rsidRPr="00763856">
        <w:rPr>
          <w:rFonts w:ascii="Times New Roman" w:hAnsi="Times New Roman"/>
          <w:lang w:val="pt-PT"/>
        </w:rPr>
        <w:t>).</w:t>
      </w:r>
    </w:p>
  </w:footnote>
  <w:footnote w:id="20">
    <w:p w14:paraId="7E1BDF12" w14:textId="435F033E" w:rsidR="1BC8FD14" w:rsidRDefault="1BC8FD14" w:rsidP="00E94067">
      <w:pPr>
        <w:pStyle w:val="FootnoteText"/>
        <w:widowControl w:val="0"/>
        <w:spacing w:line="240" w:lineRule="auto"/>
        <w:ind w:left="142" w:right="-141" w:hanging="284"/>
        <w:jc w:val="both"/>
      </w:pPr>
      <w:r w:rsidRPr="00E94067">
        <w:rPr>
          <w:rStyle w:val="FootnoteReference"/>
          <w:rFonts w:ascii="Times New Roman" w:hAnsi="Times New Roman"/>
        </w:rPr>
        <w:footnoteRef/>
      </w:r>
      <w:r w:rsidRPr="00E94067">
        <w:rPr>
          <w:rFonts w:ascii="Times New Roman" w:hAnsi="Times New Roman"/>
        </w:rPr>
        <w:t xml:space="preserve"> </w:t>
      </w:r>
      <w:r w:rsidR="00E94067" w:rsidRPr="00E94067">
        <w:rPr>
          <w:rFonts w:ascii="Times New Roman" w:hAnsi="Times New Roman"/>
        </w:rPr>
        <w:tab/>
      </w:r>
      <w:r w:rsidRPr="00E94067">
        <w:rPr>
          <w:rFonts w:ascii="Times New Roman" w:eastAsia="Times New Roman" w:hAnsi="Times New Roman"/>
          <w:color w:val="000000"/>
        </w:rPr>
        <w:t xml:space="preserve">EU-funded projects contributing to the implementation of the European Health Data Space: </w:t>
      </w:r>
      <w:r w:rsidR="00E94067" w:rsidRPr="00E94067">
        <w:rPr>
          <w:rFonts w:ascii="Times New Roman" w:eastAsia="Times New Roman" w:hAnsi="Times New Roman"/>
          <w:color w:val="000000"/>
        </w:rPr>
        <w:t>(</w:t>
      </w:r>
      <w:hyperlink r:id="rId15" w:history="1">
        <w:r w:rsidR="00E94067" w:rsidRPr="00E94067">
          <w:rPr>
            <w:rStyle w:val="Hyperlink"/>
            <w:rFonts w:ascii="Times New Roman" w:eastAsia="Times New Roman" w:hAnsi="Times New Roman"/>
          </w:rPr>
          <w:t>https://hadea.ec.europa.eu/news/eu-funded-projects-contributing-implementation-european-health-data-space-2025-03-28_en</w:t>
        </w:r>
      </w:hyperlink>
      <w:r w:rsidR="00E94067" w:rsidRPr="00E94067">
        <w:rPr>
          <w:rFonts w:ascii="Times New Roman" w:hAnsi="Times New Roman"/>
        </w:rPr>
        <w:t>).</w:t>
      </w:r>
    </w:p>
  </w:footnote>
</w:footnotes>
</file>

<file path=word/intelligence2.xml><?xml version="1.0" encoding="utf-8"?>
<int2:intelligence xmlns:int2="http://schemas.microsoft.com/office/intelligence/2020/intelligence" xmlns:oel="http://schemas.microsoft.com/office/2019/extlst">
  <int2:observations>
    <int2:textHash int2:hashCode="IKQpwReEPhtBvn" int2:id="rpuLVU0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5D561"/>
    <w:multiLevelType w:val="hybridMultilevel"/>
    <w:tmpl w:val="5B6A5C5E"/>
    <w:lvl w:ilvl="0" w:tplc="14788096">
      <w:start w:val="1"/>
      <w:numFmt w:val="decimal"/>
      <w:lvlText w:val="%1."/>
      <w:lvlJc w:val="left"/>
      <w:pPr>
        <w:ind w:left="720" w:hanging="360"/>
      </w:pPr>
    </w:lvl>
    <w:lvl w:ilvl="1" w:tplc="5E2C1E48">
      <w:start w:val="1"/>
      <w:numFmt w:val="lowerLetter"/>
      <w:lvlText w:val="%2."/>
      <w:lvlJc w:val="left"/>
      <w:pPr>
        <w:ind w:left="1440" w:hanging="360"/>
      </w:pPr>
    </w:lvl>
    <w:lvl w:ilvl="2" w:tplc="261442C4">
      <w:start w:val="1"/>
      <w:numFmt w:val="lowerRoman"/>
      <w:lvlText w:val="%3."/>
      <w:lvlJc w:val="right"/>
      <w:pPr>
        <w:ind w:left="2160" w:hanging="180"/>
      </w:pPr>
    </w:lvl>
    <w:lvl w:ilvl="3" w:tplc="D4CC2068">
      <w:start w:val="1"/>
      <w:numFmt w:val="decimal"/>
      <w:lvlText w:val="%4."/>
      <w:lvlJc w:val="left"/>
      <w:pPr>
        <w:ind w:left="2880" w:hanging="360"/>
      </w:pPr>
    </w:lvl>
    <w:lvl w:ilvl="4" w:tplc="C174F93C">
      <w:start w:val="1"/>
      <w:numFmt w:val="lowerLetter"/>
      <w:lvlText w:val="%5."/>
      <w:lvlJc w:val="left"/>
      <w:pPr>
        <w:ind w:left="3600" w:hanging="360"/>
      </w:pPr>
    </w:lvl>
    <w:lvl w:ilvl="5" w:tplc="FFB437FA">
      <w:start w:val="1"/>
      <w:numFmt w:val="lowerRoman"/>
      <w:lvlText w:val="%6."/>
      <w:lvlJc w:val="right"/>
      <w:pPr>
        <w:ind w:left="4320" w:hanging="180"/>
      </w:pPr>
    </w:lvl>
    <w:lvl w:ilvl="6" w:tplc="C840F846">
      <w:start w:val="1"/>
      <w:numFmt w:val="decimal"/>
      <w:lvlText w:val="%7."/>
      <w:lvlJc w:val="left"/>
      <w:pPr>
        <w:ind w:left="5040" w:hanging="360"/>
      </w:pPr>
    </w:lvl>
    <w:lvl w:ilvl="7" w:tplc="3E883DD4">
      <w:start w:val="1"/>
      <w:numFmt w:val="lowerLetter"/>
      <w:lvlText w:val="%8."/>
      <w:lvlJc w:val="left"/>
      <w:pPr>
        <w:ind w:left="5760" w:hanging="360"/>
      </w:pPr>
    </w:lvl>
    <w:lvl w:ilvl="8" w:tplc="6FAED392">
      <w:start w:val="1"/>
      <w:numFmt w:val="lowerRoman"/>
      <w:lvlText w:val="%9."/>
      <w:lvlJc w:val="right"/>
      <w:pPr>
        <w:ind w:left="6480" w:hanging="180"/>
      </w:pPr>
    </w:lvl>
  </w:abstractNum>
  <w:abstractNum w:abstractNumId="1" w15:restartNumberingAfterBreak="0">
    <w:nsid w:val="768ADD36"/>
    <w:multiLevelType w:val="hybridMultilevel"/>
    <w:tmpl w:val="7DA0F5BC"/>
    <w:lvl w:ilvl="0" w:tplc="D21ABAD8">
      <w:start w:val="1"/>
      <w:numFmt w:val="decimal"/>
      <w:lvlText w:val="%1."/>
      <w:lvlJc w:val="left"/>
      <w:pPr>
        <w:ind w:left="720" w:hanging="360"/>
      </w:pPr>
    </w:lvl>
    <w:lvl w:ilvl="1" w:tplc="9708771A">
      <w:start w:val="1"/>
      <w:numFmt w:val="lowerLetter"/>
      <w:lvlText w:val="%2."/>
      <w:lvlJc w:val="left"/>
      <w:pPr>
        <w:ind w:left="1440" w:hanging="360"/>
      </w:pPr>
    </w:lvl>
    <w:lvl w:ilvl="2" w:tplc="C0DC37D0">
      <w:start w:val="1"/>
      <w:numFmt w:val="lowerRoman"/>
      <w:lvlText w:val="%3."/>
      <w:lvlJc w:val="right"/>
      <w:pPr>
        <w:ind w:left="2160" w:hanging="180"/>
      </w:pPr>
    </w:lvl>
    <w:lvl w:ilvl="3" w:tplc="A81E279C">
      <w:start w:val="1"/>
      <w:numFmt w:val="decimal"/>
      <w:lvlText w:val="%4."/>
      <w:lvlJc w:val="left"/>
      <w:pPr>
        <w:ind w:left="2880" w:hanging="360"/>
      </w:pPr>
    </w:lvl>
    <w:lvl w:ilvl="4" w:tplc="F5B01E48">
      <w:start w:val="1"/>
      <w:numFmt w:val="lowerLetter"/>
      <w:lvlText w:val="%5."/>
      <w:lvlJc w:val="left"/>
      <w:pPr>
        <w:ind w:left="3600" w:hanging="360"/>
      </w:pPr>
    </w:lvl>
    <w:lvl w:ilvl="5" w:tplc="F61AF096">
      <w:start w:val="1"/>
      <w:numFmt w:val="lowerRoman"/>
      <w:lvlText w:val="%6."/>
      <w:lvlJc w:val="right"/>
      <w:pPr>
        <w:ind w:left="4320" w:hanging="180"/>
      </w:pPr>
    </w:lvl>
    <w:lvl w:ilvl="6" w:tplc="363E5D9C">
      <w:start w:val="1"/>
      <w:numFmt w:val="decimal"/>
      <w:lvlText w:val="%7."/>
      <w:lvlJc w:val="left"/>
      <w:pPr>
        <w:ind w:left="5040" w:hanging="360"/>
      </w:pPr>
    </w:lvl>
    <w:lvl w:ilvl="7" w:tplc="B4E422D0">
      <w:start w:val="1"/>
      <w:numFmt w:val="lowerLetter"/>
      <w:lvlText w:val="%8."/>
      <w:lvlJc w:val="left"/>
      <w:pPr>
        <w:ind w:left="5760" w:hanging="360"/>
      </w:pPr>
    </w:lvl>
    <w:lvl w:ilvl="8" w:tplc="013EDE88">
      <w:start w:val="1"/>
      <w:numFmt w:val="lowerRoman"/>
      <w:lvlText w:val="%9."/>
      <w:lvlJc w:val="right"/>
      <w:pPr>
        <w:ind w:left="6480" w:hanging="180"/>
      </w:pPr>
    </w:lvl>
  </w:abstractNum>
  <w:num w:numId="1" w16cid:durableId="2144617782">
    <w:abstractNumId w:val="1"/>
  </w:num>
  <w:num w:numId="2" w16cid:durableId="22329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7AC6"/>
    <w:rsid w:val="000114B0"/>
    <w:rsid w:val="00011727"/>
    <w:rsid w:val="00012A37"/>
    <w:rsid w:val="000165C0"/>
    <w:rsid w:val="00016937"/>
    <w:rsid w:val="00046B15"/>
    <w:rsid w:val="00050DC7"/>
    <w:rsid w:val="00067E44"/>
    <w:rsid w:val="00076109"/>
    <w:rsid w:val="00077C4F"/>
    <w:rsid w:val="000902D0"/>
    <w:rsid w:val="000910B2"/>
    <w:rsid w:val="000964F4"/>
    <w:rsid w:val="000A3141"/>
    <w:rsid w:val="000B66D5"/>
    <w:rsid w:val="000C2E8D"/>
    <w:rsid w:val="000C7986"/>
    <w:rsid w:val="000D16B5"/>
    <w:rsid w:val="000D5685"/>
    <w:rsid w:val="000F2583"/>
    <w:rsid w:val="000F5FD8"/>
    <w:rsid w:val="001167C0"/>
    <w:rsid w:val="00125AE9"/>
    <w:rsid w:val="00135C2A"/>
    <w:rsid w:val="00157946"/>
    <w:rsid w:val="0016433F"/>
    <w:rsid w:val="00164D96"/>
    <w:rsid w:val="001662D8"/>
    <w:rsid w:val="00166D08"/>
    <w:rsid w:val="001746FB"/>
    <w:rsid w:val="00177F5B"/>
    <w:rsid w:val="00181E2C"/>
    <w:rsid w:val="00182AE4"/>
    <w:rsid w:val="001A3C84"/>
    <w:rsid w:val="001A4650"/>
    <w:rsid w:val="001B0E0B"/>
    <w:rsid w:val="001B2747"/>
    <w:rsid w:val="001B4AD6"/>
    <w:rsid w:val="001C4138"/>
    <w:rsid w:val="001C697D"/>
    <w:rsid w:val="001D2CDB"/>
    <w:rsid w:val="001D33F8"/>
    <w:rsid w:val="001D66B2"/>
    <w:rsid w:val="001E561D"/>
    <w:rsid w:val="001E6E78"/>
    <w:rsid w:val="001F2EC6"/>
    <w:rsid w:val="001F4D4F"/>
    <w:rsid w:val="001F65D0"/>
    <w:rsid w:val="00212137"/>
    <w:rsid w:val="00217777"/>
    <w:rsid w:val="00217E59"/>
    <w:rsid w:val="00220F04"/>
    <w:rsid w:val="002323BC"/>
    <w:rsid w:val="00260161"/>
    <w:rsid w:val="00271729"/>
    <w:rsid w:val="00272F1B"/>
    <w:rsid w:val="00290EF8"/>
    <w:rsid w:val="002B056D"/>
    <w:rsid w:val="002B0DCB"/>
    <w:rsid w:val="002B10FD"/>
    <w:rsid w:val="002B2424"/>
    <w:rsid w:val="002C4111"/>
    <w:rsid w:val="002C668E"/>
    <w:rsid w:val="002D754C"/>
    <w:rsid w:val="002E05CF"/>
    <w:rsid w:val="002E19C3"/>
    <w:rsid w:val="002E1EA1"/>
    <w:rsid w:val="002F03FA"/>
    <w:rsid w:val="003004D2"/>
    <w:rsid w:val="00310C99"/>
    <w:rsid w:val="00317F11"/>
    <w:rsid w:val="00322739"/>
    <w:rsid w:val="00333287"/>
    <w:rsid w:val="003349A3"/>
    <w:rsid w:val="00336578"/>
    <w:rsid w:val="00367DB2"/>
    <w:rsid w:val="00377967"/>
    <w:rsid w:val="00381391"/>
    <w:rsid w:val="00386143"/>
    <w:rsid w:val="00393BE1"/>
    <w:rsid w:val="003A2290"/>
    <w:rsid w:val="003A3BE5"/>
    <w:rsid w:val="003B58DC"/>
    <w:rsid w:val="003C4C03"/>
    <w:rsid w:val="003D55E9"/>
    <w:rsid w:val="003E0BAA"/>
    <w:rsid w:val="003E6122"/>
    <w:rsid w:val="003E7575"/>
    <w:rsid w:val="003F2377"/>
    <w:rsid w:val="003F686E"/>
    <w:rsid w:val="00406B9C"/>
    <w:rsid w:val="0042473B"/>
    <w:rsid w:val="00432F09"/>
    <w:rsid w:val="00434B6A"/>
    <w:rsid w:val="00442552"/>
    <w:rsid w:val="00442B26"/>
    <w:rsid w:val="00445E6E"/>
    <w:rsid w:val="00455A1C"/>
    <w:rsid w:val="00457C08"/>
    <w:rsid w:val="004675B5"/>
    <w:rsid w:val="004737E8"/>
    <w:rsid w:val="004770D6"/>
    <w:rsid w:val="00477EF9"/>
    <w:rsid w:val="00483F9F"/>
    <w:rsid w:val="0048565D"/>
    <w:rsid w:val="00485687"/>
    <w:rsid w:val="00487538"/>
    <w:rsid w:val="00489392"/>
    <w:rsid w:val="0049246C"/>
    <w:rsid w:val="004963BA"/>
    <w:rsid w:val="004A216F"/>
    <w:rsid w:val="004B1D8C"/>
    <w:rsid w:val="004B4B6A"/>
    <w:rsid w:val="004C31F3"/>
    <w:rsid w:val="004D2F50"/>
    <w:rsid w:val="004F6117"/>
    <w:rsid w:val="004F63F1"/>
    <w:rsid w:val="004F651E"/>
    <w:rsid w:val="0050313A"/>
    <w:rsid w:val="0050477F"/>
    <w:rsid w:val="0052596B"/>
    <w:rsid w:val="0052676A"/>
    <w:rsid w:val="005544F7"/>
    <w:rsid w:val="00554D8D"/>
    <w:rsid w:val="00556582"/>
    <w:rsid w:val="0055702C"/>
    <w:rsid w:val="00562EC6"/>
    <w:rsid w:val="00573835"/>
    <w:rsid w:val="00576942"/>
    <w:rsid w:val="0058126C"/>
    <w:rsid w:val="00581306"/>
    <w:rsid w:val="00594FD8"/>
    <w:rsid w:val="00595F2D"/>
    <w:rsid w:val="005970E2"/>
    <w:rsid w:val="005A17D4"/>
    <w:rsid w:val="005B0329"/>
    <w:rsid w:val="005C26B6"/>
    <w:rsid w:val="005C3105"/>
    <w:rsid w:val="005C5836"/>
    <w:rsid w:val="005C6724"/>
    <w:rsid w:val="005E5B0E"/>
    <w:rsid w:val="005E69B9"/>
    <w:rsid w:val="005F41C6"/>
    <w:rsid w:val="005F45F5"/>
    <w:rsid w:val="005F7D59"/>
    <w:rsid w:val="00610E7D"/>
    <w:rsid w:val="0062727E"/>
    <w:rsid w:val="0063643B"/>
    <w:rsid w:val="0064279D"/>
    <w:rsid w:val="00673EF3"/>
    <w:rsid w:val="0068570E"/>
    <w:rsid w:val="00692C2F"/>
    <w:rsid w:val="00695797"/>
    <w:rsid w:val="00696A5E"/>
    <w:rsid w:val="006A5E9F"/>
    <w:rsid w:val="006B0D42"/>
    <w:rsid w:val="006B1057"/>
    <w:rsid w:val="006B3B69"/>
    <w:rsid w:val="006B7EBF"/>
    <w:rsid w:val="006C49E1"/>
    <w:rsid w:val="006D1353"/>
    <w:rsid w:val="006D4634"/>
    <w:rsid w:val="006D79FA"/>
    <w:rsid w:val="006E3ADB"/>
    <w:rsid w:val="006E404B"/>
    <w:rsid w:val="006F1E13"/>
    <w:rsid w:val="006F1F70"/>
    <w:rsid w:val="00700663"/>
    <w:rsid w:val="0070218E"/>
    <w:rsid w:val="00711A33"/>
    <w:rsid w:val="00711E54"/>
    <w:rsid w:val="00734613"/>
    <w:rsid w:val="00751910"/>
    <w:rsid w:val="00751E60"/>
    <w:rsid w:val="007547B5"/>
    <w:rsid w:val="00760B8F"/>
    <w:rsid w:val="00762032"/>
    <w:rsid w:val="00762F04"/>
    <w:rsid w:val="00763856"/>
    <w:rsid w:val="007729B8"/>
    <w:rsid w:val="007775C6"/>
    <w:rsid w:val="00790443"/>
    <w:rsid w:val="00795A9E"/>
    <w:rsid w:val="007A606D"/>
    <w:rsid w:val="007B0A18"/>
    <w:rsid w:val="007B4D39"/>
    <w:rsid w:val="007C2214"/>
    <w:rsid w:val="007D08BB"/>
    <w:rsid w:val="007D138D"/>
    <w:rsid w:val="007D1F2D"/>
    <w:rsid w:val="007E3409"/>
    <w:rsid w:val="007E6B6E"/>
    <w:rsid w:val="00802881"/>
    <w:rsid w:val="00807B48"/>
    <w:rsid w:val="0081000D"/>
    <w:rsid w:val="008135CA"/>
    <w:rsid w:val="00814725"/>
    <w:rsid w:val="0081584F"/>
    <w:rsid w:val="0082046B"/>
    <w:rsid w:val="0082235D"/>
    <w:rsid w:val="008406F3"/>
    <w:rsid w:val="008424DA"/>
    <w:rsid w:val="008429AA"/>
    <w:rsid w:val="00842A6A"/>
    <w:rsid w:val="00843F4E"/>
    <w:rsid w:val="00854857"/>
    <w:rsid w:val="008637C4"/>
    <w:rsid w:val="008703BF"/>
    <w:rsid w:val="00880836"/>
    <w:rsid w:val="008925CE"/>
    <w:rsid w:val="00894BF6"/>
    <w:rsid w:val="00894FBA"/>
    <w:rsid w:val="0089543F"/>
    <w:rsid w:val="008A3AC6"/>
    <w:rsid w:val="008C4D41"/>
    <w:rsid w:val="008C6176"/>
    <w:rsid w:val="008D1E3E"/>
    <w:rsid w:val="008D2A8A"/>
    <w:rsid w:val="008D3CE0"/>
    <w:rsid w:val="00917E0E"/>
    <w:rsid w:val="009207B0"/>
    <w:rsid w:val="00921FBE"/>
    <w:rsid w:val="009306E6"/>
    <w:rsid w:val="00944EB9"/>
    <w:rsid w:val="00955AE6"/>
    <w:rsid w:val="009724C8"/>
    <w:rsid w:val="00974FBB"/>
    <w:rsid w:val="009753EB"/>
    <w:rsid w:val="0097791F"/>
    <w:rsid w:val="00980BE5"/>
    <w:rsid w:val="00981F45"/>
    <w:rsid w:val="009848A3"/>
    <w:rsid w:val="0098493D"/>
    <w:rsid w:val="00984DD1"/>
    <w:rsid w:val="009900F9"/>
    <w:rsid w:val="00994D12"/>
    <w:rsid w:val="00997F56"/>
    <w:rsid w:val="009A2DF2"/>
    <w:rsid w:val="009A6DC1"/>
    <w:rsid w:val="009A77D5"/>
    <w:rsid w:val="009B128B"/>
    <w:rsid w:val="009B1D85"/>
    <w:rsid w:val="009B387D"/>
    <w:rsid w:val="009C22C9"/>
    <w:rsid w:val="009C4E9A"/>
    <w:rsid w:val="009C5B9A"/>
    <w:rsid w:val="009D66BF"/>
    <w:rsid w:val="009F17EC"/>
    <w:rsid w:val="009F1978"/>
    <w:rsid w:val="00A10563"/>
    <w:rsid w:val="00A16F07"/>
    <w:rsid w:val="00A2249C"/>
    <w:rsid w:val="00A34489"/>
    <w:rsid w:val="00A416AB"/>
    <w:rsid w:val="00A437B5"/>
    <w:rsid w:val="00A54E43"/>
    <w:rsid w:val="00A62C7B"/>
    <w:rsid w:val="00A62D89"/>
    <w:rsid w:val="00A70D5D"/>
    <w:rsid w:val="00A70DAB"/>
    <w:rsid w:val="00A70EDF"/>
    <w:rsid w:val="00A767FE"/>
    <w:rsid w:val="00A7709A"/>
    <w:rsid w:val="00A85F58"/>
    <w:rsid w:val="00A91AC7"/>
    <w:rsid w:val="00AA1DD3"/>
    <w:rsid w:val="00AA45B1"/>
    <w:rsid w:val="00AB00CD"/>
    <w:rsid w:val="00AB7995"/>
    <w:rsid w:val="00AC4900"/>
    <w:rsid w:val="00AC508C"/>
    <w:rsid w:val="00AD0765"/>
    <w:rsid w:val="00AD6778"/>
    <w:rsid w:val="00AE1842"/>
    <w:rsid w:val="00AE3C7C"/>
    <w:rsid w:val="00AE5214"/>
    <w:rsid w:val="00AF2D08"/>
    <w:rsid w:val="00AF36E9"/>
    <w:rsid w:val="00B04E35"/>
    <w:rsid w:val="00B11064"/>
    <w:rsid w:val="00B2208D"/>
    <w:rsid w:val="00B2467F"/>
    <w:rsid w:val="00B26194"/>
    <w:rsid w:val="00B30970"/>
    <w:rsid w:val="00B31306"/>
    <w:rsid w:val="00B32241"/>
    <w:rsid w:val="00B35A5F"/>
    <w:rsid w:val="00B3708F"/>
    <w:rsid w:val="00B40F46"/>
    <w:rsid w:val="00B42814"/>
    <w:rsid w:val="00B609CF"/>
    <w:rsid w:val="00B779F1"/>
    <w:rsid w:val="00B83936"/>
    <w:rsid w:val="00B8664E"/>
    <w:rsid w:val="00B97E0B"/>
    <w:rsid w:val="00BA5FAC"/>
    <w:rsid w:val="00BB0367"/>
    <w:rsid w:val="00BC0DFB"/>
    <w:rsid w:val="00BD027B"/>
    <w:rsid w:val="00BD6EB7"/>
    <w:rsid w:val="00BE1FF2"/>
    <w:rsid w:val="00BF0EC5"/>
    <w:rsid w:val="00BF1998"/>
    <w:rsid w:val="00C01F90"/>
    <w:rsid w:val="00C077C8"/>
    <w:rsid w:val="00C12099"/>
    <w:rsid w:val="00C15228"/>
    <w:rsid w:val="00C235B6"/>
    <w:rsid w:val="00C350D6"/>
    <w:rsid w:val="00C476BC"/>
    <w:rsid w:val="00C52877"/>
    <w:rsid w:val="00C54D27"/>
    <w:rsid w:val="00C62663"/>
    <w:rsid w:val="00C73A4F"/>
    <w:rsid w:val="00C76EEB"/>
    <w:rsid w:val="00C778A7"/>
    <w:rsid w:val="00C81D7E"/>
    <w:rsid w:val="00C91622"/>
    <w:rsid w:val="00CA10A5"/>
    <w:rsid w:val="00CB1144"/>
    <w:rsid w:val="00CB1DF4"/>
    <w:rsid w:val="00CE030E"/>
    <w:rsid w:val="00CE3023"/>
    <w:rsid w:val="00D00733"/>
    <w:rsid w:val="00D01F5A"/>
    <w:rsid w:val="00D02019"/>
    <w:rsid w:val="00D12BE6"/>
    <w:rsid w:val="00D14794"/>
    <w:rsid w:val="00D1716E"/>
    <w:rsid w:val="00D22BC5"/>
    <w:rsid w:val="00D466AC"/>
    <w:rsid w:val="00D64E05"/>
    <w:rsid w:val="00D73B5B"/>
    <w:rsid w:val="00D812D4"/>
    <w:rsid w:val="00D90244"/>
    <w:rsid w:val="00D92FD3"/>
    <w:rsid w:val="00DA1312"/>
    <w:rsid w:val="00DA3B6E"/>
    <w:rsid w:val="00DA74A0"/>
    <w:rsid w:val="00DA7E84"/>
    <w:rsid w:val="00DB2454"/>
    <w:rsid w:val="00DB6088"/>
    <w:rsid w:val="00DB7581"/>
    <w:rsid w:val="00DC1232"/>
    <w:rsid w:val="00DC70C1"/>
    <w:rsid w:val="00DC71E5"/>
    <w:rsid w:val="00DD079B"/>
    <w:rsid w:val="00DD0B9B"/>
    <w:rsid w:val="00DE1CB4"/>
    <w:rsid w:val="00DE4B99"/>
    <w:rsid w:val="00DF1A74"/>
    <w:rsid w:val="00E04A78"/>
    <w:rsid w:val="00E10C80"/>
    <w:rsid w:val="00E13729"/>
    <w:rsid w:val="00E270D9"/>
    <w:rsid w:val="00E33A73"/>
    <w:rsid w:val="00E40873"/>
    <w:rsid w:val="00E44FDE"/>
    <w:rsid w:val="00E4682F"/>
    <w:rsid w:val="00E55904"/>
    <w:rsid w:val="00E57FF2"/>
    <w:rsid w:val="00E619B0"/>
    <w:rsid w:val="00E64070"/>
    <w:rsid w:val="00E741C7"/>
    <w:rsid w:val="00E76CB6"/>
    <w:rsid w:val="00E83C12"/>
    <w:rsid w:val="00E87F7E"/>
    <w:rsid w:val="00E90298"/>
    <w:rsid w:val="00E904C8"/>
    <w:rsid w:val="00E92CB6"/>
    <w:rsid w:val="00E94067"/>
    <w:rsid w:val="00EA1BBF"/>
    <w:rsid w:val="00EB29A9"/>
    <w:rsid w:val="00EB31FB"/>
    <w:rsid w:val="00EB5B11"/>
    <w:rsid w:val="00EB77D2"/>
    <w:rsid w:val="00EC0816"/>
    <w:rsid w:val="00EC64D9"/>
    <w:rsid w:val="00EE6C4E"/>
    <w:rsid w:val="00EF6EEB"/>
    <w:rsid w:val="00F06C02"/>
    <w:rsid w:val="00F212D9"/>
    <w:rsid w:val="00F24E98"/>
    <w:rsid w:val="00F26686"/>
    <w:rsid w:val="00F26D0B"/>
    <w:rsid w:val="00F30FD1"/>
    <w:rsid w:val="00F3167E"/>
    <w:rsid w:val="00F316C8"/>
    <w:rsid w:val="00F34A2E"/>
    <w:rsid w:val="00F350AD"/>
    <w:rsid w:val="00F351DA"/>
    <w:rsid w:val="00F35D85"/>
    <w:rsid w:val="00F46D79"/>
    <w:rsid w:val="00F632DE"/>
    <w:rsid w:val="00F67D77"/>
    <w:rsid w:val="00F735E4"/>
    <w:rsid w:val="00FA270F"/>
    <w:rsid w:val="00FB31C3"/>
    <w:rsid w:val="00FB3835"/>
    <w:rsid w:val="00FB6E99"/>
    <w:rsid w:val="00FB7834"/>
    <w:rsid w:val="00FD4B6A"/>
    <w:rsid w:val="00FE361A"/>
    <w:rsid w:val="00FF03A8"/>
    <w:rsid w:val="00FF63EA"/>
    <w:rsid w:val="01F77CEF"/>
    <w:rsid w:val="02B5BCDA"/>
    <w:rsid w:val="02EAA34F"/>
    <w:rsid w:val="036ACD00"/>
    <w:rsid w:val="03978EA4"/>
    <w:rsid w:val="03AD4B86"/>
    <w:rsid w:val="03BF228E"/>
    <w:rsid w:val="042A6B41"/>
    <w:rsid w:val="043D1707"/>
    <w:rsid w:val="04A43ED3"/>
    <w:rsid w:val="04C6A68E"/>
    <w:rsid w:val="051F4A8B"/>
    <w:rsid w:val="060855E8"/>
    <w:rsid w:val="060AC922"/>
    <w:rsid w:val="06414767"/>
    <w:rsid w:val="07086187"/>
    <w:rsid w:val="0714422F"/>
    <w:rsid w:val="075712D0"/>
    <w:rsid w:val="075E2143"/>
    <w:rsid w:val="07899954"/>
    <w:rsid w:val="07C1EC00"/>
    <w:rsid w:val="0835A186"/>
    <w:rsid w:val="08581B4E"/>
    <w:rsid w:val="08B245B5"/>
    <w:rsid w:val="08DC1499"/>
    <w:rsid w:val="093523A8"/>
    <w:rsid w:val="09379277"/>
    <w:rsid w:val="0947C084"/>
    <w:rsid w:val="0A084EAE"/>
    <w:rsid w:val="0B7D2CFF"/>
    <w:rsid w:val="0BAC322C"/>
    <w:rsid w:val="0C0CF546"/>
    <w:rsid w:val="0C9B3F2E"/>
    <w:rsid w:val="0CFCDD26"/>
    <w:rsid w:val="0D8CFBF2"/>
    <w:rsid w:val="0DC8E7A7"/>
    <w:rsid w:val="0E8F4FB7"/>
    <w:rsid w:val="0EA7AC41"/>
    <w:rsid w:val="0FEB2329"/>
    <w:rsid w:val="1017659F"/>
    <w:rsid w:val="10343CF3"/>
    <w:rsid w:val="10ABDE49"/>
    <w:rsid w:val="10BDDA2B"/>
    <w:rsid w:val="1128E3DA"/>
    <w:rsid w:val="119BB906"/>
    <w:rsid w:val="11C4C1F9"/>
    <w:rsid w:val="1246A8D6"/>
    <w:rsid w:val="127D3C00"/>
    <w:rsid w:val="13AF83B5"/>
    <w:rsid w:val="14534663"/>
    <w:rsid w:val="14AFF156"/>
    <w:rsid w:val="14DA7650"/>
    <w:rsid w:val="14F57E41"/>
    <w:rsid w:val="1505CF21"/>
    <w:rsid w:val="159F2DB0"/>
    <w:rsid w:val="1601538E"/>
    <w:rsid w:val="16178298"/>
    <w:rsid w:val="16AD7FA3"/>
    <w:rsid w:val="16D77040"/>
    <w:rsid w:val="16DFEE18"/>
    <w:rsid w:val="1775E739"/>
    <w:rsid w:val="17B95069"/>
    <w:rsid w:val="17EFF0C1"/>
    <w:rsid w:val="1810079C"/>
    <w:rsid w:val="1812BB2D"/>
    <w:rsid w:val="18599688"/>
    <w:rsid w:val="187765DB"/>
    <w:rsid w:val="1933E541"/>
    <w:rsid w:val="195CE2F9"/>
    <w:rsid w:val="1994F722"/>
    <w:rsid w:val="199594CE"/>
    <w:rsid w:val="19C4E4E4"/>
    <w:rsid w:val="19C983AF"/>
    <w:rsid w:val="1A80B5D6"/>
    <w:rsid w:val="1AEF9346"/>
    <w:rsid w:val="1B348811"/>
    <w:rsid w:val="1BC749E2"/>
    <w:rsid w:val="1BC8FD14"/>
    <w:rsid w:val="1BE4485B"/>
    <w:rsid w:val="1C048CFF"/>
    <w:rsid w:val="1C13841C"/>
    <w:rsid w:val="1C457525"/>
    <w:rsid w:val="1C469A6B"/>
    <w:rsid w:val="1D193341"/>
    <w:rsid w:val="1DA3D46F"/>
    <w:rsid w:val="1DD34580"/>
    <w:rsid w:val="1DF2BC3D"/>
    <w:rsid w:val="1E2A28A0"/>
    <w:rsid w:val="1E79F3E9"/>
    <w:rsid w:val="1FA55EEC"/>
    <w:rsid w:val="1FF09187"/>
    <w:rsid w:val="20038AA4"/>
    <w:rsid w:val="2086EC16"/>
    <w:rsid w:val="208EAC33"/>
    <w:rsid w:val="20CE8C9C"/>
    <w:rsid w:val="20D61172"/>
    <w:rsid w:val="210BC5EA"/>
    <w:rsid w:val="21484BA5"/>
    <w:rsid w:val="219AF8D5"/>
    <w:rsid w:val="21E13924"/>
    <w:rsid w:val="21F035A2"/>
    <w:rsid w:val="232E4726"/>
    <w:rsid w:val="235939C9"/>
    <w:rsid w:val="241F1685"/>
    <w:rsid w:val="246C9D86"/>
    <w:rsid w:val="2518530A"/>
    <w:rsid w:val="25510C92"/>
    <w:rsid w:val="25A22DA8"/>
    <w:rsid w:val="26583AE1"/>
    <w:rsid w:val="27A7B87F"/>
    <w:rsid w:val="28495972"/>
    <w:rsid w:val="289509E9"/>
    <w:rsid w:val="28B1BF44"/>
    <w:rsid w:val="28E9A8D0"/>
    <w:rsid w:val="294D8600"/>
    <w:rsid w:val="29E95831"/>
    <w:rsid w:val="2A0F29FA"/>
    <w:rsid w:val="2A5DD2AF"/>
    <w:rsid w:val="2B2D5754"/>
    <w:rsid w:val="2B432B0D"/>
    <w:rsid w:val="2CB90365"/>
    <w:rsid w:val="2CEBD832"/>
    <w:rsid w:val="2CEF89AC"/>
    <w:rsid w:val="2D4754E0"/>
    <w:rsid w:val="2D94417C"/>
    <w:rsid w:val="2DE6AC2E"/>
    <w:rsid w:val="2DF03B97"/>
    <w:rsid w:val="2E98BE15"/>
    <w:rsid w:val="2E9DFE13"/>
    <w:rsid w:val="2ECA09EF"/>
    <w:rsid w:val="2EDA8123"/>
    <w:rsid w:val="30069BD9"/>
    <w:rsid w:val="3019E5E1"/>
    <w:rsid w:val="30278B29"/>
    <w:rsid w:val="3068FEB9"/>
    <w:rsid w:val="3080AC0D"/>
    <w:rsid w:val="31B0304D"/>
    <w:rsid w:val="31D7DE4D"/>
    <w:rsid w:val="320C5A2C"/>
    <w:rsid w:val="3308EEF4"/>
    <w:rsid w:val="332B7F92"/>
    <w:rsid w:val="336B0B57"/>
    <w:rsid w:val="33B21B59"/>
    <w:rsid w:val="33E2B13D"/>
    <w:rsid w:val="3478F0A2"/>
    <w:rsid w:val="3498EBB3"/>
    <w:rsid w:val="34A1571A"/>
    <w:rsid w:val="34DFB254"/>
    <w:rsid w:val="364BADCC"/>
    <w:rsid w:val="36C4E875"/>
    <w:rsid w:val="36D0EB1F"/>
    <w:rsid w:val="371BFDE4"/>
    <w:rsid w:val="378A2163"/>
    <w:rsid w:val="37A611AA"/>
    <w:rsid w:val="383DF667"/>
    <w:rsid w:val="3909CC2F"/>
    <w:rsid w:val="392EA6D8"/>
    <w:rsid w:val="3963AB20"/>
    <w:rsid w:val="39B171A3"/>
    <w:rsid w:val="39E77176"/>
    <w:rsid w:val="39F7B7AF"/>
    <w:rsid w:val="3A6F4B09"/>
    <w:rsid w:val="3AF2749C"/>
    <w:rsid w:val="3B09A798"/>
    <w:rsid w:val="3B33CE4A"/>
    <w:rsid w:val="3B443F31"/>
    <w:rsid w:val="3B82258D"/>
    <w:rsid w:val="3BEEA4DE"/>
    <w:rsid w:val="3C1B2DB4"/>
    <w:rsid w:val="3C524D2F"/>
    <w:rsid w:val="3C768DEE"/>
    <w:rsid w:val="3CCEF76A"/>
    <w:rsid w:val="3CD7105C"/>
    <w:rsid w:val="3D463F53"/>
    <w:rsid w:val="3D5A5059"/>
    <w:rsid w:val="3DBC621D"/>
    <w:rsid w:val="3DE05224"/>
    <w:rsid w:val="3E00D04F"/>
    <w:rsid w:val="3E46D859"/>
    <w:rsid w:val="3E4A4EAD"/>
    <w:rsid w:val="3E5DC809"/>
    <w:rsid w:val="3E638D12"/>
    <w:rsid w:val="3E874766"/>
    <w:rsid w:val="3ED0F671"/>
    <w:rsid w:val="3EDA454B"/>
    <w:rsid w:val="3F029F36"/>
    <w:rsid w:val="3F3D3EDA"/>
    <w:rsid w:val="3F79FACB"/>
    <w:rsid w:val="4084030C"/>
    <w:rsid w:val="426B0788"/>
    <w:rsid w:val="43111551"/>
    <w:rsid w:val="432AB223"/>
    <w:rsid w:val="43FFD8A0"/>
    <w:rsid w:val="44049CBC"/>
    <w:rsid w:val="443BB7D6"/>
    <w:rsid w:val="44563CAD"/>
    <w:rsid w:val="4521B064"/>
    <w:rsid w:val="459F86B7"/>
    <w:rsid w:val="467D4AE7"/>
    <w:rsid w:val="47089852"/>
    <w:rsid w:val="47D98456"/>
    <w:rsid w:val="47EB37C1"/>
    <w:rsid w:val="4813FAF7"/>
    <w:rsid w:val="48A578B4"/>
    <w:rsid w:val="491B484C"/>
    <w:rsid w:val="495028DB"/>
    <w:rsid w:val="49612F8E"/>
    <w:rsid w:val="4994DFB1"/>
    <w:rsid w:val="499EA073"/>
    <w:rsid w:val="49FFE037"/>
    <w:rsid w:val="4A76D18F"/>
    <w:rsid w:val="4A7CB89C"/>
    <w:rsid w:val="4AABEF91"/>
    <w:rsid w:val="4ACDAB37"/>
    <w:rsid w:val="4C0846D0"/>
    <w:rsid w:val="4C50D409"/>
    <w:rsid w:val="4CC19581"/>
    <w:rsid w:val="4CC55FE9"/>
    <w:rsid w:val="4D03DBC0"/>
    <w:rsid w:val="4D7475C6"/>
    <w:rsid w:val="4D8B1CB4"/>
    <w:rsid w:val="4DBA99DC"/>
    <w:rsid w:val="4E093ADC"/>
    <w:rsid w:val="4E1A1447"/>
    <w:rsid w:val="4EA2BFF6"/>
    <w:rsid w:val="5025057C"/>
    <w:rsid w:val="50718DAB"/>
    <w:rsid w:val="50D863B9"/>
    <w:rsid w:val="51718A00"/>
    <w:rsid w:val="51971757"/>
    <w:rsid w:val="51D2B511"/>
    <w:rsid w:val="52052BEA"/>
    <w:rsid w:val="520C75D2"/>
    <w:rsid w:val="5232BCFF"/>
    <w:rsid w:val="52ABA027"/>
    <w:rsid w:val="52AC9F15"/>
    <w:rsid w:val="5397F5ED"/>
    <w:rsid w:val="53A56843"/>
    <w:rsid w:val="554E6D3A"/>
    <w:rsid w:val="555589FE"/>
    <w:rsid w:val="55F1EAE8"/>
    <w:rsid w:val="5617EBEC"/>
    <w:rsid w:val="5751DABB"/>
    <w:rsid w:val="579DE68D"/>
    <w:rsid w:val="58E8B37C"/>
    <w:rsid w:val="596F7EAE"/>
    <w:rsid w:val="59B3EDCE"/>
    <w:rsid w:val="59E60888"/>
    <w:rsid w:val="5A706D07"/>
    <w:rsid w:val="5AA0A1A8"/>
    <w:rsid w:val="5AE3A037"/>
    <w:rsid w:val="5AE507F2"/>
    <w:rsid w:val="5AED5A12"/>
    <w:rsid w:val="5BC59714"/>
    <w:rsid w:val="5CEB0CCE"/>
    <w:rsid w:val="5D2EFF1C"/>
    <w:rsid w:val="5D56726C"/>
    <w:rsid w:val="5DFCB482"/>
    <w:rsid w:val="5E13841F"/>
    <w:rsid w:val="5E2C7237"/>
    <w:rsid w:val="5E64E663"/>
    <w:rsid w:val="5E89BABB"/>
    <w:rsid w:val="5EEAD324"/>
    <w:rsid w:val="5EF88D08"/>
    <w:rsid w:val="5F30ACB7"/>
    <w:rsid w:val="5F82A765"/>
    <w:rsid w:val="5F876667"/>
    <w:rsid w:val="5F8B9269"/>
    <w:rsid w:val="5FBC4926"/>
    <w:rsid w:val="603F224E"/>
    <w:rsid w:val="604CA887"/>
    <w:rsid w:val="6064BE75"/>
    <w:rsid w:val="60D740C3"/>
    <w:rsid w:val="611D9D29"/>
    <w:rsid w:val="617D694B"/>
    <w:rsid w:val="61B55BEA"/>
    <w:rsid w:val="61CD8083"/>
    <w:rsid w:val="61E62A06"/>
    <w:rsid w:val="62239702"/>
    <w:rsid w:val="6274CA7B"/>
    <w:rsid w:val="629673C4"/>
    <w:rsid w:val="630D30AF"/>
    <w:rsid w:val="6342014D"/>
    <w:rsid w:val="63AAB1A2"/>
    <w:rsid w:val="6449D47F"/>
    <w:rsid w:val="64F7D94E"/>
    <w:rsid w:val="65819F31"/>
    <w:rsid w:val="661C40B3"/>
    <w:rsid w:val="661CAD7D"/>
    <w:rsid w:val="6631D0E9"/>
    <w:rsid w:val="665013F5"/>
    <w:rsid w:val="667F07A1"/>
    <w:rsid w:val="668A046D"/>
    <w:rsid w:val="668EBCEF"/>
    <w:rsid w:val="66B74A31"/>
    <w:rsid w:val="66CB07D8"/>
    <w:rsid w:val="66DD253F"/>
    <w:rsid w:val="6749FD05"/>
    <w:rsid w:val="67638F79"/>
    <w:rsid w:val="677B8C01"/>
    <w:rsid w:val="677D71A8"/>
    <w:rsid w:val="67B0F8C1"/>
    <w:rsid w:val="67E09C16"/>
    <w:rsid w:val="6888CA79"/>
    <w:rsid w:val="68D08C35"/>
    <w:rsid w:val="68F7D6E7"/>
    <w:rsid w:val="695EEDBD"/>
    <w:rsid w:val="69BBA72D"/>
    <w:rsid w:val="6A1F7EE9"/>
    <w:rsid w:val="6A241752"/>
    <w:rsid w:val="6A43F447"/>
    <w:rsid w:val="6A87A82F"/>
    <w:rsid w:val="6ACED7DE"/>
    <w:rsid w:val="6C09E22E"/>
    <w:rsid w:val="6C44398C"/>
    <w:rsid w:val="6C4B5206"/>
    <w:rsid w:val="6C7AF23A"/>
    <w:rsid w:val="6CDEFEBF"/>
    <w:rsid w:val="6D93BF13"/>
    <w:rsid w:val="6E1AAA9D"/>
    <w:rsid w:val="6E2DE356"/>
    <w:rsid w:val="6E413173"/>
    <w:rsid w:val="6E779421"/>
    <w:rsid w:val="6E7EE51C"/>
    <w:rsid w:val="6EA479F7"/>
    <w:rsid w:val="6EA605E9"/>
    <w:rsid w:val="6F8CA47F"/>
    <w:rsid w:val="6F9F3399"/>
    <w:rsid w:val="7067A508"/>
    <w:rsid w:val="707B3C53"/>
    <w:rsid w:val="711BC5A1"/>
    <w:rsid w:val="716CB3B7"/>
    <w:rsid w:val="71D88E61"/>
    <w:rsid w:val="724898D4"/>
    <w:rsid w:val="727B4BE4"/>
    <w:rsid w:val="7377CF24"/>
    <w:rsid w:val="7404BB44"/>
    <w:rsid w:val="7474664A"/>
    <w:rsid w:val="7483D520"/>
    <w:rsid w:val="74C6E378"/>
    <w:rsid w:val="759F6540"/>
    <w:rsid w:val="7633A253"/>
    <w:rsid w:val="76871C47"/>
    <w:rsid w:val="76A33C61"/>
    <w:rsid w:val="76A8611B"/>
    <w:rsid w:val="76C4B3D4"/>
    <w:rsid w:val="7796875A"/>
    <w:rsid w:val="77DDD0F1"/>
    <w:rsid w:val="77FA77E7"/>
    <w:rsid w:val="77FF7E15"/>
    <w:rsid w:val="782610E3"/>
    <w:rsid w:val="7910D521"/>
    <w:rsid w:val="7975BF00"/>
    <w:rsid w:val="79884A33"/>
    <w:rsid w:val="7A086DCB"/>
    <w:rsid w:val="7A150186"/>
    <w:rsid w:val="7ABC145E"/>
    <w:rsid w:val="7B4A837C"/>
    <w:rsid w:val="7C11E624"/>
    <w:rsid w:val="7C47FB52"/>
    <w:rsid w:val="7C932AB5"/>
    <w:rsid w:val="7CB08064"/>
    <w:rsid w:val="7D49B52F"/>
    <w:rsid w:val="7E11E608"/>
    <w:rsid w:val="7E7DDD32"/>
    <w:rsid w:val="7ED72989"/>
    <w:rsid w:val="7EDE7C19"/>
    <w:rsid w:val="7F243E80"/>
    <w:rsid w:val="7FBB7A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87B585-A021-42E0-8C10-02842626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068FEB9"/>
    <w:pPr>
      <w:ind w:left="720"/>
      <w:contextualSpacing/>
    </w:pPr>
  </w:style>
  <w:style w:type="paragraph" w:styleId="Header">
    <w:name w:val="header"/>
    <w:basedOn w:val="Normal"/>
    <w:link w:val="HeaderChar"/>
    <w:uiPriority w:val="99"/>
    <w:semiHidden/>
    <w:unhideWhenUsed/>
    <w:rsid w:val="009306E6"/>
    <w:pPr>
      <w:tabs>
        <w:tab w:val="center" w:pos="4513"/>
        <w:tab w:val="right" w:pos="9026"/>
      </w:tabs>
    </w:pPr>
  </w:style>
  <w:style w:type="character" w:customStyle="1" w:styleId="HeaderChar">
    <w:name w:val="Header Char"/>
    <w:link w:val="Header"/>
    <w:uiPriority w:val="99"/>
    <w:semiHidden/>
    <w:rsid w:val="009306E6"/>
    <w:rPr>
      <w:sz w:val="22"/>
      <w:szCs w:val="22"/>
      <w:lang w:eastAsia="en-US"/>
    </w:rPr>
  </w:style>
  <w:style w:type="paragraph" w:styleId="Footer">
    <w:name w:val="footer"/>
    <w:basedOn w:val="Normal"/>
    <w:link w:val="FooterChar"/>
    <w:uiPriority w:val="99"/>
    <w:semiHidden/>
    <w:unhideWhenUsed/>
    <w:rsid w:val="009306E6"/>
    <w:pPr>
      <w:tabs>
        <w:tab w:val="center" w:pos="4513"/>
        <w:tab w:val="right" w:pos="9026"/>
      </w:tabs>
    </w:pPr>
  </w:style>
  <w:style w:type="character" w:customStyle="1" w:styleId="FooterChar">
    <w:name w:val="Footer Char"/>
    <w:link w:val="Footer"/>
    <w:uiPriority w:val="99"/>
    <w:semiHidden/>
    <w:rsid w:val="009306E6"/>
    <w:rPr>
      <w:sz w:val="22"/>
      <w:szCs w:val="22"/>
      <w:lang w:eastAsia="en-US"/>
    </w:rPr>
  </w:style>
  <w:style w:type="paragraph" w:styleId="Revision">
    <w:name w:val="Revision"/>
    <w:hidden/>
    <w:uiPriority w:val="99"/>
    <w:semiHidden/>
    <w:rsid w:val="006D4634"/>
    <w:rPr>
      <w:sz w:val="22"/>
      <w:szCs w:val="22"/>
      <w:lang w:eastAsia="en-US"/>
    </w:rPr>
  </w:style>
  <w:style w:type="character" w:styleId="CommentReference">
    <w:name w:val="annotation reference"/>
    <w:uiPriority w:val="99"/>
    <w:semiHidden/>
    <w:unhideWhenUsed/>
    <w:rsid w:val="0063643B"/>
    <w:rPr>
      <w:sz w:val="16"/>
      <w:szCs w:val="16"/>
    </w:rPr>
  </w:style>
  <w:style w:type="paragraph" w:styleId="CommentText">
    <w:name w:val="annotation text"/>
    <w:basedOn w:val="Normal"/>
    <w:link w:val="CommentTextChar"/>
    <w:uiPriority w:val="99"/>
    <w:unhideWhenUsed/>
    <w:rsid w:val="0063643B"/>
    <w:rPr>
      <w:sz w:val="20"/>
      <w:szCs w:val="20"/>
    </w:rPr>
  </w:style>
  <w:style w:type="character" w:customStyle="1" w:styleId="CommentTextChar">
    <w:name w:val="Comment Text Char"/>
    <w:link w:val="CommentText"/>
    <w:uiPriority w:val="99"/>
    <w:rsid w:val="0063643B"/>
    <w:rPr>
      <w:lang w:eastAsia="en-US"/>
    </w:rPr>
  </w:style>
  <w:style w:type="paragraph" w:styleId="CommentSubject">
    <w:name w:val="annotation subject"/>
    <w:basedOn w:val="CommentText"/>
    <w:next w:val="CommentText"/>
    <w:link w:val="CommentSubjectChar"/>
    <w:uiPriority w:val="99"/>
    <w:semiHidden/>
    <w:unhideWhenUsed/>
    <w:rsid w:val="0063643B"/>
    <w:rPr>
      <w:b/>
      <w:bCs/>
    </w:rPr>
  </w:style>
  <w:style w:type="character" w:customStyle="1" w:styleId="CommentSubjectChar">
    <w:name w:val="Comment Subject Char"/>
    <w:link w:val="CommentSubject"/>
    <w:uiPriority w:val="99"/>
    <w:semiHidden/>
    <w:rsid w:val="0063643B"/>
    <w:rPr>
      <w:b/>
      <w:bCs/>
      <w:lang w:eastAsia="en-US"/>
    </w:rPr>
  </w:style>
  <w:style w:type="paragraph" w:styleId="FootnoteText">
    <w:name w:val="footnote text"/>
    <w:basedOn w:val="Normal"/>
    <w:link w:val="FootnoteTextChar"/>
    <w:uiPriority w:val="99"/>
    <w:semiHidden/>
    <w:unhideWhenUsed/>
    <w:rsid w:val="009B387D"/>
    <w:pPr>
      <w:spacing w:after="0"/>
    </w:pPr>
    <w:rPr>
      <w:sz w:val="20"/>
      <w:szCs w:val="20"/>
    </w:rPr>
  </w:style>
  <w:style w:type="character" w:customStyle="1" w:styleId="FootnoteTextChar">
    <w:name w:val="Footnote Text Char"/>
    <w:link w:val="FootnoteText"/>
    <w:uiPriority w:val="99"/>
    <w:semiHidden/>
    <w:rsid w:val="009B387D"/>
    <w:rPr>
      <w:lang w:eastAsia="en-US"/>
    </w:rPr>
  </w:style>
  <w:style w:type="character" w:styleId="FootnoteReference">
    <w:name w:val="footnote reference"/>
    <w:uiPriority w:val="99"/>
    <w:semiHidden/>
    <w:unhideWhenUsed/>
    <w:rsid w:val="009B387D"/>
    <w:rPr>
      <w:vertAlign w:val="superscript"/>
    </w:rPr>
  </w:style>
  <w:style w:type="character" w:styleId="Hyperlink">
    <w:name w:val="Hyperlink"/>
    <w:uiPriority w:val="99"/>
    <w:unhideWhenUsed/>
    <w:rsid w:val="009B387D"/>
    <w:rPr>
      <w:color w:val="0563C1"/>
      <w:u w:val="single"/>
    </w:rPr>
  </w:style>
  <w:style w:type="character" w:styleId="UnresolvedMention">
    <w:name w:val="Unresolved Mention"/>
    <w:basedOn w:val="DefaultParagraphFont"/>
    <w:uiPriority w:val="99"/>
    <w:semiHidden/>
    <w:unhideWhenUsed/>
    <w:rsid w:val="00D02019"/>
    <w:rPr>
      <w:color w:val="605E5C"/>
      <w:shd w:val="clear" w:color="auto" w:fill="E1DFDD"/>
    </w:rPr>
  </w:style>
  <w:style w:type="paragraph" w:styleId="NormalWeb">
    <w:name w:val="Normal (Web)"/>
    <w:basedOn w:val="Normal"/>
    <w:uiPriority w:val="99"/>
    <w:semiHidden/>
    <w:unhideWhenUsed/>
    <w:rsid w:val="004D2F50"/>
    <w:rPr>
      <w:rFonts w:ascii="Times New Roman" w:hAnsi="Times New Roman"/>
      <w:sz w:val="24"/>
      <w:szCs w:val="24"/>
    </w:rPr>
  </w:style>
  <w:style w:type="character" w:styleId="FollowedHyperlink">
    <w:name w:val="FollowedHyperlink"/>
    <w:basedOn w:val="DefaultParagraphFont"/>
    <w:uiPriority w:val="99"/>
    <w:semiHidden/>
    <w:unhideWhenUsed/>
    <w:rsid w:val="00FE36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10528">
      <w:bodyDiv w:val="1"/>
      <w:marLeft w:val="0"/>
      <w:marRight w:val="0"/>
      <w:marTop w:val="0"/>
      <w:marBottom w:val="0"/>
      <w:divBdr>
        <w:top w:val="none" w:sz="0" w:space="0" w:color="auto"/>
        <w:left w:val="none" w:sz="0" w:space="0" w:color="auto"/>
        <w:bottom w:val="none" w:sz="0" w:space="0" w:color="auto"/>
        <w:right w:val="none" w:sz="0" w:space="0" w:color="auto"/>
      </w:divBdr>
      <w:divsChild>
        <w:div w:id="1274046590">
          <w:marLeft w:val="0"/>
          <w:marRight w:val="0"/>
          <w:marTop w:val="0"/>
          <w:marBottom w:val="0"/>
          <w:divBdr>
            <w:top w:val="none" w:sz="0" w:space="0" w:color="auto"/>
            <w:left w:val="none" w:sz="0" w:space="0" w:color="auto"/>
            <w:bottom w:val="none" w:sz="0" w:space="0" w:color="auto"/>
            <w:right w:val="none" w:sz="0" w:space="0" w:color="auto"/>
          </w:divBdr>
          <w:divsChild>
            <w:div w:id="903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8737">
      <w:bodyDiv w:val="1"/>
      <w:marLeft w:val="0"/>
      <w:marRight w:val="0"/>
      <w:marTop w:val="0"/>
      <w:marBottom w:val="0"/>
      <w:divBdr>
        <w:top w:val="none" w:sz="0" w:space="0" w:color="auto"/>
        <w:left w:val="none" w:sz="0" w:space="0" w:color="auto"/>
        <w:bottom w:val="none" w:sz="0" w:space="0" w:color="auto"/>
        <w:right w:val="none" w:sz="0" w:space="0" w:color="auto"/>
      </w:divBdr>
      <w:divsChild>
        <w:div w:id="258149935">
          <w:marLeft w:val="0"/>
          <w:marRight w:val="0"/>
          <w:marTop w:val="0"/>
          <w:marBottom w:val="0"/>
          <w:divBdr>
            <w:top w:val="none" w:sz="0" w:space="0" w:color="auto"/>
            <w:left w:val="none" w:sz="0" w:space="0" w:color="auto"/>
            <w:bottom w:val="none" w:sz="0" w:space="0" w:color="auto"/>
            <w:right w:val="none" w:sz="0" w:space="0" w:color="auto"/>
          </w:divBdr>
          <w:divsChild>
            <w:div w:id="13036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7151">
      <w:bodyDiv w:val="1"/>
      <w:marLeft w:val="0"/>
      <w:marRight w:val="0"/>
      <w:marTop w:val="0"/>
      <w:marBottom w:val="0"/>
      <w:divBdr>
        <w:top w:val="none" w:sz="0" w:space="0" w:color="auto"/>
        <w:left w:val="none" w:sz="0" w:space="0" w:color="auto"/>
        <w:bottom w:val="none" w:sz="0" w:space="0" w:color="auto"/>
        <w:right w:val="none" w:sz="0" w:space="0" w:color="auto"/>
      </w:divBdr>
      <w:divsChild>
        <w:div w:id="1555390001">
          <w:marLeft w:val="0"/>
          <w:marRight w:val="0"/>
          <w:marTop w:val="0"/>
          <w:marBottom w:val="0"/>
          <w:divBdr>
            <w:top w:val="none" w:sz="0" w:space="0" w:color="auto"/>
            <w:left w:val="none" w:sz="0" w:space="0" w:color="auto"/>
            <w:bottom w:val="none" w:sz="0" w:space="0" w:color="auto"/>
            <w:right w:val="none" w:sz="0" w:space="0" w:color="auto"/>
          </w:divBdr>
          <w:divsChild>
            <w:div w:id="6731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89229">
      <w:bodyDiv w:val="1"/>
      <w:marLeft w:val="0"/>
      <w:marRight w:val="0"/>
      <w:marTop w:val="0"/>
      <w:marBottom w:val="0"/>
      <w:divBdr>
        <w:top w:val="none" w:sz="0" w:space="0" w:color="auto"/>
        <w:left w:val="none" w:sz="0" w:space="0" w:color="auto"/>
        <w:bottom w:val="none" w:sz="0" w:space="0" w:color="auto"/>
        <w:right w:val="none" w:sz="0" w:space="0" w:color="auto"/>
      </w:divBdr>
    </w:div>
    <w:div w:id="1681085684">
      <w:bodyDiv w:val="1"/>
      <w:marLeft w:val="0"/>
      <w:marRight w:val="0"/>
      <w:marTop w:val="0"/>
      <w:marBottom w:val="0"/>
      <w:divBdr>
        <w:top w:val="none" w:sz="0" w:space="0" w:color="auto"/>
        <w:left w:val="none" w:sz="0" w:space="0" w:color="auto"/>
        <w:bottom w:val="none" w:sz="0" w:space="0" w:color="auto"/>
        <w:right w:val="none" w:sz="0" w:space="0" w:color="auto"/>
      </w:divBdr>
    </w:div>
    <w:div w:id="2105346145">
      <w:bodyDiv w:val="1"/>
      <w:marLeft w:val="0"/>
      <w:marRight w:val="0"/>
      <w:marTop w:val="0"/>
      <w:marBottom w:val="0"/>
      <w:divBdr>
        <w:top w:val="none" w:sz="0" w:space="0" w:color="auto"/>
        <w:left w:val="none" w:sz="0" w:space="0" w:color="auto"/>
        <w:bottom w:val="none" w:sz="0" w:space="0" w:color="auto"/>
        <w:right w:val="none" w:sz="0" w:space="0" w:color="auto"/>
      </w:divBdr>
      <w:divsChild>
        <w:div w:id="2147165199">
          <w:marLeft w:val="0"/>
          <w:marRight w:val="0"/>
          <w:marTop w:val="0"/>
          <w:marBottom w:val="0"/>
          <w:divBdr>
            <w:top w:val="none" w:sz="0" w:space="0" w:color="auto"/>
            <w:left w:val="none" w:sz="0" w:space="0" w:color="auto"/>
            <w:bottom w:val="none" w:sz="0" w:space="0" w:color="auto"/>
            <w:right w:val="none" w:sz="0" w:space="0" w:color="auto"/>
          </w:divBdr>
          <w:divsChild>
            <w:div w:id="176037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3DC0190" TargetMode="External"/><Relationship Id="rId13" Type="http://schemas.openxmlformats.org/officeDocument/2006/relationships/hyperlink" Target="https://ec.europa.eu/info/funding-tenders/opportunities/portal/screen/opportunities/topic-details/EU4H-2022-PJ-06" TargetMode="External"/><Relationship Id="rId3" Type="http://schemas.openxmlformats.org/officeDocument/2006/relationships/hyperlink" Target="http://data.europa.eu/eli/reg/2024/1689/oj" TargetMode="External"/><Relationship Id="rId7" Type="http://schemas.openxmlformats.org/officeDocument/2006/relationships/hyperlink" Target="https://digital-strategy.ec.europa.eu/en/policies/1-million-genomes" TargetMode="External"/><Relationship Id="rId12" Type="http://schemas.openxmlformats.org/officeDocument/2006/relationships/hyperlink" Target="https://bewell-project.eu/" TargetMode="External"/><Relationship Id="rId2" Type="http://schemas.openxmlformats.org/officeDocument/2006/relationships/hyperlink" Target="http://data.europa.eu/eli/reg/2004/726/oj" TargetMode="External"/><Relationship Id="rId1" Type="http://schemas.openxmlformats.org/officeDocument/2006/relationships/hyperlink" Target="http://data.europa.eu/eli/reg/2025/327/oj" TargetMode="External"/><Relationship Id="rId6" Type="http://schemas.openxmlformats.org/officeDocument/2006/relationships/hyperlink" Target="file:///\\Net1.cec.eu.int\SG\SG-H-3\_CONSULTATIVE%20COMMITTEES\CESE\_SUIVI,%20PLENIERES%20&amp;%20BUREAUX\2025\09%20SEPTEMBER\02%20Contributions%20from%20DGs\EIT%20Health%20(https:\eithealth.eu\" TargetMode="External"/><Relationship Id="rId11" Type="http://schemas.openxmlformats.org/officeDocument/2006/relationships/hyperlink" Target="https://health.ec.europa.eu/latest-updates/commission-supports-action-across-europe-attract-and-retain-nurses-2024-09-02_en" TargetMode="External"/><Relationship Id="rId5" Type="http://schemas.openxmlformats.org/officeDocument/2006/relationships/hyperlink" Target="https://eismea.ec.europa.eu/esteam-fests-and-communities-girls-and-women_en" TargetMode="External"/><Relationship Id="rId15" Type="http://schemas.openxmlformats.org/officeDocument/2006/relationships/hyperlink" Target="https://hadea.ec.europa.eu/news/eu-funded-projects-contributing-implementation-european-health-data-space-2025-03-28_en" TargetMode="External"/><Relationship Id="rId10" Type="http://schemas.openxmlformats.org/officeDocument/2006/relationships/hyperlink" Target="https://www.edpb.europa.eu/our-work-tools/our-documents/opinion-board-art-64/opinion-282024-certain-data-protection-aspects_en" TargetMode="External"/><Relationship Id="rId4" Type="http://schemas.openxmlformats.org/officeDocument/2006/relationships/hyperlink" Target="file:///\\Net1.cec.eu.int\SG\SG-H-3\_CONSULTATIVE%20COMMITTEES\CESE\_SUIVI,%20PLENIERES%20&amp;%20BUREAUX\2025\09%20SEPTEMBER\02%20Contributions%20from%20DGs\Empowering%20the%20Next%20Generation%20in%20Sustainability%20&amp;%20STEM%20(https:\eit-girlsgostem.eu\" TargetMode="External"/><Relationship Id="rId9" Type="http://schemas.openxmlformats.org/officeDocument/2006/relationships/hyperlink" Target="http://data.europa.eu/eli/reg/2016/679/oj" TargetMode="External"/><Relationship Id="rId14" Type="http://schemas.openxmlformats.org/officeDocument/2006/relationships/hyperlink" Target="https://brudhi.iscte-iul.pt/2025/01/21/introducing-the-xia-project-transforming-healthcare-through-digital-interoperability-education/" TargetMode="External"/></Relationships>
</file>

<file path=word/documenttasks/documenttasks1.xml><?xml version="1.0" encoding="utf-8"?>
<t:Tasks xmlns:t="http://schemas.microsoft.com/office/tasks/2019/documenttasks" xmlns:oel="http://schemas.microsoft.com/office/2019/extlst">
  <t:Task id="{731FDB61-9D07-4705-91B9-93E2058F369D}">
    <t:Anchor>
      <t:Comment id="17472991"/>
    </t:Anchor>
    <t:History>
      <t:Event id="{688E668D-AB18-4DB5-9607-779F76915A06}" time="2025-11-07T12:01:45.741Z">
        <t:Attribution userId="S::andreia.oliveira@ec.europa.eu::61aa42c7-2a72-404e-977f-83933c0b16c6" userProvider="AD" userName="OLIVEIRA Andreia (SANTE)"/>
        <t:Anchor>
          <t:Comment id="17472991"/>
        </t:Anchor>
        <t:Create/>
      </t:Event>
      <t:Event id="{AA8212AF-F5D1-4997-974C-DAA2638612CF}" time="2025-11-07T12:01:45.741Z">
        <t:Attribution userId="S::andreia.oliveira@ec.europa.eu::61aa42c7-2a72-404e-977f-83933c0b16c6" userProvider="AD" userName="OLIVEIRA Andreia (SANTE)"/>
        <t:Anchor>
          <t:Comment id="17472991"/>
        </t:Anchor>
        <t:Assign userId="S::Owe.LANGFELDT@ec.europa.eu::76a9999e-d03f-4b65-8b6a-724b195ff94b" userProvider="AD" userName="LANGFELDT Owe (SANTE)"/>
      </t:Event>
      <t:Event id="{745840BD-5AC2-4CA1-B324-565F915C1541}" time="2025-11-07T12:01:45.741Z">
        <t:Attribution userId="S::andreia.oliveira@ec.europa.eu::61aa42c7-2a72-404e-977f-83933c0b16c6" userProvider="AD" userName="OLIVEIRA Andreia (SANTE)"/>
        <t:Anchor>
          <t:Comment id="17472991"/>
        </t:Anchor>
        <t:SetTitle title="Dear @LANGFELDT Owe (SANTE) can I have you quick validation of this addition by colleagues? Many thanks!"/>
      </t:Event>
      <t:Event id="{AFB7083D-B415-4862-8B76-C0D93480DA8F}" time="2025-11-07T12:18:22.735Z">
        <t:Attribution userId="S::owe.langfeldt@ec.europa.eu::76a9999e-d03f-4b65-8b6a-724b195ff94b" userProvider="AD" userName="LANGFELDT Owe (SANT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15" ma:contentTypeDescription="Create a new document." ma:contentTypeScope="" ma:versionID="e0973b8d4f11e5c55b5c42be4ec353ab">
  <xsd:schema xmlns:xsd="http://www.w3.org/2001/XMLSchema" xmlns:xs="http://www.w3.org/2001/XMLSchema" xmlns:p="http://schemas.microsoft.com/office/2006/metadata/properties" xmlns:ns2="1bece07b-d03c-423c-b8a0-beed4db0bbc2" xmlns:ns3="e1debc6b-b43f-4dc7-a7b0-dc87a290d3c1" targetNamespace="http://schemas.microsoft.com/office/2006/metadata/properties" ma:root="true" ma:fieldsID="9c7d5bee12eb29ed29d2fe55a6f92123" ns2:_="" ns3:_="">
    <xsd:import namespace="1bece07b-d03c-423c-b8a0-beed4db0bbc2"/>
    <xsd:import namespace="e1debc6b-b43f-4dc7-a7b0-dc87a290d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ebc6b-b43f-4dc7-a7b0-dc87a290d3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e23bc4c-6f37-4003-a4bc-51cc853682d5}" ma:internalName="TaxCatchAll" ma:showField="CatchAllData" ma:web="e1debc6b-b43f-4dc7-a7b0-dc87a290d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debc6b-b43f-4dc7-a7b0-dc87a290d3c1" xsi:nil="true"/>
    <lcf76f155ced4ddcb4097134ff3c332f xmlns="1bece07b-d03c-423c-b8a0-beed4db0bbc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A0B83-A00F-436A-9A3C-85F4145D2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e1debc6b-b43f-4dc7-a7b0-dc87a290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20B221-6436-43F3-AE50-DC9B0A8FA349}">
  <ds:schemaRefs>
    <ds:schemaRef ds:uri="http://schemas.microsoft.com/office/2006/metadata/properties"/>
    <ds:schemaRef ds:uri="http://schemas.microsoft.com/office/infopath/2007/PartnerControls"/>
    <ds:schemaRef ds:uri="e1debc6b-b43f-4dc7-a7b0-dc87a290d3c1"/>
    <ds:schemaRef ds:uri="1bece07b-d03c-423c-b8a0-beed4db0bbc2"/>
  </ds:schemaRefs>
</ds:datastoreItem>
</file>

<file path=customXml/itemProps3.xml><?xml version="1.0" encoding="utf-8"?>
<ds:datastoreItem xmlns:ds="http://schemas.openxmlformats.org/officeDocument/2006/customXml" ds:itemID="{FC8B769C-5AE8-4A09-8401-13CC876CEAB5}">
  <ds:schemaRefs>
    <ds:schemaRef ds:uri="http://schemas.microsoft.com/sharepoint/v3/contenttype/forms"/>
  </ds:schemaRefs>
</ds:datastoreItem>
</file>

<file path=customXml/itemProps4.xml><?xml version="1.0" encoding="utf-8"?>
<ds:datastoreItem xmlns:ds="http://schemas.openxmlformats.org/officeDocument/2006/customXml" ds:itemID="{93E5BF45-D1D9-4837-9933-7B7CCA17C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2415</Words>
  <Characters>14178</Characters>
  <Application>Microsoft Office Word</Application>
  <DocSecurity>0</DocSecurity>
  <Lines>194</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2013-03-01T06:02:00Z</cp:lastPrinted>
  <dcterms:created xsi:type="dcterms:W3CDTF">2026-02-26T08:12:00Z</dcterms:created>
  <dcterms:modified xsi:type="dcterms:W3CDTF">2026-02-26T08:12:00Z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0x010100263B1F5D7841074CBE2E963D24797DAD</vt:lpwstr>
  </property>
  <property fmtid="{D5CDD505-2E9C-101B-9397-08002B2CF9AE}" pid="10" name="MediaServiceImageTags">
    <vt:lpwstr/>
  </property>
</Properties>
</file>