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09D3" w14:textId="4247BBF5" w:rsidR="00751910" w:rsidRPr="00B171D3" w:rsidRDefault="00751910" w:rsidP="004A7932">
      <w:pPr>
        <w:spacing w:after="120"/>
        <w:rPr>
          <w:rFonts w:ascii="Times New Roman" w:hAnsi="Times New Roman"/>
          <w:b/>
          <w:sz w:val="2"/>
          <w:szCs w:val="2"/>
          <w:u w:val="single"/>
        </w:rPr>
      </w:pPr>
    </w:p>
    <w:tbl>
      <w:tblPr>
        <w:tblW w:w="1031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18"/>
      </w:tblGrid>
      <w:tr w:rsidR="001C4138" w:rsidRPr="004F6117" w14:paraId="30B76F57" w14:textId="77777777" w:rsidTr="30D473BB">
        <w:trPr>
          <w:jc w:val="center"/>
        </w:trPr>
        <w:tc>
          <w:tcPr>
            <w:tcW w:w="10318" w:type="dxa"/>
          </w:tcPr>
          <w:p w14:paraId="3A99935F" w14:textId="51A6A453" w:rsidR="001C4138" w:rsidRPr="004F6117" w:rsidRDefault="00D75086" w:rsidP="001C4138">
            <w:pPr>
              <w:spacing w:before="120" w:after="120"/>
              <w:rPr>
                <w:rFonts w:ascii="Times New Roman" w:hAnsi="Times New Roman"/>
                <w:b/>
                <w:sz w:val="24"/>
                <w:szCs w:val="24"/>
              </w:rPr>
            </w:pPr>
            <w:r w:rsidRPr="00D75086">
              <w:rPr>
                <w:rFonts w:ascii="Times New Roman" w:hAnsi="Times New Roman"/>
                <w:b/>
                <w:sz w:val="24"/>
                <w:szCs w:val="24"/>
              </w:rPr>
              <w:t>Review of the European public procurement legal framework</w:t>
            </w:r>
            <w:r w:rsidR="00554137">
              <w:rPr>
                <w:rFonts w:ascii="Times New Roman" w:hAnsi="Times New Roman"/>
                <w:b/>
                <w:sz w:val="24"/>
                <w:szCs w:val="24"/>
              </w:rPr>
              <w:br/>
              <w:t>(</w:t>
            </w:r>
            <w:r>
              <w:rPr>
                <w:rFonts w:ascii="Times New Roman" w:hAnsi="Times New Roman"/>
                <w:b/>
                <w:sz w:val="24"/>
                <w:szCs w:val="24"/>
              </w:rPr>
              <w:t>exploratory opinion)</w:t>
            </w:r>
            <w:r w:rsidR="00554137" w:rsidRPr="00C93C3F">
              <w:rPr>
                <w:rFonts w:ascii="Times New Roman" w:hAnsi="Times New Roman"/>
                <w:b/>
                <w:sz w:val="24"/>
                <w:szCs w:val="24"/>
              </w:rPr>
              <w:br/>
            </w:r>
            <w:r w:rsidR="00554137" w:rsidRPr="00C93C3F">
              <w:rPr>
                <w:rFonts w:ascii="Times New Roman" w:hAnsi="Times New Roman"/>
                <w:b/>
                <w:sz w:val="24"/>
                <w:szCs w:val="24"/>
                <w:lang w:val="en-IE"/>
              </w:rPr>
              <w:t>EESC-2025</w:t>
            </w:r>
            <w:r w:rsidR="00554137">
              <w:rPr>
                <w:rFonts w:ascii="Times New Roman" w:hAnsi="Times New Roman"/>
                <w:b/>
                <w:sz w:val="24"/>
                <w:szCs w:val="24"/>
                <w:lang w:val="en-IE"/>
              </w:rPr>
              <w:t>-</w:t>
            </w:r>
            <w:r>
              <w:rPr>
                <w:rFonts w:ascii="Times New Roman" w:hAnsi="Times New Roman"/>
                <w:b/>
                <w:sz w:val="24"/>
                <w:szCs w:val="24"/>
                <w:lang w:val="en-IE"/>
              </w:rPr>
              <w:t>01402</w:t>
            </w:r>
            <w:r w:rsidR="00554137" w:rsidRPr="00C93C3F">
              <w:rPr>
                <w:rFonts w:ascii="Times New Roman" w:hAnsi="Times New Roman"/>
                <w:b/>
                <w:sz w:val="24"/>
                <w:szCs w:val="24"/>
                <w:lang w:val="en-IE"/>
              </w:rPr>
              <w:t xml:space="preserve"> </w:t>
            </w:r>
            <w:r w:rsidR="00554137" w:rsidRPr="00C93C3F">
              <w:rPr>
                <w:rFonts w:ascii="Times New Roman" w:hAnsi="Times New Roman"/>
                <w:b/>
                <w:sz w:val="24"/>
                <w:szCs w:val="24"/>
              </w:rPr>
              <w:t xml:space="preserve">‒ </w:t>
            </w:r>
            <w:r>
              <w:rPr>
                <w:rFonts w:ascii="Times New Roman" w:hAnsi="Times New Roman"/>
                <w:b/>
                <w:sz w:val="24"/>
                <w:szCs w:val="24"/>
              </w:rPr>
              <w:t>INT/1092</w:t>
            </w:r>
            <w:r w:rsidR="00554137" w:rsidRPr="00C93C3F">
              <w:rPr>
                <w:rFonts w:ascii="Times New Roman" w:hAnsi="Times New Roman"/>
                <w:b/>
                <w:sz w:val="24"/>
                <w:szCs w:val="24"/>
              </w:rPr>
              <w:br/>
            </w:r>
            <w:r>
              <w:rPr>
                <w:rFonts w:ascii="Times New Roman" w:hAnsi="Times New Roman"/>
                <w:b/>
                <w:sz w:val="24"/>
                <w:szCs w:val="24"/>
              </w:rPr>
              <w:t>60</w:t>
            </w:r>
            <w:r w:rsidR="002143A3">
              <w:rPr>
                <w:rFonts w:ascii="Times New Roman" w:hAnsi="Times New Roman"/>
                <w:b/>
                <w:sz w:val="24"/>
                <w:szCs w:val="24"/>
              </w:rPr>
              <w:t>1</w:t>
            </w:r>
            <w:r w:rsidR="002143A3" w:rsidRPr="002143A3">
              <w:rPr>
                <w:rFonts w:ascii="Times New Roman" w:hAnsi="Times New Roman"/>
                <w:b/>
                <w:sz w:val="24"/>
                <w:szCs w:val="24"/>
                <w:vertAlign w:val="superscript"/>
              </w:rPr>
              <w:t>st</w:t>
            </w:r>
            <w:r w:rsidR="002143A3">
              <w:rPr>
                <w:rFonts w:ascii="Times New Roman" w:hAnsi="Times New Roman"/>
                <w:b/>
                <w:sz w:val="24"/>
                <w:szCs w:val="24"/>
              </w:rPr>
              <w:t xml:space="preserve"> </w:t>
            </w:r>
            <w:r w:rsidR="00554137" w:rsidRPr="00C93C3F">
              <w:rPr>
                <w:rFonts w:ascii="Times New Roman" w:hAnsi="Times New Roman"/>
                <w:b/>
                <w:sz w:val="24"/>
                <w:szCs w:val="24"/>
              </w:rPr>
              <w:t xml:space="preserve">Plenary Session – </w:t>
            </w:r>
            <w:r>
              <w:rPr>
                <w:rFonts w:ascii="Times New Roman" w:hAnsi="Times New Roman"/>
                <w:b/>
                <w:sz w:val="24"/>
                <w:szCs w:val="24"/>
              </w:rPr>
              <w:t>December</w:t>
            </w:r>
            <w:r w:rsidR="00554137" w:rsidRPr="00C93C3F">
              <w:rPr>
                <w:rFonts w:ascii="Times New Roman" w:hAnsi="Times New Roman"/>
                <w:b/>
                <w:sz w:val="24"/>
                <w:szCs w:val="24"/>
              </w:rPr>
              <w:t xml:space="preserve"> 2025</w:t>
            </w:r>
            <w:r w:rsidR="00554137" w:rsidRPr="00C93C3F">
              <w:rPr>
                <w:rFonts w:ascii="Times New Roman" w:hAnsi="Times New Roman"/>
                <w:b/>
                <w:sz w:val="24"/>
                <w:szCs w:val="24"/>
              </w:rPr>
              <w:br/>
              <w:t xml:space="preserve">Rapporteur: Philip </w:t>
            </w:r>
            <w:r w:rsidR="00554137" w:rsidRPr="00C93C3F">
              <w:rPr>
                <w:rFonts w:ascii="Times New Roman" w:hAnsi="Times New Roman"/>
                <w:b/>
                <w:sz w:val="24"/>
                <w:szCs w:val="24"/>
                <w:lang w:val="en-IE"/>
              </w:rPr>
              <w:t xml:space="preserve">VON BROCKDORFF </w:t>
            </w:r>
            <w:r w:rsidR="00554137" w:rsidRPr="00D45E5C">
              <w:rPr>
                <w:rFonts w:ascii="Times New Roman" w:hAnsi="Times New Roman"/>
                <w:b/>
                <w:sz w:val="24"/>
                <w:szCs w:val="24"/>
                <w:lang w:val="en-IE"/>
              </w:rPr>
              <w:t>(MT-II</w:t>
            </w:r>
            <w:r w:rsidR="00554137">
              <w:rPr>
                <w:rFonts w:ascii="Times New Roman" w:hAnsi="Times New Roman"/>
                <w:b/>
                <w:sz w:val="24"/>
                <w:szCs w:val="24"/>
                <w:lang w:val="en-IE"/>
              </w:rPr>
              <w:t>)</w:t>
            </w:r>
            <w:r w:rsidR="00554137" w:rsidRPr="00C93C3F">
              <w:rPr>
                <w:rFonts w:ascii="Times New Roman" w:hAnsi="Times New Roman"/>
                <w:b/>
                <w:sz w:val="24"/>
                <w:szCs w:val="24"/>
              </w:rPr>
              <w:br/>
              <w:t xml:space="preserve">DG </w:t>
            </w:r>
            <w:r>
              <w:rPr>
                <w:rFonts w:ascii="Times New Roman" w:hAnsi="Times New Roman"/>
                <w:b/>
                <w:sz w:val="24"/>
                <w:szCs w:val="24"/>
              </w:rPr>
              <w:t>GROW</w:t>
            </w:r>
            <w:r w:rsidR="00554137" w:rsidRPr="00C93C3F">
              <w:rPr>
                <w:rFonts w:ascii="Times New Roman" w:hAnsi="Times New Roman"/>
                <w:b/>
                <w:sz w:val="24"/>
                <w:szCs w:val="24"/>
              </w:rPr>
              <w:t xml:space="preserve"> – </w:t>
            </w:r>
            <w:r>
              <w:rPr>
                <w:rFonts w:ascii="Times New Roman" w:hAnsi="Times New Roman"/>
                <w:b/>
                <w:sz w:val="24"/>
                <w:szCs w:val="24"/>
              </w:rPr>
              <w:t xml:space="preserve">Executive Vice-President </w:t>
            </w:r>
            <w:r w:rsidR="00B171D3" w:rsidRPr="00B171D3">
              <w:rPr>
                <w:rFonts w:ascii="Times New Roman" w:hAnsi="Times New Roman"/>
                <w:b/>
                <w:sz w:val="24"/>
                <w:szCs w:val="24"/>
              </w:rPr>
              <w:t>SÉJOURNÉ</w:t>
            </w:r>
          </w:p>
        </w:tc>
      </w:tr>
      <w:tr w:rsidR="004F6117" w:rsidRPr="004F6117" w14:paraId="041809D9" w14:textId="77777777" w:rsidTr="30D473BB">
        <w:trPr>
          <w:jc w:val="center"/>
        </w:trPr>
        <w:tc>
          <w:tcPr>
            <w:tcW w:w="10318" w:type="dxa"/>
          </w:tcPr>
          <w:p w14:paraId="52C253DC" w14:textId="6A508979" w:rsidR="004F6117" w:rsidRPr="004F6117" w:rsidRDefault="0049246C" w:rsidP="0049246C">
            <w:pPr>
              <w:spacing w:before="120" w:after="120"/>
              <w:jc w:val="center"/>
              <w:rPr>
                <w:rFonts w:ascii="Times New Roman" w:hAnsi="Times New Roman"/>
                <w:b/>
                <w:sz w:val="24"/>
                <w:szCs w:val="24"/>
                <w:highlight w:val="yellow"/>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4F6117" w:rsidRPr="004F6117" w14:paraId="461CAB07" w14:textId="77777777" w:rsidTr="30D473BB">
        <w:trPr>
          <w:jc w:val="center"/>
        </w:trPr>
        <w:tc>
          <w:tcPr>
            <w:tcW w:w="10318" w:type="dxa"/>
          </w:tcPr>
          <w:p w14:paraId="618903D9" w14:textId="406546CC" w:rsidR="00F5340B" w:rsidRDefault="00F5340B" w:rsidP="00B171D3">
            <w:pPr>
              <w:widowControl w:val="0"/>
              <w:spacing w:before="120" w:after="120"/>
              <w:jc w:val="both"/>
              <w:rPr>
                <w:rFonts w:ascii="Times New Roman" w:hAnsi="Times New Roman"/>
                <w:sz w:val="24"/>
                <w:szCs w:val="24"/>
              </w:rPr>
            </w:pPr>
            <w:r w:rsidRPr="00E67D1A">
              <w:rPr>
                <w:rFonts w:ascii="Times New Roman" w:hAnsi="Times New Roman"/>
                <w:sz w:val="24"/>
                <w:szCs w:val="24"/>
              </w:rPr>
              <w:t xml:space="preserve">The Commission welcomes the </w:t>
            </w:r>
            <w:r w:rsidR="00B758CD">
              <w:rPr>
                <w:rFonts w:ascii="Times New Roman" w:hAnsi="Times New Roman"/>
                <w:sz w:val="24"/>
                <w:szCs w:val="24"/>
              </w:rPr>
              <w:t>Committee’</w:t>
            </w:r>
            <w:r w:rsidRPr="00E67D1A">
              <w:rPr>
                <w:rFonts w:ascii="Times New Roman" w:hAnsi="Times New Roman"/>
                <w:sz w:val="24"/>
                <w:szCs w:val="24"/>
              </w:rPr>
              <w:t>s exploratory opinion on the review of the European public procurement legal framework and appreciates the constructive engagement and valuable input provided by the Committee. Public procurement represents approximately 15% of European GDP, with an</w:t>
            </w:r>
            <w:r w:rsidR="00C321FA">
              <w:rPr>
                <w:rFonts w:ascii="Times New Roman" w:hAnsi="Times New Roman"/>
                <w:sz w:val="24"/>
                <w:szCs w:val="24"/>
              </w:rPr>
              <w:t> </w:t>
            </w:r>
            <w:r w:rsidRPr="00E67D1A">
              <w:rPr>
                <w:rFonts w:ascii="Times New Roman" w:hAnsi="Times New Roman"/>
                <w:sz w:val="24"/>
                <w:szCs w:val="24"/>
              </w:rPr>
              <w:t>estimated value of EUR 2.565 trillion in 2023</w:t>
            </w:r>
            <w:r>
              <w:rPr>
                <w:rStyle w:val="FootnoteReference"/>
                <w:rFonts w:ascii="Times New Roman" w:hAnsi="Times New Roman"/>
                <w:sz w:val="24"/>
                <w:szCs w:val="24"/>
              </w:rPr>
              <w:footnoteReference w:id="1"/>
            </w:r>
            <w:r w:rsidRPr="00E67D1A">
              <w:rPr>
                <w:rFonts w:ascii="Times New Roman" w:hAnsi="Times New Roman"/>
                <w:sz w:val="24"/>
                <w:szCs w:val="24"/>
              </w:rPr>
              <w:t>, and constitutes a powerful lever</w:t>
            </w:r>
            <w:r w:rsidR="002C335D">
              <w:rPr>
                <w:rFonts w:ascii="Times New Roman" w:hAnsi="Times New Roman"/>
                <w:sz w:val="24"/>
                <w:szCs w:val="24"/>
              </w:rPr>
              <w:t>age</w:t>
            </w:r>
            <w:r w:rsidRPr="00E67D1A">
              <w:rPr>
                <w:rFonts w:ascii="Times New Roman" w:hAnsi="Times New Roman"/>
                <w:sz w:val="24"/>
                <w:szCs w:val="24"/>
              </w:rPr>
              <w:t xml:space="preserve"> for achieving competitiveness, economic security and the EU</w:t>
            </w:r>
            <w:r w:rsidR="00B758CD">
              <w:rPr>
                <w:rFonts w:ascii="Times New Roman" w:hAnsi="Times New Roman"/>
                <w:sz w:val="24"/>
                <w:szCs w:val="24"/>
              </w:rPr>
              <w:t>’</w:t>
            </w:r>
            <w:r w:rsidRPr="00E67D1A">
              <w:rPr>
                <w:rFonts w:ascii="Times New Roman" w:hAnsi="Times New Roman"/>
                <w:sz w:val="24"/>
                <w:szCs w:val="24"/>
              </w:rPr>
              <w:t>s strategic policy objectives.</w:t>
            </w:r>
            <w:r>
              <w:rPr>
                <w:rFonts w:ascii="Times New Roman" w:hAnsi="Times New Roman"/>
                <w:sz w:val="24"/>
                <w:szCs w:val="24"/>
              </w:rPr>
              <w:t xml:space="preserve"> Public Procurement is also an important tool in the implementation of EU Cohesion Policy Funds</w:t>
            </w:r>
            <w:r>
              <w:rPr>
                <w:rStyle w:val="FootnoteReference"/>
                <w:rFonts w:ascii="Times New Roman" w:hAnsi="Times New Roman"/>
                <w:sz w:val="24"/>
                <w:szCs w:val="24"/>
              </w:rPr>
              <w:footnoteReference w:id="2"/>
            </w:r>
            <w:r>
              <w:rPr>
                <w:rFonts w:ascii="Times New Roman" w:hAnsi="Times New Roman"/>
                <w:sz w:val="24"/>
                <w:szCs w:val="24"/>
              </w:rPr>
              <w:t xml:space="preserve"> representing close to one third of the EU Budget, thus delivering on the objectives of territorial development, cohesion and resilience.</w:t>
            </w:r>
          </w:p>
          <w:p w14:paraId="6065875A" w14:textId="27A46FAF" w:rsidR="00F5340B" w:rsidRDefault="00F5340B" w:rsidP="00B171D3">
            <w:pPr>
              <w:widowControl w:val="0"/>
              <w:spacing w:before="120" w:after="120"/>
              <w:jc w:val="both"/>
              <w:rPr>
                <w:rFonts w:ascii="Times New Roman" w:hAnsi="Times New Roman"/>
                <w:sz w:val="24"/>
                <w:szCs w:val="24"/>
              </w:rPr>
            </w:pPr>
            <w:r w:rsidRPr="00E67D1A">
              <w:rPr>
                <w:rFonts w:ascii="Times New Roman" w:hAnsi="Times New Roman"/>
                <w:sz w:val="24"/>
                <w:szCs w:val="24"/>
              </w:rPr>
              <w:t>The Commission acknowledges the Committee</w:t>
            </w:r>
            <w:r w:rsidR="00B758CD">
              <w:rPr>
                <w:rFonts w:ascii="Times New Roman" w:hAnsi="Times New Roman"/>
                <w:sz w:val="24"/>
                <w:szCs w:val="24"/>
              </w:rPr>
              <w:t>’</w:t>
            </w:r>
            <w:r w:rsidRPr="00E67D1A">
              <w:rPr>
                <w:rFonts w:ascii="Times New Roman" w:hAnsi="Times New Roman"/>
                <w:sz w:val="24"/>
                <w:szCs w:val="24"/>
              </w:rPr>
              <w:t>s comprehensive analysis and recognises the alignment between many of the EESC</w:t>
            </w:r>
            <w:r w:rsidR="00B758CD">
              <w:rPr>
                <w:rFonts w:ascii="Times New Roman" w:hAnsi="Times New Roman"/>
                <w:sz w:val="24"/>
                <w:szCs w:val="24"/>
              </w:rPr>
              <w:t>’</w:t>
            </w:r>
            <w:r w:rsidRPr="00E67D1A">
              <w:rPr>
                <w:rFonts w:ascii="Times New Roman" w:hAnsi="Times New Roman"/>
                <w:sz w:val="24"/>
                <w:szCs w:val="24"/>
              </w:rPr>
              <w:t>s recommendations and the Commission</w:t>
            </w:r>
            <w:r w:rsidR="00B758CD">
              <w:rPr>
                <w:rFonts w:ascii="Times New Roman" w:hAnsi="Times New Roman"/>
                <w:sz w:val="24"/>
                <w:szCs w:val="24"/>
              </w:rPr>
              <w:t>’</w:t>
            </w:r>
            <w:r w:rsidRPr="00E67D1A">
              <w:rPr>
                <w:rFonts w:ascii="Times New Roman" w:hAnsi="Times New Roman"/>
                <w:sz w:val="24"/>
                <w:szCs w:val="24"/>
              </w:rPr>
              <w:t>s priorities as outlined in the Political Guidelines for 2024-2029</w:t>
            </w:r>
            <w:r>
              <w:rPr>
                <w:rStyle w:val="FootnoteReference"/>
                <w:rFonts w:ascii="Times New Roman" w:hAnsi="Times New Roman"/>
                <w:sz w:val="24"/>
                <w:szCs w:val="24"/>
              </w:rPr>
              <w:footnoteReference w:id="3"/>
            </w:r>
            <w:r w:rsidRPr="00E67D1A">
              <w:rPr>
                <w:rFonts w:ascii="Times New Roman" w:hAnsi="Times New Roman"/>
                <w:sz w:val="24"/>
                <w:szCs w:val="24"/>
              </w:rPr>
              <w:t>. The revision and simplification of public procurement rules and procedures is crucial to supporting the EU</w:t>
            </w:r>
            <w:r w:rsidR="00B758CD">
              <w:rPr>
                <w:rFonts w:ascii="Times New Roman" w:hAnsi="Times New Roman"/>
                <w:sz w:val="24"/>
                <w:szCs w:val="24"/>
              </w:rPr>
              <w:t>’</w:t>
            </w:r>
            <w:r w:rsidRPr="00E67D1A">
              <w:rPr>
                <w:rFonts w:ascii="Times New Roman" w:hAnsi="Times New Roman"/>
                <w:sz w:val="24"/>
                <w:szCs w:val="24"/>
              </w:rPr>
              <w:t>s competitiveness and resilience, while ensuring that public procurement serves as an effective tool for promoting quality jobs, climate protection, social objectives and, where appropriate, Made in Europe production.</w:t>
            </w:r>
          </w:p>
          <w:p w14:paraId="32067AA3" w14:textId="77777777" w:rsidR="00F5340B" w:rsidRPr="009608A0" w:rsidRDefault="00F5340B" w:rsidP="00B171D3">
            <w:pPr>
              <w:widowControl w:val="0"/>
              <w:spacing w:before="120" w:after="120"/>
              <w:jc w:val="both"/>
              <w:rPr>
                <w:rFonts w:ascii="Times New Roman" w:hAnsi="Times New Roman"/>
                <w:sz w:val="24"/>
                <w:szCs w:val="24"/>
              </w:rPr>
            </w:pPr>
            <w:r w:rsidRPr="009608A0">
              <w:rPr>
                <w:rFonts w:ascii="Times New Roman" w:hAnsi="Times New Roman"/>
                <w:b/>
                <w:bCs/>
                <w:sz w:val="24"/>
                <w:szCs w:val="24"/>
              </w:rPr>
              <w:t>Evaluation and impact assessment:</w:t>
            </w:r>
          </w:p>
          <w:p w14:paraId="3D9B8B1E" w14:textId="13528C21" w:rsidR="00F5340B" w:rsidRPr="009608A0" w:rsidRDefault="00F5340B" w:rsidP="00B171D3">
            <w:pPr>
              <w:widowControl w:val="0"/>
              <w:spacing w:before="120" w:after="120"/>
              <w:jc w:val="both"/>
              <w:rPr>
                <w:rFonts w:ascii="Times New Roman" w:hAnsi="Times New Roman"/>
                <w:sz w:val="24"/>
                <w:szCs w:val="24"/>
              </w:rPr>
            </w:pPr>
            <w:r w:rsidRPr="009608A0">
              <w:rPr>
                <w:rFonts w:ascii="Times New Roman" w:hAnsi="Times New Roman"/>
                <w:sz w:val="24"/>
                <w:szCs w:val="24"/>
              </w:rPr>
              <w:t>The Commission confirms that the evaluation report of the current legal framework was published on 14 October 2025 and is followed by a public consultation launched on 3 November</w:t>
            </w:r>
            <w:r w:rsidR="00E83534">
              <w:rPr>
                <w:rFonts w:ascii="Times New Roman" w:hAnsi="Times New Roman"/>
                <w:sz w:val="24"/>
                <w:szCs w:val="24"/>
              </w:rPr>
              <w:t xml:space="preserve"> 2025</w:t>
            </w:r>
            <w:r w:rsidRPr="009608A0">
              <w:rPr>
                <w:rFonts w:ascii="Times New Roman" w:hAnsi="Times New Roman"/>
                <w:sz w:val="24"/>
                <w:szCs w:val="24"/>
              </w:rPr>
              <w:t xml:space="preserve"> in preparation of a</w:t>
            </w:r>
            <w:r w:rsidR="00C4729B">
              <w:rPr>
                <w:rFonts w:ascii="Times New Roman" w:hAnsi="Times New Roman"/>
                <w:sz w:val="24"/>
                <w:szCs w:val="24"/>
              </w:rPr>
              <w:t>n</w:t>
            </w:r>
            <w:r w:rsidRPr="009608A0">
              <w:rPr>
                <w:rFonts w:ascii="Times New Roman" w:hAnsi="Times New Roman"/>
                <w:sz w:val="24"/>
                <w:szCs w:val="24"/>
              </w:rPr>
              <w:t xml:space="preserve"> impact assessment that will be carried out ahead of the revision of the public procurement legislative framework, </w:t>
            </w:r>
            <w:r w:rsidR="00C4729B">
              <w:rPr>
                <w:rFonts w:ascii="Times New Roman" w:hAnsi="Times New Roman"/>
                <w:sz w:val="24"/>
                <w:szCs w:val="24"/>
              </w:rPr>
              <w:t>planned</w:t>
            </w:r>
            <w:r w:rsidR="00C4729B" w:rsidRPr="009608A0">
              <w:rPr>
                <w:rFonts w:ascii="Times New Roman" w:hAnsi="Times New Roman"/>
                <w:sz w:val="24"/>
                <w:szCs w:val="24"/>
              </w:rPr>
              <w:t xml:space="preserve"> </w:t>
            </w:r>
            <w:r w:rsidRPr="009608A0">
              <w:rPr>
                <w:rFonts w:ascii="Times New Roman" w:hAnsi="Times New Roman"/>
                <w:sz w:val="24"/>
                <w:szCs w:val="24"/>
              </w:rPr>
              <w:t xml:space="preserve">for </w:t>
            </w:r>
            <w:r w:rsidR="00E83534">
              <w:rPr>
                <w:rFonts w:ascii="Times New Roman" w:hAnsi="Times New Roman"/>
                <w:sz w:val="24"/>
                <w:szCs w:val="24"/>
              </w:rPr>
              <w:t>the second quarter of</w:t>
            </w:r>
            <w:r w:rsidRPr="009608A0">
              <w:rPr>
                <w:rFonts w:ascii="Times New Roman" w:hAnsi="Times New Roman"/>
                <w:sz w:val="24"/>
                <w:szCs w:val="24"/>
              </w:rPr>
              <w:t xml:space="preserve"> 2026</w:t>
            </w:r>
            <w:r>
              <w:rPr>
                <w:rStyle w:val="FootnoteReference"/>
                <w:rFonts w:ascii="Times New Roman" w:hAnsi="Times New Roman"/>
                <w:sz w:val="24"/>
                <w:szCs w:val="24"/>
              </w:rPr>
              <w:footnoteReference w:id="4"/>
            </w:r>
            <w:r w:rsidRPr="009608A0">
              <w:rPr>
                <w:rFonts w:ascii="Times New Roman" w:hAnsi="Times New Roman"/>
                <w:sz w:val="24"/>
                <w:szCs w:val="24"/>
              </w:rPr>
              <w:t>.</w:t>
            </w:r>
          </w:p>
          <w:p w14:paraId="1334D7D1" w14:textId="77777777" w:rsidR="00F5340B" w:rsidRPr="009608A0" w:rsidRDefault="00F5340B" w:rsidP="00B171D3">
            <w:pPr>
              <w:widowControl w:val="0"/>
              <w:spacing w:before="120" w:after="120"/>
              <w:jc w:val="both"/>
              <w:rPr>
                <w:rFonts w:ascii="Times New Roman" w:hAnsi="Times New Roman"/>
                <w:sz w:val="24"/>
                <w:szCs w:val="24"/>
              </w:rPr>
            </w:pPr>
            <w:r w:rsidRPr="009608A0">
              <w:rPr>
                <w:rFonts w:ascii="Times New Roman" w:hAnsi="Times New Roman"/>
                <w:b/>
                <w:bCs/>
                <w:sz w:val="24"/>
                <w:szCs w:val="24"/>
              </w:rPr>
              <w:t>Simplification and reduction of regulatory burden:</w:t>
            </w:r>
          </w:p>
          <w:p w14:paraId="6D481F33" w14:textId="18DA050E" w:rsidR="00F5340B" w:rsidRPr="009608A0" w:rsidRDefault="00F5340B" w:rsidP="00B171D3">
            <w:pPr>
              <w:widowControl w:val="0"/>
              <w:spacing w:before="120" w:after="120"/>
              <w:jc w:val="both"/>
              <w:rPr>
                <w:rFonts w:ascii="Times New Roman" w:hAnsi="Times New Roman"/>
                <w:sz w:val="24"/>
                <w:szCs w:val="24"/>
              </w:rPr>
            </w:pPr>
            <w:r w:rsidRPr="009608A0">
              <w:rPr>
                <w:rFonts w:ascii="Times New Roman" w:hAnsi="Times New Roman"/>
                <w:sz w:val="24"/>
                <w:szCs w:val="24"/>
              </w:rPr>
              <w:t>With regard</w:t>
            </w:r>
            <w:r w:rsidR="00E83534">
              <w:rPr>
                <w:rFonts w:ascii="Times New Roman" w:hAnsi="Times New Roman"/>
                <w:sz w:val="24"/>
                <w:szCs w:val="24"/>
              </w:rPr>
              <w:t>s</w:t>
            </w:r>
            <w:r w:rsidRPr="009608A0">
              <w:rPr>
                <w:rFonts w:ascii="Times New Roman" w:hAnsi="Times New Roman"/>
                <w:sz w:val="24"/>
                <w:szCs w:val="24"/>
              </w:rPr>
              <w:t xml:space="preserve"> to the call to fully align the public procurement reform with strategic objectives aimed at reducing bureaucracy and regulatory burdens, simplification, maintaining high standards, and boosting competitiveness, the evaluation has confirmed the need for simplification within the current framework</w:t>
            </w:r>
            <w:r w:rsidR="00D25EE2">
              <w:rPr>
                <w:rFonts w:ascii="Times New Roman" w:hAnsi="Times New Roman"/>
                <w:sz w:val="24"/>
                <w:szCs w:val="24"/>
              </w:rPr>
              <w:t xml:space="preserve">. </w:t>
            </w:r>
            <w:r w:rsidRPr="009608A0">
              <w:rPr>
                <w:rFonts w:ascii="Times New Roman" w:hAnsi="Times New Roman"/>
                <w:sz w:val="24"/>
                <w:szCs w:val="24"/>
              </w:rPr>
              <w:t>54.1% of respondents to the open public consultation</w:t>
            </w:r>
            <w:r>
              <w:rPr>
                <w:rStyle w:val="FootnoteReference"/>
                <w:rFonts w:ascii="Times New Roman" w:hAnsi="Times New Roman"/>
                <w:sz w:val="24"/>
                <w:szCs w:val="24"/>
              </w:rPr>
              <w:footnoteReference w:id="5"/>
            </w:r>
            <w:r w:rsidRPr="009608A0">
              <w:rPr>
                <w:rFonts w:ascii="Times New Roman" w:hAnsi="Times New Roman"/>
                <w:sz w:val="24"/>
                <w:szCs w:val="24"/>
              </w:rPr>
              <w:t xml:space="preserve"> </w:t>
            </w:r>
            <w:r w:rsidR="003F393F" w:rsidRPr="009608A0">
              <w:rPr>
                <w:rFonts w:ascii="Times New Roman" w:hAnsi="Times New Roman"/>
                <w:sz w:val="24"/>
                <w:szCs w:val="24"/>
              </w:rPr>
              <w:t>stat</w:t>
            </w:r>
            <w:r w:rsidR="00780550">
              <w:rPr>
                <w:rFonts w:ascii="Times New Roman" w:hAnsi="Times New Roman"/>
                <w:sz w:val="24"/>
                <w:szCs w:val="24"/>
              </w:rPr>
              <w:t>ed</w:t>
            </w:r>
            <w:r w:rsidR="003F393F" w:rsidRPr="009608A0">
              <w:rPr>
                <w:rFonts w:ascii="Times New Roman" w:hAnsi="Times New Roman"/>
                <w:sz w:val="24"/>
                <w:szCs w:val="24"/>
              </w:rPr>
              <w:t xml:space="preserve"> </w:t>
            </w:r>
            <w:r w:rsidRPr="009608A0">
              <w:rPr>
                <w:rFonts w:ascii="Times New Roman" w:hAnsi="Times New Roman"/>
                <w:sz w:val="24"/>
                <w:szCs w:val="24"/>
              </w:rPr>
              <w:t xml:space="preserve">that the Directives had not led to simpler </w:t>
            </w:r>
            <w:r w:rsidRPr="009608A0">
              <w:rPr>
                <w:rFonts w:ascii="Times New Roman" w:hAnsi="Times New Roman"/>
                <w:sz w:val="24"/>
                <w:szCs w:val="24"/>
              </w:rPr>
              <w:lastRenderedPageBreak/>
              <w:t xml:space="preserve">rules. </w:t>
            </w:r>
            <w:proofErr w:type="gramStart"/>
            <w:r w:rsidRPr="009608A0">
              <w:rPr>
                <w:rFonts w:ascii="Times New Roman" w:hAnsi="Times New Roman"/>
                <w:sz w:val="24"/>
                <w:szCs w:val="24"/>
              </w:rPr>
              <w:t>In light of</w:t>
            </w:r>
            <w:proofErr w:type="gramEnd"/>
            <w:r w:rsidRPr="009608A0">
              <w:rPr>
                <w:rFonts w:ascii="Times New Roman" w:hAnsi="Times New Roman"/>
                <w:sz w:val="24"/>
                <w:szCs w:val="24"/>
              </w:rPr>
              <w:t xml:space="preserve"> this, the Commission will examine how the reform can address these multiple objectives in a coherent manner and how procedures can be made simpler and more flexible.</w:t>
            </w:r>
          </w:p>
          <w:p w14:paraId="02E1E32A" w14:textId="3B0FF180" w:rsidR="00F5340B" w:rsidRPr="009608A0" w:rsidRDefault="00F5340B" w:rsidP="00B171D3">
            <w:pPr>
              <w:widowControl w:val="0"/>
              <w:spacing w:before="120" w:after="120"/>
              <w:jc w:val="both"/>
              <w:rPr>
                <w:rFonts w:ascii="Times New Roman" w:hAnsi="Times New Roman"/>
                <w:sz w:val="24"/>
                <w:szCs w:val="24"/>
              </w:rPr>
            </w:pPr>
            <w:r w:rsidRPr="009608A0">
              <w:rPr>
                <w:rFonts w:ascii="Times New Roman" w:hAnsi="Times New Roman"/>
                <w:sz w:val="24"/>
                <w:szCs w:val="24"/>
              </w:rPr>
              <w:t xml:space="preserve">With regard to the call to ensure that public procurement processes are made more accessible and transparent by providing easily understandable summary tables or overviews, and to ensure the </w:t>
            </w:r>
            <w:r w:rsidR="00780550">
              <w:rPr>
                <w:rFonts w:ascii="Times New Roman" w:hAnsi="Times New Roman"/>
                <w:sz w:val="24"/>
                <w:szCs w:val="24"/>
              </w:rPr>
              <w:t>‘</w:t>
            </w:r>
            <w:r w:rsidRPr="009608A0">
              <w:rPr>
                <w:rFonts w:ascii="Times New Roman" w:hAnsi="Times New Roman"/>
                <w:sz w:val="24"/>
                <w:szCs w:val="24"/>
              </w:rPr>
              <w:t>once only</w:t>
            </w:r>
            <w:r w:rsidR="00780550">
              <w:rPr>
                <w:rFonts w:ascii="Times New Roman" w:hAnsi="Times New Roman"/>
                <w:sz w:val="24"/>
                <w:szCs w:val="24"/>
              </w:rPr>
              <w:t>’</w:t>
            </w:r>
            <w:r w:rsidRPr="009608A0">
              <w:rPr>
                <w:rFonts w:ascii="Times New Roman" w:hAnsi="Times New Roman"/>
                <w:sz w:val="24"/>
                <w:szCs w:val="24"/>
              </w:rPr>
              <w:t xml:space="preserve"> principle is applied consistently at all levels of </w:t>
            </w:r>
            <w:r w:rsidR="00F838B1">
              <w:rPr>
                <w:rFonts w:ascii="Times New Roman" w:hAnsi="Times New Roman"/>
                <w:sz w:val="24"/>
                <w:szCs w:val="24"/>
              </w:rPr>
              <w:t xml:space="preserve">the </w:t>
            </w:r>
            <w:r w:rsidRPr="009608A0">
              <w:rPr>
                <w:rFonts w:ascii="Times New Roman" w:hAnsi="Times New Roman"/>
                <w:sz w:val="24"/>
                <w:szCs w:val="24"/>
              </w:rPr>
              <w:t xml:space="preserve">administration, the evaluation highlights that </w:t>
            </w:r>
            <w:r w:rsidR="00780550">
              <w:rPr>
                <w:rFonts w:ascii="Times New Roman" w:hAnsi="Times New Roman"/>
                <w:sz w:val="24"/>
                <w:szCs w:val="24"/>
              </w:rPr>
              <w:t xml:space="preserve">the </w:t>
            </w:r>
            <w:r w:rsidRPr="009608A0">
              <w:rPr>
                <w:rFonts w:ascii="Times New Roman" w:hAnsi="Times New Roman"/>
                <w:sz w:val="24"/>
                <w:szCs w:val="24"/>
              </w:rPr>
              <w:t xml:space="preserve">majority of respondents to the </w:t>
            </w:r>
            <w:r w:rsidR="00780550">
              <w:rPr>
                <w:rFonts w:ascii="Times New Roman" w:hAnsi="Times New Roman"/>
                <w:sz w:val="24"/>
                <w:szCs w:val="24"/>
              </w:rPr>
              <w:t xml:space="preserve">open </w:t>
            </w:r>
            <w:r w:rsidRPr="009608A0">
              <w:rPr>
                <w:rFonts w:ascii="Times New Roman" w:hAnsi="Times New Roman"/>
                <w:sz w:val="24"/>
                <w:szCs w:val="24"/>
              </w:rPr>
              <w:t>public consultation</w:t>
            </w:r>
            <w:r w:rsidR="009B34CE">
              <w:rPr>
                <w:rFonts w:ascii="Times New Roman" w:hAnsi="Times New Roman"/>
                <w:sz w:val="24"/>
                <w:szCs w:val="24"/>
              </w:rPr>
              <w:t xml:space="preserve"> </w:t>
            </w:r>
            <w:r w:rsidRPr="009608A0">
              <w:rPr>
                <w:rFonts w:ascii="Times New Roman" w:hAnsi="Times New Roman"/>
                <w:sz w:val="24"/>
                <w:szCs w:val="24"/>
              </w:rPr>
              <w:t>do not believe that the Directives have established simpler rules for EU public procurement</w:t>
            </w:r>
            <w:r>
              <w:rPr>
                <w:rStyle w:val="FootnoteReference"/>
                <w:rFonts w:ascii="Times New Roman" w:hAnsi="Times New Roman"/>
                <w:sz w:val="24"/>
                <w:szCs w:val="24"/>
              </w:rPr>
              <w:footnoteReference w:id="6"/>
            </w:r>
            <w:r w:rsidR="00F275F7">
              <w:rPr>
                <w:rFonts w:ascii="Times New Roman" w:hAnsi="Times New Roman"/>
                <w:sz w:val="24"/>
                <w:szCs w:val="24"/>
              </w:rPr>
              <w:t>.</w:t>
            </w:r>
            <w:r w:rsidR="00736908">
              <w:rPr>
                <w:rFonts w:ascii="Times New Roman" w:hAnsi="Times New Roman"/>
                <w:sz w:val="24"/>
                <w:szCs w:val="24"/>
              </w:rPr>
              <w:t xml:space="preserve"> </w:t>
            </w:r>
            <w:r w:rsidRPr="009608A0">
              <w:rPr>
                <w:rFonts w:ascii="Times New Roman" w:hAnsi="Times New Roman"/>
                <w:sz w:val="24"/>
                <w:szCs w:val="24"/>
              </w:rPr>
              <w:t>69% of local and regional authorities report increased complexity arising from gold-plating</w:t>
            </w:r>
            <w:r>
              <w:rPr>
                <w:rStyle w:val="FootnoteReference"/>
                <w:rFonts w:ascii="Times New Roman" w:hAnsi="Times New Roman"/>
                <w:sz w:val="24"/>
                <w:szCs w:val="24"/>
              </w:rPr>
              <w:footnoteReference w:id="7"/>
            </w:r>
            <w:r w:rsidRPr="009608A0">
              <w:rPr>
                <w:rFonts w:ascii="Times New Roman" w:hAnsi="Times New Roman"/>
                <w:sz w:val="24"/>
                <w:szCs w:val="24"/>
              </w:rPr>
              <w:t xml:space="preserve">, i.e. the addition of regulatory requirements by Member States when transposing the EU Directives. </w:t>
            </w:r>
            <w:r>
              <w:rPr>
                <w:rFonts w:ascii="Times New Roman" w:hAnsi="Times New Roman"/>
                <w:sz w:val="24"/>
                <w:szCs w:val="24"/>
              </w:rPr>
              <w:t xml:space="preserve">The </w:t>
            </w:r>
            <w:r w:rsidRPr="009608A0">
              <w:rPr>
                <w:rFonts w:ascii="Times New Roman" w:hAnsi="Times New Roman"/>
                <w:sz w:val="24"/>
                <w:szCs w:val="24"/>
              </w:rPr>
              <w:t>Commission will place the issue of simplification at the heart of its impact assessment.</w:t>
            </w:r>
          </w:p>
          <w:p w14:paraId="2ED46AA5" w14:textId="77777777" w:rsidR="00F5340B" w:rsidRPr="009608A0" w:rsidRDefault="00F5340B" w:rsidP="00B171D3">
            <w:pPr>
              <w:widowControl w:val="0"/>
              <w:spacing w:before="120" w:after="120"/>
              <w:jc w:val="both"/>
              <w:rPr>
                <w:rFonts w:ascii="Times New Roman" w:hAnsi="Times New Roman"/>
                <w:sz w:val="24"/>
                <w:szCs w:val="24"/>
              </w:rPr>
            </w:pPr>
            <w:r>
              <w:rPr>
                <w:rFonts w:ascii="Times New Roman" w:hAnsi="Times New Roman"/>
                <w:b/>
                <w:bCs/>
                <w:sz w:val="24"/>
                <w:szCs w:val="24"/>
              </w:rPr>
              <w:t>A</w:t>
            </w:r>
            <w:r w:rsidRPr="009608A0">
              <w:rPr>
                <w:rFonts w:ascii="Times New Roman" w:hAnsi="Times New Roman"/>
                <w:b/>
                <w:bCs/>
                <w:sz w:val="24"/>
                <w:szCs w:val="24"/>
              </w:rPr>
              <w:t>ddressing fragmentation:</w:t>
            </w:r>
          </w:p>
          <w:p w14:paraId="260C121D" w14:textId="31211607" w:rsidR="00F5340B" w:rsidRPr="00823676" w:rsidRDefault="00F5340B" w:rsidP="00B171D3">
            <w:pPr>
              <w:widowControl w:val="0"/>
              <w:spacing w:before="120" w:after="120"/>
              <w:jc w:val="both"/>
              <w:rPr>
                <w:rFonts w:ascii="Times New Roman" w:hAnsi="Times New Roman"/>
                <w:sz w:val="24"/>
                <w:szCs w:val="24"/>
                <w:lang w:val="en-IE"/>
              </w:rPr>
            </w:pPr>
            <w:r>
              <w:rPr>
                <w:rFonts w:ascii="Times New Roman" w:hAnsi="Times New Roman"/>
                <w:sz w:val="24"/>
                <w:szCs w:val="24"/>
              </w:rPr>
              <w:t>On the</w:t>
            </w:r>
            <w:r w:rsidRPr="009608A0">
              <w:rPr>
                <w:rFonts w:ascii="Times New Roman" w:hAnsi="Times New Roman"/>
                <w:sz w:val="24"/>
                <w:szCs w:val="24"/>
              </w:rPr>
              <w:t xml:space="preserve"> EESC</w:t>
            </w:r>
            <w:r w:rsidR="00754D2C">
              <w:rPr>
                <w:rFonts w:ascii="Times New Roman" w:hAnsi="Times New Roman"/>
                <w:sz w:val="24"/>
                <w:szCs w:val="24"/>
              </w:rPr>
              <w:t>’</w:t>
            </w:r>
            <w:r w:rsidRPr="009608A0">
              <w:rPr>
                <w:rFonts w:ascii="Times New Roman" w:hAnsi="Times New Roman"/>
                <w:sz w:val="24"/>
                <w:szCs w:val="24"/>
              </w:rPr>
              <w:t>s concerns about fragmentation across Member States</w:t>
            </w:r>
            <w:r w:rsidR="00ED4FDA">
              <w:rPr>
                <w:rFonts w:ascii="Times New Roman" w:hAnsi="Times New Roman"/>
                <w:sz w:val="24"/>
                <w:szCs w:val="24"/>
              </w:rPr>
              <w:t>’</w:t>
            </w:r>
            <w:r w:rsidRPr="009608A0">
              <w:rPr>
                <w:rFonts w:ascii="Times New Roman" w:hAnsi="Times New Roman"/>
                <w:sz w:val="24"/>
                <w:szCs w:val="24"/>
              </w:rPr>
              <w:t xml:space="preserve"> procurement systems</w:t>
            </w:r>
            <w:r>
              <w:rPr>
                <w:rFonts w:ascii="Times New Roman" w:hAnsi="Times New Roman"/>
                <w:sz w:val="24"/>
                <w:szCs w:val="24"/>
              </w:rPr>
              <w:t xml:space="preserve"> and </w:t>
            </w:r>
            <w:r w:rsidRPr="009608A0">
              <w:rPr>
                <w:rFonts w:ascii="Times New Roman" w:hAnsi="Times New Roman"/>
                <w:sz w:val="24"/>
                <w:szCs w:val="24"/>
              </w:rPr>
              <w:t xml:space="preserve">call for </w:t>
            </w:r>
            <w:r>
              <w:rPr>
                <w:rFonts w:ascii="Times New Roman" w:hAnsi="Times New Roman"/>
                <w:sz w:val="24"/>
                <w:szCs w:val="24"/>
              </w:rPr>
              <w:t>coordination, t</w:t>
            </w:r>
            <w:r w:rsidRPr="00A64ECD">
              <w:rPr>
                <w:rFonts w:ascii="Times New Roman" w:hAnsi="Times New Roman"/>
                <w:sz w:val="24"/>
                <w:szCs w:val="24"/>
              </w:rPr>
              <w:t>he evaluation found that the 2014 Directives effectively increased the transparency of procurement procedures by almost doubling the number of tenders published on T</w:t>
            </w:r>
            <w:r>
              <w:rPr>
                <w:rFonts w:ascii="Times New Roman" w:hAnsi="Times New Roman"/>
                <w:sz w:val="24"/>
                <w:szCs w:val="24"/>
              </w:rPr>
              <w:t xml:space="preserve">enders Electronic </w:t>
            </w:r>
            <w:r w:rsidRPr="00A64ECD">
              <w:rPr>
                <w:rFonts w:ascii="Times New Roman" w:hAnsi="Times New Roman"/>
                <w:sz w:val="24"/>
                <w:szCs w:val="24"/>
              </w:rPr>
              <w:t>D</w:t>
            </w:r>
            <w:r>
              <w:rPr>
                <w:rFonts w:ascii="Times New Roman" w:hAnsi="Times New Roman"/>
                <w:sz w:val="24"/>
                <w:szCs w:val="24"/>
              </w:rPr>
              <w:t>aily (TED)</w:t>
            </w:r>
            <w:r>
              <w:rPr>
                <w:rStyle w:val="FootnoteReference"/>
                <w:rFonts w:ascii="Times New Roman" w:hAnsi="Times New Roman"/>
                <w:sz w:val="24"/>
                <w:szCs w:val="24"/>
              </w:rPr>
              <w:footnoteReference w:id="8"/>
            </w:r>
            <w:r w:rsidRPr="00A64ECD">
              <w:rPr>
                <w:rFonts w:ascii="Times New Roman" w:hAnsi="Times New Roman"/>
                <w:sz w:val="24"/>
                <w:szCs w:val="24"/>
              </w:rPr>
              <w:t>. However, the evaluation also identified persistent data gaps and concerns over data quality, finding that despite regulatory efforts, the lack of publication of key information has increased in many Member States</w:t>
            </w:r>
            <w:r>
              <w:rPr>
                <w:rStyle w:val="FootnoteReference"/>
                <w:rFonts w:ascii="Times New Roman" w:hAnsi="Times New Roman"/>
                <w:sz w:val="24"/>
                <w:szCs w:val="24"/>
              </w:rPr>
              <w:footnoteReference w:id="9"/>
            </w:r>
            <w:r w:rsidRPr="00A64ECD">
              <w:rPr>
                <w:rFonts w:ascii="Times New Roman" w:hAnsi="Times New Roman"/>
                <w:sz w:val="24"/>
                <w:szCs w:val="24"/>
              </w:rPr>
              <w:t xml:space="preserve">. </w:t>
            </w:r>
            <w:r>
              <w:rPr>
                <w:rFonts w:ascii="Times New Roman" w:hAnsi="Times New Roman"/>
                <w:sz w:val="24"/>
                <w:szCs w:val="24"/>
              </w:rPr>
              <w:t>In the context of the reform, t</w:t>
            </w:r>
            <w:r w:rsidRPr="00A64ECD">
              <w:rPr>
                <w:rFonts w:ascii="Times New Roman" w:hAnsi="Times New Roman"/>
                <w:sz w:val="24"/>
                <w:szCs w:val="24"/>
              </w:rPr>
              <w:t>he Commission will therefore examine how digital tools can be better leveraged to enhance transparency and accountability in public procurement processes</w:t>
            </w:r>
            <w:r>
              <w:rPr>
                <w:rFonts w:ascii="Times New Roman" w:hAnsi="Times New Roman"/>
                <w:sz w:val="24"/>
                <w:szCs w:val="24"/>
              </w:rPr>
              <w:t xml:space="preserve">, not least to </w:t>
            </w:r>
            <w:r w:rsidR="00335E92">
              <w:rPr>
                <w:rFonts w:ascii="Times New Roman" w:hAnsi="Times New Roman"/>
                <w:sz w:val="24"/>
                <w:szCs w:val="24"/>
              </w:rPr>
              <w:t>prevent</w:t>
            </w:r>
            <w:r>
              <w:rPr>
                <w:rFonts w:ascii="Times New Roman" w:hAnsi="Times New Roman"/>
                <w:sz w:val="24"/>
                <w:szCs w:val="24"/>
              </w:rPr>
              <w:t xml:space="preserve"> irregular practices</w:t>
            </w:r>
            <w:r w:rsidR="00335E92">
              <w:rPr>
                <w:rFonts w:ascii="Times New Roman" w:hAnsi="Times New Roman"/>
                <w:sz w:val="24"/>
                <w:szCs w:val="24"/>
              </w:rPr>
              <w:t xml:space="preserve">, </w:t>
            </w:r>
            <w:r>
              <w:rPr>
                <w:rFonts w:ascii="Times New Roman" w:hAnsi="Times New Roman"/>
                <w:sz w:val="24"/>
                <w:szCs w:val="24"/>
              </w:rPr>
              <w:t>corruption</w:t>
            </w:r>
            <w:r w:rsidR="00335E92">
              <w:rPr>
                <w:rFonts w:ascii="Times New Roman" w:hAnsi="Times New Roman"/>
                <w:sz w:val="24"/>
                <w:szCs w:val="24"/>
              </w:rPr>
              <w:t xml:space="preserve"> </w:t>
            </w:r>
            <w:r w:rsidR="00335E92" w:rsidRPr="00902DCA">
              <w:rPr>
                <w:rFonts w:ascii="Times New Roman" w:hAnsi="Times New Roman"/>
                <w:sz w:val="24"/>
                <w:szCs w:val="24"/>
              </w:rPr>
              <w:t xml:space="preserve">and </w:t>
            </w:r>
            <w:r w:rsidR="00335E92">
              <w:rPr>
                <w:rFonts w:ascii="Times New Roman" w:hAnsi="Times New Roman"/>
                <w:sz w:val="24"/>
                <w:szCs w:val="24"/>
              </w:rPr>
              <w:t xml:space="preserve">better detect </w:t>
            </w:r>
            <w:r w:rsidR="00335E92" w:rsidRPr="00902DCA">
              <w:rPr>
                <w:rFonts w:ascii="Times New Roman" w:hAnsi="Times New Roman"/>
                <w:sz w:val="24"/>
                <w:szCs w:val="24"/>
              </w:rPr>
              <w:t>anti-competitive practices</w:t>
            </w:r>
            <w:r w:rsidR="00AF72DE">
              <w:rPr>
                <w:rFonts w:ascii="Times New Roman" w:hAnsi="Times New Roman"/>
                <w:sz w:val="24"/>
                <w:szCs w:val="24"/>
              </w:rPr>
              <w:t xml:space="preserve">. </w:t>
            </w:r>
          </w:p>
          <w:p w14:paraId="381FA8AB" w14:textId="77777777" w:rsidR="00F5340B" w:rsidRPr="009608A0" w:rsidRDefault="00F5340B" w:rsidP="00B171D3">
            <w:pPr>
              <w:widowControl w:val="0"/>
              <w:spacing w:before="120" w:after="120"/>
              <w:jc w:val="both"/>
              <w:rPr>
                <w:rFonts w:ascii="Times New Roman" w:hAnsi="Times New Roman"/>
                <w:sz w:val="24"/>
                <w:szCs w:val="24"/>
              </w:rPr>
            </w:pPr>
            <w:r w:rsidRPr="009608A0">
              <w:rPr>
                <w:rFonts w:ascii="Times New Roman" w:hAnsi="Times New Roman"/>
                <w:b/>
                <w:bCs/>
                <w:sz w:val="24"/>
                <w:szCs w:val="24"/>
              </w:rPr>
              <w:t>Promoting quality through the Most Economically Advantageous Tender (MEAT)</w:t>
            </w:r>
            <w:r>
              <w:rPr>
                <w:rFonts w:ascii="Times New Roman" w:hAnsi="Times New Roman"/>
                <w:b/>
                <w:bCs/>
                <w:sz w:val="24"/>
                <w:szCs w:val="24"/>
              </w:rPr>
              <w:t xml:space="preserve"> and non-price criteria</w:t>
            </w:r>
            <w:r w:rsidRPr="009608A0">
              <w:rPr>
                <w:rFonts w:ascii="Times New Roman" w:hAnsi="Times New Roman"/>
                <w:b/>
                <w:bCs/>
                <w:sz w:val="24"/>
                <w:szCs w:val="24"/>
              </w:rPr>
              <w:t>:</w:t>
            </w:r>
          </w:p>
          <w:p w14:paraId="31968290" w14:textId="36252380" w:rsidR="00F5340B" w:rsidRDefault="00F5340B" w:rsidP="00B171D3">
            <w:pPr>
              <w:widowControl w:val="0"/>
              <w:spacing w:before="120" w:after="120"/>
              <w:jc w:val="both"/>
              <w:rPr>
                <w:rFonts w:ascii="Times New Roman" w:hAnsi="Times New Roman"/>
                <w:sz w:val="24"/>
                <w:szCs w:val="24"/>
              </w:rPr>
            </w:pPr>
            <w:r w:rsidRPr="00213D00">
              <w:rPr>
                <w:rFonts w:ascii="Times New Roman" w:hAnsi="Times New Roman"/>
                <w:sz w:val="24"/>
                <w:szCs w:val="24"/>
              </w:rPr>
              <w:t>The evaluation highlights that the strategic use of public procurement remains very uneven across Member States, but that the attachment to non-price criteria is growing</w:t>
            </w:r>
            <w:r>
              <w:rPr>
                <w:rStyle w:val="FootnoteReference"/>
                <w:rFonts w:ascii="Times New Roman" w:hAnsi="Times New Roman"/>
                <w:sz w:val="24"/>
                <w:szCs w:val="24"/>
              </w:rPr>
              <w:footnoteReference w:id="10"/>
            </w:r>
            <w:r w:rsidRPr="00213D00">
              <w:rPr>
                <w:rFonts w:ascii="Times New Roman" w:hAnsi="Times New Roman"/>
                <w:sz w:val="24"/>
                <w:szCs w:val="24"/>
              </w:rPr>
              <w:t xml:space="preserve">. </w:t>
            </w:r>
            <w:r w:rsidR="00AF72DE">
              <w:rPr>
                <w:rFonts w:ascii="Times New Roman" w:hAnsi="Times New Roman"/>
                <w:sz w:val="24"/>
                <w:szCs w:val="24"/>
              </w:rPr>
              <w:t>Within the framework of the revision, the Commission will ensure that c</w:t>
            </w:r>
            <w:r w:rsidRPr="00213D00">
              <w:rPr>
                <w:rFonts w:ascii="Times New Roman" w:hAnsi="Times New Roman"/>
                <w:sz w:val="24"/>
                <w:szCs w:val="24"/>
              </w:rPr>
              <w:t xml:space="preserve">ontracting authorities should be better enabled to </w:t>
            </w:r>
            <w:proofErr w:type="gramStart"/>
            <w:r w:rsidRPr="00213D00">
              <w:rPr>
                <w:rFonts w:ascii="Times New Roman" w:hAnsi="Times New Roman"/>
                <w:sz w:val="24"/>
                <w:szCs w:val="24"/>
              </w:rPr>
              <w:t>take into account</w:t>
            </w:r>
            <w:proofErr w:type="gramEnd"/>
            <w:r w:rsidRPr="00213D00">
              <w:rPr>
                <w:rFonts w:ascii="Times New Roman" w:hAnsi="Times New Roman"/>
                <w:sz w:val="24"/>
                <w:szCs w:val="24"/>
              </w:rPr>
              <w:t xml:space="preserve"> the long-term economic benefits throughout the life cycle, including, where appropriate, quality, innovation and environmental and social considerations, as well as emerging priorities such as economic security.</w:t>
            </w:r>
          </w:p>
          <w:p w14:paraId="761B8B00" w14:textId="77777777" w:rsidR="00F5340B" w:rsidRPr="009608A0" w:rsidRDefault="00F5340B" w:rsidP="00B171D3">
            <w:pPr>
              <w:widowControl w:val="0"/>
              <w:spacing w:before="120" w:after="120"/>
              <w:jc w:val="both"/>
              <w:rPr>
                <w:rFonts w:ascii="Times New Roman" w:hAnsi="Times New Roman"/>
                <w:sz w:val="24"/>
                <w:szCs w:val="24"/>
              </w:rPr>
            </w:pPr>
            <w:r w:rsidRPr="009608A0">
              <w:rPr>
                <w:rFonts w:ascii="Times New Roman" w:hAnsi="Times New Roman"/>
                <w:b/>
                <w:bCs/>
                <w:sz w:val="24"/>
                <w:szCs w:val="24"/>
              </w:rPr>
              <w:t>Developing practical tools for social and environmental criteria:</w:t>
            </w:r>
          </w:p>
          <w:p w14:paraId="19B08426" w14:textId="2808E4ED" w:rsidR="00F5340B" w:rsidRPr="00213D00" w:rsidRDefault="00F5340B" w:rsidP="00B171D3">
            <w:pPr>
              <w:widowControl w:val="0"/>
              <w:spacing w:before="120" w:after="120"/>
              <w:jc w:val="both"/>
              <w:rPr>
                <w:rFonts w:ascii="Times New Roman" w:hAnsi="Times New Roman"/>
                <w:sz w:val="24"/>
                <w:szCs w:val="24"/>
              </w:rPr>
            </w:pPr>
            <w:r w:rsidRPr="009608A0">
              <w:rPr>
                <w:rFonts w:ascii="Times New Roman" w:hAnsi="Times New Roman"/>
                <w:sz w:val="24"/>
                <w:szCs w:val="24"/>
              </w:rPr>
              <w:t xml:space="preserve">Concerning the call to develop and promote programmes at EU level with a focus on making better use of non-price criteria by establishing </w:t>
            </w:r>
            <w:r w:rsidR="009B34CE">
              <w:rPr>
                <w:rFonts w:ascii="Times New Roman" w:hAnsi="Times New Roman"/>
                <w:sz w:val="24"/>
                <w:szCs w:val="24"/>
              </w:rPr>
              <w:t>‘</w:t>
            </w:r>
            <w:r w:rsidRPr="009608A0">
              <w:rPr>
                <w:rFonts w:ascii="Times New Roman" w:hAnsi="Times New Roman"/>
                <w:sz w:val="24"/>
                <w:szCs w:val="24"/>
              </w:rPr>
              <w:t>ready-to-use</w:t>
            </w:r>
            <w:r w:rsidR="009B34CE">
              <w:rPr>
                <w:rFonts w:ascii="Times New Roman" w:hAnsi="Times New Roman"/>
                <w:sz w:val="24"/>
                <w:szCs w:val="24"/>
              </w:rPr>
              <w:t>’</w:t>
            </w:r>
            <w:r w:rsidRPr="009608A0">
              <w:rPr>
                <w:rFonts w:ascii="Times New Roman" w:hAnsi="Times New Roman"/>
                <w:sz w:val="24"/>
                <w:szCs w:val="24"/>
              </w:rPr>
              <w:t xml:space="preserve"> environmental and social criteria, </w:t>
            </w:r>
            <w:r w:rsidRPr="00A64ECD">
              <w:rPr>
                <w:rFonts w:ascii="Times New Roman" w:hAnsi="Times New Roman"/>
                <w:sz w:val="24"/>
                <w:szCs w:val="24"/>
              </w:rPr>
              <w:t>the Commission recalls</w:t>
            </w:r>
            <w:r w:rsidRPr="006341A1">
              <w:rPr>
                <w:rFonts w:ascii="Times New Roman" w:hAnsi="Times New Roman"/>
                <w:sz w:val="24"/>
                <w:szCs w:val="24"/>
              </w:rPr>
              <w:t xml:space="preserve"> </w:t>
            </w:r>
            <w:r>
              <w:rPr>
                <w:rFonts w:ascii="Times New Roman" w:hAnsi="Times New Roman"/>
                <w:sz w:val="24"/>
                <w:szCs w:val="24"/>
              </w:rPr>
              <w:t>that it</w:t>
            </w:r>
            <w:r w:rsidRPr="002D2829">
              <w:rPr>
                <w:rFonts w:ascii="Times New Roman" w:hAnsi="Times New Roman"/>
                <w:sz w:val="24"/>
                <w:szCs w:val="24"/>
              </w:rPr>
              <w:t xml:space="preserve"> has launched various initiatives aimed at promoting</w:t>
            </w:r>
            <w:r>
              <w:rPr>
                <w:rFonts w:ascii="Times New Roman" w:hAnsi="Times New Roman"/>
                <w:sz w:val="24"/>
                <w:szCs w:val="24"/>
              </w:rPr>
              <w:t xml:space="preserve"> </w:t>
            </w:r>
            <w:r w:rsidRPr="002D2829">
              <w:rPr>
                <w:rFonts w:ascii="Times New Roman" w:hAnsi="Times New Roman"/>
                <w:sz w:val="24"/>
                <w:szCs w:val="24"/>
              </w:rPr>
              <w:t>socially responsible public procurement</w:t>
            </w:r>
            <w:r>
              <w:rPr>
                <w:rFonts w:ascii="Times New Roman" w:hAnsi="Times New Roman"/>
                <w:sz w:val="24"/>
                <w:szCs w:val="24"/>
              </w:rPr>
              <w:t xml:space="preserve">. </w:t>
            </w:r>
            <w:r w:rsidRPr="002D2829">
              <w:rPr>
                <w:rFonts w:ascii="Times New Roman" w:hAnsi="Times New Roman"/>
                <w:sz w:val="24"/>
                <w:szCs w:val="24"/>
              </w:rPr>
              <w:t>These efforts included the provision of training sessions for public procurement officers in all 27 Member States</w:t>
            </w:r>
            <w:r>
              <w:rPr>
                <w:rStyle w:val="FootnoteReference"/>
                <w:rFonts w:ascii="Times New Roman" w:hAnsi="Times New Roman"/>
                <w:sz w:val="24"/>
                <w:szCs w:val="24"/>
              </w:rPr>
              <w:footnoteReference w:id="11"/>
            </w:r>
            <w:r w:rsidRPr="002D2829">
              <w:rPr>
                <w:rFonts w:ascii="Times New Roman" w:hAnsi="Times New Roman"/>
                <w:sz w:val="24"/>
                <w:szCs w:val="24"/>
              </w:rPr>
              <w:t>, the publication of guidance documents</w:t>
            </w:r>
            <w:r>
              <w:rPr>
                <w:rStyle w:val="FootnoteReference"/>
                <w:rFonts w:ascii="Times New Roman" w:hAnsi="Times New Roman"/>
                <w:sz w:val="24"/>
                <w:szCs w:val="24"/>
              </w:rPr>
              <w:footnoteReference w:id="12"/>
            </w:r>
            <w:r>
              <w:rPr>
                <w:rFonts w:ascii="Times New Roman" w:hAnsi="Times New Roman"/>
                <w:sz w:val="24"/>
                <w:szCs w:val="24"/>
              </w:rPr>
              <w:t xml:space="preserve"> or </w:t>
            </w:r>
            <w:r w:rsidRPr="002D2829">
              <w:rPr>
                <w:rFonts w:ascii="Times New Roman" w:hAnsi="Times New Roman"/>
                <w:sz w:val="24"/>
                <w:szCs w:val="24"/>
              </w:rPr>
              <w:t xml:space="preserve">the compilation of good </w:t>
            </w:r>
            <w:r>
              <w:rPr>
                <w:rFonts w:ascii="Times New Roman" w:hAnsi="Times New Roman"/>
                <w:sz w:val="24"/>
                <w:szCs w:val="24"/>
              </w:rPr>
              <w:t xml:space="preserve">socially </w:t>
            </w:r>
            <w:r>
              <w:rPr>
                <w:rFonts w:ascii="Times New Roman" w:hAnsi="Times New Roman"/>
                <w:sz w:val="24"/>
                <w:szCs w:val="24"/>
              </w:rPr>
              <w:lastRenderedPageBreak/>
              <w:t>responsible public procurement</w:t>
            </w:r>
            <w:r w:rsidRPr="002D2829">
              <w:rPr>
                <w:rFonts w:ascii="Times New Roman" w:hAnsi="Times New Roman"/>
                <w:sz w:val="24"/>
                <w:szCs w:val="24"/>
              </w:rPr>
              <w:t xml:space="preserve"> examples</w:t>
            </w:r>
            <w:r>
              <w:rPr>
                <w:rStyle w:val="FootnoteReference"/>
                <w:rFonts w:ascii="Times New Roman" w:hAnsi="Times New Roman"/>
                <w:sz w:val="24"/>
                <w:szCs w:val="24"/>
              </w:rPr>
              <w:footnoteReference w:id="13"/>
            </w:r>
            <w:r>
              <w:rPr>
                <w:rFonts w:ascii="Times New Roman" w:hAnsi="Times New Roman"/>
                <w:sz w:val="24"/>
                <w:szCs w:val="24"/>
              </w:rPr>
              <w:t xml:space="preserve">. On environmental criteria, </w:t>
            </w:r>
            <w:r w:rsidRPr="00E54610">
              <w:rPr>
                <w:rFonts w:ascii="Times New Roman" w:hAnsi="Times New Roman"/>
                <w:sz w:val="24"/>
                <w:szCs w:val="24"/>
              </w:rPr>
              <w:t>the Commission subsequently developed numerous activities and tools, such as the Green Public Procurement Helpdesk</w:t>
            </w:r>
            <w:r>
              <w:rPr>
                <w:rStyle w:val="FootnoteReference"/>
                <w:rFonts w:ascii="Times New Roman" w:hAnsi="Times New Roman"/>
                <w:sz w:val="24"/>
                <w:szCs w:val="24"/>
              </w:rPr>
              <w:footnoteReference w:id="14"/>
            </w:r>
            <w:r w:rsidRPr="00E54610">
              <w:rPr>
                <w:rFonts w:ascii="Times New Roman" w:hAnsi="Times New Roman"/>
                <w:sz w:val="24"/>
                <w:szCs w:val="24"/>
              </w:rPr>
              <w:t>, voluntary Green Public Procurement Criteria and EU Ecolabel Manuals</w:t>
            </w:r>
            <w:r>
              <w:rPr>
                <w:rStyle w:val="FootnoteReference"/>
                <w:rFonts w:ascii="Times New Roman" w:hAnsi="Times New Roman"/>
                <w:sz w:val="24"/>
                <w:szCs w:val="24"/>
              </w:rPr>
              <w:footnoteReference w:id="15"/>
            </w:r>
            <w:r w:rsidRPr="00E54610">
              <w:rPr>
                <w:rFonts w:ascii="Times New Roman" w:hAnsi="Times New Roman"/>
                <w:sz w:val="24"/>
                <w:szCs w:val="24"/>
              </w:rPr>
              <w:t xml:space="preserve">, </w:t>
            </w:r>
            <w:r w:rsidR="00BC0434">
              <w:rPr>
                <w:rFonts w:ascii="Times New Roman" w:hAnsi="Times New Roman"/>
                <w:sz w:val="24"/>
                <w:szCs w:val="24"/>
              </w:rPr>
              <w:t>provision of training for national public procurement officers in several Member States, the development of a training toolkit</w:t>
            </w:r>
            <w:r w:rsidR="00BC0434">
              <w:rPr>
                <w:rStyle w:val="FootnoteReference"/>
                <w:rFonts w:ascii="Times New Roman" w:hAnsi="Times New Roman"/>
                <w:sz w:val="24"/>
                <w:szCs w:val="24"/>
              </w:rPr>
              <w:footnoteReference w:id="16"/>
            </w:r>
            <w:r w:rsidR="00BC0434">
              <w:rPr>
                <w:rFonts w:ascii="Times New Roman" w:hAnsi="Times New Roman"/>
                <w:sz w:val="24"/>
                <w:szCs w:val="24"/>
              </w:rPr>
              <w:t>, the organi</w:t>
            </w:r>
            <w:r w:rsidR="00754D2C">
              <w:rPr>
                <w:rFonts w:ascii="Times New Roman" w:hAnsi="Times New Roman"/>
                <w:sz w:val="24"/>
                <w:szCs w:val="24"/>
              </w:rPr>
              <w:t>s</w:t>
            </w:r>
            <w:r w:rsidR="00BC0434">
              <w:rPr>
                <w:rFonts w:ascii="Times New Roman" w:hAnsi="Times New Roman"/>
                <w:sz w:val="24"/>
                <w:szCs w:val="24"/>
              </w:rPr>
              <w:t>ation</w:t>
            </w:r>
            <w:r w:rsidR="00BF23BE">
              <w:rPr>
                <w:rFonts w:ascii="Times New Roman" w:hAnsi="Times New Roman"/>
                <w:sz w:val="24"/>
                <w:szCs w:val="24"/>
              </w:rPr>
              <w:t xml:space="preserve"> of</w:t>
            </w:r>
            <w:r w:rsidR="00BC0434">
              <w:rPr>
                <w:rFonts w:ascii="Times New Roman" w:hAnsi="Times New Roman"/>
                <w:sz w:val="24"/>
                <w:szCs w:val="24"/>
              </w:rPr>
              <w:t xml:space="preserve"> webinars on different topics related to sustainable public procurement</w:t>
            </w:r>
            <w:r w:rsidR="00BC0434">
              <w:rPr>
                <w:rStyle w:val="FootnoteReference"/>
                <w:rFonts w:ascii="Times New Roman" w:hAnsi="Times New Roman"/>
                <w:sz w:val="24"/>
                <w:szCs w:val="24"/>
              </w:rPr>
              <w:footnoteReference w:id="17"/>
            </w:r>
            <w:r w:rsidR="00BC0434">
              <w:rPr>
                <w:rFonts w:ascii="Times New Roman" w:hAnsi="Times New Roman"/>
                <w:sz w:val="24"/>
                <w:szCs w:val="24"/>
              </w:rPr>
              <w:t>, publication of guidance documents, the development of life cycle assessment tools</w:t>
            </w:r>
            <w:r w:rsidR="00BC0434">
              <w:rPr>
                <w:rStyle w:val="FootnoteReference"/>
                <w:rFonts w:ascii="Times New Roman" w:hAnsi="Times New Roman"/>
                <w:sz w:val="24"/>
                <w:szCs w:val="24"/>
              </w:rPr>
              <w:footnoteReference w:id="18"/>
            </w:r>
            <w:r w:rsidR="00BC0434">
              <w:rPr>
                <w:rFonts w:ascii="Times New Roman" w:hAnsi="Times New Roman"/>
                <w:sz w:val="24"/>
                <w:szCs w:val="24"/>
              </w:rPr>
              <w:t xml:space="preserve">, </w:t>
            </w:r>
            <w:r w:rsidR="00BF23BE">
              <w:rPr>
                <w:rFonts w:ascii="Times New Roman" w:hAnsi="Times New Roman"/>
                <w:sz w:val="24"/>
                <w:szCs w:val="24"/>
              </w:rPr>
              <w:t xml:space="preserve">and </w:t>
            </w:r>
            <w:r w:rsidRPr="00E54610">
              <w:rPr>
                <w:rFonts w:ascii="Times New Roman" w:hAnsi="Times New Roman"/>
                <w:sz w:val="24"/>
                <w:szCs w:val="24"/>
              </w:rPr>
              <w:t>the Urban Agenda for the EU Public Procurement</w:t>
            </w:r>
            <w:r>
              <w:rPr>
                <w:rStyle w:val="FootnoteReference"/>
                <w:rFonts w:ascii="Times New Roman" w:hAnsi="Times New Roman"/>
                <w:sz w:val="24"/>
                <w:szCs w:val="24"/>
              </w:rPr>
              <w:footnoteReference w:id="19"/>
            </w:r>
            <w:r>
              <w:rPr>
                <w:rFonts w:ascii="Times New Roman" w:hAnsi="Times New Roman"/>
                <w:sz w:val="24"/>
                <w:szCs w:val="24"/>
              </w:rPr>
              <w:t>. In the context of EU Cohesion Policy</w:t>
            </w:r>
            <w:r w:rsidR="00CE65D5">
              <w:rPr>
                <w:rStyle w:val="FootnoteReference"/>
                <w:rFonts w:ascii="Times New Roman" w:hAnsi="Times New Roman"/>
                <w:sz w:val="24"/>
                <w:szCs w:val="24"/>
              </w:rPr>
              <w:footnoteReference w:id="20"/>
            </w:r>
            <w:r>
              <w:rPr>
                <w:rFonts w:ascii="Times New Roman" w:hAnsi="Times New Roman"/>
                <w:sz w:val="24"/>
                <w:szCs w:val="24"/>
              </w:rPr>
              <w:t xml:space="preserve">, the </w:t>
            </w:r>
            <w:r w:rsidRPr="00105F2C">
              <w:rPr>
                <w:rFonts w:ascii="Times New Roman" w:hAnsi="Times New Roman"/>
                <w:sz w:val="24"/>
                <w:szCs w:val="24"/>
              </w:rPr>
              <w:t xml:space="preserve">commitment to encourage strategic public procurement </w:t>
            </w:r>
            <w:r>
              <w:rPr>
                <w:rFonts w:ascii="Times New Roman" w:hAnsi="Times New Roman"/>
                <w:sz w:val="24"/>
                <w:szCs w:val="24"/>
              </w:rPr>
              <w:t>has been taken up in most of</w:t>
            </w:r>
            <w:r w:rsidRPr="00105F2C">
              <w:rPr>
                <w:rFonts w:ascii="Times New Roman" w:hAnsi="Times New Roman"/>
                <w:sz w:val="24"/>
                <w:szCs w:val="24"/>
              </w:rPr>
              <w:t xml:space="preserve"> the </w:t>
            </w:r>
            <w:r>
              <w:rPr>
                <w:rFonts w:ascii="Times New Roman" w:hAnsi="Times New Roman"/>
                <w:sz w:val="24"/>
                <w:szCs w:val="24"/>
              </w:rPr>
              <w:t xml:space="preserve">national and regional </w:t>
            </w:r>
            <w:r w:rsidRPr="00105F2C">
              <w:rPr>
                <w:rFonts w:ascii="Times New Roman" w:hAnsi="Times New Roman"/>
                <w:sz w:val="24"/>
                <w:szCs w:val="24"/>
              </w:rPr>
              <w:t>programmes</w:t>
            </w:r>
            <w:r w:rsidR="00BF23BE">
              <w:rPr>
                <w:rFonts w:ascii="Times New Roman" w:hAnsi="Times New Roman"/>
                <w:sz w:val="24"/>
                <w:szCs w:val="24"/>
              </w:rPr>
              <w:t>,</w:t>
            </w:r>
            <w:r w:rsidRPr="00105F2C">
              <w:rPr>
                <w:rFonts w:ascii="Times New Roman" w:hAnsi="Times New Roman"/>
                <w:sz w:val="24"/>
                <w:szCs w:val="24"/>
              </w:rPr>
              <w:t xml:space="preserve"> </w:t>
            </w:r>
            <w:r>
              <w:rPr>
                <w:rFonts w:ascii="Times New Roman" w:hAnsi="Times New Roman"/>
                <w:sz w:val="24"/>
                <w:szCs w:val="24"/>
              </w:rPr>
              <w:t xml:space="preserve">and </w:t>
            </w:r>
            <w:r w:rsidRPr="00105F2C">
              <w:rPr>
                <w:rFonts w:ascii="Times New Roman" w:hAnsi="Times New Roman"/>
                <w:sz w:val="24"/>
                <w:szCs w:val="24"/>
              </w:rPr>
              <w:t xml:space="preserve">training </w:t>
            </w:r>
            <w:r>
              <w:rPr>
                <w:rFonts w:ascii="Times New Roman" w:hAnsi="Times New Roman"/>
                <w:sz w:val="24"/>
                <w:szCs w:val="24"/>
              </w:rPr>
              <w:t xml:space="preserve">modules, </w:t>
            </w:r>
            <w:r w:rsidRPr="00105F2C">
              <w:rPr>
                <w:rFonts w:ascii="Times New Roman" w:hAnsi="Times New Roman"/>
                <w:sz w:val="24"/>
                <w:szCs w:val="24"/>
              </w:rPr>
              <w:t>peer to peer communities of practice</w:t>
            </w:r>
            <w:r>
              <w:rPr>
                <w:rFonts w:ascii="Times New Roman" w:hAnsi="Times New Roman"/>
                <w:sz w:val="24"/>
                <w:szCs w:val="24"/>
              </w:rPr>
              <w:t>,</w:t>
            </w:r>
            <w:r w:rsidRPr="00105F2C">
              <w:rPr>
                <w:rFonts w:ascii="Times New Roman" w:hAnsi="Times New Roman"/>
                <w:sz w:val="24"/>
                <w:szCs w:val="24"/>
              </w:rPr>
              <w:t xml:space="preserve"> </w:t>
            </w:r>
            <w:r>
              <w:rPr>
                <w:rFonts w:ascii="Times New Roman" w:hAnsi="Times New Roman"/>
                <w:sz w:val="24"/>
                <w:szCs w:val="24"/>
              </w:rPr>
              <w:t>and</w:t>
            </w:r>
            <w:r w:rsidRPr="00A8753F">
              <w:rPr>
                <w:rFonts w:ascii="Times New Roman" w:hAnsi="Times New Roman"/>
                <w:sz w:val="24"/>
                <w:szCs w:val="24"/>
              </w:rPr>
              <w:t xml:space="preserve"> </w:t>
            </w:r>
            <w:r>
              <w:rPr>
                <w:rFonts w:ascii="Times New Roman" w:hAnsi="Times New Roman"/>
                <w:sz w:val="24"/>
                <w:szCs w:val="24"/>
              </w:rPr>
              <w:t>p</w:t>
            </w:r>
            <w:r w:rsidRPr="00105F2C">
              <w:rPr>
                <w:rFonts w:ascii="Times New Roman" w:hAnsi="Times New Roman"/>
                <w:sz w:val="24"/>
                <w:szCs w:val="24"/>
              </w:rPr>
              <w:t>ilot project</w:t>
            </w:r>
            <w:r>
              <w:rPr>
                <w:rFonts w:ascii="Times New Roman" w:hAnsi="Times New Roman"/>
                <w:sz w:val="24"/>
                <w:szCs w:val="24"/>
              </w:rPr>
              <w:t>s</w:t>
            </w:r>
            <w:r w:rsidRPr="00105F2C">
              <w:rPr>
                <w:rFonts w:ascii="Times New Roman" w:hAnsi="Times New Roman"/>
                <w:sz w:val="24"/>
                <w:szCs w:val="24"/>
              </w:rPr>
              <w:t xml:space="preserve"> </w:t>
            </w:r>
            <w:r>
              <w:rPr>
                <w:rFonts w:ascii="Times New Roman" w:hAnsi="Times New Roman"/>
                <w:sz w:val="24"/>
                <w:szCs w:val="24"/>
              </w:rPr>
              <w:t xml:space="preserve">have been developed to </w:t>
            </w:r>
            <w:r w:rsidRPr="00105F2C">
              <w:rPr>
                <w:rFonts w:ascii="Times New Roman" w:hAnsi="Times New Roman"/>
                <w:sz w:val="24"/>
                <w:szCs w:val="24"/>
              </w:rPr>
              <w:t>support programme authorities</w:t>
            </w:r>
            <w:r>
              <w:rPr>
                <w:rFonts w:ascii="Times New Roman" w:hAnsi="Times New Roman"/>
                <w:sz w:val="24"/>
                <w:szCs w:val="24"/>
              </w:rPr>
              <w:t xml:space="preserve"> in the uptake of strategic public procurement in EU funded projects. Efforts</w:t>
            </w:r>
            <w:r w:rsidR="00BF23BE">
              <w:rPr>
                <w:rFonts w:ascii="Times New Roman" w:hAnsi="Times New Roman"/>
                <w:sz w:val="24"/>
                <w:szCs w:val="24"/>
              </w:rPr>
              <w:t xml:space="preserve"> in</w:t>
            </w:r>
            <w:r>
              <w:rPr>
                <w:rFonts w:ascii="Times New Roman" w:hAnsi="Times New Roman"/>
                <w:sz w:val="24"/>
                <w:szCs w:val="24"/>
              </w:rPr>
              <w:t xml:space="preserve"> this direction will be continued.</w:t>
            </w:r>
          </w:p>
          <w:p w14:paraId="23CA771B" w14:textId="691D61A3" w:rsidR="00F5340B" w:rsidRPr="009608A0" w:rsidRDefault="00F5340B" w:rsidP="00B171D3">
            <w:pPr>
              <w:widowControl w:val="0"/>
              <w:spacing w:before="120" w:after="120"/>
              <w:jc w:val="both"/>
              <w:rPr>
                <w:rFonts w:ascii="Times New Roman" w:hAnsi="Times New Roman"/>
                <w:sz w:val="24"/>
                <w:szCs w:val="24"/>
              </w:rPr>
            </w:pPr>
            <w:r w:rsidRPr="009608A0">
              <w:rPr>
                <w:rFonts w:ascii="Times New Roman" w:hAnsi="Times New Roman"/>
                <w:b/>
                <w:bCs/>
                <w:sz w:val="24"/>
                <w:szCs w:val="24"/>
              </w:rPr>
              <w:t>Social considerations and workers</w:t>
            </w:r>
            <w:r w:rsidR="00BF23BE">
              <w:rPr>
                <w:rFonts w:ascii="Times New Roman" w:hAnsi="Times New Roman"/>
                <w:b/>
                <w:bCs/>
                <w:sz w:val="24"/>
                <w:szCs w:val="24"/>
              </w:rPr>
              <w:t>’</w:t>
            </w:r>
            <w:r w:rsidRPr="009608A0">
              <w:rPr>
                <w:rFonts w:ascii="Times New Roman" w:hAnsi="Times New Roman"/>
                <w:b/>
                <w:bCs/>
                <w:sz w:val="24"/>
                <w:szCs w:val="24"/>
              </w:rPr>
              <w:t xml:space="preserve"> rights:</w:t>
            </w:r>
          </w:p>
          <w:p w14:paraId="2947FD5C" w14:textId="38AD9376" w:rsidR="00F5340B" w:rsidRPr="009608A0" w:rsidRDefault="00F5340B" w:rsidP="00B171D3">
            <w:pPr>
              <w:widowControl w:val="0"/>
              <w:spacing w:before="120" w:after="120"/>
              <w:jc w:val="both"/>
              <w:rPr>
                <w:rFonts w:ascii="Times New Roman" w:hAnsi="Times New Roman"/>
                <w:sz w:val="24"/>
                <w:szCs w:val="24"/>
              </w:rPr>
            </w:pPr>
            <w:r w:rsidRPr="009608A0">
              <w:rPr>
                <w:rFonts w:ascii="Times New Roman" w:hAnsi="Times New Roman"/>
                <w:sz w:val="24"/>
                <w:szCs w:val="24"/>
              </w:rPr>
              <w:t>The Commission acknowledges the importance the EESC places on ensuring that public procurement supports quality employment</w:t>
            </w:r>
            <w:r>
              <w:rPr>
                <w:rFonts w:ascii="Times New Roman" w:hAnsi="Times New Roman"/>
                <w:sz w:val="24"/>
                <w:szCs w:val="24"/>
              </w:rPr>
              <w:t xml:space="preserve">, </w:t>
            </w:r>
            <w:r w:rsidRPr="009608A0">
              <w:rPr>
                <w:rFonts w:ascii="Times New Roman" w:hAnsi="Times New Roman"/>
                <w:sz w:val="24"/>
                <w:szCs w:val="24"/>
              </w:rPr>
              <w:t>fair working conditions</w:t>
            </w:r>
            <w:r>
              <w:rPr>
                <w:rFonts w:ascii="Times New Roman" w:hAnsi="Times New Roman"/>
                <w:sz w:val="24"/>
                <w:szCs w:val="24"/>
              </w:rPr>
              <w:t xml:space="preserve"> and</w:t>
            </w:r>
            <w:r w:rsidR="009B34CE">
              <w:rPr>
                <w:rFonts w:ascii="Times New Roman" w:hAnsi="Times New Roman"/>
                <w:sz w:val="24"/>
                <w:szCs w:val="24"/>
              </w:rPr>
              <w:t xml:space="preserve"> considers the</w:t>
            </w:r>
            <w:r>
              <w:rPr>
                <w:rFonts w:ascii="Times New Roman" w:hAnsi="Times New Roman"/>
                <w:sz w:val="24"/>
                <w:szCs w:val="24"/>
              </w:rPr>
              <w:t xml:space="preserve"> financial stability of contracts. </w:t>
            </w:r>
            <w:r w:rsidRPr="009608A0">
              <w:rPr>
                <w:rFonts w:ascii="Times New Roman" w:hAnsi="Times New Roman"/>
                <w:sz w:val="24"/>
                <w:szCs w:val="24"/>
              </w:rPr>
              <w:t>The Commission reaffirms</w:t>
            </w:r>
            <w:r>
              <w:rPr>
                <w:rFonts w:ascii="Times New Roman" w:hAnsi="Times New Roman"/>
                <w:sz w:val="24"/>
                <w:szCs w:val="24"/>
              </w:rPr>
              <w:t xml:space="preserve"> </w:t>
            </w:r>
            <w:r w:rsidRPr="009608A0">
              <w:rPr>
                <w:rFonts w:ascii="Times New Roman" w:hAnsi="Times New Roman"/>
                <w:sz w:val="24"/>
                <w:szCs w:val="24"/>
              </w:rPr>
              <w:t>that contracting authorities may include requirements based on national labour law in tender documents</w:t>
            </w:r>
            <w:r>
              <w:rPr>
                <w:rFonts w:ascii="Times New Roman" w:hAnsi="Times New Roman"/>
                <w:sz w:val="24"/>
                <w:szCs w:val="24"/>
              </w:rPr>
              <w:t xml:space="preserve"> and will analyse the social aspect of procurement as part of its impact assessment. </w:t>
            </w:r>
          </w:p>
          <w:p w14:paraId="35DDEAB5" w14:textId="77777777" w:rsidR="00F5340B" w:rsidRPr="009608A0" w:rsidRDefault="00F5340B" w:rsidP="00B171D3">
            <w:pPr>
              <w:widowControl w:val="0"/>
              <w:spacing w:before="120" w:after="120"/>
              <w:jc w:val="both"/>
              <w:rPr>
                <w:rFonts w:ascii="Times New Roman" w:hAnsi="Times New Roman"/>
                <w:sz w:val="24"/>
                <w:szCs w:val="24"/>
              </w:rPr>
            </w:pPr>
            <w:r w:rsidRPr="009608A0">
              <w:rPr>
                <w:rFonts w:ascii="Times New Roman" w:hAnsi="Times New Roman"/>
                <w:b/>
                <w:bCs/>
                <w:sz w:val="24"/>
                <w:szCs w:val="24"/>
              </w:rPr>
              <w:t>Protecting Services of General Interest and the social economy:</w:t>
            </w:r>
          </w:p>
          <w:p w14:paraId="2FDE5613" w14:textId="6C93B46C" w:rsidR="00D75D49" w:rsidRDefault="00646C57" w:rsidP="00B171D3">
            <w:pPr>
              <w:widowControl w:val="0"/>
              <w:spacing w:before="120" w:after="120"/>
              <w:jc w:val="both"/>
              <w:rPr>
                <w:rFonts w:ascii="Times New Roman" w:hAnsi="Times New Roman"/>
                <w:sz w:val="24"/>
                <w:szCs w:val="24"/>
              </w:rPr>
            </w:pPr>
            <w:r>
              <w:rPr>
                <w:rFonts w:ascii="Times New Roman" w:hAnsi="Times New Roman"/>
                <w:sz w:val="24"/>
                <w:szCs w:val="24"/>
              </w:rPr>
              <w:t xml:space="preserve">The Commission notes </w:t>
            </w:r>
            <w:r w:rsidR="00F5340B" w:rsidRPr="009608A0">
              <w:rPr>
                <w:rFonts w:ascii="Times New Roman" w:hAnsi="Times New Roman"/>
                <w:sz w:val="24"/>
                <w:szCs w:val="24"/>
              </w:rPr>
              <w:t>the call to strengthen the existing possibility for Member States and contracting authorities to reserve participation in public procurement procedures specifically to actors operating on a</w:t>
            </w:r>
            <w:r w:rsidR="00B171D3">
              <w:rPr>
                <w:rFonts w:ascii="Times New Roman" w:hAnsi="Times New Roman"/>
                <w:sz w:val="24"/>
                <w:szCs w:val="24"/>
              </w:rPr>
              <w:t> </w:t>
            </w:r>
            <w:r w:rsidR="00F5340B" w:rsidRPr="009608A0">
              <w:rPr>
                <w:rFonts w:ascii="Times New Roman" w:hAnsi="Times New Roman"/>
                <w:sz w:val="24"/>
                <w:szCs w:val="24"/>
              </w:rPr>
              <w:t xml:space="preserve">non-profit basis, particularly with regard to retaining Article 77 of </w:t>
            </w:r>
            <w:r w:rsidR="00363766">
              <w:rPr>
                <w:rFonts w:ascii="Times New Roman" w:hAnsi="Times New Roman"/>
                <w:sz w:val="24"/>
                <w:szCs w:val="24"/>
              </w:rPr>
              <w:t xml:space="preserve">the </w:t>
            </w:r>
            <w:r w:rsidR="00F5340B" w:rsidRPr="009608A0">
              <w:rPr>
                <w:rFonts w:ascii="Times New Roman" w:hAnsi="Times New Roman"/>
                <w:sz w:val="24"/>
                <w:szCs w:val="24"/>
              </w:rPr>
              <w:t xml:space="preserve">Directive </w:t>
            </w:r>
            <w:r w:rsidR="004E5588">
              <w:rPr>
                <w:rFonts w:ascii="Times New Roman" w:hAnsi="Times New Roman"/>
                <w:sz w:val="24"/>
                <w:szCs w:val="24"/>
              </w:rPr>
              <w:t xml:space="preserve">on public procurement </w:t>
            </w:r>
            <w:r w:rsidR="004E5588">
              <w:rPr>
                <w:rStyle w:val="FootnoteReference"/>
                <w:rFonts w:ascii="Times New Roman" w:hAnsi="Times New Roman"/>
                <w:sz w:val="24"/>
                <w:szCs w:val="24"/>
              </w:rPr>
              <w:footnoteReference w:id="21"/>
            </w:r>
            <w:r w:rsidR="00D75D49">
              <w:rPr>
                <w:rFonts w:ascii="Times New Roman" w:hAnsi="Times New Roman"/>
                <w:sz w:val="24"/>
                <w:szCs w:val="24"/>
              </w:rPr>
              <w:t xml:space="preserve">, </w:t>
            </w:r>
            <w:r w:rsidR="00F5340B" w:rsidRPr="009608A0">
              <w:rPr>
                <w:rFonts w:ascii="Times New Roman" w:hAnsi="Times New Roman"/>
                <w:sz w:val="24"/>
                <w:szCs w:val="24"/>
              </w:rPr>
              <w:t>which allows contracts in the health, social, education, and cultural sectors to be awarded specifically to non-profit organisations and social economy entities</w:t>
            </w:r>
            <w:r>
              <w:rPr>
                <w:rFonts w:ascii="Times New Roman" w:hAnsi="Times New Roman"/>
                <w:sz w:val="24"/>
                <w:szCs w:val="24"/>
              </w:rPr>
              <w:t>.</w:t>
            </w:r>
            <w:r w:rsidRPr="009608A0">
              <w:rPr>
                <w:rFonts w:ascii="Times New Roman" w:hAnsi="Times New Roman"/>
                <w:sz w:val="24"/>
                <w:szCs w:val="24"/>
              </w:rPr>
              <w:t xml:space="preserve"> </w:t>
            </w:r>
            <w:r>
              <w:rPr>
                <w:rFonts w:ascii="Times New Roman" w:hAnsi="Times New Roman"/>
                <w:sz w:val="24"/>
                <w:szCs w:val="24"/>
              </w:rPr>
              <w:t>T</w:t>
            </w:r>
            <w:r w:rsidRPr="009608A0">
              <w:rPr>
                <w:rFonts w:ascii="Times New Roman" w:hAnsi="Times New Roman"/>
                <w:sz w:val="24"/>
                <w:szCs w:val="24"/>
              </w:rPr>
              <w:t xml:space="preserve">he </w:t>
            </w:r>
            <w:r>
              <w:rPr>
                <w:rFonts w:ascii="Times New Roman" w:hAnsi="Times New Roman"/>
                <w:sz w:val="24"/>
                <w:szCs w:val="24"/>
              </w:rPr>
              <w:t xml:space="preserve">impact assessment for the reform will </w:t>
            </w:r>
            <w:proofErr w:type="gramStart"/>
            <w:r>
              <w:rPr>
                <w:rFonts w:ascii="Times New Roman" w:hAnsi="Times New Roman"/>
                <w:sz w:val="24"/>
                <w:szCs w:val="24"/>
              </w:rPr>
              <w:t>look into</w:t>
            </w:r>
            <w:proofErr w:type="gramEnd"/>
            <w:r>
              <w:rPr>
                <w:rFonts w:ascii="Times New Roman" w:hAnsi="Times New Roman"/>
                <w:sz w:val="24"/>
                <w:szCs w:val="24"/>
              </w:rPr>
              <w:t xml:space="preserve"> this issue.</w:t>
            </w:r>
            <w:r w:rsidRPr="009608A0">
              <w:rPr>
                <w:rFonts w:ascii="Times New Roman" w:hAnsi="Times New Roman"/>
                <w:sz w:val="24"/>
                <w:szCs w:val="24"/>
              </w:rPr>
              <w:t xml:space="preserve"> </w:t>
            </w:r>
          </w:p>
          <w:p w14:paraId="61E15D9B" w14:textId="77777777" w:rsidR="00D75D49" w:rsidRPr="009608A0" w:rsidRDefault="00D75D49" w:rsidP="00B171D3">
            <w:pPr>
              <w:widowControl w:val="0"/>
              <w:spacing w:before="120" w:after="120"/>
              <w:jc w:val="both"/>
              <w:rPr>
                <w:rFonts w:ascii="Times New Roman" w:hAnsi="Times New Roman"/>
                <w:sz w:val="24"/>
                <w:szCs w:val="24"/>
              </w:rPr>
            </w:pPr>
          </w:p>
          <w:p w14:paraId="1F2D816D" w14:textId="77777777" w:rsidR="00F5340B" w:rsidRDefault="00F5340B" w:rsidP="00B171D3">
            <w:pPr>
              <w:widowControl w:val="0"/>
              <w:spacing w:before="120" w:after="120"/>
              <w:jc w:val="both"/>
              <w:rPr>
                <w:rFonts w:ascii="Times New Roman" w:hAnsi="Times New Roman"/>
                <w:b/>
                <w:bCs/>
                <w:sz w:val="24"/>
                <w:szCs w:val="24"/>
              </w:rPr>
            </w:pPr>
            <w:r w:rsidRPr="00F83C63">
              <w:rPr>
                <w:rFonts w:ascii="Times New Roman" w:hAnsi="Times New Roman"/>
                <w:b/>
                <w:bCs/>
                <w:sz w:val="24"/>
                <w:szCs w:val="24"/>
              </w:rPr>
              <w:lastRenderedPageBreak/>
              <w:t>Use of in-house procurement</w:t>
            </w:r>
            <w:r>
              <w:rPr>
                <w:rFonts w:ascii="Times New Roman" w:hAnsi="Times New Roman"/>
                <w:b/>
                <w:bCs/>
                <w:sz w:val="24"/>
                <w:szCs w:val="24"/>
              </w:rPr>
              <w:t xml:space="preserve"> and direct awards:</w:t>
            </w:r>
          </w:p>
          <w:p w14:paraId="2FCAFDC1" w14:textId="75C89289" w:rsidR="00F5340B" w:rsidRPr="00F83C63" w:rsidRDefault="00F5340B" w:rsidP="00B171D3">
            <w:pPr>
              <w:widowControl w:val="0"/>
              <w:spacing w:before="120" w:after="120"/>
              <w:jc w:val="both"/>
              <w:rPr>
                <w:rFonts w:ascii="Times New Roman" w:hAnsi="Times New Roman"/>
                <w:sz w:val="24"/>
                <w:szCs w:val="24"/>
              </w:rPr>
            </w:pPr>
            <w:r>
              <w:rPr>
                <w:rFonts w:ascii="Times New Roman" w:hAnsi="Times New Roman"/>
                <w:sz w:val="24"/>
                <w:szCs w:val="24"/>
              </w:rPr>
              <w:t xml:space="preserve">On the possibility </w:t>
            </w:r>
            <w:r w:rsidRPr="00E80044">
              <w:rPr>
                <w:rFonts w:ascii="Times New Roman" w:hAnsi="Times New Roman"/>
                <w:sz w:val="24"/>
                <w:szCs w:val="24"/>
              </w:rPr>
              <w:t xml:space="preserve">to use in-house procurement for majority-controlled legal entities, as regulated in Article 12 of </w:t>
            </w:r>
            <w:r w:rsidR="002B3B39">
              <w:rPr>
                <w:rFonts w:ascii="Times New Roman" w:hAnsi="Times New Roman"/>
                <w:sz w:val="24"/>
                <w:szCs w:val="24"/>
              </w:rPr>
              <w:t xml:space="preserve">the </w:t>
            </w:r>
            <w:r w:rsidRPr="00E80044">
              <w:rPr>
                <w:rFonts w:ascii="Times New Roman" w:hAnsi="Times New Roman"/>
                <w:sz w:val="24"/>
                <w:szCs w:val="24"/>
              </w:rPr>
              <w:t>Directive</w:t>
            </w:r>
            <w:r w:rsidR="002B3B39">
              <w:rPr>
                <w:rFonts w:ascii="Times New Roman" w:hAnsi="Times New Roman"/>
                <w:sz w:val="24"/>
                <w:szCs w:val="24"/>
              </w:rPr>
              <w:t xml:space="preserve"> on public procurement</w:t>
            </w:r>
            <w:r w:rsidRPr="00E80044">
              <w:rPr>
                <w:rFonts w:ascii="Times New Roman" w:hAnsi="Times New Roman"/>
                <w:sz w:val="24"/>
                <w:szCs w:val="24"/>
              </w:rPr>
              <w:t>, and direct award</w:t>
            </w:r>
            <w:r>
              <w:rPr>
                <w:rFonts w:ascii="Times New Roman" w:hAnsi="Times New Roman"/>
                <w:sz w:val="24"/>
                <w:szCs w:val="24"/>
              </w:rPr>
              <w:t xml:space="preserve">, the Commission </w:t>
            </w:r>
            <w:r w:rsidRPr="005464DF">
              <w:rPr>
                <w:rFonts w:ascii="Times New Roman" w:hAnsi="Times New Roman"/>
                <w:sz w:val="24"/>
                <w:szCs w:val="24"/>
              </w:rPr>
              <w:t>recalls that the Directives included the possibility to use the negotiated procedure without publication</w:t>
            </w:r>
            <w:r w:rsidRPr="005464DF">
              <w:rPr>
                <w:rFonts w:ascii="Times New Roman" w:hAnsi="Times New Roman"/>
                <w:b/>
                <w:bCs/>
                <w:sz w:val="24"/>
                <w:szCs w:val="24"/>
              </w:rPr>
              <w:t xml:space="preserve"> </w:t>
            </w:r>
            <w:r w:rsidRPr="005464DF">
              <w:rPr>
                <w:rFonts w:ascii="Times New Roman" w:hAnsi="Times New Roman"/>
                <w:sz w:val="24"/>
                <w:szCs w:val="24"/>
              </w:rPr>
              <w:t xml:space="preserve">when there are no suitable tenders, no competition in the market or due to extreme </w:t>
            </w:r>
            <w:r>
              <w:rPr>
                <w:rFonts w:ascii="Times New Roman" w:hAnsi="Times New Roman"/>
                <w:sz w:val="24"/>
                <w:szCs w:val="24"/>
              </w:rPr>
              <w:t>urgency. The evaluation shows</w:t>
            </w:r>
            <w:r>
              <w:rPr>
                <w:rStyle w:val="FootnoteReference"/>
                <w:rFonts w:ascii="Times New Roman" w:hAnsi="Times New Roman"/>
                <w:sz w:val="24"/>
                <w:szCs w:val="24"/>
              </w:rPr>
              <w:footnoteReference w:id="22"/>
            </w:r>
            <w:r w:rsidR="00D75D49">
              <w:rPr>
                <w:rFonts w:ascii="Times New Roman" w:hAnsi="Times New Roman"/>
                <w:sz w:val="24"/>
                <w:szCs w:val="24"/>
              </w:rPr>
              <w:t xml:space="preserve"> </w:t>
            </w:r>
            <w:r>
              <w:rPr>
                <w:rFonts w:ascii="Times New Roman" w:hAnsi="Times New Roman"/>
                <w:sz w:val="24"/>
                <w:szCs w:val="24"/>
              </w:rPr>
              <w:t xml:space="preserve">that </w:t>
            </w:r>
            <w:r w:rsidRPr="005464DF">
              <w:rPr>
                <w:rFonts w:ascii="Times New Roman" w:hAnsi="Times New Roman"/>
                <w:sz w:val="24"/>
                <w:szCs w:val="24"/>
              </w:rPr>
              <w:t>the value of</w:t>
            </w:r>
            <w:r w:rsidR="00F838B1">
              <w:rPr>
                <w:rFonts w:ascii="Times New Roman" w:hAnsi="Times New Roman"/>
                <w:sz w:val="24"/>
                <w:szCs w:val="24"/>
              </w:rPr>
              <w:t xml:space="preserve"> the</w:t>
            </w:r>
            <w:r w:rsidRPr="005464DF">
              <w:rPr>
                <w:rFonts w:ascii="Times New Roman" w:hAnsi="Times New Roman"/>
                <w:sz w:val="24"/>
                <w:szCs w:val="24"/>
              </w:rPr>
              <w:t xml:space="preserve"> negotiated procedure without publication accounted for 3.87% before the Directives, compared to 3.44% in the post-adoption period</w:t>
            </w:r>
            <w:r>
              <w:rPr>
                <w:rFonts w:ascii="Times New Roman" w:hAnsi="Times New Roman"/>
                <w:sz w:val="24"/>
                <w:szCs w:val="24"/>
              </w:rPr>
              <w:t>. W</w:t>
            </w:r>
            <w:r w:rsidRPr="005464DF">
              <w:rPr>
                <w:rFonts w:ascii="Times New Roman" w:hAnsi="Times New Roman"/>
                <w:sz w:val="24"/>
                <w:szCs w:val="24"/>
              </w:rPr>
              <w:t xml:space="preserve">hile its use has decreased, the absence of publication obligations makes it ill-suited </w:t>
            </w:r>
            <w:r w:rsidR="009B34CE">
              <w:rPr>
                <w:rFonts w:ascii="Times New Roman" w:hAnsi="Times New Roman"/>
                <w:sz w:val="24"/>
                <w:szCs w:val="24"/>
              </w:rPr>
              <w:t>to</w:t>
            </w:r>
            <w:r w:rsidRPr="005464DF">
              <w:rPr>
                <w:rFonts w:ascii="Times New Roman" w:hAnsi="Times New Roman"/>
                <w:sz w:val="24"/>
                <w:szCs w:val="24"/>
              </w:rPr>
              <w:t xml:space="preserve"> achieving the Directive’s transparency goals and ensuring the effective use of public expenditure to drive strategic investme</w:t>
            </w:r>
            <w:r>
              <w:rPr>
                <w:rFonts w:ascii="Times New Roman" w:hAnsi="Times New Roman"/>
                <w:sz w:val="24"/>
                <w:szCs w:val="24"/>
              </w:rPr>
              <w:t xml:space="preserve">nt. </w:t>
            </w:r>
            <w:proofErr w:type="gramStart"/>
            <w:r>
              <w:rPr>
                <w:rFonts w:ascii="Times New Roman" w:hAnsi="Times New Roman"/>
                <w:sz w:val="24"/>
                <w:szCs w:val="24"/>
              </w:rPr>
              <w:t>In light of</w:t>
            </w:r>
            <w:proofErr w:type="gramEnd"/>
            <w:r>
              <w:rPr>
                <w:rFonts w:ascii="Times New Roman" w:hAnsi="Times New Roman"/>
                <w:sz w:val="24"/>
                <w:szCs w:val="24"/>
              </w:rPr>
              <w:t xml:space="preserve"> this, the Commission will therefore assess the relevance of in-house procurement and direct award as part of its impact assessment. </w:t>
            </w:r>
          </w:p>
          <w:p w14:paraId="19758FB6" w14:textId="77777777" w:rsidR="00F5340B" w:rsidRPr="009608A0" w:rsidRDefault="00F5340B" w:rsidP="00B171D3">
            <w:pPr>
              <w:widowControl w:val="0"/>
              <w:spacing w:before="120" w:after="120"/>
              <w:jc w:val="both"/>
              <w:rPr>
                <w:rFonts w:ascii="Times New Roman" w:hAnsi="Times New Roman"/>
                <w:sz w:val="24"/>
                <w:szCs w:val="24"/>
              </w:rPr>
            </w:pPr>
            <w:r>
              <w:rPr>
                <w:rFonts w:ascii="Times New Roman" w:hAnsi="Times New Roman"/>
                <w:b/>
                <w:bCs/>
                <w:sz w:val="24"/>
                <w:szCs w:val="24"/>
              </w:rPr>
              <w:t>Evaluation of the current procurement thresholds</w:t>
            </w:r>
          </w:p>
          <w:p w14:paraId="41ADDDA4" w14:textId="67EED692" w:rsidR="004F6117" w:rsidRPr="00F0741A" w:rsidRDefault="00F5340B" w:rsidP="00F0741A">
            <w:pPr>
              <w:widowControl w:val="0"/>
              <w:spacing w:before="120" w:after="120"/>
              <w:jc w:val="both"/>
              <w:rPr>
                <w:rFonts w:ascii="Times New Roman" w:hAnsi="Times New Roman"/>
                <w:sz w:val="24"/>
                <w:szCs w:val="24"/>
              </w:rPr>
            </w:pPr>
            <w:r>
              <w:rPr>
                <w:rFonts w:ascii="Times New Roman" w:hAnsi="Times New Roman"/>
                <w:sz w:val="24"/>
                <w:szCs w:val="24"/>
              </w:rPr>
              <w:t>On the EESC’s recommendation to evaluat</w:t>
            </w:r>
            <w:r w:rsidR="00CC5D54">
              <w:rPr>
                <w:rFonts w:ascii="Times New Roman" w:hAnsi="Times New Roman"/>
                <w:sz w:val="24"/>
                <w:szCs w:val="24"/>
              </w:rPr>
              <w:t>e</w:t>
            </w:r>
            <w:r>
              <w:rPr>
                <w:rFonts w:ascii="Times New Roman" w:hAnsi="Times New Roman"/>
                <w:sz w:val="24"/>
                <w:szCs w:val="24"/>
              </w:rPr>
              <w:t xml:space="preserve"> the effects of the existing thresholds, </w:t>
            </w:r>
            <w:r w:rsidRPr="002B5C2B">
              <w:rPr>
                <w:rFonts w:ascii="Times New Roman" w:hAnsi="Times New Roman"/>
                <w:sz w:val="24"/>
                <w:szCs w:val="24"/>
              </w:rPr>
              <w:t xml:space="preserve">the Commission notes that the thresholds in the 2014 Directives are aligned with those determined by the WTO Government Procurement Agreement (GPA) and the EU Free Trade Agreements (FTAs) to which the EU is a party. </w:t>
            </w:r>
            <w:r w:rsidR="000F58F0">
              <w:rPr>
                <w:rFonts w:ascii="Times New Roman" w:hAnsi="Times New Roman"/>
                <w:sz w:val="24"/>
                <w:szCs w:val="24"/>
              </w:rPr>
              <w:t>T</w:t>
            </w:r>
            <w:r w:rsidRPr="002B5C2B">
              <w:rPr>
                <w:rFonts w:ascii="Times New Roman" w:hAnsi="Times New Roman"/>
                <w:sz w:val="24"/>
                <w:szCs w:val="24"/>
              </w:rPr>
              <w:t>he same thresholds apply across all EU FTAs.</w:t>
            </w:r>
            <w:r w:rsidR="00A65C6F">
              <w:rPr>
                <w:rFonts w:ascii="Times New Roman" w:hAnsi="Times New Roman"/>
                <w:sz w:val="24"/>
                <w:szCs w:val="24"/>
              </w:rPr>
              <w:t xml:space="preserve"> </w:t>
            </w:r>
            <w:r w:rsidRPr="009608A0">
              <w:rPr>
                <w:rFonts w:ascii="Times New Roman" w:hAnsi="Times New Roman"/>
                <w:sz w:val="24"/>
                <w:szCs w:val="24"/>
              </w:rPr>
              <w:t>The Commission looks forward to continuing its close cooperation with the EESC, social partners and civil society in the development of the revised public procurement framework. The input provided through this opinion will inform the Commission's comprehensive impact assessment and legislative proposal.</w:t>
            </w:r>
          </w:p>
        </w:tc>
      </w:tr>
    </w:tbl>
    <w:p w14:paraId="41D86A3C" w14:textId="015D879F" w:rsidR="00554137" w:rsidRPr="00315826" w:rsidRDefault="00554137" w:rsidP="0385544B">
      <w:pPr>
        <w:spacing w:after="0"/>
        <w:ind w:left="-425"/>
        <w:rPr>
          <w:rFonts w:ascii="Times New Roman" w:hAnsi="Times New Roman"/>
          <w:b/>
          <w:bCs/>
          <w:sz w:val="2"/>
          <w:szCs w:val="2"/>
          <w:u w:val="single"/>
        </w:rPr>
      </w:pPr>
    </w:p>
    <w:sectPr w:rsidR="00554137" w:rsidRPr="0031582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0B19" w14:textId="77777777" w:rsidR="00083DDD" w:rsidRDefault="00083DDD" w:rsidP="00FF63EA">
      <w:pPr>
        <w:spacing w:after="0" w:line="240" w:lineRule="auto"/>
      </w:pPr>
      <w:r>
        <w:separator/>
      </w:r>
    </w:p>
  </w:endnote>
  <w:endnote w:type="continuationSeparator" w:id="0">
    <w:p w14:paraId="08C94FBB" w14:textId="77777777" w:rsidR="00083DDD" w:rsidRDefault="00083DDD"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B47C" w14:textId="77777777" w:rsidR="00FC593D" w:rsidRDefault="00FC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6096" w14:textId="77777777" w:rsidR="00FC593D" w:rsidRPr="00FC593D" w:rsidRDefault="00FC593D">
    <w:pPr>
      <w:pStyle w:val="Footer"/>
      <w:jc w:val="center"/>
      <w:rPr>
        <w:rFonts w:ascii="Times New Roman" w:hAnsi="Times New Roman"/>
        <w:caps/>
        <w:noProof/>
      </w:rPr>
    </w:pPr>
    <w:r w:rsidRPr="00FC593D">
      <w:rPr>
        <w:rFonts w:ascii="Times New Roman" w:hAnsi="Times New Roman"/>
        <w:caps/>
      </w:rPr>
      <w:fldChar w:fldCharType="begin"/>
    </w:r>
    <w:r w:rsidRPr="00FC593D">
      <w:rPr>
        <w:rFonts w:ascii="Times New Roman" w:hAnsi="Times New Roman"/>
        <w:caps/>
      </w:rPr>
      <w:instrText xml:space="preserve"> PAGE   \* MERGEFORMAT </w:instrText>
    </w:r>
    <w:r w:rsidRPr="00FC593D">
      <w:rPr>
        <w:rFonts w:ascii="Times New Roman" w:hAnsi="Times New Roman"/>
        <w:caps/>
      </w:rPr>
      <w:fldChar w:fldCharType="separate"/>
    </w:r>
    <w:r w:rsidRPr="00FC593D">
      <w:rPr>
        <w:rFonts w:ascii="Times New Roman" w:hAnsi="Times New Roman"/>
        <w:caps/>
        <w:noProof/>
      </w:rPr>
      <w:t>2</w:t>
    </w:r>
    <w:r w:rsidRPr="00FC593D">
      <w:rPr>
        <w:rFonts w:ascii="Times New Roman" w:hAnsi="Times New Roman"/>
        <w:caps/>
        <w:noProof/>
      </w:rPr>
      <w:fldChar w:fldCharType="end"/>
    </w:r>
  </w:p>
  <w:p w14:paraId="0AFE8098" w14:textId="77777777" w:rsidR="00FC593D" w:rsidRDefault="00FC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4185" w14:textId="77777777" w:rsidR="00FC593D" w:rsidRDefault="00FC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28F5E" w14:textId="77777777" w:rsidR="00083DDD" w:rsidRDefault="00083DDD" w:rsidP="00FF63EA">
      <w:pPr>
        <w:spacing w:after="0" w:line="240" w:lineRule="auto"/>
      </w:pPr>
      <w:r>
        <w:separator/>
      </w:r>
    </w:p>
  </w:footnote>
  <w:footnote w:type="continuationSeparator" w:id="0">
    <w:p w14:paraId="5F3AABF8" w14:textId="77777777" w:rsidR="00083DDD" w:rsidRDefault="00083DDD" w:rsidP="00FF63EA">
      <w:pPr>
        <w:spacing w:after="0" w:line="240" w:lineRule="auto"/>
      </w:pPr>
      <w:r>
        <w:continuationSeparator/>
      </w:r>
    </w:p>
  </w:footnote>
  <w:footnote w:id="1">
    <w:p w14:paraId="69590066" w14:textId="19006C6C" w:rsidR="00B758CD" w:rsidRPr="00F0741A" w:rsidRDefault="00F5340B" w:rsidP="00F0741A">
      <w:pPr>
        <w:pStyle w:val="FootnoteText"/>
        <w:spacing w:after="0"/>
        <w:ind w:left="-142" w:right="-426" w:hanging="284"/>
        <w:jc w:val="both"/>
        <w:rPr>
          <w:rFonts w:ascii="Times New Roman" w:hAnsi="Times New Roman"/>
          <w:lang w:val="fr-BE"/>
        </w:rPr>
      </w:pPr>
      <w:r w:rsidRPr="002D7336">
        <w:rPr>
          <w:rStyle w:val="FootnoteReference"/>
          <w:rFonts w:ascii="Times New Roman" w:hAnsi="Times New Roman"/>
        </w:rPr>
        <w:footnoteRef/>
      </w:r>
      <w:r w:rsidRPr="00F0741A">
        <w:rPr>
          <w:rFonts w:ascii="Times New Roman" w:hAnsi="Times New Roman"/>
          <w:lang w:val="fr-BE"/>
        </w:rPr>
        <w:t xml:space="preserve"> </w:t>
      </w:r>
      <w:r w:rsidR="002D7336" w:rsidRPr="00F0741A">
        <w:rPr>
          <w:rFonts w:ascii="Times New Roman" w:hAnsi="Times New Roman"/>
          <w:lang w:val="fr-BE"/>
        </w:rPr>
        <w:tab/>
      </w:r>
      <w:proofErr w:type="gramStart"/>
      <w:r w:rsidR="00447271" w:rsidRPr="00F0741A">
        <w:rPr>
          <w:rFonts w:ascii="Times New Roman" w:hAnsi="Times New Roman"/>
          <w:lang w:val="fr-BE"/>
        </w:rPr>
        <w:t>SWD(</w:t>
      </w:r>
      <w:proofErr w:type="gramEnd"/>
      <w:r w:rsidR="00447271" w:rsidRPr="00F0741A">
        <w:rPr>
          <w:rFonts w:ascii="Times New Roman" w:hAnsi="Times New Roman"/>
          <w:lang w:val="fr-BE"/>
        </w:rPr>
        <w:t>2025) 0332 final</w:t>
      </w:r>
      <w:r w:rsidR="00447271" w:rsidRPr="00F0741A" w:rsidDel="00447271">
        <w:rPr>
          <w:rFonts w:ascii="Times New Roman" w:hAnsi="Times New Roman"/>
          <w:lang w:val="fr-BE"/>
        </w:rPr>
        <w:t xml:space="preserve"> </w:t>
      </w:r>
      <w:r w:rsidR="00447271" w:rsidRPr="00F0741A">
        <w:rPr>
          <w:rFonts w:ascii="Times New Roman" w:hAnsi="Times New Roman"/>
          <w:lang w:val="fr-BE"/>
        </w:rPr>
        <w:t>(</w:t>
      </w:r>
      <w:hyperlink r:id="rId1" w:history="1">
        <w:r w:rsidR="00447271" w:rsidRPr="00F0741A">
          <w:rPr>
            <w:rStyle w:val="Hyperlink"/>
            <w:rFonts w:ascii="Times New Roman" w:hAnsi="Times New Roman"/>
            <w:lang w:val="fr-BE"/>
          </w:rPr>
          <w:t>EUR-Lex - 52025SC0332 - EN - EUR-Lex</w:t>
        </w:r>
      </w:hyperlink>
      <w:r w:rsidR="00447271" w:rsidRPr="00F0741A">
        <w:rPr>
          <w:rFonts w:ascii="Times New Roman" w:hAnsi="Times New Roman"/>
          <w:lang w:val="fr-BE"/>
        </w:rPr>
        <w:t>).</w:t>
      </w:r>
    </w:p>
  </w:footnote>
  <w:footnote w:id="2">
    <w:p w14:paraId="45B6E8DB" w14:textId="5E54B3D8" w:rsidR="00B758CD" w:rsidRPr="00F0741A" w:rsidRDefault="00F5340B" w:rsidP="00F0741A">
      <w:pPr>
        <w:pStyle w:val="FootnoteText"/>
        <w:spacing w:after="0"/>
        <w:ind w:left="-142" w:right="-426" w:hanging="284"/>
        <w:jc w:val="both"/>
        <w:rPr>
          <w:rFonts w:ascii="Times New Roman" w:hAnsi="Times New Roman"/>
          <w:lang w:val="fr-BE"/>
        </w:rPr>
      </w:pPr>
      <w:r w:rsidRPr="002D7336">
        <w:rPr>
          <w:rStyle w:val="FootnoteReference"/>
          <w:rFonts w:ascii="Times New Roman" w:hAnsi="Times New Roman"/>
        </w:rPr>
        <w:footnoteRef/>
      </w:r>
      <w:r w:rsidRPr="00F0741A">
        <w:rPr>
          <w:rFonts w:ascii="Times New Roman" w:hAnsi="Times New Roman"/>
          <w:lang w:val="fr-BE"/>
        </w:rPr>
        <w:t xml:space="preserve"> </w:t>
      </w:r>
      <w:r w:rsidR="002D7336" w:rsidRPr="00F0741A">
        <w:rPr>
          <w:rFonts w:ascii="Times New Roman" w:hAnsi="Times New Roman"/>
          <w:lang w:val="fr-BE"/>
        </w:rPr>
        <w:tab/>
      </w:r>
      <w:r w:rsidR="002D7336">
        <w:fldChar w:fldCharType="begin"/>
      </w:r>
      <w:r w:rsidR="002D7336" w:rsidRPr="00781852">
        <w:rPr>
          <w:lang w:val="fr-BE"/>
        </w:rPr>
        <w:instrText>HYPERLINK "https://ec.europa.eu/regional_policy/policy/what/investment-policy_en"</w:instrText>
      </w:r>
      <w:r w:rsidR="002D7336">
        <w:fldChar w:fldCharType="separate"/>
      </w:r>
      <w:r w:rsidR="002D7336" w:rsidRPr="00F0741A">
        <w:rPr>
          <w:rStyle w:val="Hyperlink"/>
          <w:rFonts w:ascii="Times New Roman" w:hAnsi="Times New Roman"/>
          <w:lang w:val="fr-BE"/>
        </w:rPr>
        <w:t>https://ec.europa.eu/regional_policy/policy/what/investment-policy_en</w:t>
      </w:r>
      <w:r w:rsidR="002D7336">
        <w:fldChar w:fldCharType="end"/>
      </w:r>
      <w:r w:rsidR="002D7336" w:rsidRPr="00F0741A">
        <w:rPr>
          <w:rFonts w:ascii="Times New Roman" w:hAnsi="Times New Roman"/>
          <w:lang w:val="fr-BE"/>
        </w:rPr>
        <w:t>.</w:t>
      </w:r>
    </w:p>
  </w:footnote>
  <w:footnote w:id="3">
    <w:p w14:paraId="22E98F93" w14:textId="18D0A0A4" w:rsidR="00F5340B" w:rsidRPr="002D7336" w:rsidRDefault="00F5340B" w:rsidP="00F0741A">
      <w:pPr>
        <w:pStyle w:val="FootnoteText"/>
        <w:spacing w:after="0"/>
        <w:ind w:left="-142" w:right="-426" w:hanging="284"/>
        <w:jc w:val="both"/>
        <w:rPr>
          <w:rFonts w:ascii="Times New Roman" w:hAnsi="Times New Roman"/>
        </w:rPr>
      </w:pPr>
      <w:r w:rsidRPr="002D7336">
        <w:rPr>
          <w:rStyle w:val="FootnoteReference"/>
          <w:rFonts w:ascii="Times New Roman" w:hAnsi="Times New Roman"/>
        </w:rPr>
        <w:footnoteRef/>
      </w:r>
      <w:r w:rsidRPr="002D7336">
        <w:rPr>
          <w:rFonts w:ascii="Times New Roman" w:hAnsi="Times New Roman"/>
        </w:rPr>
        <w:t xml:space="preserve"> </w:t>
      </w:r>
      <w:r w:rsidR="002D7336">
        <w:rPr>
          <w:rFonts w:ascii="Times New Roman" w:hAnsi="Times New Roman"/>
        </w:rPr>
        <w:tab/>
      </w:r>
      <w:r w:rsidRPr="002D7336">
        <w:rPr>
          <w:rFonts w:ascii="Times New Roman" w:hAnsi="Times New Roman"/>
        </w:rPr>
        <w:t>Europe’s Choice – Political Guidelines for the Next European Commission 2024-2029</w:t>
      </w:r>
      <w:r w:rsidR="00447271">
        <w:rPr>
          <w:rFonts w:ascii="Times New Roman" w:hAnsi="Times New Roman"/>
        </w:rPr>
        <w:t xml:space="preserve"> (</w:t>
      </w:r>
      <w:hyperlink r:id="rId2" w:history="1">
        <w:r w:rsidR="00447271" w:rsidRPr="00447271">
          <w:rPr>
            <w:rStyle w:val="Hyperlink"/>
            <w:rFonts w:ascii="Times New Roman" w:hAnsi="Times New Roman"/>
            <w:lang w:val="en-GB"/>
          </w:rPr>
          <w:t>e6cd4328-673c-4e7a-8683-f63ffb2cf648_en</w:t>
        </w:r>
      </w:hyperlink>
      <w:r w:rsidR="00447271">
        <w:rPr>
          <w:rFonts w:ascii="Times New Roman" w:hAnsi="Times New Roman"/>
        </w:rPr>
        <w:t>)</w:t>
      </w:r>
      <w:r w:rsidR="002D7336">
        <w:rPr>
          <w:rFonts w:ascii="Times New Roman" w:hAnsi="Times New Roman"/>
        </w:rPr>
        <w:t>.</w:t>
      </w:r>
    </w:p>
  </w:footnote>
  <w:footnote w:id="4">
    <w:p w14:paraId="7535AD6D" w14:textId="488F11E5" w:rsidR="00F5340B" w:rsidRPr="00BF78DF" w:rsidRDefault="00F5340B" w:rsidP="00F0741A">
      <w:pPr>
        <w:pStyle w:val="FootnoteText"/>
        <w:spacing w:after="0"/>
        <w:ind w:left="-142" w:right="-426" w:hanging="284"/>
        <w:jc w:val="both"/>
        <w:rPr>
          <w:rFonts w:ascii="Times New Roman" w:hAnsi="Times New Roman"/>
        </w:rPr>
      </w:pPr>
      <w:r w:rsidRPr="002D7336">
        <w:rPr>
          <w:rStyle w:val="FootnoteReference"/>
          <w:rFonts w:ascii="Times New Roman" w:hAnsi="Times New Roman"/>
        </w:rPr>
        <w:footnoteRef/>
      </w:r>
      <w:r w:rsidRPr="002D7336">
        <w:rPr>
          <w:rFonts w:ascii="Times New Roman" w:hAnsi="Times New Roman"/>
        </w:rPr>
        <w:t xml:space="preserve"> </w:t>
      </w:r>
      <w:r w:rsidR="002D7336">
        <w:rPr>
          <w:rFonts w:ascii="Times New Roman" w:hAnsi="Times New Roman"/>
        </w:rPr>
        <w:tab/>
      </w:r>
      <w:r w:rsidRPr="002D7336">
        <w:rPr>
          <w:rFonts w:ascii="Times New Roman" w:hAnsi="Times New Roman"/>
        </w:rPr>
        <w:t>Communication from the Commission to the European Parliament, the Council, the European Economic and Social Committee and the Committee of the Regions Commission work programme 2026 Europe's Independence Moment</w:t>
      </w:r>
      <w:r w:rsidR="00447271">
        <w:rPr>
          <w:rFonts w:ascii="Times New Roman" w:hAnsi="Times New Roman"/>
        </w:rPr>
        <w:t xml:space="preserve"> </w:t>
      </w:r>
      <w:hyperlink r:id="rId3" w:history="1">
        <w:r w:rsidR="00447271" w:rsidRPr="00447271">
          <w:rPr>
            <w:rStyle w:val="Hyperlink"/>
            <w:rFonts w:ascii="Times New Roman" w:hAnsi="Times New Roman"/>
            <w:lang w:val="en-GB"/>
          </w:rPr>
          <w:t>eur-lex.europa.eu/legal-content/EN/TXT/HTML/?uri=CELEX:52025DC0870</w:t>
        </w:r>
      </w:hyperlink>
      <w:r w:rsidR="00447271">
        <w:rPr>
          <w:rFonts w:ascii="Times New Roman" w:hAnsi="Times New Roman"/>
        </w:rPr>
        <w:t>).</w:t>
      </w:r>
    </w:p>
  </w:footnote>
  <w:footnote w:id="5">
    <w:p w14:paraId="274B2330" w14:textId="7919A57E" w:rsidR="00F5340B" w:rsidRPr="00F0741A" w:rsidRDefault="00F5340B" w:rsidP="00F0741A">
      <w:pPr>
        <w:pStyle w:val="FootnoteText"/>
        <w:widowControl w:val="0"/>
        <w:spacing w:after="0" w:line="240" w:lineRule="auto"/>
        <w:ind w:left="-142" w:right="-142" w:hanging="284"/>
        <w:rPr>
          <w:rFonts w:ascii="Times New Roman" w:hAnsi="Times New Roman"/>
          <w:lang w:val="fr-BE"/>
        </w:rPr>
      </w:pPr>
      <w:r w:rsidRPr="00AC78A5">
        <w:rPr>
          <w:rStyle w:val="FootnoteReference"/>
          <w:rFonts w:ascii="Times New Roman" w:hAnsi="Times New Roman"/>
        </w:rPr>
        <w:footnoteRef/>
      </w:r>
      <w:r w:rsidRPr="00F0741A">
        <w:rPr>
          <w:rFonts w:ascii="Times New Roman" w:hAnsi="Times New Roman"/>
          <w:lang w:val="fr-BE"/>
        </w:rPr>
        <w:t xml:space="preserve"> </w:t>
      </w:r>
      <w:r w:rsidR="002D7336" w:rsidRPr="00F0741A">
        <w:rPr>
          <w:rFonts w:ascii="Times New Roman" w:hAnsi="Times New Roman"/>
          <w:lang w:val="fr-BE"/>
        </w:rPr>
        <w:tab/>
      </w:r>
      <w:proofErr w:type="gramStart"/>
      <w:r w:rsidR="00AC78A5" w:rsidRPr="00F0741A">
        <w:rPr>
          <w:rFonts w:ascii="Times New Roman" w:hAnsi="Times New Roman"/>
          <w:lang w:val="fr-BE"/>
        </w:rPr>
        <w:t>SWD(</w:t>
      </w:r>
      <w:proofErr w:type="gramEnd"/>
      <w:r w:rsidR="00AC78A5" w:rsidRPr="00F0741A">
        <w:rPr>
          <w:rFonts w:ascii="Times New Roman" w:hAnsi="Times New Roman"/>
          <w:lang w:val="fr-BE"/>
        </w:rPr>
        <w:t>2025) 0333 final</w:t>
      </w:r>
      <w:r w:rsidR="00AC78A5" w:rsidRPr="00F0741A" w:rsidDel="00AC78A5">
        <w:rPr>
          <w:rFonts w:ascii="Times New Roman" w:hAnsi="Times New Roman"/>
          <w:lang w:val="fr-BE"/>
        </w:rPr>
        <w:t xml:space="preserve"> </w:t>
      </w:r>
      <w:r w:rsidR="00AC78A5" w:rsidRPr="00F0741A">
        <w:rPr>
          <w:rFonts w:ascii="Times New Roman" w:hAnsi="Times New Roman"/>
          <w:lang w:val="fr-BE"/>
        </w:rPr>
        <w:t>(</w:t>
      </w:r>
      <w:r w:rsidR="00AC78A5">
        <w:fldChar w:fldCharType="begin"/>
      </w:r>
      <w:r w:rsidR="00AC78A5" w:rsidRPr="00781852">
        <w:rPr>
          <w:lang w:val="fr-BE"/>
        </w:rPr>
        <w:instrText>HYPERLINK "https://eur-lex.europa.eu/legal-content/EN/TXT/?uri=celex:52025SC0333"</w:instrText>
      </w:r>
      <w:r w:rsidR="00AC78A5">
        <w:fldChar w:fldCharType="separate"/>
      </w:r>
      <w:r w:rsidR="00AC78A5" w:rsidRPr="00F0741A">
        <w:rPr>
          <w:rStyle w:val="Hyperlink"/>
          <w:rFonts w:ascii="Times New Roman" w:hAnsi="Times New Roman"/>
          <w:lang w:val="fr-BE"/>
        </w:rPr>
        <w:t>EUR-Lex - 52025SC0333 - EN - EUR-Lex</w:t>
      </w:r>
      <w:r w:rsidR="00AC78A5">
        <w:fldChar w:fldCharType="end"/>
      </w:r>
      <w:r w:rsidR="00AC78A5" w:rsidRPr="00F0741A">
        <w:rPr>
          <w:rFonts w:ascii="Times New Roman" w:hAnsi="Times New Roman"/>
          <w:lang w:val="fr-BE"/>
        </w:rPr>
        <w:t>).</w:t>
      </w:r>
    </w:p>
  </w:footnote>
  <w:footnote w:id="6">
    <w:p w14:paraId="0891B432" w14:textId="427CA6B6" w:rsidR="00F5340B" w:rsidRPr="00F0741A" w:rsidRDefault="00F5340B" w:rsidP="00F0741A">
      <w:pPr>
        <w:pStyle w:val="FootnoteText"/>
        <w:widowControl w:val="0"/>
        <w:spacing w:after="0" w:line="240" w:lineRule="auto"/>
        <w:ind w:left="-142" w:right="-142" w:hanging="284"/>
        <w:rPr>
          <w:rFonts w:ascii="Times New Roman" w:hAnsi="Times New Roman"/>
          <w:lang w:val="fr-BE"/>
        </w:rPr>
      </w:pPr>
      <w:r w:rsidRPr="00AC78A5">
        <w:rPr>
          <w:rStyle w:val="FootnoteReference"/>
          <w:rFonts w:ascii="Times New Roman" w:hAnsi="Times New Roman"/>
        </w:rPr>
        <w:footnoteRef/>
      </w:r>
      <w:r w:rsidRPr="00F0741A">
        <w:rPr>
          <w:rFonts w:ascii="Times New Roman" w:hAnsi="Times New Roman"/>
          <w:lang w:val="fr-BE"/>
        </w:rPr>
        <w:t xml:space="preserve"> </w:t>
      </w:r>
      <w:r w:rsidR="002D7336" w:rsidRPr="00F0741A">
        <w:rPr>
          <w:rFonts w:ascii="Times New Roman" w:hAnsi="Times New Roman"/>
          <w:lang w:val="fr-BE"/>
        </w:rPr>
        <w:tab/>
      </w:r>
      <w:proofErr w:type="gramStart"/>
      <w:r w:rsidR="00AC78A5" w:rsidRPr="00F0741A">
        <w:rPr>
          <w:rFonts w:ascii="Times New Roman" w:hAnsi="Times New Roman"/>
          <w:lang w:val="fr-BE"/>
        </w:rPr>
        <w:t>SWD(</w:t>
      </w:r>
      <w:proofErr w:type="gramEnd"/>
      <w:r w:rsidR="00AC78A5" w:rsidRPr="00F0741A">
        <w:rPr>
          <w:rFonts w:ascii="Times New Roman" w:hAnsi="Times New Roman"/>
          <w:lang w:val="fr-BE"/>
        </w:rPr>
        <w:t xml:space="preserve">2025) 0333 final  </w:t>
      </w:r>
      <w:r w:rsidR="00AC78A5" w:rsidRPr="00AC78A5">
        <w:rPr>
          <w:rFonts w:ascii="Times New Roman" w:hAnsi="Times New Roman"/>
          <w:lang w:val="fr-BE"/>
        </w:rPr>
        <w:t>(</w:t>
      </w:r>
      <w:r w:rsidR="00AC78A5">
        <w:fldChar w:fldCharType="begin"/>
      </w:r>
      <w:r w:rsidR="00AC78A5" w:rsidRPr="00781852">
        <w:rPr>
          <w:lang w:val="fr-BE"/>
        </w:rPr>
        <w:instrText>HYPERLINK "https://eur-lex.europa.eu/legal-content/EN/TXT/?uri=celex:52025SC0333"</w:instrText>
      </w:r>
      <w:r w:rsidR="00AC78A5">
        <w:fldChar w:fldCharType="separate"/>
      </w:r>
      <w:r w:rsidR="00AC78A5" w:rsidRPr="00AC78A5">
        <w:rPr>
          <w:rStyle w:val="Hyperlink"/>
          <w:rFonts w:ascii="Times New Roman" w:hAnsi="Times New Roman"/>
          <w:lang w:val="fr-BE"/>
        </w:rPr>
        <w:t>EUR-Lex - 52025SC0333 - EN - EUR-Lex</w:t>
      </w:r>
      <w:r w:rsidR="00AC78A5">
        <w:fldChar w:fldCharType="end"/>
      </w:r>
      <w:r w:rsidR="00AC78A5" w:rsidRPr="00AC78A5">
        <w:rPr>
          <w:rFonts w:ascii="Times New Roman" w:hAnsi="Times New Roman"/>
          <w:lang w:val="fr-BE"/>
        </w:rPr>
        <w:t>).</w:t>
      </w:r>
    </w:p>
  </w:footnote>
  <w:footnote w:id="7">
    <w:p w14:paraId="58BA87C7" w14:textId="43147D51" w:rsidR="00F5340B" w:rsidRPr="00F0741A" w:rsidRDefault="00F5340B" w:rsidP="00F0741A">
      <w:pPr>
        <w:pStyle w:val="FootnoteText"/>
        <w:widowControl w:val="0"/>
        <w:spacing w:after="0" w:line="240" w:lineRule="auto"/>
        <w:ind w:left="-142" w:right="-142" w:hanging="284"/>
        <w:rPr>
          <w:rFonts w:ascii="Times New Roman" w:hAnsi="Times New Roman"/>
          <w:lang w:val="fr-BE"/>
        </w:rPr>
      </w:pPr>
      <w:r w:rsidRPr="00AC78A5">
        <w:rPr>
          <w:rStyle w:val="FootnoteReference"/>
          <w:rFonts w:ascii="Times New Roman" w:hAnsi="Times New Roman"/>
        </w:rPr>
        <w:footnoteRef/>
      </w:r>
      <w:r w:rsidRPr="00F0741A">
        <w:rPr>
          <w:rFonts w:ascii="Times New Roman" w:hAnsi="Times New Roman"/>
          <w:lang w:val="fr-BE"/>
        </w:rPr>
        <w:t xml:space="preserve"> </w:t>
      </w:r>
      <w:bookmarkStart w:id="0" w:name="_Hlk216944351"/>
      <w:r w:rsidR="002D7336" w:rsidRPr="00F0741A">
        <w:rPr>
          <w:rFonts w:ascii="Times New Roman" w:hAnsi="Times New Roman"/>
          <w:lang w:val="fr-BE"/>
        </w:rPr>
        <w:tab/>
      </w:r>
      <w:proofErr w:type="gramStart"/>
      <w:r w:rsidR="00AC78A5" w:rsidRPr="00F0741A">
        <w:rPr>
          <w:rFonts w:ascii="Times New Roman" w:hAnsi="Times New Roman"/>
          <w:lang w:val="fr-BE"/>
        </w:rPr>
        <w:t>SWD(</w:t>
      </w:r>
      <w:proofErr w:type="gramEnd"/>
      <w:r w:rsidR="00AC78A5" w:rsidRPr="00F0741A">
        <w:rPr>
          <w:rFonts w:ascii="Times New Roman" w:hAnsi="Times New Roman"/>
          <w:lang w:val="fr-BE"/>
        </w:rPr>
        <w:t xml:space="preserve">2025) 0333 final </w:t>
      </w:r>
      <w:bookmarkEnd w:id="0"/>
      <w:r w:rsidR="00AC78A5" w:rsidRPr="00AC78A5">
        <w:rPr>
          <w:rFonts w:ascii="Times New Roman" w:hAnsi="Times New Roman"/>
          <w:lang w:val="fr-BE"/>
        </w:rPr>
        <w:t xml:space="preserve"> (</w:t>
      </w:r>
      <w:r w:rsidR="00AC78A5">
        <w:fldChar w:fldCharType="begin"/>
      </w:r>
      <w:r w:rsidR="00AC78A5" w:rsidRPr="00781852">
        <w:rPr>
          <w:lang w:val="fr-BE"/>
        </w:rPr>
        <w:instrText>HYPERLINK "https://eur-lex.europa.eu/legal-content/EN/TXT/?uri=celex:52025SC0333"</w:instrText>
      </w:r>
      <w:r w:rsidR="00AC78A5">
        <w:fldChar w:fldCharType="separate"/>
      </w:r>
      <w:r w:rsidR="00AC78A5" w:rsidRPr="00AC78A5">
        <w:rPr>
          <w:rStyle w:val="Hyperlink"/>
          <w:rFonts w:ascii="Times New Roman" w:hAnsi="Times New Roman"/>
          <w:lang w:val="fr-BE"/>
        </w:rPr>
        <w:t>EUR-Lex - 52025SC0333 - EN - EUR-Lex</w:t>
      </w:r>
      <w:r w:rsidR="00AC78A5">
        <w:fldChar w:fldCharType="end"/>
      </w:r>
      <w:r w:rsidR="00AC78A5" w:rsidRPr="00AC78A5">
        <w:rPr>
          <w:rFonts w:ascii="Times New Roman" w:hAnsi="Times New Roman"/>
          <w:lang w:val="fr-BE"/>
        </w:rPr>
        <w:t>).</w:t>
      </w:r>
    </w:p>
  </w:footnote>
  <w:footnote w:id="8">
    <w:p w14:paraId="06F7BE2E" w14:textId="0418672B" w:rsidR="00F5340B" w:rsidRPr="00F0741A" w:rsidRDefault="00F5340B" w:rsidP="00F0741A">
      <w:pPr>
        <w:pStyle w:val="FootnoteText"/>
        <w:widowControl w:val="0"/>
        <w:spacing w:after="0" w:line="240" w:lineRule="auto"/>
        <w:ind w:left="-142" w:right="-142" w:hanging="284"/>
        <w:rPr>
          <w:rFonts w:ascii="Times New Roman" w:hAnsi="Times New Roman"/>
          <w:lang w:val="fr-BE"/>
        </w:rPr>
      </w:pPr>
      <w:r w:rsidRPr="00F0741A">
        <w:rPr>
          <w:rStyle w:val="FootnoteReference"/>
          <w:rFonts w:ascii="Times New Roman" w:hAnsi="Times New Roman"/>
        </w:rPr>
        <w:footnoteRef/>
      </w:r>
      <w:r w:rsidRPr="00F0741A">
        <w:rPr>
          <w:rFonts w:ascii="Times New Roman" w:hAnsi="Times New Roman"/>
          <w:lang w:val="fr-BE"/>
        </w:rPr>
        <w:t xml:space="preserve"> </w:t>
      </w:r>
      <w:r w:rsidR="002D7336" w:rsidRPr="00F0741A">
        <w:rPr>
          <w:rFonts w:ascii="Times New Roman" w:hAnsi="Times New Roman"/>
          <w:lang w:val="fr-BE"/>
        </w:rPr>
        <w:tab/>
      </w:r>
      <w:proofErr w:type="gramStart"/>
      <w:r w:rsidR="00AC78A5" w:rsidRPr="00F0741A">
        <w:rPr>
          <w:rFonts w:ascii="Times New Roman" w:hAnsi="Times New Roman"/>
          <w:lang w:val="fr-BE"/>
        </w:rPr>
        <w:t>SWD(</w:t>
      </w:r>
      <w:proofErr w:type="gramEnd"/>
      <w:r w:rsidR="00AC78A5" w:rsidRPr="00F0741A">
        <w:rPr>
          <w:rFonts w:ascii="Times New Roman" w:hAnsi="Times New Roman"/>
          <w:lang w:val="fr-BE"/>
        </w:rPr>
        <w:t xml:space="preserve">2025) 0333 final  </w:t>
      </w:r>
      <w:r w:rsidR="00AC78A5" w:rsidRPr="00AC78A5">
        <w:rPr>
          <w:rFonts w:ascii="Times New Roman" w:hAnsi="Times New Roman"/>
          <w:lang w:val="fr-BE"/>
        </w:rPr>
        <w:t>(</w:t>
      </w:r>
      <w:r w:rsidR="00AC78A5">
        <w:fldChar w:fldCharType="begin"/>
      </w:r>
      <w:r w:rsidR="00AC78A5" w:rsidRPr="00781852">
        <w:rPr>
          <w:lang w:val="fr-BE"/>
        </w:rPr>
        <w:instrText>HYPERLINK "https://eur-lex.europa.eu/legal-content/EN/TXT/?uri=celex:52025SC0333"</w:instrText>
      </w:r>
      <w:r w:rsidR="00AC78A5">
        <w:fldChar w:fldCharType="separate"/>
      </w:r>
      <w:r w:rsidR="00AC78A5" w:rsidRPr="00AC78A5">
        <w:rPr>
          <w:rStyle w:val="Hyperlink"/>
          <w:rFonts w:ascii="Times New Roman" w:hAnsi="Times New Roman"/>
          <w:lang w:val="fr-BE"/>
        </w:rPr>
        <w:t>EUR-Lex - 52025SC0333 - EN - EUR-Lex</w:t>
      </w:r>
      <w:r w:rsidR="00AC78A5">
        <w:fldChar w:fldCharType="end"/>
      </w:r>
      <w:r w:rsidR="00AC78A5" w:rsidRPr="00AC78A5">
        <w:rPr>
          <w:rFonts w:ascii="Times New Roman" w:hAnsi="Times New Roman"/>
          <w:lang w:val="fr-BE"/>
        </w:rPr>
        <w:t>).</w:t>
      </w:r>
    </w:p>
  </w:footnote>
  <w:footnote w:id="9">
    <w:p w14:paraId="694798DD" w14:textId="373A8ED3" w:rsidR="00F5340B" w:rsidRPr="00F0741A" w:rsidRDefault="00F5340B" w:rsidP="00F0741A">
      <w:pPr>
        <w:pStyle w:val="FootnoteText"/>
        <w:widowControl w:val="0"/>
        <w:spacing w:after="0" w:line="240" w:lineRule="auto"/>
        <w:ind w:left="-142" w:right="-142" w:hanging="284"/>
        <w:rPr>
          <w:rFonts w:ascii="Times New Roman" w:hAnsi="Times New Roman"/>
          <w:lang w:val="fr-BE"/>
        </w:rPr>
      </w:pPr>
      <w:r w:rsidRPr="00F0741A">
        <w:rPr>
          <w:rStyle w:val="FootnoteReference"/>
          <w:rFonts w:ascii="Times New Roman" w:hAnsi="Times New Roman"/>
        </w:rPr>
        <w:footnoteRef/>
      </w:r>
      <w:r w:rsidRPr="00F0741A">
        <w:rPr>
          <w:rFonts w:ascii="Times New Roman" w:hAnsi="Times New Roman"/>
          <w:lang w:val="fr-BE"/>
        </w:rPr>
        <w:t xml:space="preserve"> </w:t>
      </w:r>
      <w:r w:rsidR="002D7336" w:rsidRPr="00F0741A">
        <w:rPr>
          <w:rFonts w:ascii="Times New Roman" w:hAnsi="Times New Roman"/>
          <w:lang w:val="fr-BE"/>
        </w:rPr>
        <w:tab/>
      </w:r>
      <w:proofErr w:type="gramStart"/>
      <w:r w:rsidR="00AC78A5" w:rsidRPr="00F0741A">
        <w:rPr>
          <w:rFonts w:ascii="Times New Roman" w:hAnsi="Times New Roman"/>
          <w:lang w:val="fr-BE"/>
        </w:rPr>
        <w:t>SWD(</w:t>
      </w:r>
      <w:proofErr w:type="gramEnd"/>
      <w:r w:rsidR="00AC78A5" w:rsidRPr="00F0741A">
        <w:rPr>
          <w:rFonts w:ascii="Times New Roman" w:hAnsi="Times New Roman"/>
          <w:lang w:val="fr-BE"/>
        </w:rPr>
        <w:t xml:space="preserve">2025) 0333 final  </w:t>
      </w:r>
      <w:r w:rsidR="00AC78A5" w:rsidRPr="00AC78A5">
        <w:rPr>
          <w:rFonts w:ascii="Times New Roman" w:hAnsi="Times New Roman"/>
          <w:lang w:val="fr-BE"/>
        </w:rPr>
        <w:t>(</w:t>
      </w:r>
      <w:r w:rsidR="00AC78A5">
        <w:fldChar w:fldCharType="begin"/>
      </w:r>
      <w:r w:rsidR="00AC78A5" w:rsidRPr="00781852">
        <w:rPr>
          <w:lang w:val="fr-BE"/>
        </w:rPr>
        <w:instrText>HYPERLINK "https://eur-lex.europa.eu/legal-content/EN/TXT/?uri=celex:52025SC0333"</w:instrText>
      </w:r>
      <w:r w:rsidR="00AC78A5">
        <w:fldChar w:fldCharType="separate"/>
      </w:r>
      <w:r w:rsidR="00AC78A5" w:rsidRPr="00AC78A5">
        <w:rPr>
          <w:rStyle w:val="Hyperlink"/>
          <w:rFonts w:ascii="Times New Roman" w:hAnsi="Times New Roman"/>
          <w:lang w:val="fr-BE"/>
        </w:rPr>
        <w:t>EUR-Lex - 52025SC0333 - EN - EUR-Lex</w:t>
      </w:r>
      <w:r w:rsidR="00AC78A5">
        <w:fldChar w:fldCharType="end"/>
      </w:r>
      <w:r w:rsidR="00AC78A5" w:rsidRPr="00AC78A5">
        <w:rPr>
          <w:rFonts w:ascii="Times New Roman" w:hAnsi="Times New Roman"/>
          <w:lang w:val="fr-BE"/>
        </w:rPr>
        <w:t>).</w:t>
      </w:r>
    </w:p>
  </w:footnote>
  <w:footnote w:id="10">
    <w:p w14:paraId="7AC0524A" w14:textId="1C2C1D5D" w:rsidR="00F5340B" w:rsidRPr="00F0741A" w:rsidRDefault="00F5340B" w:rsidP="00F0741A">
      <w:pPr>
        <w:pStyle w:val="FootnoteText"/>
        <w:widowControl w:val="0"/>
        <w:spacing w:after="0" w:line="240" w:lineRule="auto"/>
        <w:ind w:left="-142" w:right="-142" w:hanging="284"/>
        <w:rPr>
          <w:lang w:val="fr-BE"/>
        </w:rPr>
      </w:pPr>
      <w:r w:rsidRPr="00F0741A">
        <w:rPr>
          <w:rStyle w:val="FootnoteReference"/>
          <w:rFonts w:ascii="Times New Roman" w:hAnsi="Times New Roman"/>
        </w:rPr>
        <w:footnoteRef/>
      </w:r>
      <w:r w:rsidRPr="00F0741A">
        <w:rPr>
          <w:rFonts w:ascii="Times New Roman" w:hAnsi="Times New Roman"/>
          <w:lang w:val="fr-BE"/>
        </w:rPr>
        <w:t xml:space="preserve"> </w:t>
      </w:r>
      <w:r w:rsidR="002D7336" w:rsidRPr="00F0741A">
        <w:rPr>
          <w:rFonts w:ascii="Times New Roman" w:hAnsi="Times New Roman"/>
          <w:lang w:val="fr-BE"/>
        </w:rPr>
        <w:tab/>
      </w:r>
      <w:proofErr w:type="gramStart"/>
      <w:r w:rsidR="00AC78A5" w:rsidRPr="00F0741A">
        <w:rPr>
          <w:rFonts w:ascii="Times New Roman" w:hAnsi="Times New Roman"/>
          <w:lang w:val="fr-BE"/>
        </w:rPr>
        <w:t>SWD(</w:t>
      </w:r>
      <w:proofErr w:type="gramEnd"/>
      <w:r w:rsidR="00AC78A5" w:rsidRPr="00F0741A">
        <w:rPr>
          <w:rFonts w:ascii="Times New Roman" w:hAnsi="Times New Roman"/>
          <w:lang w:val="fr-BE"/>
        </w:rPr>
        <w:t xml:space="preserve">2025) 0333 final </w:t>
      </w:r>
      <w:r w:rsidR="00AC78A5" w:rsidRPr="00AC78A5">
        <w:rPr>
          <w:rFonts w:ascii="Times New Roman" w:hAnsi="Times New Roman"/>
          <w:lang w:val="fr-BE"/>
        </w:rPr>
        <w:t>(</w:t>
      </w:r>
      <w:r w:rsidR="00AC78A5">
        <w:fldChar w:fldCharType="begin"/>
      </w:r>
      <w:r w:rsidR="00AC78A5" w:rsidRPr="00781852">
        <w:rPr>
          <w:lang w:val="fr-BE"/>
        </w:rPr>
        <w:instrText>HYPERLINK "https://eur-lex.europa.eu/legal-content/EN/TXT/?uri=celex:52025SC0333"</w:instrText>
      </w:r>
      <w:r w:rsidR="00AC78A5">
        <w:fldChar w:fldCharType="separate"/>
      </w:r>
      <w:r w:rsidR="00AC78A5" w:rsidRPr="00AC78A5">
        <w:rPr>
          <w:rStyle w:val="Hyperlink"/>
          <w:rFonts w:ascii="Times New Roman" w:hAnsi="Times New Roman"/>
          <w:lang w:val="fr-BE"/>
        </w:rPr>
        <w:t>EUR-Lex - 52025SC0333 - EN - EUR-Lex</w:t>
      </w:r>
      <w:r w:rsidR="00AC78A5">
        <w:fldChar w:fldCharType="end"/>
      </w:r>
      <w:r w:rsidR="00AC78A5" w:rsidRPr="00AC78A5">
        <w:rPr>
          <w:rFonts w:ascii="Times New Roman" w:hAnsi="Times New Roman"/>
          <w:lang w:val="fr-BE"/>
        </w:rPr>
        <w:t>).</w:t>
      </w:r>
    </w:p>
  </w:footnote>
  <w:footnote w:id="11">
    <w:p w14:paraId="3F21D253" w14:textId="423BA810" w:rsidR="00F5340B" w:rsidRPr="007E1B13" w:rsidRDefault="00F5340B" w:rsidP="00F0741A">
      <w:pPr>
        <w:pStyle w:val="FootnoteText"/>
        <w:spacing w:after="0"/>
        <w:ind w:left="-284" w:right="-284" w:hanging="142"/>
        <w:jc w:val="both"/>
        <w:rPr>
          <w:rFonts w:ascii="Times New Roman" w:hAnsi="Times New Roman"/>
        </w:rPr>
      </w:pPr>
      <w:r w:rsidRPr="007E1B13">
        <w:rPr>
          <w:rStyle w:val="FootnoteReference"/>
          <w:rFonts w:ascii="Times New Roman" w:hAnsi="Times New Roman"/>
        </w:rPr>
        <w:footnoteRef/>
      </w:r>
      <w:r w:rsidRPr="007E1B13">
        <w:rPr>
          <w:rFonts w:ascii="Times New Roman" w:hAnsi="Times New Roman"/>
        </w:rPr>
        <w:t xml:space="preserve"> </w:t>
      </w:r>
      <w:r w:rsidR="008460A3" w:rsidRPr="007E1B13">
        <w:rPr>
          <w:rFonts w:ascii="Times New Roman" w:hAnsi="Times New Roman"/>
        </w:rPr>
        <w:tab/>
        <w:t>‘</w:t>
      </w:r>
      <w:r w:rsidRPr="007E1B13">
        <w:rPr>
          <w:rFonts w:ascii="Times New Roman" w:hAnsi="Times New Roman"/>
        </w:rPr>
        <w:t>Buying for Social Impact</w:t>
      </w:r>
      <w:r w:rsidR="008460A3" w:rsidRPr="007E1B13">
        <w:rPr>
          <w:rFonts w:ascii="Times New Roman" w:hAnsi="Times New Roman"/>
        </w:rPr>
        <w:t>’</w:t>
      </w:r>
      <w:r w:rsidRPr="007E1B13">
        <w:rPr>
          <w:rFonts w:ascii="Times New Roman" w:hAnsi="Times New Roman"/>
        </w:rPr>
        <w:t xml:space="preserve"> 2018 and </w:t>
      </w:r>
      <w:r w:rsidR="008460A3" w:rsidRPr="007E1B13">
        <w:rPr>
          <w:rFonts w:ascii="Times New Roman" w:hAnsi="Times New Roman"/>
        </w:rPr>
        <w:t>‘</w:t>
      </w:r>
      <w:r w:rsidRPr="007E1B13">
        <w:rPr>
          <w:rFonts w:ascii="Times New Roman" w:hAnsi="Times New Roman"/>
        </w:rPr>
        <w:t>We Buy Social</w:t>
      </w:r>
      <w:r w:rsidR="008460A3" w:rsidRPr="007E1B13">
        <w:rPr>
          <w:rFonts w:ascii="Times New Roman" w:hAnsi="Times New Roman"/>
        </w:rPr>
        <w:t>’</w:t>
      </w:r>
      <w:r w:rsidRPr="007E1B13">
        <w:rPr>
          <w:rFonts w:ascii="Times New Roman" w:hAnsi="Times New Roman"/>
        </w:rPr>
        <w:t xml:space="preserve"> 2022 projects</w:t>
      </w:r>
      <w:r w:rsidR="008460A3" w:rsidRPr="007E1B13">
        <w:rPr>
          <w:rFonts w:ascii="Times New Roman" w:hAnsi="Times New Roman"/>
        </w:rPr>
        <w:t>.</w:t>
      </w:r>
    </w:p>
  </w:footnote>
  <w:footnote w:id="12">
    <w:p w14:paraId="0F8E944B" w14:textId="6DDF36FC" w:rsidR="00F5340B" w:rsidRPr="007E1B13" w:rsidRDefault="00F5340B" w:rsidP="00F0741A">
      <w:pPr>
        <w:pStyle w:val="FootnoteText"/>
        <w:spacing w:after="0"/>
        <w:ind w:left="-284" w:right="-284" w:hanging="142"/>
        <w:jc w:val="both"/>
        <w:rPr>
          <w:rFonts w:ascii="Times New Roman" w:hAnsi="Times New Roman"/>
        </w:rPr>
      </w:pPr>
      <w:r w:rsidRPr="007E1B13">
        <w:rPr>
          <w:rStyle w:val="FootnoteReference"/>
          <w:rFonts w:ascii="Times New Roman" w:hAnsi="Times New Roman"/>
        </w:rPr>
        <w:footnoteRef/>
      </w:r>
      <w:r w:rsidRPr="007E1B13">
        <w:rPr>
          <w:rFonts w:ascii="Times New Roman" w:hAnsi="Times New Roman"/>
        </w:rPr>
        <w:t xml:space="preserve"> </w:t>
      </w:r>
      <w:r w:rsidR="008460A3" w:rsidRPr="007E1B13">
        <w:rPr>
          <w:rFonts w:ascii="Times New Roman" w:hAnsi="Times New Roman"/>
        </w:rPr>
        <w:tab/>
        <w:t>‘</w:t>
      </w:r>
      <w:r w:rsidRPr="007E1B13">
        <w:rPr>
          <w:rFonts w:ascii="Times New Roman" w:hAnsi="Times New Roman"/>
        </w:rPr>
        <w:t>Buying Social Guide</w:t>
      </w:r>
      <w:r w:rsidR="008460A3" w:rsidRPr="007E1B13">
        <w:rPr>
          <w:rFonts w:ascii="Times New Roman" w:hAnsi="Times New Roman"/>
        </w:rPr>
        <w:t>’</w:t>
      </w:r>
      <w:r w:rsidRPr="007E1B13">
        <w:rPr>
          <w:rFonts w:ascii="Times New Roman" w:hAnsi="Times New Roman"/>
        </w:rPr>
        <w:t xml:space="preserve"> 2021, </w:t>
      </w:r>
      <w:r w:rsidR="008460A3" w:rsidRPr="007E1B13">
        <w:rPr>
          <w:rFonts w:ascii="Times New Roman" w:hAnsi="Times New Roman"/>
        </w:rPr>
        <w:t>‘</w:t>
      </w:r>
      <w:r w:rsidRPr="007E1B13">
        <w:rPr>
          <w:rFonts w:ascii="Times New Roman" w:hAnsi="Times New Roman"/>
        </w:rPr>
        <w:t>How to apply SRPP</w:t>
      </w:r>
      <w:r w:rsidR="008460A3" w:rsidRPr="007E1B13">
        <w:rPr>
          <w:rFonts w:ascii="Times New Roman" w:hAnsi="Times New Roman"/>
        </w:rPr>
        <w:t>’</w:t>
      </w:r>
      <w:r w:rsidRPr="007E1B13">
        <w:rPr>
          <w:rFonts w:ascii="Times New Roman" w:hAnsi="Times New Roman"/>
        </w:rPr>
        <w:t xml:space="preserve"> 2025</w:t>
      </w:r>
      <w:r w:rsidR="008460A3" w:rsidRPr="007E1B13">
        <w:rPr>
          <w:rFonts w:ascii="Times New Roman" w:hAnsi="Times New Roman"/>
        </w:rPr>
        <w:t>.</w:t>
      </w:r>
    </w:p>
  </w:footnote>
  <w:footnote w:id="13">
    <w:p w14:paraId="6BDBC86D" w14:textId="5B58FAC7" w:rsidR="00F5340B" w:rsidRPr="00404751" w:rsidRDefault="00F5340B" w:rsidP="00F0741A">
      <w:pPr>
        <w:pStyle w:val="FootnoteText"/>
        <w:spacing w:after="0"/>
        <w:ind w:left="-284" w:right="-284" w:hanging="142"/>
        <w:jc w:val="both"/>
        <w:rPr>
          <w:rFonts w:ascii="Times New Roman" w:hAnsi="Times New Roman"/>
        </w:rPr>
      </w:pPr>
      <w:r w:rsidRPr="00404751">
        <w:rPr>
          <w:rStyle w:val="FootnoteReference"/>
          <w:rFonts w:ascii="Times New Roman" w:hAnsi="Times New Roman"/>
        </w:rPr>
        <w:footnoteRef/>
      </w:r>
      <w:r w:rsidRPr="00404751">
        <w:rPr>
          <w:rFonts w:ascii="Times New Roman" w:hAnsi="Times New Roman"/>
        </w:rPr>
        <w:t xml:space="preserve"> </w:t>
      </w:r>
      <w:r w:rsidR="008460A3" w:rsidRPr="00404751">
        <w:rPr>
          <w:rFonts w:ascii="Times New Roman" w:hAnsi="Times New Roman"/>
        </w:rPr>
        <w:tab/>
      </w:r>
      <w:r w:rsidR="004E5588" w:rsidRPr="00404751">
        <w:rPr>
          <w:rFonts w:ascii="Times New Roman" w:hAnsi="Times New Roman"/>
        </w:rPr>
        <w:t>‘</w:t>
      </w:r>
      <w:r w:rsidRPr="00404751">
        <w:rPr>
          <w:rFonts w:ascii="Times New Roman" w:hAnsi="Times New Roman"/>
        </w:rPr>
        <w:t>71 Good Practice Cases</w:t>
      </w:r>
      <w:r w:rsidR="004E5588" w:rsidRPr="00404751">
        <w:rPr>
          <w:rFonts w:ascii="Times New Roman" w:hAnsi="Times New Roman"/>
        </w:rPr>
        <w:t>’</w:t>
      </w:r>
      <w:r w:rsidRPr="00404751">
        <w:rPr>
          <w:rFonts w:ascii="Times New Roman" w:hAnsi="Times New Roman"/>
        </w:rPr>
        <w:t xml:space="preserve"> 2020</w:t>
      </w:r>
      <w:r w:rsidR="008460A3" w:rsidRPr="00404751">
        <w:rPr>
          <w:rFonts w:ascii="Times New Roman" w:hAnsi="Times New Roman"/>
        </w:rPr>
        <w:t>.</w:t>
      </w:r>
    </w:p>
  </w:footnote>
  <w:footnote w:id="14">
    <w:p w14:paraId="69A4ECDD" w14:textId="6BC72D16" w:rsidR="00F5340B" w:rsidRPr="00404751" w:rsidRDefault="00F5340B" w:rsidP="00F0741A">
      <w:pPr>
        <w:pStyle w:val="FootnoteText"/>
        <w:spacing w:after="0"/>
        <w:ind w:left="-284" w:right="-284" w:hanging="142"/>
        <w:jc w:val="both"/>
        <w:rPr>
          <w:rFonts w:ascii="Times New Roman" w:hAnsi="Times New Roman"/>
        </w:rPr>
      </w:pPr>
      <w:r w:rsidRPr="00404751">
        <w:rPr>
          <w:rStyle w:val="FootnoteReference"/>
          <w:rFonts w:ascii="Times New Roman" w:hAnsi="Times New Roman"/>
        </w:rPr>
        <w:footnoteRef/>
      </w:r>
      <w:r w:rsidRPr="00404751">
        <w:rPr>
          <w:rFonts w:ascii="Times New Roman" w:hAnsi="Times New Roman"/>
        </w:rPr>
        <w:t xml:space="preserve"> </w:t>
      </w:r>
      <w:r w:rsidR="008460A3" w:rsidRPr="00404751">
        <w:rPr>
          <w:rFonts w:ascii="Times New Roman" w:hAnsi="Times New Roman"/>
        </w:rPr>
        <w:tab/>
      </w:r>
      <w:r w:rsidRPr="00404751">
        <w:rPr>
          <w:rFonts w:ascii="Times New Roman" w:hAnsi="Times New Roman"/>
        </w:rPr>
        <w:t>European Commission – Green Public Procurement. Procuring goods, services and works with a reduced environmental impact throughout their life cycle</w:t>
      </w:r>
      <w:r w:rsidR="007E1B13" w:rsidRPr="00404751">
        <w:rPr>
          <w:rFonts w:ascii="Times New Roman" w:hAnsi="Times New Roman"/>
        </w:rPr>
        <w:t xml:space="preserve"> (</w:t>
      </w:r>
      <w:hyperlink r:id="rId4" w:history="1">
        <w:r w:rsidR="007E1B13" w:rsidRPr="00404751">
          <w:rPr>
            <w:rStyle w:val="Hyperlink"/>
            <w:rFonts w:ascii="Times New Roman" w:hAnsi="Times New Roman"/>
            <w:lang w:val="en-GB"/>
          </w:rPr>
          <w:t>Green Public Procurement - Green Forum - European Commission</w:t>
        </w:r>
      </w:hyperlink>
      <w:r w:rsidR="007E1B13" w:rsidRPr="00404751">
        <w:rPr>
          <w:rFonts w:ascii="Times New Roman" w:hAnsi="Times New Roman"/>
        </w:rPr>
        <w:t>).</w:t>
      </w:r>
    </w:p>
  </w:footnote>
  <w:footnote w:id="15">
    <w:p w14:paraId="771FD072" w14:textId="775CF1FB" w:rsidR="00F5340B" w:rsidRPr="00404751" w:rsidRDefault="00F5340B" w:rsidP="00F0741A">
      <w:pPr>
        <w:pStyle w:val="FootnoteText"/>
        <w:spacing w:after="0"/>
        <w:ind w:left="-284" w:right="-284" w:hanging="142"/>
        <w:jc w:val="both"/>
        <w:rPr>
          <w:rFonts w:ascii="Times New Roman" w:hAnsi="Times New Roman"/>
        </w:rPr>
      </w:pPr>
      <w:r w:rsidRPr="00404751">
        <w:rPr>
          <w:rStyle w:val="FootnoteReference"/>
          <w:rFonts w:ascii="Times New Roman" w:hAnsi="Times New Roman"/>
        </w:rPr>
        <w:footnoteRef/>
      </w:r>
      <w:r w:rsidRPr="00404751">
        <w:rPr>
          <w:rFonts w:ascii="Times New Roman" w:hAnsi="Times New Roman"/>
        </w:rPr>
        <w:t xml:space="preserve"> </w:t>
      </w:r>
      <w:r w:rsidR="008460A3" w:rsidRPr="00404751">
        <w:rPr>
          <w:rFonts w:ascii="Times New Roman" w:hAnsi="Times New Roman"/>
        </w:rPr>
        <w:tab/>
      </w:r>
      <w:r w:rsidRPr="00404751">
        <w:rPr>
          <w:rFonts w:ascii="Times New Roman" w:hAnsi="Times New Roman"/>
        </w:rPr>
        <w:t>European Commission – Green Public Procurement Criteria and Requirements (</w:t>
      </w:r>
      <w:hyperlink r:id="rId5" w:history="1">
        <w:r w:rsidR="007E1B13" w:rsidRPr="00404751">
          <w:rPr>
            <w:rStyle w:val="Hyperlink"/>
            <w:rFonts w:ascii="Times New Roman" w:hAnsi="Times New Roman"/>
          </w:rPr>
          <w:t>https://green-forum.ec.europa.eu/green-business/green-public-procurement/gpp-criteria-and-requirements_en</w:t>
        </w:r>
      </w:hyperlink>
      <w:r w:rsidR="007E1B13" w:rsidRPr="00404751">
        <w:rPr>
          <w:rFonts w:ascii="Times New Roman" w:hAnsi="Times New Roman"/>
        </w:rPr>
        <w:t xml:space="preserve"> </w:t>
      </w:r>
      <w:r w:rsidRPr="00404751">
        <w:rPr>
          <w:rFonts w:ascii="Times New Roman" w:hAnsi="Times New Roman"/>
        </w:rPr>
        <w:t>)</w:t>
      </w:r>
      <w:r w:rsidR="00C52A6E">
        <w:rPr>
          <w:rFonts w:ascii="Times New Roman" w:hAnsi="Times New Roman"/>
        </w:rPr>
        <w:t>.</w:t>
      </w:r>
    </w:p>
  </w:footnote>
  <w:footnote w:id="16">
    <w:p w14:paraId="32707DFF" w14:textId="094BE7DD" w:rsidR="00BC0434" w:rsidRPr="00404751" w:rsidRDefault="00BC0434" w:rsidP="00F0741A">
      <w:pPr>
        <w:pStyle w:val="FootnoteText"/>
        <w:spacing w:after="0"/>
        <w:ind w:left="-284" w:right="-284" w:hanging="142"/>
        <w:jc w:val="both"/>
        <w:rPr>
          <w:rFonts w:ascii="Times New Roman" w:hAnsi="Times New Roman"/>
        </w:rPr>
      </w:pPr>
      <w:r w:rsidRPr="00404751">
        <w:rPr>
          <w:rStyle w:val="FootnoteReference"/>
          <w:rFonts w:ascii="Times New Roman" w:hAnsi="Times New Roman"/>
        </w:rPr>
        <w:footnoteRef/>
      </w:r>
      <w:r w:rsidRPr="00404751">
        <w:rPr>
          <w:rFonts w:ascii="Times New Roman" w:hAnsi="Times New Roman"/>
        </w:rPr>
        <w:t xml:space="preserve"> </w:t>
      </w:r>
      <w:r w:rsidR="008460A3" w:rsidRPr="00404751">
        <w:rPr>
          <w:rFonts w:ascii="Times New Roman" w:hAnsi="Times New Roman"/>
        </w:rPr>
        <w:tab/>
      </w:r>
      <w:r w:rsidR="00AF72DE" w:rsidRPr="00404751">
        <w:rPr>
          <w:rFonts w:ascii="Times New Roman" w:hAnsi="Times New Roman"/>
        </w:rPr>
        <w:t xml:space="preserve">European Commission – Green Public Procurement Toolkit </w:t>
      </w:r>
      <w:hyperlink r:id="rId6" w:history="1">
        <w:r w:rsidR="00AF72DE" w:rsidRPr="00404751">
          <w:rPr>
            <w:rStyle w:val="Hyperlink"/>
            <w:rFonts w:ascii="Times New Roman" w:hAnsi="Times New Roman"/>
            <w:color w:val="auto"/>
            <w:lang w:val="en-GB"/>
          </w:rPr>
          <w:t>(</w:t>
        </w:r>
      </w:hyperlink>
      <w:hyperlink r:id="rId7" w:history="1">
        <w:r w:rsidR="007E1B13" w:rsidRPr="00404751">
          <w:rPr>
            <w:rStyle w:val="Hyperlink"/>
            <w:rFonts w:ascii="Times New Roman" w:hAnsi="Times New Roman"/>
          </w:rPr>
          <w:t>https://green-forum.ec.europa.eu/green-business/green-public-procurement/gpp-training-toolkit_en</w:t>
        </w:r>
      </w:hyperlink>
      <w:r w:rsidR="007E1B13" w:rsidRPr="00404751">
        <w:rPr>
          <w:rFonts w:ascii="Times New Roman" w:hAnsi="Times New Roman"/>
        </w:rPr>
        <w:t xml:space="preserve"> </w:t>
      </w:r>
      <w:r w:rsidR="00AF72DE" w:rsidRPr="00404751">
        <w:rPr>
          <w:rFonts w:ascii="Times New Roman" w:hAnsi="Times New Roman"/>
        </w:rPr>
        <w:t>)</w:t>
      </w:r>
      <w:r w:rsidR="00C52A6E">
        <w:rPr>
          <w:rFonts w:ascii="Times New Roman" w:hAnsi="Times New Roman"/>
        </w:rPr>
        <w:t>.</w:t>
      </w:r>
    </w:p>
  </w:footnote>
  <w:footnote w:id="17">
    <w:p w14:paraId="5681400B" w14:textId="2F7A4853" w:rsidR="00B758CD" w:rsidRPr="00404751" w:rsidRDefault="00BC0434" w:rsidP="00F0741A">
      <w:pPr>
        <w:pStyle w:val="FootnoteText"/>
        <w:spacing w:after="0"/>
        <w:ind w:left="-284" w:right="-284" w:hanging="142"/>
        <w:jc w:val="both"/>
        <w:rPr>
          <w:rFonts w:ascii="Times New Roman" w:hAnsi="Times New Roman"/>
        </w:rPr>
      </w:pPr>
      <w:r w:rsidRPr="00404751">
        <w:rPr>
          <w:rStyle w:val="FootnoteReference"/>
          <w:rFonts w:ascii="Times New Roman" w:hAnsi="Times New Roman"/>
        </w:rPr>
        <w:footnoteRef/>
      </w:r>
      <w:r w:rsidR="00AF72DE" w:rsidRPr="00404751">
        <w:rPr>
          <w:rFonts w:ascii="Times New Roman" w:hAnsi="Times New Roman"/>
        </w:rPr>
        <w:t xml:space="preserve"> </w:t>
      </w:r>
      <w:r w:rsidR="008460A3" w:rsidRPr="00404751">
        <w:rPr>
          <w:rFonts w:ascii="Times New Roman" w:hAnsi="Times New Roman"/>
        </w:rPr>
        <w:tab/>
      </w:r>
      <w:r w:rsidR="00AF72DE" w:rsidRPr="00404751">
        <w:rPr>
          <w:rFonts w:ascii="Times New Roman" w:hAnsi="Times New Roman"/>
        </w:rPr>
        <w:t>European Commission – Green Public Procurement Events (</w:t>
      </w:r>
      <w:hyperlink r:id="rId8" w:history="1">
        <w:r w:rsidR="00B758CD" w:rsidRPr="00404751">
          <w:rPr>
            <w:rStyle w:val="Hyperlink"/>
            <w:rFonts w:ascii="Times New Roman" w:hAnsi="Times New Roman"/>
          </w:rPr>
          <w:t>https://green-forum.ec.europa.eu/events_en?f%5B0%5D=oe_event_status%3Apast&amp;f%5B1%5D=oe_event_status%3Aupcoming&amp;f%5B2%5D=oe_event_subject%3Ahttp%3A//data.europa.eu/uxp/c_163e1e9</w:t>
        </w:r>
      </w:hyperlink>
      <w:r w:rsidR="00AF72DE" w:rsidRPr="00404751">
        <w:rPr>
          <w:rFonts w:ascii="Times New Roman" w:hAnsi="Times New Roman"/>
        </w:rPr>
        <w:t>)</w:t>
      </w:r>
      <w:r w:rsidR="007E1B13" w:rsidRPr="00404751">
        <w:rPr>
          <w:rFonts w:ascii="Times New Roman" w:hAnsi="Times New Roman"/>
        </w:rPr>
        <w:t>.</w:t>
      </w:r>
    </w:p>
  </w:footnote>
  <w:footnote w:id="18">
    <w:p w14:paraId="7BCC41CC" w14:textId="0788FB5A" w:rsidR="00BC0434" w:rsidRPr="00404751" w:rsidRDefault="00BC0434" w:rsidP="00F0741A">
      <w:pPr>
        <w:pStyle w:val="FootnoteText"/>
        <w:spacing w:after="0"/>
        <w:ind w:left="-284" w:right="-284" w:hanging="142"/>
        <w:jc w:val="both"/>
        <w:rPr>
          <w:rFonts w:ascii="Times New Roman" w:hAnsi="Times New Roman"/>
        </w:rPr>
      </w:pPr>
      <w:r w:rsidRPr="00404751">
        <w:rPr>
          <w:rStyle w:val="FootnoteReference"/>
          <w:rFonts w:ascii="Times New Roman" w:hAnsi="Times New Roman"/>
        </w:rPr>
        <w:footnoteRef/>
      </w:r>
      <w:r w:rsidRPr="00404751">
        <w:rPr>
          <w:rFonts w:ascii="Times New Roman" w:hAnsi="Times New Roman"/>
        </w:rPr>
        <w:t xml:space="preserve"> </w:t>
      </w:r>
      <w:r w:rsidR="008460A3" w:rsidRPr="00404751">
        <w:rPr>
          <w:rFonts w:ascii="Times New Roman" w:hAnsi="Times New Roman"/>
        </w:rPr>
        <w:tab/>
      </w:r>
      <w:hyperlink r:id="rId9" w:history="1">
        <w:r w:rsidR="007E1B13" w:rsidRPr="00404751">
          <w:rPr>
            <w:rStyle w:val="Hyperlink"/>
            <w:rFonts w:ascii="Times New Roman" w:hAnsi="Times New Roman"/>
            <w:lang w:val="en-GB"/>
          </w:rPr>
          <w:t xml:space="preserve">European Commission – Life-cycle costing (https://green-forum.ec.europa.eu/green-business/green-public-procurement/life-cycle-costing_en) </w:t>
        </w:r>
      </w:hyperlink>
      <w:r w:rsidR="00C321FA">
        <w:t>.</w:t>
      </w:r>
    </w:p>
  </w:footnote>
  <w:footnote w:id="19">
    <w:p w14:paraId="1BB5C9BC" w14:textId="1FC3974F" w:rsidR="00CE65D5" w:rsidRPr="00404751" w:rsidRDefault="00F5340B" w:rsidP="00C321FA">
      <w:pPr>
        <w:pStyle w:val="FootnoteText"/>
        <w:spacing w:after="0"/>
        <w:ind w:left="-284" w:right="-284" w:hanging="141"/>
        <w:jc w:val="both"/>
        <w:rPr>
          <w:rFonts w:ascii="Times New Roman" w:hAnsi="Times New Roman"/>
        </w:rPr>
      </w:pPr>
      <w:r w:rsidRPr="00404751">
        <w:rPr>
          <w:rStyle w:val="FootnoteReference"/>
          <w:rFonts w:ascii="Times New Roman" w:hAnsi="Times New Roman"/>
        </w:rPr>
        <w:footnoteRef/>
      </w:r>
      <w:r w:rsidR="00C321FA">
        <w:rPr>
          <w:rFonts w:ascii="Times New Roman" w:hAnsi="Times New Roman"/>
        </w:rPr>
        <w:t xml:space="preserve"> </w:t>
      </w:r>
      <w:r w:rsidR="00C321FA">
        <w:rPr>
          <w:rFonts w:ascii="Times New Roman" w:hAnsi="Times New Roman"/>
        </w:rPr>
        <w:tab/>
      </w:r>
      <w:r w:rsidRPr="00404751">
        <w:rPr>
          <w:rFonts w:ascii="Times New Roman" w:hAnsi="Times New Roman"/>
        </w:rPr>
        <w:t>Urban Agenda for the EU Public Procurement – Working together for better cities (</w:t>
      </w:r>
      <w:hyperlink r:id="rId10" w:history="1">
        <w:r w:rsidR="00404751" w:rsidRPr="00404751">
          <w:rPr>
            <w:rStyle w:val="Hyperlink"/>
            <w:rFonts w:ascii="Times New Roman" w:hAnsi="Times New Roman"/>
          </w:rPr>
          <w:t>https://uapublicprocurement.eu</w:t>
        </w:r>
      </w:hyperlink>
      <w:r w:rsidRPr="00404751">
        <w:rPr>
          <w:rFonts w:ascii="Times New Roman" w:hAnsi="Times New Roman"/>
        </w:rPr>
        <w:t xml:space="preserve">) </w:t>
      </w:r>
    </w:p>
  </w:footnote>
  <w:footnote w:id="20">
    <w:p w14:paraId="78431157" w14:textId="2D1F731A" w:rsidR="00CE65D5" w:rsidRPr="00404751" w:rsidRDefault="00CE65D5" w:rsidP="00CE65D5">
      <w:pPr>
        <w:pStyle w:val="FootnoteText"/>
        <w:spacing w:after="0"/>
        <w:ind w:left="-283" w:right="-284" w:hanging="142"/>
        <w:jc w:val="both"/>
        <w:rPr>
          <w:rFonts w:ascii="Times New Roman" w:hAnsi="Times New Roman"/>
        </w:rPr>
      </w:pPr>
      <w:r w:rsidRPr="00404751">
        <w:rPr>
          <w:rFonts w:ascii="Times New Roman" w:hAnsi="Times New Roman"/>
          <w:sz w:val="14"/>
          <w:szCs w:val="14"/>
        </w:rPr>
        <w:footnoteRef/>
      </w:r>
      <w:r w:rsidR="00C321FA">
        <w:rPr>
          <w:rFonts w:ascii="Times New Roman" w:hAnsi="Times New Roman"/>
        </w:rPr>
        <w:t xml:space="preserve"> </w:t>
      </w:r>
      <w:r w:rsidR="00C321FA">
        <w:rPr>
          <w:rFonts w:ascii="Times New Roman" w:hAnsi="Times New Roman"/>
        </w:rPr>
        <w:tab/>
      </w:r>
      <w:r w:rsidRPr="00404751">
        <w:rPr>
          <w:rFonts w:ascii="Times New Roman" w:hAnsi="Times New Roman"/>
        </w:rPr>
        <w:t>DG REGIO – Strategic Public Procurement Program (</w:t>
      </w:r>
      <w:hyperlink r:id="rId11" w:history="1">
        <w:r w:rsidRPr="00404751">
          <w:rPr>
            <w:rStyle w:val="Hyperlink"/>
            <w:rFonts w:ascii="Times New Roman" w:hAnsi="Times New Roman"/>
          </w:rPr>
          <w:t>https://ec.europa.eu/regional_policy/policy/how/improving-investment/public-procurement_en</w:t>
        </w:r>
      </w:hyperlink>
      <w:r w:rsidRPr="00404751">
        <w:rPr>
          <w:rFonts w:ascii="Times New Roman" w:hAnsi="Times New Roman"/>
        </w:rPr>
        <w:t>)</w:t>
      </w:r>
      <w:r w:rsidR="00C321FA">
        <w:rPr>
          <w:rFonts w:ascii="Times New Roman" w:hAnsi="Times New Roman"/>
        </w:rPr>
        <w:t>.</w:t>
      </w:r>
    </w:p>
  </w:footnote>
  <w:footnote w:id="21">
    <w:p w14:paraId="0F0E0517" w14:textId="0B1793C4" w:rsidR="004E5588" w:rsidRPr="00F0741A" w:rsidRDefault="004E5588" w:rsidP="00F0741A">
      <w:pPr>
        <w:pStyle w:val="FootnoteText"/>
        <w:widowControl w:val="0"/>
        <w:spacing w:after="0" w:line="240" w:lineRule="auto"/>
        <w:ind w:left="-141" w:right="-425" w:hanging="284"/>
        <w:jc w:val="both"/>
        <w:rPr>
          <w:rFonts w:ascii="Times New Roman" w:hAnsi="Times New Roman"/>
        </w:rPr>
      </w:pPr>
      <w:r w:rsidRPr="00404751">
        <w:rPr>
          <w:rStyle w:val="FootnoteReference"/>
          <w:rFonts w:ascii="Times New Roman" w:hAnsi="Times New Roman"/>
        </w:rPr>
        <w:footnoteRef/>
      </w:r>
      <w:r w:rsidRPr="00404751">
        <w:rPr>
          <w:rFonts w:ascii="Times New Roman" w:hAnsi="Times New Roman"/>
        </w:rPr>
        <w:t xml:space="preserve"> </w:t>
      </w:r>
      <w:r w:rsidRPr="00404751">
        <w:rPr>
          <w:rFonts w:ascii="Times New Roman" w:hAnsi="Times New Roman"/>
        </w:rPr>
        <w:tab/>
        <w:t>Directive 2014/24/EU of the European Parliament and of the Council of 26 February 2014 on public procurement and repealing Directive 2004/18/EC (</w:t>
      </w:r>
      <w:r w:rsidRPr="00404751">
        <w:rPr>
          <w:rFonts w:ascii="Times New Roman" w:hAnsi="Times New Roman"/>
          <w:lang w:val="en-GB"/>
        </w:rPr>
        <w:t> </w:t>
      </w:r>
      <w:hyperlink r:id="rId12" w:tooltip="Gives access to this document through its ELI URI." w:history="1">
        <w:r w:rsidRPr="00404751">
          <w:rPr>
            <w:rStyle w:val="Hyperlink"/>
            <w:rFonts w:ascii="Times New Roman" w:hAnsi="Times New Roman"/>
            <w:lang w:val="en-GB"/>
          </w:rPr>
          <w:t>http://data.europa.eu/eli/dir/2014/24/oj</w:t>
        </w:r>
      </w:hyperlink>
      <w:r w:rsidRPr="00404751">
        <w:rPr>
          <w:rFonts w:ascii="Times New Roman" w:hAnsi="Times New Roman"/>
        </w:rPr>
        <w:t>).</w:t>
      </w:r>
    </w:p>
  </w:footnote>
  <w:footnote w:id="22">
    <w:p w14:paraId="618959C1" w14:textId="52360E4F" w:rsidR="00F5340B" w:rsidRPr="00F0741A" w:rsidRDefault="00F5340B" w:rsidP="00F0741A">
      <w:pPr>
        <w:pStyle w:val="FootnoteText"/>
        <w:widowControl w:val="0"/>
        <w:spacing w:after="0" w:line="240" w:lineRule="auto"/>
        <w:ind w:left="-141" w:right="-425" w:hanging="284"/>
        <w:jc w:val="both"/>
        <w:rPr>
          <w:lang w:val="fr-BE"/>
        </w:rPr>
      </w:pPr>
      <w:r w:rsidRPr="00F0741A">
        <w:rPr>
          <w:rStyle w:val="FootnoteReference"/>
          <w:rFonts w:ascii="Times New Roman" w:hAnsi="Times New Roman"/>
        </w:rPr>
        <w:footnoteRef/>
      </w:r>
      <w:r w:rsidRPr="00F0741A">
        <w:rPr>
          <w:rFonts w:ascii="Times New Roman" w:hAnsi="Times New Roman"/>
          <w:lang w:val="fr-BE"/>
        </w:rPr>
        <w:t xml:space="preserve"> </w:t>
      </w:r>
      <w:r w:rsidR="008460A3" w:rsidRPr="00F0741A">
        <w:rPr>
          <w:rFonts w:ascii="Times New Roman" w:hAnsi="Times New Roman"/>
          <w:lang w:val="fr-BE"/>
        </w:rPr>
        <w:tab/>
      </w:r>
      <w:proofErr w:type="gramStart"/>
      <w:r w:rsidR="008460A3" w:rsidRPr="00F0741A">
        <w:rPr>
          <w:rFonts w:ascii="Times New Roman" w:hAnsi="Times New Roman"/>
          <w:lang w:val="fr-BE"/>
        </w:rPr>
        <w:t>SWD(</w:t>
      </w:r>
      <w:proofErr w:type="gramEnd"/>
      <w:r w:rsidR="008460A3" w:rsidRPr="00F0741A">
        <w:rPr>
          <w:rFonts w:ascii="Times New Roman" w:hAnsi="Times New Roman"/>
          <w:lang w:val="fr-BE"/>
        </w:rPr>
        <w:t>2025) 0333 final (</w:t>
      </w:r>
      <w:r w:rsidR="008460A3">
        <w:fldChar w:fldCharType="begin"/>
      </w:r>
      <w:r w:rsidR="008460A3" w:rsidRPr="00781852">
        <w:rPr>
          <w:lang w:val="fr-BE"/>
        </w:rPr>
        <w:instrText>HYPERLINK "https://eur-lex.europa.eu/legal-content/EN/TXT/?uri=celex:52025SC0333"</w:instrText>
      </w:r>
      <w:r w:rsidR="008460A3">
        <w:fldChar w:fldCharType="separate"/>
      </w:r>
      <w:r w:rsidR="008460A3" w:rsidRPr="00F0741A">
        <w:rPr>
          <w:rStyle w:val="Hyperlink"/>
          <w:rFonts w:ascii="Times New Roman" w:hAnsi="Times New Roman"/>
          <w:lang w:val="fr-BE"/>
        </w:rPr>
        <w:t>EUR-Lex - 52025SC0333 - EN - EUR-Lex</w:t>
      </w:r>
      <w:r w:rsidR="008460A3">
        <w:fldChar w:fldCharType="end"/>
      </w:r>
      <w:r w:rsidR="008460A3" w:rsidRPr="00F0741A">
        <w:rPr>
          <w:rFonts w:ascii="Times New Roman" w:hAnsi="Times New Roman"/>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BA9E" w14:textId="77777777" w:rsidR="00FC593D" w:rsidRDefault="00FC5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AA80" w14:textId="77777777" w:rsidR="00FC593D" w:rsidRDefault="00FC5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6F67" w14:textId="77777777" w:rsidR="00FC593D" w:rsidRDefault="00FC5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646A"/>
    <w:rsid w:val="00012A37"/>
    <w:rsid w:val="00046B15"/>
    <w:rsid w:val="00050DC7"/>
    <w:rsid w:val="00056CC9"/>
    <w:rsid w:val="00076109"/>
    <w:rsid w:val="00077C4F"/>
    <w:rsid w:val="00083DDD"/>
    <w:rsid w:val="000A4E33"/>
    <w:rsid w:val="000B0CA9"/>
    <w:rsid w:val="000F0274"/>
    <w:rsid w:val="000F3190"/>
    <w:rsid w:val="000F58F0"/>
    <w:rsid w:val="000F5FD8"/>
    <w:rsid w:val="001077AD"/>
    <w:rsid w:val="00110950"/>
    <w:rsid w:val="001167C0"/>
    <w:rsid w:val="00135C2A"/>
    <w:rsid w:val="00161109"/>
    <w:rsid w:val="001B0E0B"/>
    <w:rsid w:val="001C4138"/>
    <w:rsid w:val="001F2EC6"/>
    <w:rsid w:val="001F65D0"/>
    <w:rsid w:val="002143A3"/>
    <w:rsid w:val="00216B9B"/>
    <w:rsid w:val="00217E59"/>
    <w:rsid w:val="0022620F"/>
    <w:rsid w:val="002743B7"/>
    <w:rsid w:val="002A525E"/>
    <w:rsid w:val="002B3B39"/>
    <w:rsid w:val="002C335D"/>
    <w:rsid w:val="002D7336"/>
    <w:rsid w:val="002E4D93"/>
    <w:rsid w:val="002F03FA"/>
    <w:rsid w:val="002F70F3"/>
    <w:rsid w:val="003004D2"/>
    <w:rsid w:val="00315826"/>
    <w:rsid w:val="003220E7"/>
    <w:rsid w:val="003349A3"/>
    <w:rsid w:val="00335E92"/>
    <w:rsid w:val="00363766"/>
    <w:rsid w:val="00377967"/>
    <w:rsid w:val="00386143"/>
    <w:rsid w:val="003A29C0"/>
    <w:rsid w:val="003B58DC"/>
    <w:rsid w:val="003D6DA7"/>
    <w:rsid w:val="003E545B"/>
    <w:rsid w:val="003F16B1"/>
    <w:rsid w:val="003F393F"/>
    <w:rsid w:val="003F686E"/>
    <w:rsid w:val="00404751"/>
    <w:rsid w:val="00442552"/>
    <w:rsid w:val="00447271"/>
    <w:rsid w:val="00455A1C"/>
    <w:rsid w:val="00457DEC"/>
    <w:rsid w:val="004675B5"/>
    <w:rsid w:val="004770D6"/>
    <w:rsid w:val="0049246C"/>
    <w:rsid w:val="004930C6"/>
    <w:rsid w:val="004A7932"/>
    <w:rsid w:val="004C7604"/>
    <w:rsid w:val="004D55AA"/>
    <w:rsid w:val="004E5588"/>
    <w:rsid w:val="004F6117"/>
    <w:rsid w:val="004F63F1"/>
    <w:rsid w:val="004F651E"/>
    <w:rsid w:val="0052596B"/>
    <w:rsid w:val="0053509E"/>
    <w:rsid w:val="00545F77"/>
    <w:rsid w:val="00554137"/>
    <w:rsid w:val="00554D8D"/>
    <w:rsid w:val="005703E0"/>
    <w:rsid w:val="00573835"/>
    <w:rsid w:val="00581306"/>
    <w:rsid w:val="00596E5E"/>
    <w:rsid w:val="005B16D6"/>
    <w:rsid w:val="005C3105"/>
    <w:rsid w:val="00646C57"/>
    <w:rsid w:val="00692C2F"/>
    <w:rsid w:val="00695797"/>
    <w:rsid w:val="00696A5E"/>
    <w:rsid w:val="006B3B69"/>
    <w:rsid w:val="006D41A6"/>
    <w:rsid w:val="00722FFF"/>
    <w:rsid w:val="00734613"/>
    <w:rsid w:val="00736908"/>
    <w:rsid w:val="00751910"/>
    <w:rsid w:val="00751E60"/>
    <w:rsid w:val="007547B5"/>
    <w:rsid w:val="00754D2C"/>
    <w:rsid w:val="00765AC7"/>
    <w:rsid w:val="00780550"/>
    <w:rsid w:val="00781852"/>
    <w:rsid w:val="00795A9E"/>
    <w:rsid w:val="007A606D"/>
    <w:rsid w:val="007A71C7"/>
    <w:rsid w:val="007C2214"/>
    <w:rsid w:val="007E1B13"/>
    <w:rsid w:val="00805C81"/>
    <w:rsid w:val="00807B48"/>
    <w:rsid w:val="008135CA"/>
    <w:rsid w:val="0081584F"/>
    <w:rsid w:val="00822CC4"/>
    <w:rsid w:val="00823676"/>
    <w:rsid w:val="008460A3"/>
    <w:rsid w:val="008703BF"/>
    <w:rsid w:val="008750B3"/>
    <w:rsid w:val="008925CE"/>
    <w:rsid w:val="00894727"/>
    <w:rsid w:val="008A4559"/>
    <w:rsid w:val="008C4D41"/>
    <w:rsid w:val="008E5774"/>
    <w:rsid w:val="009175C1"/>
    <w:rsid w:val="00926A35"/>
    <w:rsid w:val="00981F45"/>
    <w:rsid w:val="00994D12"/>
    <w:rsid w:val="009A2711"/>
    <w:rsid w:val="009A3524"/>
    <w:rsid w:val="009B128B"/>
    <w:rsid w:val="009B34CE"/>
    <w:rsid w:val="009E5B2D"/>
    <w:rsid w:val="00A16F07"/>
    <w:rsid w:val="00A3504B"/>
    <w:rsid w:val="00A62C7B"/>
    <w:rsid w:val="00A65C6F"/>
    <w:rsid w:val="00A7709A"/>
    <w:rsid w:val="00A87BA6"/>
    <w:rsid w:val="00AA0D0B"/>
    <w:rsid w:val="00AC78A5"/>
    <w:rsid w:val="00AE1842"/>
    <w:rsid w:val="00AE3C7C"/>
    <w:rsid w:val="00AF72DE"/>
    <w:rsid w:val="00B171D3"/>
    <w:rsid w:val="00B24FCF"/>
    <w:rsid w:val="00B31306"/>
    <w:rsid w:val="00B42814"/>
    <w:rsid w:val="00B462D7"/>
    <w:rsid w:val="00B758CD"/>
    <w:rsid w:val="00B83936"/>
    <w:rsid w:val="00BB1284"/>
    <w:rsid w:val="00BB788D"/>
    <w:rsid w:val="00BC0434"/>
    <w:rsid w:val="00BD6EB7"/>
    <w:rsid w:val="00BE7AC9"/>
    <w:rsid w:val="00BF23BE"/>
    <w:rsid w:val="00C321FA"/>
    <w:rsid w:val="00C37BDD"/>
    <w:rsid w:val="00C4729B"/>
    <w:rsid w:val="00C52A6E"/>
    <w:rsid w:val="00C54D27"/>
    <w:rsid w:val="00C76EEB"/>
    <w:rsid w:val="00CA2C0D"/>
    <w:rsid w:val="00CB7130"/>
    <w:rsid w:val="00CC5D54"/>
    <w:rsid w:val="00CE65D5"/>
    <w:rsid w:val="00D01F5A"/>
    <w:rsid w:val="00D1323B"/>
    <w:rsid w:val="00D1716E"/>
    <w:rsid w:val="00D25EE2"/>
    <w:rsid w:val="00D64E05"/>
    <w:rsid w:val="00D7356F"/>
    <w:rsid w:val="00D75086"/>
    <w:rsid w:val="00D755CF"/>
    <w:rsid w:val="00D75D49"/>
    <w:rsid w:val="00D92FD3"/>
    <w:rsid w:val="00DA3B6E"/>
    <w:rsid w:val="00DB7581"/>
    <w:rsid w:val="00DC6969"/>
    <w:rsid w:val="00DC70C1"/>
    <w:rsid w:val="00DE4BEB"/>
    <w:rsid w:val="00DF16E6"/>
    <w:rsid w:val="00E755D8"/>
    <w:rsid w:val="00E83534"/>
    <w:rsid w:val="00E83C12"/>
    <w:rsid w:val="00E904C8"/>
    <w:rsid w:val="00EA1BBF"/>
    <w:rsid w:val="00EB29A9"/>
    <w:rsid w:val="00EB77D2"/>
    <w:rsid w:val="00ED4FDA"/>
    <w:rsid w:val="00F0741A"/>
    <w:rsid w:val="00F275F7"/>
    <w:rsid w:val="00F316C8"/>
    <w:rsid w:val="00F5340B"/>
    <w:rsid w:val="00F552C2"/>
    <w:rsid w:val="00F632DE"/>
    <w:rsid w:val="00F735E4"/>
    <w:rsid w:val="00F76796"/>
    <w:rsid w:val="00F838B1"/>
    <w:rsid w:val="00FB7834"/>
    <w:rsid w:val="00FC593D"/>
    <w:rsid w:val="00FD4B6A"/>
    <w:rsid w:val="00FF03A8"/>
    <w:rsid w:val="00FF63EA"/>
    <w:rsid w:val="0385544B"/>
    <w:rsid w:val="30D47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340B"/>
    <w:rPr>
      <w:sz w:val="16"/>
      <w:szCs w:val="16"/>
    </w:rPr>
  </w:style>
  <w:style w:type="paragraph" w:styleId="CommentText">
    <w:name w:val="annotation text"/>
    <w:basedOn w:val="Normal"/>
    <w:link w:val="CommentTextChar"/>
    <w:uiPriority w:val="99"/>
    <w:unhideWhenUsed/>
    <w:rsid w:val="00F5340B"/>
    <w:rPr>
      <w:sz w:val="20"/>
      <w:szCs w:val="20"/>
      <w:lang w:val="en-IE"/>
    </w:rPr>
  </w:style>
  <w:style w:type="character" w:customStyle="1" w:styleId="CommentTextChar">
    <w:name w:val="Comment Text Char"/>
    <w:link w:val="CommentText"/>
    <w:uiPriority w:val="99"/>
    <w:rsid w:val="00F5340B"/>
    <w:rPr>
      <w:lang w:eastAsia="en-US"/>
    </w:rPr>
  </w:style>
  <w:style w:type="paragraph" w:styleId="FootnoteText">
    <w:name w:val="footnote text"/>
    <w:basedOn w:val="Normal"/>
    <w:link w:val="FootnoteTextChar"/>
    <w:uiPriority w:val="99"/>
    <w:semiHidden/>
    <w:unhideWhenUsed/>
    <w:rsid w:val="00F5340B"/>
    <w:rPr>
      <w:sz w:val="20"/>
      <w:szCs w:val="20"/>
      <w:lang w:val="en-IE"/>
    </w:rPr>
  </w:style>
  <w:style w:type="character" w:customStyle="1" w:styleId="FootnoteTextChar">
    <w:name w:val="Footnote Text Char"/>
    <w:link w:val="FootnoteText"/>
    <w:uiPriority w:val="99"/>
    <w:semiHidden/>
    <w:rsid w:val="00F5340B"/>
    <w:rPr>
      <w:lang w:eastAsia="en-US"/>
    </w:rPr>
  </w:style>
  <w:style w:type="character" w:styleId="FootnoteReference">
    <w:name w:val="footnote reference"/>
    <w:uiPriority w:val="99"/>
    <w:semiHidden/>
    <w:unhideWhenUsed/>
    <w:rsid w:val="00F5340B"/>
    <w:rPr>
      <w:vertAlign w:val="superscript"/>
    </w:rPr>
  </w:style>
  <w:style w:type="paragraph" w:styleId="Header">
    <w:name w:val="header"/>
    <w:basedOn w:val="Normal"/>
    <w:link w:val="HeaderChar"/>
    <w:uiPriority w:val="99"/>
    <w:unhideWhenUsed/>
    <w:rsid w:val="00FC593D"/>
    <w:pPr>
      <w:tabs>
        <w:tab w:val="center" w:pos="4513"/>
        <w:tab w:val="right" w:pos="9026"/>
      </w:tabs>
    </w:pPr>
  </w:style>
  <w:style w:type="character" w:customStyle="1" w:styleId="HeaderChar">
    <w:name w:val="Header Char"/>
    <w:link w:val="Header"/>
    <w:uiPriority w:val="99"/>
    <w:rsid w:val="00FC593D"/>
    <w:rPr>
      <w:sz w:val="22"/>
      <w:szCs w:val="22"/>
      <w:lang w:val="en-GB" w:eastAsia="en-US"/>
    </w:rPr>
  </w:style>
  <w:style w:type="paragraph" w:styleId="Footer">
    <w:name w:val="footer"/>
    <w:basedOn w:val="Normal"/>
    <w:link w:val="FooterChar"/>
    <w:uiPriority w:val="99"/>
    <w:unhideWhenUsed/>
    <w:rsid w:val="00FC593D"/>
    <w:pPr>
      <w:tabs>
        <w:tab w:val="center" w:pos="4513"/>
        <w:tab w:val="right" w:pos="9026"/>
      </w:tabs>
    </w:pPr>
  </w:style>
  <w:style w:type="character" w:customStyle="1" w:styleId="FooterChar">
    <w:name w:val="Footer Char"/>
    <w:link w:val="Footer"/>
    <w:uiPriority w:val="99"/>
    <w:rsid w:val="00FC593D"/>
    <w:rPr>
      <w:sz w:val="22"/>
      <w:szCs w:val="22"/>
      <w:lang w:val="en-GB" w:eastAsia="en-US"/>
    </w:rPr>
  </w:style>
  <w:style w:type="paragraph" w:styleId="Revision">
    <w:name w:val="Revision"/>
    <w:hidden/>
    <w:uiPriority w:val="99"/>
    <w:semiHidden/>
    <w:rsid w:val="00335E92"/>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BC0434"/>
    <w:rPr>
      <w:b/>
      <w:bCs/>
      <w:lang w:val="en-GB"/>
    </w:rPr>
  </w:style>
  <w:style w:type="character" w:customStyle="1" w:styleId="CommentSubjectChar">
    <w:name w:val="Comment Subject Char"/>
    <w:link w:val="CommentSubject"/>
    <w:uiPriority w:val="99"/>
    <w:semiHidden/>
    <w:rsid w:val="00BC0434"/>
    <w:rPr>
      <w:b/>
      <w:bCs/>
      <w:lang w:val="en-GB" w:eastAsia="en-US"/>
    </w:rPr>
  </w:style>
  <w:style w:type="character" w:styleId="Hyperlink">
    <w:name w:val="Hyperlink"/>
    <w:uiPriority w:val="99"/>
    <w:unhideWhenUsed/>
    <w:rsid w:val="00BC0434"/>
    <w:rPr>
      <w:color w:val="0563C1"/>
      <w:u w:val="single"/>
    </w:rPr>
  </w:style>
  <w:style w:type="character" w:styleId="FollowedHyperlink">
    <w:name w:val="FollowedHyperlink"/>
    <w:uiPriority w:val="99"/>
    <w:semiHidden/>
    <w:unhideWhenUsed/>
    <w:rsid w:val="00AF72DE"/>
    <w:rPr>
      <w:color w:val="954F72"/>
      <w:u w:val="single"/>
    </w:rPr>
  </w:style>
  <w:style w:type="character" w:styleId="UnresolvedMention">
    <w:name w:val="Unresolved Mention"/>
    <w:uiPriority w:val="99"/>
    <w:semiHidden/>
    <w:unhideWhenUsed/>
    <w:rsid w:val="00AF7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green-forum.ec.europa.eu/events_en?f%5B0%5D=oe_event_status%3Apast&amp;f%5B1%5D=oe_event_status%3Aupcoming&amp;f%5B2%5D=oe_event_subject%3Ahttp%3A//data.europa.eu/uxp/c_163e1e9" TargetMode="External"/><Relationship Id="rId3" Type="http://schemas.openxmlformats.org/officeDocument/2006/relationships/hyperlink" Target="https://eur-lex.europa.eu/legal-content/EN/TXT/HTML/?uri=CELEX:52025DC0870" TargetMode="External"/><Relationship Id="rId7" Type="http://schemas.openxmlformats.org/officeDocument/2006/relationships/hyperlink" Target="https://green-forum.ec.europa.eu/green-business/green-public-procurement/gpp-training-toolkit_en" TargetMode="External"/><Relationship Id="rId12" Type="http://schemas.openxmlformats.org/officeDocument/2006/relationships/hyperlink" Target="http://data.europa.eu/eli/dir/2014/24/oj" TargetMode="External"/><Relationship Id="rId2" Type="http://schemas.openxmlformats.org/officeDocument/2006/relationships/hyperlink" Target="https://commission.europa.eu/document/download/e6cd4328-673c-4e7a-8683-f63ffb2cf648_en?filename=Political%20Guidelines%202024-2029_EN.pdf" TargetMode="External"/><Relationship Id="rId1" Type="http://schemas.openxmlformats.org/officeDocument/2006/relationships/hyperlink" Target="https://eur-lex.europa.eu/legal-content/EN/TXT/?uri=celex:52025SC0332" TargetMode="External"/><Relationship Id="rId6" Type="http://schemas.openxmlformats.org/officeDocument/2006/relationships/hyperlink" Target="https://green-forum.ec.europa.eu/green-business/green-public-procurement/gpp-training-toolkit_en" TargetMode="External"/><Relationship Id="rId11" Type="http://schemas.openxmlformats.org/officeDocument/2006/relationships/hyperlink" Target="https://ec.europa.eu/regional_policy/policy/how/improving-investment/public-procurement_en" TargetMode="External"/><Relationship Id="rId5" Type="http://schemas.openxmlformats.org/officeDocument/2006/relationships/hyperlink" Target="https://green-forum.ec.europa.eu/green-business/green-public-procurement/gpp-criteria-and-requirements_en" TargetMode="External"/><Relationship Id="rId10" Type="http://schemas.openxmlformats.org/officeDocument/2006/relationships/hyperlink" Target="https://uapublicprocurement.eu" TargetMode="External"/><Relationship Id="rId4" Type="http://schemas.openxmlformats.org/officeDocument/2006/relationships/hyperlink" Target="https://green-forum.ec.europa.eu/green-business/green-public-procurement_en" TargetMode="External"/><Relationship Id="rId9" Type="http://schemas.openxmlformats.org/officeDocument/2006/relationships/hyperlink" Target="file:///C:\Users\EISENRO\AppData\Local\Microsoft\Windows\INetCache\Content.Outlook\6314O0IK\European%20Commission%20&#8211;%20Life-cycle%20costing%20(https:\green-forum.ec.europa.eu\green-business\green-public-procurement\life-cycle-cost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caea1a69ce3dc0c39cc726368ded7aa8">
  <xsd:schema xmlns:xsd="http://www.w3.org/2001/XMLSchema" xmlns:xs="http://www.w3.org/2001/XMLSchema" xmlns:p="http://schemas.microsoft.com/office/2006/metadata/properties" xmlns:ns2="2a565401-6124-4834-af4c-bc1a772a6083" targetNamespace="http://schemas.microsoft.com/office/2006/metadata/properties" ma:root="true" ma:fieldsID="2283f32238b260abd87f3a6f43294de9"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14BC-08CC-419F-A12C-7D2A31E5C4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708336-8E11-47E8-AC87-4B7F696FC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4AA98-439C-4314-85D5-69FDEC0B7C69}">
  <ds:schemaRefs>
    <ds:schemaRef ds:uri="http://schemas.microsoft.com/sharepoint/v3/contenttype/forms"/>
  </ds:schemaRefs>
</ds:datastoreItem>
</file>

<file path=customXml/itemProps4.xml><?xml version="1.0" encoding="utf-8"?>
<ds:datastoreItem xmlns:ds="http://schemas.openxmlformats.org/officeDocument/2006/customXml" ds:itemID="{0481C735-A6A6-432F-B94A-497AE95B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1317</Words>
  <Characters>7869</Characters>
  <Application>Microsoft Office Word</Application>
  <DocSecurity>0</DocSecurity>
  <Lines>109</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2013-02-27T18:02:00Z</cp:lastPrinted>
  <dcterms:created xsi:type="dcterms:W3CDTF">2026-03-11T13:44:00Z</dcterms:created>
  <dcterms:modified xsi:type="dcterms:W3CDTF">2026-03-11T13:44:00Z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0x01010078D2C354A9B80F4897019BC7E2880A88</vt:lpwstr>
  </property>
</Properties>
</file>