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E750EB" w14:paraId="7E6372DC" w14:textId="77777777" w:rsidTr="00E750EB">
        <w:tc>
          <w:tcPr>
            <w:tcW w:w="9711" w:type="dxa"/>
          </w:tcPr>
          <w:p w14:paraId="3A4EDC3A" w14:textId="4D108C1A" w:rsidR="001C4138" w:rsidRPr="004662B0" w:rsidRDefault="295CDB34" w:rsidP="0001690E">
            <w:pPr>
              <w:widowControl w:val="0"/>
              <w:spacing w:before="120" w:after="120"/>
              <w:rPr>
                <w:rFonts w:ascii="Times New Roman" w:hAnsi="Times New Roman"/>
                <w:b/>
                <w:bCs/>
                <w:sz w:val="24"/>
                <w:szCs w:val="24"/>
              </w:rPr>
            </w:pPr>
            <w:bookmarkStart w:id="0" w:name="_Hlk213771115"/>
            <w:r w:rsidRPr="00E750EB">
              <w:rPr>
                <w:rFonts w:ascii="Times New Roman" w:hAnsi="Times New Roman"/>
                <w:b/>
                <w:bCs/>
                <w:sz w:val="24"/>
                <w:szCs w:val="24"/>
              </w:rPr>
              <w:t>How to consider value chains in policymaking</w:t>
            </w:r>
            <w:bookmarkEnd w:id="0"/>
            <w:r w:rsidR="004662B0">
              <w:rPr>
                <w:rFonts w:ascii="Times New Roman" w:hAnsi="Times New Roman"/>
                <w:b/>
                <w:bCs/>
                <w:sz w:val="24"/>
                <w:szCs w:val="24"/>
              </w:rPr>
              <w:br/>
              <w:t>(exploratory opinion</w:t>
            </w:r>
            <w:r w:rsidR="0001690E">
              <w:rPr>
                <w:rFonts w:ascii="Times New Roman" w:hAnsi="Times New Roman"/>
                <w:b/>
                <w:bCs/>
                <w:sz w:val="24"/>
                <w:szCs w:val="24"/>
              </w:rPr>
              <w:t xml:space="preserve"> </w:t>
            </w:r>
            <w:r w:rsidR="0001690E" w:rsidRPr="00E6704D">
              <w:rPr>
                <w:rFonts w:ascii="Times New Roman" w:hAnsi="Times New Roman"/>
                <w:b/>
                <w:bCs/>
                <w:sz w:val="24"/>
                <w:szCs w:val="24"/>
              </w:rPr>
              <w:t>requested by the Danish Presidency of the Council of the EU</w:t>
            </w:r>
            <w:r w:rsidR="004662B0">
              <w:rPr>
                <w:rFonts w:ascii="Times New Roman" w:hAnsi="Times New Roman"/>
                <w:b/>
                <w:bCs/>
                <w:sz w:val="24"/>
                <w:szCs w:val="24"/>
              </w:rPr>
              <w:t>)</w:t>
            </w:r>
            <w:r w:rsidR="78C434D0" w:rsidRPr="00E750EB">
              <w:rPr>
                <w:rFonts w:ascii="Times New Roman" w:hAnsi="Times New Roman"/>
                <w:sz w:val="24"/>
                <w:szCs w:val="24"/>
              </w:rPr>
              <w:br/>
            </w:r>
            <w:r w:rsidR="731856AC" w:rsidRPr="00E750EB">
              <w:rPr>
                <w:rFonts w:ascii="Times New Roman" w:hAnsi="Times New Roman"/>
                <w:b/>
                <w:bCs/>
                <w:sz w:val="24"/>
                <w:szCs w:val="24"/>
                <w:lang w:val="en-IE"/>
              </w:rPr>
              <w:t>EESC</w:t>
            </w:r>
            <w:r w:rsidRPr="00E750EB">
              <w:rPr>
                <w:rFonts w:ascii="Times New Roman" w:hAnsi="Times New Roman"/>
                <w:b/>
                <w:bCs/>
                <w:sz w:val="24"/>
                <w:szCs w:val="24"/>
                <w:lang w:val="en-IE"/>
              </w:rPr>
              <w:t>-2025-00994 – INT/1087</w:t>
            </w:r>
            <w:r w:rsidR="78C434D0" w:rsidRPr="00E750EB">
              <w:rPr>
                <w:rFonts w:ascii="Times New Roman" w:hAnsi="Times New Roman"/>
                <w:sz w:val="24"/>
                <w:szCs w:val="24"/>
              </w:rPr>
              <w:br/>
            </w:r>
            <w:r w:rsidRPr="00E750EB">
              <w:rPr>
                <w:rFonts w:ascii="Times New Roman" w:hAnsi="Times New Roman"/>
                <w:b/>
                <w:bCs/>
                <w:sz w:val="24"/>
                <w:szCs w:val="24"/>
              </w:rPr>
              <w:t xml:space="preserve">598th </w:t>
            </w:r>
            <w:r w:rsidR="731856AC" w:rsidRPr="00E750EB">
              <w:rPr>
                <w:rFonts w:ascii="Times New Roman" w:hAnsi="Times New Roman"/>
                <w:b/>
                <w:bCs/>
                <w:sz w:val="24"/>
                <w:szCs w:val="24"/>
              </w:rPr>
              <w:t>Plenary Session –</w:t>
            </w:r>
            <w:r w:rsidRPr="00E750EB">
              <w:rPr>
                <w:rFonts w:ascii="Times New Roman" w:hAnsi="Times New Roman"/>
                <w:b/>
                <w:bCs/>
                <w:sz w:val="24"/>
                <w:szCs w:val="24"/>
              </w:rPr>
              <w:t xml:space="preserve"> July 2025</w:t>
            </w:r>
            <w:r w:rsidR="78C434D0" w:rsidRPr="00E750EB">
              <w:rPr>
                <w:rFonts w:ascii="Times New Roman" w:hAnsi="Times New Roman"/>
                <w:sz w:val="24"/>
                <w:szCs w:val="24"/>
              </w:rPr>
              <w:br/>
            </w:r>
            <w:r w:rsidR="731856AC" w:rsidRPr="00E750EB">
              <w:rPr>
                <w:rFonts w:ascii="Times New Roman" w:hAnsi="Times New Roman"/>
                <w:b/>
                <w:bCs/>
                <w:sz w:val="24"/>
                <w:szCs w:val="24"/>
              </w:rPr>
              <w:t>Rapporteur:</w:t>
            </w:r>
            <w:r w:rsidRPr="00E750EB">
              <w:rPr>
                <w:rFonts w:ascii="Times New Roman" w:hAnsi="Times New Roman"/>
                <w:b/>
                <w:bCs/>
                <w:sz w:val="24"/>
                <w:szCs w:val="24"/>
              </w:rPr>
              <w:t xml:space="preserve"> Andrea MONE (IT</w:t>
            </w:r>
            <w:r w:rsidR="0001690E">
              <w:rPr>
                <w:rFonts w:ascii="Times New Roman" w:hAnsi="Times New Roman"/>
                <w:b/>
                <w:bCs/>
                <w:sz w:val="24"/>
                <w:szCs w:val="24"/>
              </w:rPr>
              <w:t>-II</w:t>
            </w:r>
            <w:r w:rsidRPr="00E750EB">
              <w:rPr>
                <w:rFonts w:ascii="Times New Roman" w:hAnsi="Times New Roman"/>
                <w:b/>
                <w:bCs/>
                <w:sz w:val="24"/>
                <w:szCs w:val="24"/>
              </w:rPr>
              <w:t>)</w:t>
            </w:r>
            <w:r w:rsidR="004662B0">
              <w:rPr>
                <w:rFonts w:ascii="Times New Roman" w:hAnsi="Times New Roman"/>
                <w:b/>
                <w:bCs/>
                <w:sz w:val="24"/>
                <w:szCs w:val="24"/>
              </w:rPr>
              <w:br/>
            </w:r>
            <w:r w:rsidR="008F2E80" w:rsidRPr="00E750EB">
              <w:rPr>
                <w:rFonts w:ascii="Times New Roman" w:hAnsi="Times New Roman"/>
                <w:b/>
                <w:sz w:val="24"/>
                <w:szCs w:val="24"/>
              </w:rPr>
              <w:t>Co-rapporteur: Gonçalo LOBO-XAVIER (PT</w:t>
            </w:r>
            <w:r w:rsidR="0001690E">
              <w:rPr>
                <w:rFonts w:ascii="Times New Roman" w:hAnsi="Times New Roman"/>
                <w:b/>
                <w:sz w:val="24"/>
                <w:szCs w:val="24"/>
              </w:rPr>
              <w:t>-I</w:t>
            </w:r>
            <w:r w:rsidR="008F2E80" w:rsidRPr="00E750EB">
              <w:rPr>
                <w:rFonts w:ascii="Times New Roman" w:hAnsi="Times New Roman"/>
                <w:b/>
                <w:sz w:val="24"/>
                <w:szCs w:val="24"/>
              </w:rPr>
              <w:t xml:space="preserve">) </w:t>
            </w:r>
            <w:r w:rsidR="001C4138" w:rsidRPr="00E750EB">
              <w:rPr>
                <w:rFonts w:ascii="Times New Roman" w:hAnsi="Times New Roman"/>
                <w:b/>
                <w:sz w:val="24"/>
                <w:szCs w:val="24"/>
              </w:rPr>
              <w:br/>
              <w:t>DG</w:t>
            </w:r>
            <w:r w:rsidR="008F2E80" w:rsidRPr="00E750EB">
              <w:rPr>
                <w:rFonts w:ascii="Times New Roman" w:hAnsi="Times New Roman"/>
                <w:b/>
                <w:sz w:val="24"/>
                <w:szCs w:val="24"/>
              </w:rPr>
              <w:t xml:space="preserve"> GROW – Executive Vice-President SÉJOURNÉ</w:t>
            </w:r>
          </w:p>
        </w:tc>
      </w:tr>
      <w:tr w:rsidR="00734613" w:rsidRPr="00E750EB" w14:paraId="1937071F" w14:textId="77777777" w:rsidTr="00E750EB">
        <w:tc>
          <w:tcPr>
            <w:tcW w:w="9711" w:type="dxa"/>
          </w:tcPr>
          <w:p w14:paraId="1E50B4DB" w14:textId="719A3140" w:rsidR="00734613" w:rsidRPr="00E750EB" w:rsidRDefault="004F6117" w:rsidP="0001690E">
            <w:pPr>
              <w:widowControl w:val="0"/>
              <w:spacing w:before="120" w:after="120"/>
              <w:jc w:val="center"/>
              <w:rPr>
                <w:rFonts w:ascii="Times New Roman" w:hAnsi="Times New Roman"/>
                <w:b/>
                <w:sz w:val="24"/>
                <w:szCs w:val="24"/>
              </w:rPr>
            </w:pPr>
            <w:r w:rsidRPr="00E750EB">
              <w:rPr>
                <w:rFonts w:ascii="Times New Roman" w:hAnsi="Times New Roman"/>
                <w:b/>
                <w:sz w:val="24"/>
                <w:szCs w:val="24"/>
              </w:rPr>
              <w:t xml:space="preserve">European Commission position on points </w:t>
            </w:r>
            <w:r w:rsidRPr="00E750EB">
              <w:rPr>
                <w:rFonts w:ascii="Times New Roman" w:hAnsi="Times New Roman"/>
                <w:b/>
                <w:sz w:val="24"/>
                <w:szCs w:val="24"/>
              </w:rPr>
              <w:br/>
              <w:t>of the European Economic and Social Committee</w:t>
            </w:r>
            <w:r w:rsidR="008F2E80" w:rsidRPr="00E750EB">
              <w:rPr>
                <w:rFonts w:ascii="Times New Roman" w:hAnsi="Times New Roman"/>
                <w:b/>
                <w:sz w:val="24"/>
                <w:szCs w:val="24"/>
              </w:rPr>
              <w:t xml:space="preserve"> (EESC)</w:t>
            </w:r>
            <w:r w:rsidRPr="00E750EB">
              <w:rPr>
                <w:rFonts w:ascii="Times New Roman" w:hAnsi="Times New Roman"/>
                <w:b/>
                <w:sz w:val="24"/>
                <w:szCs w:val="24"/>
              </w:rPr>
              <w:t xml:space="preserve"> opinion</w:t>
            </w:r>
            <w:r w:rsidR="00E83C12" w:rsidRPr="00E750EB">
              <w:rPr>
                <w:rFonts w:ascii="Times New Roman" w:hAnsi="Times New Roman"/>
                <w:b/>
                <w:sz w:val="24"/>
                <w:szCs w:val="24"/>
              </w:rPr>
              <w:t xml:space="preserve"> considered as essential</w:t>
            </w:r>
          </w:p>
        </w:tc>
      </w:tr>
      <w:tr w:rsidR="00734613" w:rsidRPr="00E750EB" w14:paraId="673DDC1B" w14:textId="77777777" w:rsidTr="00E750EB">
        <w:tc>
          <w:tcPr>
            <w:tcW w:w="9711" w:type="dxa"/>
          </w:tcPr>
          <w:p w14:paraId="5177E94C" w14:textId="77777777" w:rsidR="00086153" w:rsidRDefault="00264D1B" w:rsidP="00994914">
            <w:pPr>
              <w:widowControl w:val="0"/>
              <w:spacing w:before="120" w:after="120"/>
              <w:jc w:val="both"/>
              <w:rPr>
                <w:rFonts w:ascii="Times New Roman" w:hAnsi="Times New Roman"/>
                <w:sz w:val="24"/>
                <w:szCs w:val="24"/>
              </w:rPr>
            </w:pPr>
            <w:r w:rsidRPr="00810DA7">
              <w:rPr>
                <w:rFonts w:ascii="Times New Roman" w:hAnsi="Times New Roman"/>
                <w:sz w:val="24"/>
                <w:szCs w:val="24"/>
              </w:rPr>
              <w:t xml:space="preserve">The Commission agrees on the need to ensure </w:t>
            </w:r>
            <w:r w:rsidRPr="00810DA7">
              <w:rPr>
                <w:rFonts w:ascii="Times New Roman" w:hAnsi="Times New Roman"/>
                <w:b/>
                <w:bCs/>
                <w:sz w:val="24"/>
                <w:szCs w:val="24"/>
              </w:rPr>
              <w:t>resilient, competitive and sustainable value chains</w:t>
            </w:r>
            <w:r w:rsidRPr="00810DA7">
              <w:rPr>
                <w:rFonts w:ascii="Times New Roman" w:hAnsi="Times New Roman"/>
                <w:sz w:val="24"/>
                <w:szCs w:val="24"/>
              </w:rPr>
              <w:t xml:space="preserve"> in a highly uncertain and geopolitically fragmented context. </w:t>
            </w:r>
          </w:p>
          <w:p w14:paraId="23741120" w14:textId="33FC69B3" w:rsidR="00DA039E" w:rsidRDefault="001A52E2" w:rsidP="00994914">
            <w:pPr>
              <w:widowControl w:val="0"/>
              <w:spacing w:before="120" w:after="120"/>
              <w:jc w:val="both"/>
              <w:rPr>
                <w:rFonts w:ascii="Times New Roman" w:hAnsi="Times New Roman"/>
                <w:sz w:val="24"/>
                <w:szCs w:val="24"/>
              </w:rPr>
            </w:pPr>
            <w:r w:rsidRPr="00810DA7">
              <w:rPr>
                <w:rFonts w:ascii="Times New Roman" w:hAnsi="Times New Roman"/>
                <w:sz w:val="24"/>
                <w:szCs w:val="24"/>
              </w:rPr>
              <w:t>T</w:t>
            </w:r>
            <w:r w:rsidR="00F564D2" w:rsidRPr="00810DA7">
              <w:rPr>
                <w:rFonts w:ascii="Times New Roman" w:hAnsi="Times New Roman"/>
                <w:sz w:val="24"/>
                <w:szCs w:val="24"/>
              </w:rPr>
              <w:t xml:space="preserve">he Commission </w:t>
            </w:r>
            <w:r w:rsidR="00321F92" w:rsidRPr="00810DA7">
              <w:rPr>
                <w:rFonts w:ascii="Times New Roman" w:hAnsi="Times New Roman"/>
                <w:sz w:val="24"/>
                <w:szCs w:val="24"/>
              </w:rPr>
              <w:t>continues to apply</w:t>
            </w:r>
            <w:r w:rsidR="00766F77" w:rsidRPr="00810DA7">
              <w:rPr>
                <w:rFonts w:ascii="Times New Roman" w:hAnsi="Times New Roman"/>
                <w:sz w:val="24"/>
                <w:szCs w:val="24"/>
              </w:rPr>
              <w:t xml:space="preserve"> </w:t>
            </w:r>
            <w:r w:rsidR="00F564D2" w:rsidRPr="00810DA7">
              <w:rPr>
                <w:rFonts w:ascii="Times New Roman" w:hAnsi="Times New Roman"/>
                <w:sz w:val="24"/>
                <w:szCs w:val="24"/>
              </w:rPr>
              <w:t>a value</w:t>
            </w:r>
            <w:r w:rsidR="00DA039E">
              <w:rPr>
                <w:rFonts w:ascii="Times New Roman" w:hAnsi="Times New Roman"/>
                <w:sz w:val="24"/>
                <w:szCs w:val="24"/>
              </w:rPr>
              <w:t xml:space="preserve"> </w:t>
            </w:r>
            <w:r w:rsidR="00F564D2" w:rsidRPr="00810DA7">
              <w:rPr>
                <w:rFonts w:ascii="Times New Roman" w:hAnsi="Times New Roman"/>
                <w:sz w:val="24"/>
                <w:szCs w:val="24"/>
              </w:rPr>
              <w:t xml:space="preserve">chain approach in </w:t>
            </w:r>
            <w:r w:rsidR="00810DA7" w:rsidRPr="00810DA7">
              <w:rPr>
                <w:rFonts w:ascii="Times New Roman" w:hAnsi="Times New Roman"/>
                <w:sz w:val="24"/>
                <w:szCs w:val="24"/>
              </w:rPr>
              <w:t xml:space="preserve">EU level </w:t>
            </w:r>
            <w:r w:rsidR="00F564D2" w:rsidRPr="00810DA7">
              <w:rPr>
                <w:rFonts w:ascii="Times New Roman" w:hAnsi="Times New Roman"/>
                <w:sz w:val="24"/>
                <w:szCs w:val="24"/>
              </w:rPr>
              <w:t xml:space="preserve">policy initiatives </w:t>
            </w:r>
            <w:r w:rsidR="00810DA7" w:rsidRPr="00810DA7">
              <w:rPr>
                <w:rFonts w:ascii="Times New Roman" w:hAnsi="Times New Roman"/>
                <w:sz w:val="24"/>
                <w:szCs w:val="24"/>
              </w:rPr>
              <w:t xml:space="preserve">fostering a </w:t>
            </w:r>
            <w:r w:rsidR="00F564D2" w:rsidRPr="00810DA7">
              <w:rPr>
                <w:rFonts w:ascii="Times New Roman" w:hAnsi="Times New Roman"/>
                <w:sz w:val="24"/>
                <w:szCs w:val="24"/>
              </w:rPr>
              <w:t xml:space="preserve">more competitive, sustainable and resilient EU </w:t>
            </w:r>
            <w:r w:rsidR="00DA039E" w:rsidRPr="00810DA7">
              <w:rPr>
                <w:rFonts w:ascii="Times New Roman" w:hAnsi="Times New Roman"/>
                <w:sz w:val="24"/>
                <w:szCs w:val="24"/>
              </w:rPr>
              <w:t>economy.</w:t>
            </w:r>
            <w:r w:rsidR="007240BD">
              <w:rPr>
                <w:rStyle w:val="FootnoteReference"/>
                <w:rFonts w:ascii="Times New Roman" w:hAnsi="Times New Roman"/>
                <w:sz w:val="24"/>
                <w:szCs w:val="24"/>
              </w:rPr>
              <w:footnoteReference w:id="2"/>
            </w:r>
            <w:r w:rsidR="00DA039E">
              <w:rPr>
                <w:rFonts w:ascii="Times New Roman" w:hAnsi="Times New Roman"/>
                <w:sz w:val="24"/>
                <w:szCs w:val="24"/>
              </w:rPr>
              <w:t xml:space="preserve"> </w:t>
            </w:r>
            <w:r w:rsidR="00C92110">
              <w:rPr>
                <w:rFonts w:ascii="Times New Roman" w:hAnsi="Times New Roman"/>
                <w:sz w:val="24"/>
                <w:szCs w:val="24"/>
              </w:rPr>
              <w:t>Supporting this</w:t>
            </w:r>
            <w:r w:rsidR="00DA039E">
              <w:rPr>
                <w:rFonts w:ascii="Times New Roman" w:hAnsi="Times New Roman"/>
                <w:sz w:val="24"/>
                <w:szCs w:val="24"/>
              </w:rPr>
              <w:t>, the Commission monitors the evolution of supply chains including possible supply chain distress.</w:t>
            </w:r>
            <w:r w:rsidR="007240BD">
              <w:rPr>
                <w:rStyle w:val="FootnoteReference"/>
                <w:rFonts w:ascii="Times New Roman" w:hAnsi="Times New Roman"/>
                <w:sz w:val="24"/>
                <w:szCs w:val="24"/>
              </w:rPr>
              <w:footnoteReference w:id="3"/>
            </w:r>
          </w:p>
          <w:p w14:paraId="0C7F3B4B" w14:textId="589280C5" w:rsidR="00264D1B" w:rsidRPr="00E565A3" w:rsidRDefault="009A6104" w:rsidP="00994914">
            <w:pPr>
              <w:widowControl w:val="0"/>
              <w:spacing w:before="120" w:after="120"/>
              <w:jc w:val="both"/>
              <w:rPr>
                <w:rFonts w:ascii="Times New Roman" w:hAnsi="Times New Roman"/>
                <w:sz w:val="24"/>
                <w:szCs w:val="24"/>
              </w:rPr>
            </w:pPr>
            <w:r w:rsidRPr="00810DA7">
              <w:rPr>
                <w:rFonts w:ascii="Times New Roman" w:hAnsi="Times New Roman"/>
                <w:sz w:val="24"/>
                <w:szCs w:val="24"/>
              </w:rPr>
              <w:t>Th</w:t>
            </w:r>
            <w:r w:rsidR="00DA039E">
              <w:rPr>
                <w:rFonts w:ascii="Times New Roman" w:hAnsi="Times New Roman"/>
                <w:sz w:val="24"/>
                <w:szCs w:val="24"/>
              </w:rPr>
              <w:t>e</w:t>
            </w:r>
            <w:r w:rsidR="00810DA7" w:rsidRPr="00810DA7">
              <w:rPr>
                <w:rFonts w:ascii="Times New Roman" w:hAnsi="Times New Roman"/>
                <w:sz w:val="24"/>
                <w:szCs w:val="24"/>
              </w:rPr>
              <w:t xml:space="preserve"> </w:t>
            </w:r>
            <w:r w:rsidR="00DA039E">
              <w:rPr>
                <w:rFonts w:ascii="Times New Roman" w:hAnsi="Times New Roman"/>
                <w:sz w:val="24"/>
                <w:szCs w:val="24"/>
              </w:rPr>
              <w:t xml:space="preserve">value chain </w:t>
            </w:r>
            <w:r w:rsidRPr="00810DA7">
              <w:rPr>
                <w:rFonts w:ascii="Times New Roman" w:hAnsi="Times New Roman"/>
                <w:sz w:val="24"/>
                <w:szCs w:val="24"/>
              </w:rPr>
              <w:t>approach is reflected in the</w:t>
            </w:r>
            <w:r w:rsidR="00FF6401" w:rsidRPr="00810DA7">
              <w:rPr>
                <w:rFonts w:ascii="Times New Roman" w:hAnsi="Times New Roman"/>
                <w:sz w:val="24"/>
                <w:szCs w:val="24"/>
              </w:rPr>
              <w:t xml:space="preserve"> </w:t>
            </w:r>
            <w:r w:rsidR="00264D1B" w:rsidRPr="00810DA7">
              <w:rPr>
                <w:rFonts w:ascii="Times New Roman" w:hAnsi="Times New Roman"/>
                <w:b/>
                <w:bCs/>
                <w:sz w:val="24"/>
                <w:szCs w:val="24"/>
              </w:rPr>
              <w:t>Competitiveness Compass</w:t>
            </w:r>
            <w:r w:rsidR="00264D1B" w:rsidRPr="00810DA7">
              <w:rPr>
                <w:rFonts w:ascii="Times New Roman" w:hAnsi="Times New Roman"/>
                <w:sz w:val="24"/>
                <w:szCs w:val="24"/>
                <w:vertAlign w:val="superscript"/>
              </w:rPr>
              <w:footnoteReference w:id="4"/>
            </w:r>
            <w:r w:rsidR="00264D1B" w:rsidRPr="00810DA7">
              <w:rPr>
                <w:rFonts w:ascii="Times New Roman" w:hAnsi="Times New Roman"/>
                <w:sz w:val="24"/>
                <w:szCs w:val="24"/>
              </w:rPr>
              <w:t xml:space="preserve">, </w:t>
            </w:r>
            <w:r w:rsidR="00086153">
              <w:rPr>
                <w:rFonts w:ascii="Times New Roman" w:hAnsi="Times New Roman"/>
                <w:sz w:val="24"/>
                <w:szCs w:val="24"/>
              </w:rPr>
              <w:t>the</w:t>
            </w:r>
            <w:r w:rsidR="00264D1B" w:rsidRPr="00810DA7">
              <w:rPr>
                <w:rFonts w:ascii="Times New Roman" w:hAnsi="Times New Roman"/>
                <w:sz w:val="24"/>
                <w:szCs w:val="24"/>
              </w:rPr>
              <w:t xml:space="preserve"> roadmap to boost Europe’s competitiveness and economic growth</w:t>
            </w:r>
            <w:r w:rsidR="00810DA7" w:rsidRPr="00E565A3">
              <w:rPr>
                <w:rFonts w:ascii="Times New Roman" w:hAnsi="Times New Roman"/>
                <w:sz w:val="24"/>
                <w:szCs w:val="24"/>
                <w:lang w:val="en-IE"/>
              </w:rPr>
              <w:t xml:space="preserve"> through measures to address three major challenges: decarbonising our economy; closing the innovation gap; and reducing excessive dependencies, strengthening our supply chains and increasing economic security</w:t>
            </w:r>
            <w:r w:rsidR="00264D1B" w:rsidRPr="00810DA7">
              <w:rPr>
                <w:rFonts w:ascii="Times New Roman" w:hAnsi="Times New Roman"/>
                <w:sz w:val="24"/>
                <w:szCs w:val="24"/>
              </w:rPr>
              <w:t xml:space="preserve">. </w:t>
            </w:r>
            <w:r w:rsidR="002865A1" w:rsidRPr="00810DA7">
              <w:rPr>
                <w:rFonts w:ascii="Times New Roman" w:hAnsi="Times New Roman"/>
                <w:sz w:val="24"/>
                <w:szCs w:val="24"/>
                <w:lang w:val="en-IE"/>
              </w:rPr>
              <w:t>In carrying out</w:t>
            </w:r>
            <w:r w:rsidR="00810DA7">
              <w:rPr>
                <w:rFonts w:ascii="Times New Roman" w:hAnsi="Times New Roman"/>
                <w:sz w:val="24"/>
                <w:szCs w:val="24"/>
                <w:lang w:val="en-IE"/>
              </w:rPr>
              <w:t xml:space="preserve"> the actions of the Compass</w:t>
            </w:r>
            <w:r w:rsidR="002865A1" w:rsidRPr="00810DA7">
              <w:rPr>
                <w:rFonts w:ascii="Times New Roman" w:hAnsi="Times New Roman"/>
                <w:sz w:val="24"/>
                <w:szCs w:val="24"/>
                <w:lang w:val="en-IE"/>
              </w:rPr>
              <w:t xml:space="preserve">, the Commission </w:t>
            </w:r>
            <w:r w:rsidR="00810DA7">
              <w:rPr>
                <w:rFonts w:ascii="Times New Roman" w:hAnsi="Times New Roman"/>
                <w:sz w:val="24"/>
                <w:szCs w:val="24"/>
                <w:lang w:val="en-IE"/>
              </w:rPr>
              <w:t xml:space="preserve">continuously engages </w:t>
            </w:r>
            <w:r w:rsidR="002865A1" w:rsidRPr="00810DA7">
              <w:rPr>
                <w:rFonts w:ascii="Times New Roman" w:hAnsi="Times New Roman"/>
                <w:sz w:val="24"/>
                <w:szCs w:val="24"/>
                <w:lang w:val="en-IE"/>
              </w:rPr>
              <w:t>with stakeholder</w:t>
            </w:r>
            <w:r w:rsidR="00810DA7">
              <w:rPr>
                <w:rFonts w:ascii="Times New Roman" w:hAnsi="Times New Roman"/>
                <w:sz w:val="24"/>
                <w:szCs w:val="24"/>
                <w:lang w:val="en-IE"/>
              </w:rPr>
              <w:t>s, including through social dialogue where relevant.</w:t>
            </w:r>
          </w:p>
          <w:p w14:paraId="056BCAD6" w14:textId="59B92335" w:rsidR="0063563E" w:rsidRPr="00E750EB" w:rsidRDefault="00264D1B" w:rsidP="00994914">
            <w:pPr>
              <w:widowControl w:val="0"/>
              <w:spacing w:before="120" w:after="120"/>
              <w:jc w:val="both"/>
              <w:rPr>
                <w:rFonts w:ascii="Times New Roman" w:hAnsi="Times New Roman"/>
                <w:sz w:val="24"/>
                <w:szCs w:val="24"/>
              </w:rPr>
            </w:pPr>
            <w:r w:rsidRPr="00E750EB">
              <w:rPr>
                <w:rFonts w:ascii="Times New Roman" w:hAnsi="Times New Roman"/>
                <w:sz w:val="24"/>
                <w:szCs w:val="24"/>
              </w:rPr>
              <w:t xml:space="preserve">The </w:t>
            </w:r>
            <w:r w:rsidR="00E86619" w:rsidRPr="00E565A3">
              <w:rPr>
                <w:rFonts w:ascii="Times New Roman" w:hAnsi="Times New Roman"/>
                <w:b/>
                <w:bCs/>
                <w:sz w:val="24"/>
                <w:szCs w:val="24"/>
              </w:rPr>
              <w:t>Clean Industrial D</w:t>
            </w:r>
            <w:r w:rsidR="00810DA7" w:rsidRPr="00E565A3">
              <w:rPr>
                <w:rFonts w:ascii="Times New Roman" w:hAnsi="Times New Roman"/>
                <w:b/>
                <w:bCs/>
                <w:sz w:val="24"/>
                <w:szCs w:val="24"/>
              </w:rPr>
              <w:t>e</w:t>
            </w:r>
            <w:r w:rsidR="00E86619" w:rsidRPr="00E565A3">
              <w:rPr>
                <w:rFonts w:ascii="Times New Roman" w:hAnsi="Times New Roman"/>
                <w:b/>
                <w:bCs/>
                <w:sz w:val="24"/>
                <w:szCs w:val="24"/>
              </w:rPr>
              <w:t xml:space="preserve">al </w:t>
            </w:r>
            <w:r w:rsidR="00E86619" w:rsidRPr="0069636D">
              <w:rPr>
                <w:rFonts w:ascii="Times New Roman" w:hAnsi="Times New Roman"/>
                <w:sz w:val="24"/>
                <w:szCs w:val="24"/>
              </w:rPr>
              <w:t>(</w:t>
            </w:r>
            <w:r w:rsidR="00170D3B" w:rsidRPr="0069636D">
              <w:rPr>
                <w:rFonts w:ascii="Times New Roman" w:hAnsi="Times New Roman"/>
                <w:sz w:val="24"/>
                <w:szCs w:val="24"/>
              </w:rPr>
              <w:t>CID</w:t>
            </w:r>
            <w:r w:rsidR="00E86619" w:rsidRPr="0069636D">
              <w:rPr>
                <w:rFonts w:ascii="Times New Roman" w:hAnsi="Times New Roman"/>
                <w:sz w:val="24"/>
                <w:szCs w:val="24"/>
              </w:rPr>
              <w:t>)</w:t>
            </w:r>
            <w:r w:rsidR="007918D3" w:rsidRPr="0069636D">
              <w:rPr>
                <w:rStyle w:val="FootnoteReference"/>
                <w:rFonts w:ascii="Times New Roman" w:hAnsi="Times New Roman"/>
                <w:sz w:val="24"/>
                <w:szCs w:val="24"/>
              </w:rPr>
              <w:footnoteReference w:id="5"/>
            </w:r>
            <w:r w:rsidR="00170D3B" w:rsidRPr="0069636D">
              <w:rPr>
                <w:rFonts w:ascii="Times New Roman" w:hAnsi="Times New Roman"/>
                <w:sz w:val="24"/>
                <w:szCs w:val="24"/>
              </w:rPr>
              <w:t xml:space="preserve"> </w:t>
            </w:r>
            <w:r w:rsidR="00086153" w:rsidRPr="0069636D">
              <w:rPr>
                <w:rFonts w:ascii="Times New Roman" w:hAnsi="Times New Roman"/>
                <w:sz w:val="24"/>
                <w:szCs w:val="24"/>
              </w:rPr>
              <w:t xml:space="preserve">sets </w:t>
            </w:r>
            <w:r w:rsidR="00086153">
              <w:rPr>
                <w:rFonts w:ascii="Times New Roman" w:hAnsi="Times New Roman"/>
                <w:sz w:val="24"/>
                <w:szCs w:val="24"/>
              </w:rPr>
              <w:t xml:space="preserve">out a plan for EU competitiveness and decarbonisation across value chains and </w:t>
            </w:r>
            <w:r w:rsidRPr="00E750EB">
              <w:rPr>
                <w:rFonts w:ascii="Times New Roman" w:hAnsi="Times New Roman"/>
                <w:sz w:val="24"/>
                <w:szCs w:val="24"/>
              </w:rPr>
              <w:t xml:space="preserve">serves as a framework to tailor action in sectors, such </w:t>
            </w:r>
            <w:r w:rsidR="000663CF" w:rsidRPr="00E750EB">
              <w:rPr>
                <w:rFonts w:ascii="Times New Roman" w:hAnsi="Times New Roman"/>
                <w:sz w:val="24"/>
                <w:szCs w:val="24"/>
              </w:rPr>
              <w:t>as steel</w:t>
            </w:r>
            <w:r w:rsidRPr="00E750EB">
              <w:rPr>
                <w:rFonts w:ascii="Times New Roman" w:hAnsi="Times New Roman"/>
                <w:sz w:val="24"/>
                <w:szCs w:val="24"/>
              </w:rPr>
              <w:t xml:space="preserve"> and metals</w:t>
            </w:r>
            <w:r w:rsidRPr="00E750EB">
              <w:rPr>
                <w:rFonts w:ascii="Times New Roman" w:hAnsi="Times New Roman"/>
                <w:sz w:val="24"/>
                <w:szCs w:val="24"/>
                <w:vertAlign w:val="superscript"/>
              </w:rPr>
              <w:footnoteReference w:id="6"/>
            </w:r>
            <w:r w:rsidRPr="00E750EB">
              <w:rPr>
                <w:rFonts w:ascii="Times New Roman" w:hAnsi="Times New Roman"/>
                <w:sz w:val="24"/>
                <w:szCs w:val="24"/>
              </w:rPr>
              <w:t>, and chemical industries</w:t>
            </w:r>
            <w:r w:rsidRPr="00E750EB">
              <w:rPr>
                <w:rFonts w:ascii="Times New Roman" w:hAnsi="Times New Roman"/>
                <w:sz w:val="24"/>
                <w:szCs w:val="24"/>
                <w:vertAlign w:val="superscript"/>
              </w:rPr>
              <w:footnoteReference w:id="7"/>
            </w:r>
            <w:r w:rsidRPr="00E750EB">
              <w:rPr>
                <w:rFonts w:ascii="Times New Roman" w:hAnsi="Times New Roman"/>
                <w:sz w:val="24"/>
                <w:szCs w:val="24"/>
              </w:rPr>
              <w:t xml:space="preserve">, for which the Commission adopted </w:t>
            </w:r>
            <w:r w:rsidR="00994914" w:rsidRPr="00E750EB">
              <w:rPr>
                <w:rFonts w:ascii="Times New Roman" w:hAnsi="Times New Roman"/>
                <w:sz w:val="24"/>
                <w:szCs w:val="24"/>
              </w:rPr>
              <w:t xml:space="preserve">specific </w:t>
            </w:r>
            <w:r w:rsidRPr="00E750EB">
              <w:rPr>
                <w:rFonts w:ascii="Times New Roman" w:hAnsi="Times New Roman"/>
                <w:sz w:val="24"/>
                <w:szCs w:val="24"/>
              </w:rPr>
              <w:t xml:space="preserve">plans based on strategic dialogues with </w:t>
            </w:r>
            <w:r w:rsidR="00E565A3">
              <w:rPr>
                <w:rFonts w:ascii="Times New Roman" w:hAnsi="Times New Roman"/>
                <w:sz w:val="24"/>
                <w:szCs w:val="24"/>
              </w:rPr>
              <w:t>EU</w:t>
            </w:r>
            <w:r w:rsidR="00E565A3" w:rsidRPr="00E750EB">
              <w:rPr>
                <w:rFonts w:ascii="Times New Roman" w:hAnsi="Times New Roman"/>
                <w:sz w:val="24"/>
                <w:szCs w:val="24"/>
              </w:rPr>
              <w:t xml:space="preserve"> </w:t>
            </w:r>
            <w:r w:rsidRPr="00E750EB">
              <w:rPr>
                <w:rFonts w:ascii="Times New Roman" w:hAnsi="Times New Roman"/>
                <w:sz w:val="24"/>
                <w:szCs w:val="24"/>
              </w:rPr>
              <w:t>industry and other stakeholders</w:t>
            </w:r>
            <w:r w:rsidR="00170D3B" w:rsidRPr="00E750EB">
              <w:rPr>
                <w:rFonts w:ascii="Times New Roman" w:hAnsi="Times New Roman"/>
                <w:sz w:val="24"/>
                <w:szCs w:val="24"/>
              </w:rPr>
              <w:t>, including social partners.</w:t>
            </w:r>
            <w:r w:rsidR="00E86619" w:rsidRPr="00E750EB">
              <w:rPr>
                <w:rFonts w:ascii="Times New Roman" w:hAnsi="Times New Roman"/>
                <w:sz w:val="24"/>
                <w:szCs w:val="24"/>
              </w:rPr>
              <w:t xml:space="preserve"> The industries are the backbone of </w:t>
            </w:r>
            <w:r w:rsidR="005B403B">
              <w:rPr>
                <w:rFonts w:ascii="Times New Roman" w:hAnsi="Times New Roman"/>
                <w:sz w:val="24"/>
                <w:szCs w:val="24"/>
              </w:rPr>
              <w:t>EU</w:t>
            </w:r>
            <w:r w:rsidR="005B403B" w:rsidRPr="00E750EB">
              <w:rPr>
                <w:rFonts w:ascii="Times New Roman" w:hAnsi="Times New Roman"/>
                <w:sz w:val="24"/>
                <w:szCs w:val="24"/>
              </w:rPr>
              <w:t xml:space="preserve"> </w:t>
            </w:r>
            <w:r w:rsidR="00E86619" w:rsidRPr="00E750EB">
              <w:rPr>
                <w:rFonts w:ascii="Times New Roman" w:hAnsi="Times New Roman"/>
                <w:sz w:val="24"/>
                <w:szCs w:val="24"/>
              </w:rPr>
              <w:t>manufacturing, as they produce inputs vital for whole value chains.</w:t>
            </w:r>
          </w:p>
          <w:p w14:paraId="14444ADB" w14:textId="2E889ABF" w:rsidR="00E86619" w:rsidRPr="00E750EB" w:rsidRDefault="00E86619" w:rsidP="00994914">
            <w:pPr>
              <w:widowControl w:val="0"/>
              <w:spacing w:before="120" w:after="120"/>
              <w:jc w:val="both"/>
              <w:rPr>
                <w:rFonts w:ascii="Times New Roman" w:eastAsia="Times New Roman" w:hAnsi="Times New Roman"/>
                <w:sz w:val="24"/>
                <w:szCs w:val="24"/>
              </w:rPr>
            </w:pPr>
            <w:r w:rsidRPr="00E750EB">
              <w:rPr>
                <w:rFonts w:ascii="Times New Roman" w:eastAsia="Times New Roman" w:hAnsi="Times New Roman"/>
                <w:sz w:val="24"/>
                <w:szCs w:val="24"/>
              </w:rPr>
              <w:t xml:space="preserve">Energy costs being one of the major obstacles for EU enterprises to be competitive in global supply chains, another key component of the CID is the </w:t>
            </w:r>
            <w:r w:rsidRPr="00E750EB">
              <w:rPr>
                <w:rFonts w:ascii="Times New Roman" w:eastAsia="Times New Roman" w:hAnsi="Times New Roman"/>
                <w:b/>
                <w:bCs/>
                <w:sz w:val="24"/>
                <w:szCs w:val="24"/>
              </w:rPr>
              <w:t>Affordable Energy Action Plan</w:t>
            </w:r>
            <w:r w:rsidRPr="00E750EB">
              <w:rPr>
                <w:rFonts w:ascii="Times New Roman" w:eastAsia="Times New Roman" w:hAnsi="Times New Roman"/>
                <w:sz w:val="24"/>
                <w:szCs w:val="24"/>
                <w:vertAlign w:val="superscript"/>
              </w:rPr>
              <w:footnoteReference w:id="8"/>
            </w:r>
            <w:r w:rsidRPr="00E750EB">
              <w:rPr>
                <w:rFonts w:ascii="Times New Roman" w:eastAsia="Times New Roman" w:hAnsi="Times New Roman"/>
                <w:sz w:val="24"/>
                <w:szCs w:val="24"/>
              </w:rPr>
              <w:t xml:space="preserve">, </w:t>
            </w:r>
            <w:r w:rsidR="00237E82">
              <w:rPr>
                <w:rFonts w:ascii="Times New Roman" w:eastAsia="Times New Roman" w:hAnsi="Times New Roman"/>
                <w:sz w:val="24"/>
                <w:szCs w:val="24"/>
              </w:rPr>
              <w:t xml:space="preserve">which </w:t>
            </w:r>
            <w:r w:rsidRPr="00E750EB">
              <w:rPr>
                <w:rFonts w:ascii="Times New Roman" w:eastAsia="Times New Roman" w:hAnsi="Times New Roman"/>
                <w:sz w:val="24"/>
                <w:szCs w:val="24"/>
              </w:rPr>
              <w:t>introduces measures to lower energy costs</w:t>
            </w:r>
            <w:r w:rsidRPr="00E750EB">
              <w:rPr>
                <w:rFonts w:ascii="Times New Roman" w:hAnsi="Times New Roman"/>
                <w:sz w:val="24"/>
                <w:szCs w:val="24"/>
              </w:rPr>
              <w:t xml:space="preserve"> throughout supply chains.</w:t>
            </w:r>
          </w:p>
          <w:p w14:paraId="171F7DC8" w14:textId="42B0E566" w:rsidR="00B61742" w:rsidRPr="007E2414" w:rsidRDefault="000746AF" w:rsidP="00994914">
            <w:pPr>
              <w:widowControl w:val="0"/>
              <w:spacing w:before="120" w:after="120"/>
              <w:jc w:val="both"/>
              <w:rPr>
                <w:rFonts w:ascii="Times New Roman" w:hAnsi="Times New Roman"/>
                <w:sz w:val="24"/>
                <w:szCs w:val="24"/>
              </w:rPr>
            </w:pPr>
            <w:r w:rsidRPr="00E750EB">
              <w:rPr>
                <w:rFonts w:ascii="Times New Roman" w:hAnsi="Times New Roman"/>
                <w:sz w:val="24"/>
                <w:szCs w:val="24"/>
              </w:rPr>
              <w:lastRenderedPageBreak/>
              <w:t>The upcoming</w:t>
            </w:r>
            <w:r w:rsidR="00ED0A74">
              <w:rPr>
                <w:rFonts w:ascii="Times New Roman" w:hAnsi="Times New Roman"/>
                <w:sz w:val="24"/>
                <w:szCs w:val="24"/>
              </w:rPr>
              <w:t xml:space="preserve"> proposal for an</w:t>
            </w:r>
            <w:r w:rsidRPr="00E750EB">
              <w:rPr>
                <w:rFonts w:ascii="Times New Roman" w:hAnsi="Times New Roman"/>
                <w:sz w:val="24"/>
                <w:szCs w:val="24"/>
              </w:rPr>
              <w:t xml:space="preserve"> </w:t>
            </w:r>
            <w:r w:rsidRPr="00E750EB">
              <w:rPr>
                <w:rFonts w:ascii="Times New Roman" w:hAnsi="Times New Roman"/>
                <w:b/>
                <w:bCs/>
                <w:sz w:val="24"/>
                <w:szCs w:val="24"/>
              </w:rPr>
              <w:t>Industrial Accelerator Act</w:t>
            </w:r>
            <w:r w:rsidRPr="00E750EB">
              <w:rPr>
                <w:rFonts w:ascii="Times New Roman" w:hAnsi="Times New Roman"/>
                <w:sz w:val="24"/>
                <w:szCs w:val="24"/>
              </w:rPr>
              <w:t xml:space="preserve"> </w:t>
            </w:r>
            <w:r w:rsidR="00994914">
              <w:rPr>
                <w:rFonts w:ascii="Times New Roman" w:hAnsi="Times New Roman"/>
                <w:sz w:val="24"/>
                <w:szCs w:val="24"/>
              </w:rPr>
              <w:t>will</w:t>
            </w:r>
            <w:r w:rsidRPr="00E750EB">
              <w:rPr>
                <w:rFonts w:ascii="Times New Roman" w:hAnsi="Times New Roman"/>
                <w:sz w:val="24"/>
                <w:szCs w:val="24"/>
              </w:rPr>
              <w:t xml:space="preserve"> streamlin</w:t>
            </w:r>
            <w:r w:rsidR="00994914">
              <w:rPr>
                <w:rFonts w:ascii="Times New Roman" w:hAnsi="Times New Roman"/>
                <w:sz w:val="24"/>
                <w:szCs w:val="24"/>
              </w:rPr>
              <w:t>e</w:t>
            </w:r>
            <w:r w:rsidRPr="00E750EB">
              <w:rPr>
                <w:rFonts w:ascii="Times New Roman" w:hAnsi="Times New Roman"/>
                <w:sz w:val="24"/>
                <w:szCs w:val="24"/>
              </w:rPr>
              <w:t xml:space="preserve"> permitting, authorisations and reporting requirements to facilitate decarbonisation investments. It will put forward sustainability and resilience criteria in public procurement to increase demand for EU-</w:t>
            </w:r>
            <w:r w:rsidR="007D70BF" w:rsidRPr="00E750EB">
              <w:rPr>
                <w:rFonts w:ascii="Times New Roman" w:hAnsi="Times New Roman"/>
                <w:sz w:val="24"/>
                <w:szCs w:val="24"/>
              </w:rPr>
              <w:t>made clean products</w:t>
            </w:r>
            <w:r w:rsidR="007D70BF">
              <w:rPr>
                <w:rFonts w:ascii="Times New Roman" w:hAnsi="Times New Roman"/>
                <w:sz w:val="24"/>
                <w:szCs w:val="24"/>
              </w:rPr>
              <w:t>.</w:t>
            </w:r>
          </w:p>
          <w:p w14:paraId="2298721E" w14:textId="0F9CC621" w:rsidR="000746AF" w:rsidRPr="00B61742" w:rsidRDefault="00086153" w:rsidP="00994914">
            <w:pPr>
              <w:widowControl w:val="0"/>
              <w:spacing w:before="120" w:after="120"/>
              <w:jc w:val="both"/>
              <w:rPr>
                <w:rFonts w:ascii="Times New Roman" w:hAnsi="Times New Roman"/>
                <w:sz w:val="24"/>
                <w:szCs w:val="24"/>
              </w:rPr>
            </w:pPr>
            <w:r>
              <w:rPr>
                <w:rFonts w:ascii="Times New Roman" w:hAnsi="Times New Roman"/>
                <w:sz w:val="24"/>
                <w:szCs w:val="24"/>
              </w:rPr>
              <w:t>T</w:t>
            </w:r>
            <w:r w:rsidR="00B61742" w:rsidRPr="00E565A3">
              <w:rPr>
                <w:rFonts w:ascii="Times New Roman" w:hAnsi="Times New Roman"/>
                <w:sz w:val="24"/>
                <w:szCs w:val="24"/>
              </w:rPr>
              <w:t xml:space="preserve">he Commission will simplify and modernise the </w:t>
            </w:r>
            <w:r>
              <w:rPr>
                <w:rFonts w:ascii="Times New Roman" w:hAnsi="Times New Roman"/>
                <w:sz w:val="24"/>
                <w:szCs w:val="24"/>
              </w:rPr>
              <w:t xml:space="preserve">EU </w:t>
            </w:r>
            <w:r w:rsidR="00B61742" w:rsidRPr="00E565A3">
              <w:rPr>
                <w:rFonts w:ascii="Times New Roman" w:hAnsi="Times New Roman"/>
                <w:b/>
                <w:bCs/>
                <w:sz w:val="24"/>
                <w:szCs w:val="24"/>
              </w:rPr>
              <w:t>Public Procurement Framework</w:t>
            </w:r>
            <w:r w:rsidR="00B61742" w:rsidRPr="00E565A3">
              <w:rPr>
                <w:rFonts w:ascii="Times New Roman" w:hAnsi="Times New Roman"/>
                <w:sz w:val="24"/>
                <w:szCs w:val="24"/>
                <w:vertAlign w:val="superscript"/>
              </w:rPr>
              <w:footnoteReference w:id="9"/>
            </w:r>
            <w:r w:rsidR="00B61742" w:rsidRPr="00E565A3">
              <w:rPr>
                <w:rFonts w:ascii="Times New Roman" w:hAnsi="Times New Roman"/>
                <w:sz w:val="24"/>
                <w:szCs w:val="24"/>
              </w:rPr>
              <w:t xml:space="preserve"> </w:t>
            </w:r>
            <w:r w:rsidR="00E461DC">
              <w:rPr>
                <w:rFonts w:ascii="Times New Roman" w:hAnsi="Times New Roman"/>
                <w:sz w:val="24"/>
                <w:szCs w:val="24"/>
              </w:rPr>
              <w:t>to allow for</w:t>
            </w:r>
            <w:r w:rsidR="00B61742" w:rsidRPr="00E565A3">
              <w:rPr>
                <w:rFonts w:ascii="Times New Roman" w:hAnsi="Times New Roman"/>
                <w:sz w:val="24"/>
                <w:szCs w:val="24"/>
              </w:rPr>
              <w:t xml:space="preserve"> sustainabilit</w:t>
            </w:r>
            <w:r w:rsidR="00E461DC">
              <w:rPr>
                <w:rFonts w:ascii="Times New Roman" w:hAnsi="Times New Roman"/>
                <w:sz w:val="24"/>
                <w:szCs w:val="24"/>
              </w:rPr>
              <w:t>y,</w:t>
            </w:r>
            <w:r w:rsidR="00B61742" w:rsidRPr="00E565A3">
              <w:rPr>
                <w:rFonts w:ascii="Times New Roman" w:hAnsi="Times New Roman"/>
                <w:sz w:val="24"/>
                <w:szCs w:val="24"/>
              </w:rPr>
              <w:t xml:space="preserve"> resilience </w:t>
            </w:r>
            <w:r w:rsidR="00E461DC">
              <w:rPr>
                <w:rFonts w:ascii="Times New Roman" w:hAnsi="Times New Roman"/>
                <w:sz w:val="24"/>
                <w:szCs w:val="24"/>
              </w:rPr>
              <w:t xml:space="preserve">and </w:t>
            </w:r>
            <w:r w:rsidR="00B61742" w:rsidRPr="00E565A3">
              <w:rPr>
                <w:rFonts w:ascii="Times New Roman" w:hAnsi="Times New Roman"/>
                <w:sz w:val="24"/>
                <w:szCs w:val="24"/>
              </w:rPr>
              <w:t>EU preference criteria in public procurement for strategic sectors.</w:t>
            </w:r>
          </w:p>
          <w:p w14:paraId="68497DA4" w14:textId="6B2BD1EE" w:rsidR="000746AF" w:rsidRPr="00E750EB" w:rsidRDefault="0099786D" w:rsidP="00994914">
            <w:pPr>
              <w:widowControl w:val="0"/>
              <w:spacing w:before="120" w:after="120"/>
              <w:jc w:val="both"/>
              <w:rPr>
                <w:rFonts w:ascii="Times New Roman" w:hAnsi="Times New Roman"/>
                <w:sz w:val="24"/>
                <w:szCs w:val="24"/>
              </w:rPr>
            </w:pPr>
            <w:r w:rsidRPr="00B61742">
              <w:rPr>
                <w:rFonts w:ascii="Times New Roman" w:hAnsi="Times New Roman"/>
                <w:sz w:val="24"/>
                <w:szCs w:val="24"/>
              </w:rPr>
              <w:t>Circularity</w:t>
            </w:r>
            <w:r w:rsidR="007914BE" w:rsidRPr="00B61742">
              <w:rPr>
                <w:rFonts w:ascii="Times New Roman" w:hAnsi="Times New Roman"/>
                <w:sz w:val="24"/>
                <w:szCs w:val="24"/>
              </w:rPr>
              <w:t xml:space="preserve"> </w:t>
            </w:r>
            <w:r w:rsidRPr="00B61742">
              <w:rPr>
                <w:rFonts w:ascii="Times New Roman" w:hAnsi="Times New Roman"/>
                <w:sz w:val="24"/>
                <w:szCs w:val="24"/>
              </w:rPr>
              <w:t>is a ma</w:t>
            </w:r>
            <w:r w:rsidR="002079A1" w:rsidRPr="00B61742">
              <w:rPr>
                <w:rFonts w:ascii="Times New Roman" w:hAnsi="Times New Roman"/>
                <w:sz w:val="24"/>
                <w:szCs w:val="24"/>
              </w:rPr>
              <w:t>jor</w:t>
            </w:r>
            <w:r w:rsidRPr="00B61742">
              <w:rPr>
                <w:rFonts w:ascii="Times New Roman" w:hAnsi="Times New Roman"/>
                <w:sz w:val="24"/>
                <w:szCs w:val="24"/>
              </w:rPr>
              <w:t xml:space="preserve"> element of the CID</w:t>
            </w:r>
            <w:r w:rsidR="002079A1" w:rsidRPr="00B61742">
              <w:rPr>
                <w:rFonts w:ascii="Times New Roman" w:hAnsi="Times New Roman"/>
                <w:sz w:val="24"/>
                <w:szCs w:val="24"/>
              </w:rPr>
              <w:t>, with the aim</w:t>
            </w:r>
            <w:r w:rsidRPr="00B61742">
              <w:rPr>
                <w:rFonts w:ascii="Times New Roman" w:hAnsi="Times New Roman"/>
                <w:sz w:val="24"/>
                <w:szCs w:val="24"/>
              </w:rPr>
              <w:t xml:space="preserve"> </w:t>
            </w:r>
            <w:r w:rsidR="000663CF" w:rsidRPr="00B61742">
              <w:rPr>
                <w:rFonts w:ascii="Times New Roman" w:hAnsi="Times New Roman"/>
                <w:sz w:val="24"/>
                <w:szCs w:val="24"/>
              </w:rPr>
              <w:t xml:space="preserve">to </w:t>
            </w:r>
            <w:r w:rsidR="00B61742" w:rsidRPr="00E565A3">
              <w:rPr>
                <w:rFonts w:ascii="Times New Roman" w:hAnsi="Times New Roman"/>
                <w:sz w:val="24"/>
                <w:szCs w:val="24"/>
              </w:rPr>
              <w:t xml:space="preserve">reduce waste and extend the life of materials by promoting recycling, reuse, and sustainable production </w:t>
            </w:r>
            <w:r w:rsidR="00C51062" w:rsidRPr="00B61742">
              <w:rPr>
                <w:rFonts w:ascii="Times New Roman" w:hAnsi="Times New Roman"/>
                <w:sz w:val="24"/>
                <w:szCs w:val="24"/>
              </w:rPr>
              <w:t>and thus</w:t>
            </w:r>
            <w:r w:rsidR="00B61742" w:rsidRPr="00B61742">
              <w:rPr>
                <w:rFonts w:ascii="Times New Roman" w:hAnsi="Times New Roman"/>
                <w:sz w:val="24"/>
                <w:szCs w:val="24"/>
              </w:rPr>
              <w:t xml:space="preserve"> also</w:t>
            </w:r>
            <w:r w:rsidR="00C51062" w:rsidRPr="00B61742">
              <w:rPr>
                <w:rFonts w:ascii="Times New Roman" w:hAnsi="Times New Roman"/>
                <w:sz w:val="24"/>
                <w:szCs w:val="24"/>
              </w:rPr>
              <w:t xml:space="preserve"> contribute to ensuring strategic autonomy</w:t>
            </w:r>
            <w:r w:rsidRPr="00B61742">
              <w:rPr>
                <w:rFonts w:ascii="Times New Roman" w:hAnsi="Times New Roman"/>
                <w:sz w:val="24"/>
                <w:szCs w:val="24"/>
              </w:rPr>
              <w:t>.</w:t>
            </w:r>
            <w:r w:rsidRPr="00E750EB">
              <w:rPr>
                <w:rFonts w:ascii="Times New Roman" w:hAnsi="Times New Roman"/>
                <w:sz w:val="24"/>
                <w:szCs w:val="24"/>
              </w:rPr>
              <w:t xml:space="preserve"> </w:t>
            </w:r>
            <w:r w:rsidR="00836FE5" w:rsidRPr="00E750EB">
              <w:rPr>
                <w:rFonts w:ascii="Times New Roman" w:hAnsi="Times New Roman"/>
                <w:sz w:val="24"/>
                <w:szCs w:val="24"/>
              </w:rPr>
              <w:t>To this purpose, t</w:t>
            </w:r>
            <w:r w:rsidRPr="00E750EB">
              <w:rPr>
                <w:rFonts w:ascii="Times New Roman" w:hAnsi="Times New Roman"/>
                <w:sz w:val="24"/>
                <w:szCs w:val="24"/>
              </w:rPr>
              <w:t>he future</w:t>
            </w:r>
            <w:r w:rsidRPr="00E750EB">
              <w:rPr>
                <w:rFonts w:ascii="Times New Roman" w:hAnsi="Times New Roman"/>
                <w:b/>
                <w:bCs/>
                <w:sz w:val="24"/>
                <w:szCs w:val="24"/>
              </w:rPr>
              <w:t xml:space="preserve"> </w:t>
            </w:r>
            <w:r w:rsidR="002079A1" w:rsidRPr="00E750EB">
              <w:rPr>
                <w:rFonts w:ascii="Times New Roman" w:hAnsi="Times New Roman"/>
                <w:b/>
                <w:bCs/>
                <w:color w:val="000000"/>
                <w:sz w:val="24"/>
                <w:szCs w:val="24"/>
              </w:rPr>
              <w:t>Circular Economy Act</w:t>
            </w:r>
            <w:r w:rsidRPr="00E750EB">
              <w:rPr>
                <w:rFonts w:ascii="Times New Roman" w:hAnsi="Times New Roman"/>
                <w:sz w:val="24"/>
                <w:szCs w:val="24"/>
              </w:rPr>
              <w:t xml:space="preserve"> </w:t>
            </w:r>
            <w:r w:rsidR="00D82F44" w:rsidRPr="00E750EB">
              <w:rPr>
                <w:rFonts w:ascii="Times New Roman" w:hAnsi="Times New Roman"/>
                <w:sz w:val="24"/>
                <w:szCs w:val="24"/>
              </w:rPr>
              <w:t xml:space="preserve">aims </w:t>
            </w:r>
            <w:r w:rsidR="000663CF" w:rsidRPr="00E750EB">
              <w:rPr>
                <w:rFonts w:ascii="Times New Roman" w:hAnsi="Times New Roman"/>
                <w:sz w:val="24"/>
                <w:szCs w:val="24"/>
              </w:rPr>
              <w:t>to establish</w:t>
            </w:r>
            <w:r w:rsidR="00D82F44" w:rsidRPr="00E750EB">
              <w:rPr>
                <w:rFonts w:ascii="Times New Roman" w:hAnsi="Times New Roman"/>
                <w:sz w:val="24"/>
                <w:szCs w:val="24"/>
              </w:rPr>
              <w:t xml:space="preserve"> a Single Market for secondary raw materials, increase the supply of </w:t>
            </w:r>
            <w:r w:rsidR="0091255F" w:rsidRPr="00E750EB">
              <w:rPr>
                <w:rFonts w:ascii="Times New Roman" w:hAnsi="Times New Roman"/>
                <w:sz w:val="24"/>
                <w:szCs w:val="24"/>
              </w:rPr>
              <w:t>high-quality</w:t>
            </w:r>
            <w:r w:rsidR="00D82F44" w:rsidRPr="00E750EB">
              <w:rPr>
                <w:rFonts w:ascii="Times New Roman" w:hAnsi="Times New Roman"/>
                <w:sz w:val="24"/>
                <w:szCs w:val="24"/>
              </w:rPr>
              <w:t xml:space="preserve"> recycled materials and stimulate demand for these materials</w:t>
            </w:r>
            <w:r w:rsidR="00C51062" w:rsidRPr="00E750EB">
              <w:rPr>
                <w:rFonts w:ascii="Times New Roman" w:hAnsi="Times New Roman"/>
                <w:sz w:val="24"/>
                <w:szCs w:val="24"/>
              </w:rPr>
              <w:t>, thus affecting</w:t>
            </w:r>
            <w:r w:rsidR="00836FE5" w:rsidRPr="00E750EB">
              <w:rPr>
                <w:rFonts w:ascii="Times New Roman" w:hAnsi="Times New Roman"/>
                <w:sz w:val="24"/>
                <w:szCs w:val="24"/>
              </w:rPr>
              <w:t xml:space="preserve"> </w:t>
            </w:r>
            <w:r w:rsidR="00C51062" w:rsidRPr="00E750EB">
              <w:rPr>
                <w:rFonts w:ascii="Times New Roman" w:hAnsi="Times New Roman"/>
                <w:sz w:val="24"/>
                <w:szCs w:val="24"/>
              </w:rPr>
              <w:t>entire</w:t>
            </w:r>
            <w:r w:rsidR="00836FE5" w:rsidRPr="00E750EB">
              <w:rPr>
                <w:rFonts w:ascii="Times New Roman" w:hAnsi="Times New Roman"/>
                <w:sz w:val="24"/>
                <w:szCs w:val="24"/>
              </w:rPr>
              <w:t xml:space="preserve"> value-chains</w:t>
            </w:r>
            <w:r w:rsidR="00D82F44" w:rsidRPr="00E750EB">
              <w:rPr>
                <w:rFonts w:ascii="Times New Roman" w:hAnsi="Times New Roman"/>
                <w:sz w:val="24"/>
                <w:szCs w:val="24"/>
              </w:rPr>
              <w:t xml:space="preserve"> in the EU</w:t>
            </w:r>
            <w:r w:rsidRPr="00E750EB">
              <w:rPr>
                <w:rFonts w:ascii="Times New Roman" w:hAnsi="Times New Roman"/>
                <w:sz w:val="24"/>
                <w:szCs w:val="24"/>
              </w:rPr>
              <w:t>.</w:t>
            </w:r>
          </w:p>
          <w:p w14:paraId="044FDFBC" w14:textId="78818A06" w:rsidR="00512B1B" w:rsidRPr="00E750EB" w:rsidRDefault="00A827EF" w:rsidP="00994914">
            <w:pPr>
              <w:widowControl w:val="0"/>
              <w:spacing w:before="120" w:after="120"/>
              <w:jc w:val="both"/>
              <w:rPr>
                <w:rFonts w:ascii="Times New Roman" w:hAnsi="Times New Roman"/>
                <w:sz w:val="24"/>
                <w:szCs w:val="24"/>
              </w:rPr>
            </w:pPr>
            <w:r>
              <w:rPr>
                <w:rFonts w:ascii="Times New Roman" w:hAnsi="Times New Roman"/>
                <w:sz w:val="24"/>
                <w:szCs w:val="24"/>
              </w:rPr>
              <w:t>T</w:t>
            </w:r>
            <w:r w:rsidR="545C34BA" w:rsidRPr="00E750EB">
              <w:rPr>
                <w:rFonts w:ascii="Times New Roman" w:hAnsi="Times New Roman"/>
                <w:sz w:val="24"/>
                <w:szCs w:val="24"/>
              </w:rPr>
              <w:t xml:space="preserve">he </w:t>
            </w:r>
            <w:r w:rsidR="545C34BA" w:rsidRPr="00E750EB">
              <w:rPr>
                <w:rFonts w:ascii="Times New Roman" w:hAnsi="Times New Roman"/>
                <w:b/>
                <w:bCs/>
                <w:sz w:val="24"/>
                <w:szCs w:val="24"/>
              </w:rPr>
              <w:t>Single Market Strategy</w:t>
            </w:r>
            <w:r w:rsidR="00264D1B" w:rsidRPr="00E750EB">
              <w:rPr>
                <w:rFonts w:ascii="Times New Roman" w:hAnsi="Times New Roman"/>
                <w:sz w:val="24"/>
                <w:szCs w:val="24"/>
                <w:vertAlign w:val="superscript"/>
              </w:rPr>
              <w:footnoteReference w:id="10"/>
            </w:r>
            <w:r w:rsidR="545C34BA" w:rsidRPr="00E750EB">
              <w:rPr>
                <w:rFonts w:ascii="Times New Roman" w:hAnsi="Times New Roman"/>
                <w:b/>
                <w:bCs/>
                <w:sz w:val="24"/>
                <w:szCs w:val="24"/>
              </w:rPr>
              <w:t xml:space="preserve"> </w:t>
            </w:r>
            <w:r w:rsidR="00625E6F">
              <w:rPr>
                <w:rFonts w:ascii="Times New Roman" w:hAnsi="Times New Roman"/>
                <w:sz w:val="24"/>
                <w:szCs w:val="24"/>
              </w:rPr>
              <w:t>of</w:t>
            </w:r>
            <w:r w:rsidR="545C34BA" w:rsidRPr="00E750EB">
              <w:rPr>
                <w:rFonts w:ascii="Times New Roman" w:hAnsi="Times New Roman"/>
                <w:sz w:val="24"/>
                <w:szCs w:val="24"/>
              </w:rPr>
              <w:t xml:space="preserve"> May 2025 is the Commission’s plan to </w:t>
            </w:r>
            <w:r w:rsidR="00EC7E1C" w:rsidRPr="00E750EB">
              <w:rPr>
                <w:rFonts w:ascii="Times New Roman" w:hAnsi="Times New Roman"/>
                <w:sz w:val="24"/>
                <w:szCs w:val="24"/>
              </w:rPr>
              <w:t>reinforce</w:t>
            </w:r>
            <w:r w:rsidR="545C34BA" w:rsidRPr="00E750EB">
              <w:rPr>
                <w:rFonts w:ascii="Times New Roman" w:hAnsi="Times New Roman"/>
                <w:sz w:val="24"/>
                <w:szCs w:val="24"/>
              </w:rPr>
              <w:t xml:space="preserve"> the Single Market </w:t>
            </w:r>
            <w:r w:rsidR="00EC7E1C" w:rsidRPr="00E750EB">
              <w:rPr>
                <w:rFonts w:ascii="Times New Roman" w:hAnsi="Times New Roman"/>
                <w:sz w:val="24"/>
                <w:szCs w:val="24"/>
              </w:rPr>
              <w:t xml:space="preserve">by </w:t>
            </w:r>
            <w:r w:rsidR="003C1EE6" w:rsidRPr="00E750EB">
              <w:rPr>
                <w:rFonts w:ascii="Times New Roman" w:hAnsi="Times New Roman"/>
                <w:sz w:val="24"/>
                <w:szCs w:val="24"/>
              </w:rPr>
              <w:t xml:space="preserve">focusing on </w:t>
            </w:r>
            <w:r w:rsidR="00EC7E1C" w:rsidRPr="00E750EB">
              <w:rPr>
                <w:rFonts w:ascii="Times New Roman" w:hAnsi="Times New Roman"/>
                <w:sz w:val="24"/>
                <w:szCs w:val="24"/>
              </w:rPr>
              <w:t>removing the most harmful barriers</w:t>
            </w:r>
            <w:r w:rsidR="00EC7E1C" w:rsidRPr="00E750EB">
              <w:rPr>
                <w:rStyle w:val="FootnoteReference"/>
                <w:rFonts w:ascii="Times New Roman" w:hAnsi="Times New Roman"/>
                <w:sz w:val="24"/>
                <w:szCs w:val="24"/>
              </w:rPr>
              <w:footnoteReference w:id="11"/>
            </w:r>
            <w:r w:rsidR="00EC7E1C" w:rsidRPr="00E750EB">
              <w:rPr>
                <w:rFonts w:ascii="Times New Roman" w:hAnsi="Times New Roman"/>
                <w:sz w:val="24"/>
                <w:szCs w:val="24"/>
              </w:rPr>
              <w:t>, simplifying</w:t>
            </w:r>
            <w:r>
              <w:rPr>
                <w:rFonts w:ascii="Times New Roman" w:hAnsi="Times New Roman"/>
                <w:sz w:val="24"/>
                <w:szCs w:val="24"/>
              </w:rPr>
              <w:t xml:space="preserve"> rules</w:t>
            </w:r>
            <w:r w:rsidR="00EC7E1C" w:rsidRPr="00E750EB">
              <w:rPr>
                <w:rFonts w:ascii="Times New Roman" w:hAnsi="Times New Roman"/>
                <w:sz w:val="24"/>
                <w:szCs w:val="24"/>
              </w:rPr>
              <w:t xml:space="preserve"> and reducing red tape as well as promoting investment and fair competition, thus</w:t>
            </w:r>
            <w:r w:rsidR="545C34BA" w:rsidRPr="00E750EB">
              <w:rPr>
                <w:rFonts w:ascii="Times New Roman" w:hAnsi="Times New Roman"/>
                <w:sz w:val="24"/>
                <w:szCs w:val="24"/>
              </w:rPr>
              <w:t xml:space="preserve"> unlocking its full potential for citizens, workers and </w:t>
            </w:r>
            <w:r w:rsidR="00EC7E1C" w:rsidRPr="00E750EB">
              <w:rPr>
                <w:rFonts w:ascii="Times New Roman" w:hAnsi="Times New Roman"/>
                <w:sz w:val="24"/>
                <w:szCs w:val="24"/>
              </w:rPr>
              <w:t>enterprises</w:t>
            </w:r>
            <w:r w:rsidR="545C34BA" w:rsidRPr="00E750EB">
              <w:rPr>
                <w:rFonts w:ascii="Times New Roman" w:hAnsi="Times New Roman"/>
                <w:sz w:val="24"/>
                <w:szCs w:val="24"/>
              </w:rPr>
              <w:t>, especially SMEs and small mid-caps</w:t>
            </w:r>
            <w:r>
              <w:rPr>
                <w:rFonts w:ascii="Times New Roman" w:hAnsi="Times New Roman"/>
                <w:sz w:val="24"/>
                <w:szCs w:val="24"/>
              </w:rPr>
              <w:t>.</w:t>
            </w:r>
            <w:r w:rsidR="545C34BA" w:rsidRPr="00E750EB">
              <w:rPr>
                <w:rFonts w:ascii="Times New Roman" w:hAnsi="Times New Roman"/>
                <w:sz w:val="24"/>
                <w:szCs w:val="24"/>
              </w:rPr>
              <w:t xml:space="preserve"> </w:t>
            </w:r>
            <w:r w:rsidR="00512B1B" w:rsidRPr="00E750EB">
              <w:rPr>
                <w:rFonts w:ascii="Times New Roman" w:hAnsi="Times New Roman"/>
                <w:sz w:val="24"/>
                <w:szCs w:val="24"/>
              </w:rPr>
              <w:t xml:space="preserve">The Commission launched in May 2025 the </w:t>
            </w:r>
            <w:r w:rsidR="00512B1B" w:rsidRPr="00E750EB">
              <w:rPr>
                <w:rFonts w:ascii="Times New Roman" w:hAnsi="Times New Roman"/>
                <w:b/>
                <w:bCs/>
                <w:sz w:val="24"/>
                <w:szCs w:val="24"/>
              </w:rPr>
              <w:t xml:space="preserve">EU </w:t>
            </w:r>
            <w:r>
              <w:rPr>
                <w:rFonts w:ascii="Times New Roman" w:hAnsi="Times New Roman"/>
                <w:b/>
                <w:bCs/>
                <w:sz w:val="24"/>
                <w:szCs w:val="24"/>
              </w:rPr>
              <w:t>S</w:t>
            </w:r>
            <w:r w:rsidR="00512B1B" w:rsidRPr="00E750EB">
              <w:rPr>
                <w:rFonts w:ascii="Times New Roman" w:hAnsi="Times New Roman"/>
                <w:b/>
                <w:bCs/>
                <w:sz w:val="24"/>
                <w:szCs w:val="24"/>
              </w:rPr>
              <w:t xml:space="preserve">tartup and </w:t>
            </w:r>
            <w:r>
              <w:rPr>
                <w:rFonts w:ascii="Times New Roman" w:hAnsi="Times New Roman"/>
                <w:b/>
                <w:bCs/>
                <w:sz w:val="24"/>
                <w:szCs w:val="24"/>
              </w:rPr>
              <w:t>S</w:t>
            </w:r>
            <w:r w:rsidR="00512B1B" w:rsidRPr="00E750EB">
              <w:rPr>
                <w:rFonts w:ascii="Times New Roman" w:hAnsi="Times New Roman"/>
                <w:b/>
                <w:bCs/>
                <w:sz w:val="24"/>
                <w:szCs w:val="24"/>
              </w:rPr>
              <w:t xml:space="preserve">caleup </w:t>
            </w:r>
            <w:r>
              <w:rPr>
                <w:rFonts w:ascii="Times New Roman" w:hAnsi="Times New Roman"/>
                <w:b/>
                <w:bCs/>
                <w:sz w:val="24"/>
                <w:szCs w:val="24"/>
              </w:rPr>
              <w:t>S</w:t>
            </w:r>
            <w:r w:rsidR="00512B1B" w:rsidRPr="00E750EB">
              <w:rPr>
                <w:rFonts w:ascii="Times New Roman" w:hAnsi="Times New Roman"/>
                <w:b/>
                <w:bCs/>
                <w:sz w:val="24"/>
                <w:szCs w:val="24"/>
              </w:rPr>
              <w:t>trategy</w:t>
            </w:r>
            <w:r w:rsidR="00512B1B" w:rsidRPr="00E750EB">
              <w:rPr>
                <w:rStyle w:val="FootnoteReference"/>
                <w:rFonts w:ascii="Times New Roman" w:hAnsi="Times New Roman"/>
                <w:b/>
                <w:bCs/>
                <w:sz w:val="24"/>
                <w:szCs w:val="24"/>
              </w:rPr>
              <w:footnoteReference w:id="12"/>
            </w:r>
            <w:r w:rsidR="00512B1B" w:rsidRPr="00E750EB">
              <w:rPr>
                <w:rFonts w:ascii="Times New Roman" w:hAnsi="Times New Roman"/>
                <w:sz w:val="24"/>
                <w:szCs w:val="24"/>
              </w:rPr>
              <w:t xml:space="preserve"> to make </w:t>
            </w:r>
            <w:r w:rsidR="003C1EE6" w:rsidRPr="00E750EB">
              <w:rPr>
                <w:rFonts w:ascii="Times New Roman" w:hAnsi="Times New Roman"/>
                <w:sz w:val="24"/>
                <w:szCs w:val="24"/>
              </w:rPr>
              <w:t xml:space="preserve">the EU </w:t>
            </w:r>
            <w:r w:rsidR="00965B1E" w:rsidRPr="00E750EB">
              <w:rPr>
                <w:rFonts w:ascii="Times New Roman" w:hAnsi="Times New Roman"/>
                <w:sz w:val="24"/>
                <w:szCs w:val="24"/>
              </w:rPr>
              <w:t>the best</w:t>
            </w:r>
            <w:r w:rsidR="00512B1B" w:rsidRPr="00E750EB">
              <w:rPr>
                <w:rFonts w:ascii="Times New Roman" w:hAnsi="Times New Roman"/>
                <w:sz w:val="24"/>
                <w:szCs w:val="24"/>
              </w:rPr>
              <w:t xml:space="preserve"> place for starting and growing global tech companies. The strategy </w:t>
            </w:r>
            <w:r w:rsidR="00625E6F">
              <w:rPr>
                <w:rFonts w:ascii="Times New Roman" w:hAnsi="Times New Roman"/>
                <w:sz w:val="24"/>
                <w:szCs w:val="24"/>
              </w:rPr>
              <w:t>targets</w:t>
            </w:r>
            <w:r w:rsidR="00625E6F" w:rsidRPr="00E750EB">
              <w:rPr>
                <w:rFonts w:ascii="Times New Roman" w:hAnsi="Times New Roman"/>
                <w:sz w:val="24"/>
                <w:szCs w:val="24"/>
              </w:rPr>
              <w:t xml:space="preserve"> </w:t>
            </w:r>
            <w:r w:rsidR="00965B1E" w:rsidRPr="00E750EB">
              <w:rPr>
                <w:rFonts w:ascii="Times New Roman" w:hAnsi="Times New Roman"/>
                <w:sz w:val="24"/>
                <w:szCs w:val="24"/>
              </w:rPr>
              <w:t>s</w:t>
            </w:r>
            <w:r w:rsidR="00512B1B" w:rsidRPr="00E750EB">
              <w:rPr>
                <w:rFonts w:ascii="Times New Roman" w:hAnsi="Times New Roman"/>
                <w:sz w:val="24"/>
                <w:szCs w:val="24"/>
              </w:rPr>
              <w:t>tartups and scaleups </w:t>
            </w:r>
            <w:r w:rsidR="00DC51C3">
              <w:rPr>
                <w:rFonts w:ascii="Times New Roman" w:hAnsi="Times New Roman"/>
                <w:sz w:val="24"/>
                <w:szCs w:val="24"/>
              </w:rPr>
              <w:t>over</w:t>
            </w:r>
            <w:r w:rsidR="00512B1B" w:rsidRPr="00E750EB">
              <w:rPr>
                <w:rFonts w:ascii="Times New Roman" w:hAnsi="Times New Roman"/>
                <w:sz w:val="24"/>
                <w:szCs w:val="24"/>
              </w:rPr>
              <w:t xml:space="preserve"> their lifecycle</w:t>
            </w:r>
            <w:r w:rsidR="00730A46">
              <w:rPr>
                <w:rFonts w:ascii="Times New Roman" w:eastAsia="Times New Roman" w:hAnsi="Times New Roman"/>
                <w:sz w:val="24"/>
                <w:szCs w:val="24"/>
                <w:lang w:val="en-IE"/>
              </w:rPr>
              <w:t>.</w:t>
            </w:r>
          </w:p>
          <w:p w14:paraId="0A16DB62" w14:textId="4A9EAD9A" w:rsidR="00E23611" w:rsidRPr="00E750EB" w:rsidRDefault="00E23611" w:rsidP="00994914">
            <w:pPr>
              <w:widowControl w:val="0"/>
              <w:spacing w:before="120" w:after="120"/>
              <w:jc w:val="both"/>
              <w:rPr>
                <w:rFonts w:ascii="Times New Roman" w:hAnsi="Times New Roman"/>
                <w:sz w:val="24"/>
                <w:szCs w:val="24"/>
                <w:lang w:val="en-IE"/>
              </w:rPr>
            </w:pPr>
            <w:r w:rsidRPr="00E750EB">
              <w:rPr>
                <w:rFonts w:ascii="Times New Roman" w:hAnsi="Times New Roman"/>
                <w:sz w:val="24"/>
                <w:szCs w:val="24"/>
              </w:rPr>
              <w:t xml:space="preserve">The </w:t>
            </w:r>
            <w:r w:rsidRPr="00E750EB">
              <w:rPr>
                <w:rFonts w:ascii="Times New Roman" w:hAnsi="Times New Roman"/>
                <w:b/>
                <w:bCs/>
                <w:sz w:val="24"/>
                <w:szCs w:val="24"/>
              </w:rPr>
              <w:t>Internal Market Emergency and Resilience Act</w:t>
            </w:r>
            <w:r w:rsidRPr="00E750EB">
              <w:rPr>
                <w:rStyle w:val="FootnoteReference"/>
                <w:rFonts w:ascii="Times New Roman" w:hAnsi="Times New Roman"/>
                <w:b/>
                <w:bCs/>
                <w:sz w:val="24"/>
                <w:szCs w:val="24"/>
              </w:rPr>
              <w:footnoteReference w:id="13"/>
            </w:r>
            <w:r w:rsidRPr="00E750EB">
              <w:rPr>
                <w:rFonts w:ascii="Times New Roman" w:hAnsi="Times New Roman"/>
                <w:sz w:val="24"/>
                <w:szCs w:val="24"/>
              </w:rPr>
              <w:t xml:space="preserve"> </w:t>
            </w:r>
            <w:r w:rsidR="00DB28D5">
              <w:rPr>
                <w:rFonts w:ascii="Times New Roman" w:hAnsi="Times New Roman"/>
                <w:sz w:val="24"/>
                <w:szCs w:val="24"/>
              </w:rPr>
              <w:t xml:space="preserve">that will apply from 29 May 2026 </w:t>
            </w:r>
            <w:r w:rsidRPr="00E750EB">
              <w:rPr>
                <w:rFonts w:ascii="Times New Roman" w:hAnsi="Times New Roman"/>
                <w:sz w:val="24"/>
                <w:szCs w:val="24"/>
                <w:lang w:val="en-IE"/>
              </w:rPr>
              <w:t>provides a structured framework to anticipate, prepare for and respond to significant disruptions within the internal market</w:t>
            </w:r>
            <w:r w:rsidR="00E461DC">
              <w:rPr>
                <w:rFonts w:ascii="Times New Roman" w:hAnsi="Times New Roman"/>
                <w:sz w:val="24"/>
                <w:szCs w:val="24"/>
                <w:lang w:val="en-IE"/>
              </w:rPr>
              <w:t>, with a view to safeguarding free movement and critical supply chains</w:t>
            </w:r>
            <w:r w:rsidRPr="00E750EB">
              <w:rPr>
                <w:rFonts w:ascii="Times New Roman" w:hAnsi="Times New Roman"/>
                <w:sz w:val="24"/>
                <w:szCs w:val="24"/>
                <w:lang w:val="en-IE"/>
              </w:rPr>
              <w:t>.</w:t>
            </w:r>
          </w:p>
          <w:p w14:paraId="50755EA4" w14:textId="288ECD20" w:rsidR="004E2A1D" w:rsidRPr="00E750EB" w:rsidRDefault="004E2A1D" w:rsidP="00994914">
            <w:pPr>
              <w:widowControl w:val="0"/>
              <w:spacing w:before="120" w:after="120"/>
              <w:jc w:val="both"/>
              <w:rPr>
                <w:rFonts w:ascii="Times New Roman" w:eastAsia="Times New Roman" w:hAnsi="Times New Roman"/>
                <w:color w:val="000000"/>
                <w:sz w:val="24"/>
                <w:szCs w:val="24"/>
              </w:rPr>
            </w:pPr>
            <w:r w:rsidRPr="00E750EB">
              <w:rPr>
                <w:rFonts w:ascii="Times New Roman" w:eastAsia="Times New Roman" w:hAnsi="Times New Roman"/>
                <w:color w:val="000000"/>
                <w:sz w:val="24"/>
                <w:szCs w:val="24"/>
              </w:rPr>
              <w:t xml:space="preserve">In June 2025, the Commission adopted the new </w:t>
            </w:r>
            <w:r w:rsidRPr="00E750EB">
              <w:rPr>
                <w:rFonts w:ascii="Times New Roman" w:eastAsia="Times New Roman" w:hAnsi="Times New Roman"/>
                <w:b/>
                <w:bCs/>
                <w:color w:val="000000"/>
                <w:sz w:val="24"/>
                <w:szCs w:val="24"/>
              </w:rPr>
              <w:t xml:space="preserve">Clean Industrial Deal State Aid Framework </w:t>
            </w:r>
            <w:r w:rsidRPr="00F56DDD">
              <w:rPr>
                <w:rFonts w:ascii="Times New Roman" w:eastAsia="Times New Roman" w:hAnsi="Times New Roman"/>
                <w:color w:val="000000"/>
                <w:sz w:val="24"/>
                <w:szCs w:val="24"/>
              </w:rPr>
              <w:t>(CISAF)</w:t>
            </w:r>
            <w:r w:rsidRPr="00F56DDD">
              <w:rPr>
                <w:rStyle w:val="FootnoteReference"/>
                <w:rFonts w:ascii="Times New Roman" w:eastAsia="Times New Roman" w:hAnsi="Times New Roman"/>
                <w:color w:val="000000"/>
                <w:sz w:val="24"/>
                <w:szCs w:val="24"/>
              </w:rPr>
              <w:footnoteReference w:id="14"/>
            </w:r>
            <w:r w:rsidRPr="00911266">
              <w:rPr>
                <w:rFonts w:ascii="Times New Roman" w:eastAsia="Times New Roman" w:hAnsi="Times New Roman"/>
                <w:color w:val="000000"/>
                <w:sz w:val="24"/>
                <w:szCs w:val="24"/>
              </w:rPr>
              <w:t xml:space="preserve"> </w:t>
            </w:r>
            <w:r w:rsidRPr="00E750EB">
              <w:rPr>
                <w:rFonts w:ascii="Times New Roman" w:eastAsia="Times New Roman" w:hAnsi="Times New Roman"/>
                <w:color w:val="000000"/>
                <w:sz w:val="24"/>
                <w:szCs w:val="24"/>
              </w:rPr>
              <w:t xml:space="preserve">to allow Member States to promote clean energy, industrial decarbonisation and clean technology by providing targeted </w:t>
            </w:r>
            <w:r w:rsidR="00B2396F">
              <w:rPr>
                <w:rFonts w:ascii="Times New Roman" w:eastAsia="Times New Roman" w:hAnsi="Times New Roman"/>
                <w:color w:val="000000"/>
                <w:sz w:val="24"/>
                <w:szCs w:val="24"/>
              </w:rPr>
              <w:t>s</w:t>
            </w:r>
            <w:r w:rsidRPr="00E750EB">
              <w:rPr>
                <w:rFonts w:ascii="Times New Roman" w:eastAsia="Times New Roman" w:hAnsi="Times New Roman"/>
                <w:color w:val="000000"/>
                <w:sz w:val="24"/>
                <w:szCs w:val="24"/>
              </w:rPr>
              <w:t>tate</w:t>
            </w:r>
            <w:r w:rsidR="0057760A">
              <w:rPr>
                <w:rFonts w:ascii="Times New Roman" w:eastAsia="Times New Roman" w:hAnsi="Times New Roman"/>
                <w:color w:val="000000"/>
                <w:sz w:val="24"/>
                <w:szCs w:val="24"/>
              </w:rPr>
              <w:t>-</w:t>
            </w:r>
            <w:r w:rsidRPr="00E750EB">
              <w:rPr>
                <w:rFonts w:ascii="Times New Roman" w:eastAsia="Times New Roman" w:hAnsi="Times New Roman"/>
                <w:color w:val="000000"/>
                <w:sz w:val="24"/>
                <w:szCs w:val="24"/>
              </w:rPr>
              <w:t xml:space="preserve">aid. In addition, the framework allows Member States to provide more support for projects in less advantaged regions and to stimulate demand for clean technology products by supporting national </w:t>
            </w:r>
            <w:r w:rsidRPr="00E750EB">
              <w:rPr>
                <w:rFonts w:ascii="Times New Roman" w:eastAsia="Times New Roman" w:hAnsi="Times New Roman"/>
                <w:b/>
                <w:bCs/>
                <w:color w:val="000000"/>
                <w:sz w:val="24"/>
                <w:szCs w:val="24"/>
              </w:rPr>
              <w:t>tax incentives</w:t>
            </w:r>
            <w:r w:rsidRPr="00E750EB">
              <w:rPr>
                <w:rFonts w:ascii="Times New Roman" w:eastAsia="Times New Roman" w:hAnsi="Times New Roman"/>
                <w:color w:val="000000"/>
                <w:sz w:val="24"/>
                <w:szCs w:val="24"/>
              </w:rPr>
              <w:t xml:space="preserve">. The CISAF will be in place until 31 December 2030, giving Member States and businesses long-term predictability. </w:t>
            </w:r>
            <w:r w:rsidR="00785E09">
              <w:rPr>
                <w:rFonts w:ascii="Times New Roman" w:eastAsia="Times New Roman" w:hAnsi="Times New Roman"/>
                <w:color w:val="000000"/>
                <w:sz w:val="24"/>
                <w:szCs w:val="24"/>
              </w:rPr>
              <w:t>T</w:t>
            </w:r>
            <w:r w:rsidRPr="00E750EB">
              <w:rPr>
                <w:rFonts w:ascii="Times New Roman" w:hAnsi="Times New Roman"/>
                <w:sz w:val="24"/>
                <w:szCs w:val="24"/>
              </w:rPr>
              <w:t xml:space="preserve">he Commission </w:t>
            </w:r>
            <w:r w:rsidRPr="00E750EB">
              <w:rPr>
                <w:rFonts w:ascii="Times New Roman" w:hAnsi="Times New Roman"/>
                <w:sz w:val="24"/>
                <w:szCs w:val="24"/>
              </w:rPr>
              <w:lastRenderedPageBreak/>
              <w:t>proposed o</w:t>
            </w:r>
            <w:r w:rsidRPr="00E750EB">
              <w:rPr>
                <w:rFonts w:ascii="Times New Roman" w:hAnsi="Times New Roman"/>
                <w:color w:val="000000"/>
                <w:sz w:val="24"/>
                <w:szCs w:val="24"/>
              </w:rPr>
              <w:t>n 1 April 2025</w:t>
            </w:r>
            <w:r w:rsidRPr="00E750EB">
              <w:rPr>
                <w:rFonts w:ascii="Times New Roman" w:hAnsi="Times New Roman"/>
                <w:sz w:val="24"/>
                <w:szCs w:val="24"/>
              </w:rPr>
              <w:t xml:space="preserve"> </w:t>
            </w:r>
            <w:r w:rsidRPr="00E750EB">
              <w:rPr>
                <w:rFonts w:ascii="Times New Roman" w:hAnsi="Times New Roman"/>
                <w:color w:val="000000"/>
                <w:sz w:val="24"/>
                <w:szCs w:val="24"/>
              </w:rPr>
              <w:t xml:space="preserve">amendments to the regulations on the </w:t>
            </w:r>
            <w:r w:rsidRPr="00E565A3">
              <w:rPr>
                <w:rFonts w:ascii="Times New Roman" w:hAnsi="Times New Roman"/>
                <w:b/>
                <w:bCs/>
                <w:color w:val="000000"/>
                <w:sz w:val="24"/>
                <w:szCs w:val="24"/>
              </w:rPr>
              <w:t>European Globalisation Adjustment Fund</w:t>
            </w:r>
            <w:r w:rsidR="004C5AD7">
              <w:rPr>
                <w:rStyle w:val="FootnoteReference"/>
                <w:rFonts w:ascii="Times New Roman" w:hAnsi="Times New Roman"/>
                <w:b/>
                <w:bCs/>
                <w:color w:val="000000"/>
                <w:sz w:val="24"/>
                <w:szCs w:val="24"/>
              </w:rPr>
              <w:footnoteReference w:id="15"/>
            </w:r>
            <w:r w:rsidRPr="00E750EB">
              <w:rPr>
                <w:rFonts w:ascii="Times New Roman" w:hAnsi="Times New Roman"/>
                <w:color w:val="000000"/>
                <w:sz w:val="24"/>
                <w:szCs w:val="24"/>
              </w:rPr>
              <w:t xml:space="preserve"> and the </w:t>
            </w:r>
            <w:r w:rsidRPr="00E565A3">
              <w:rPr>
                <w:rFonts w:ascii="Times New Roman" w:hAnsi="Times New Roman"/>
                <w:b/>
                <w:bCs/>
                <w:color w:val="000000"/>
                <w:sz w:val="24"/>
                <w:szCs w:val="24"/>
              </w:rPr>
              <w:t>European Social Fund</w:t>
            </w:r>
            <w:r w:rsidR="004C5AD7">
              <w:rPr>
                <w:rStyle w:val="FootnoteReference"/>
                <w:rFonts w:ascii="Times New Roman" w:hAnsi="Times New Roman"/>
                <w:b/>
                <w:bCs/>
                <w:color w:val="000000"/>
                <w:sz w:val="24"/>
                <w:szCs w:val="24"/>
              </w:rPr>
              <w:footnoteReference w:id="16"/>
            </w:r>
            <w:r w:rsidRPr="00E750EB">
              <w:rPr>
                <w:rFonts w:ascii="Times New Roman" w:hAnsi="Times New Roman"/>
                <w:color w:val="000000"/>
                <w:sz w:val="24"/>
                <w:szCs w:val="24"/>
              </w:rPr>
              <w:t xml:space="preserve">, which include provisions to increase the flexibility of financing cohesion objectives through </w:t>
            </w:r>
            <w:proofErr w:type="spellStart"/>
            <w:r w:rsidRPr="00E565A3">
              <w:rPr>
                <w:rFonts w:ascii="Times New Roman" w:hAnsi="Times New Roman"/>
                <w:b/>
                <w:bCs/>
                <w:color w:val="000000"/>
                <w:sz w:val="24"/>
                <w:szCs w:val="24"/>
              </w:rPr>
              <w:t>InvestEU</w:t>
            </w:r>
            <w:proofErr w:type="spellEnd"/>
            <w:r w:rsidR="004C5AD7">
              <w:rPr>
                <w:rStyle w:val="FootnoteReference"/>
                <w:rFonts w:ascii="Times New Roman" w:hAnsi="Times New Roman"/>
                <w:b/>
                <w:bCs/>
                <w:color w:val="000000"/>
                <w:sz w:val="24"/>
                <w:szCs w:val="24"/>
              </w:rPr>
              <w:footnoteReference w:id="17"/>
            </w:r>
            <w:r w:rsidRPr="00E750EB">
              <w:rPr>
                <w:rFonts w:ascii="Times New Roman" w:hAnsi="Times New Roman"/>
                <w:color w:val="000000"/>
                <w:sz w:val="24"/>
                <w:szCs w:val="24"/>
              </w:rPr>
              <w:t xml:space="preserve"> and the </w:t>
            </w:r>
            <w:r w:rsidRPr="00E565A3">
              <w:rPr>
                <w:rFonts w:ascii="Times New Roman" w:hAnsi="Times New Roman"/>
                <w:b/>
                <w:bCs/>
                <w:color w:val="000000"/>
                <w:sz w:val="24"/>
                <w:szCs w:val="24"/>
              </w:rPr>
              <w:t>Innovation Fund</w:t>
            </w:r>
            <w:r w:rsidR="007918D3">
              <w:rPr>
                <w:rStyle w:val="FootnoteReference"/>
                <w:rFonts w:ascii="Times New Roman" w:hAnsi="Times New Roman"/>
                <w:b/>
                <w:bCs/>
                <w:color w:val="000000"/>
                <w:sz w:val="24"/>
                <w:szCs w:val="24"/>
              </w:rPr>
              <w:footnoteReference w:id="18"/>
            </w:r>
            <w:r w:rsidRPr="00E750EB">
              <w:rPr>
                <w:rFonts w:ascii="Times New Roman" w:hAnsi="Times New Roman"/>
                <w:color w:val="000000"/>
                <w:sz w:val="24"/>
                <w:szCs w:val="24"/>
              </w:rPr>
              <w:t>.</w:t>
            </w:r>
          </w:p>
          <w:p w14:paraId="7AFFFB13" w14:textId="4476CCDB" w:rsidR="004E2A1D" w:rsidRPr="00E750EB" w:rsidRDefault="00A41558" w:rsidP="00994914">
            <w:pPr>
              <w:widowControl w:val="0"/>
              <w:spacing w:before="120" w:after="120"/>
              <w:jc w:val="both"/>
              <w:rPr>
                <w:rFonts w:ascii="Times New Roman" w:eastAsia="Times New Roman" w:hAnsi="Times New Roman"/>
                <w:color w:val="000000"/>
                <w:sz w:val="24"/>
                <w:szCs w:val="24"/>
              </w:rPr>
            </w:pPr>
            <w:r w:rsidRPr="00E750EB">
              <w:rPr>
                <w:rFonts w:ascii="Times New Roman" w:eastAsia="Times New Roman" w:hAnsi="Times New Roman"/>
                <w:color w:val="000000"/>
                <w:sz w:val="24"/>
                <w:szCs w:val="24"/>
              </w:rPr>
              <w:t>Strengthening the Union’s industrial base, resilient supply chains and boosting sustainable and competitive manufacturing, in particular in the areas of net-zero and critical raw materials technologies</w:t>
            </w:r>
            <w:r w:rsidR="00911266">
              <w:rPr>
                <w:rFonts w:ascii="Times New Roman" w:eastAsia="Times New Roman" w:hAnsi="Times New Roman"/>
                <w:color w:val="000000"/>
                <w:sz w:val="24"/>
                <w:szCs w:val="24"/>
              </w:rPr>
              <w:t xml:space="preserve"> and</w:t>
            </w:r>
            <w:r w:rsidR="00DB28D5">
              <w:rPr>
                <w:rFonts w:ascii="Times New Roman" w:eastAsia="Times New Roman" w:hAnsi="Times New Roman"/>
                <w:color w:val="000000"/>
                <w:sz w:val="24"/>
                <w:szCs w:val="24"/>
              </w:rPr>
              <w:t xml:space="preserve"> </w:t>
            </w:r>
            <w:r w:rsidRPr="00E750EB">
              <w:rPr>
                <w:rFonts w:ascii="Times New Roman" w:eastAsia="Times New Roman" w:hAnsi="Times New Roman"/>
                <w:color w:val="000000"/>
                <w:sz w:val="24"/>
                <w:szCs w:val="24"/>
              </w:rPr>
              <w:t>with special attention to the competitiveness of small and medium-sized enterprises</w:t>
            </w:r>
            <w:r w:rsidR="00911266">
              <w:rPr>
                <w:rFonts w:ascii="Times New Roman" w:eastAsia="Times New Roman" w:hAnsi="Times New Roman"/>
                <w:color w:val="000000"/>
                <w:sz w:val="24"/>
                <w:szCs w:val="24"/>
              </w:rPr>
              <w:t>,</w:t>
            </w:r>
            <w:r w:rsidRPr="00E750EB">
              <w:rPr>
                <w:rFonts w:ascii="Times New Roman" w:eastAsia="Times New Roman" w:hAnsi="Times New Roman"/>
                <w:color w:val="000000"/>
                <w:sz w:val="24"/>
                <w:szCs w:val="24"/>
              </w:rPr>
              <w:t xml:space="preserve"> will be a key objective of t</w:t>
            </w:r>
            <w:r w:rsidRPr="00E750EB">
              <w:rPr>
                <w:rFonts w:ascii="Times New Roman" w:hAnsi="Times New Roman"/>
                <w:sz w:val="24"/>
                <w:szCs w:val="24"/>
              </w:rPr>
              <w:t>he</w:t>
            </w:r>
            <w:r w:rsidRPr="00E750EB">
              <w:rPr>
                <w:rFonts w:ascii="Times New Roman" w:hAnsi="Times New Roman"/>
                <w:b/>
                <w:bCs/>
                <w:sz w:val="24"/>
                <w:szCs w:val="24"/>
              </w:rPr>
              <w:t xml:space="preserve"> </w:t>
            </w:r>
            <w:r w:rsidRPr="00E750EB">
              <w:rPr>
                <w:rFonts w:ascii="Times New Roman" w:eastAsia="Times New Roman" w:hAnsi="Times New Roman"/>
                <w:color w:val="000000"/>
                <w:sz w:val="24"/>
                <w:szCs w:val="24"/>
              </w:rPr>
              <w:t xml:space="preserve">future </w:t>
            </w:r>
            <w:r w:rsidRPr="00E750EB">
              <w:rPr>
                <w:rFonts w:ascii="Times New Roman" w:hAnsi="Times New Roman"/>
                <w:b/>
                <w:bCs/>
                <w:sz w:val="24"/>
                <w:szCs w:val="24"/>
              </w:rPr>
              <w:t>National and Regional Partnership Plans</w:t>
            </w:r>
            <w:r w:rsidRPr="00E750EB">
              <w:rPr>
                <w:rStyle w:val="FootnoteReference"/>
                <w:rFonts w:ascii="Times New Roman" w:hAnsi="Times New Roman"/>
                <w:sz w:val="24"/>
                <w:szCs w:val="24"/>
              </w:rPr>
              <w:footnoteReference w:id="19"/>
            </w:r>
            <w:r w:rsidRPr="00E750EB">
              <w:rPr>
                <w:rFonts w:ascii="Times New Roman" w:hAnsi="Times New Roman"/>
                <w:sz w:val="24"/>
                <w:szCs w:val="24"/>
              </w:rPr>
              <w:t xml:space="preserve">. </w:t>
            </w:r>
            <w:r w:rsidRPr="00E750EB">
              <w:rPr>
                <w:rFonts w:ascii="Times New Roman" w:eastAsia="Times New Roman" w:hAnsi="Times New Roman"/>
                <w:color w:val="000000"/>
                <w:sz w:val="24"/>
                <w:szCs w:val="24"/>
              </w:rPr>
              <w:t>Through</w:t>
            </w:r>
            <w:r w:rsidR="004E2A1D" w:rsidRPr="00E750EB">
              <w:rPr>
                <w:rFonts w:ascii="Times New Roman" w:eastAsia="Times New Roman" w:hAnsi="Times New Roman"/>
                <w:color w:val="000000"/>
                <w:sz w:val="24"/>
                <w:szCs w:val="24"/>
              </w:rPr>
              <w:t xml:space="preserve"> </w:t>
            </w:r>
            <w:r w:rsidRPr="00E750EB">
              <w:rPr>
                <w:rFonts w:ascii="Times New Roman" w:eastAsia="Times New Roman" w:hAnsi="Times New Roman"/>
                <w:color w:val="000000"/>
                <w:sz w:val="24"/>
                <w:szCs w:val="24"/>
              </w:rPr>
              <w:t xml:space="preserve">integration of </w:t>
            </w:r>
            <w:r w:rsidR="004E2A1D" w:rsidRPr="00E750EB">
              <w:rPr>
                <w:rFonts w:ascii="Times New Roman" w:eastAsia="Times New Roman" w:hAnsi="Times New Roman"/>
                <w:color w:val="000000"/>
                <w:sz w:val="24"/>
                <w:szCs w:val="24"/>
              </w:rPr>
              <w:t xml:space="preserve">the </w:t>
            </w:r>
            <w:r w:rsidR="004E2A1D" w:rsidRPr="00E750EB">
              <w:rPr>
                <w:rFonts w:ascii="Times New Roman" w:eastAsia="Times New Roman" w:hAnsi="Times New Roman"/>
                <w:b/>
                <w:bCs/>
                <w:color w:val="000000"/>
                <w:sz w:val="24"/>
                <w:szCs w:val="24"/>
              </w:rPr>
              <w:t xml:space="preserve">Interregional Innovation Investments </w:t>
            </w:r>
            <w:r w:rsidR="00911266">
              <w:rPr>
                <w:rFonts w:ascii="Times New Roman" w:eastAsia="Times New Roman" w:hAnsi="Times New Roman"/>
                <w:b/>
                <w:bCs/>
                <w:color w:val="000000"/>
                <w:sz w:val="24"/>
                <w:szCs w:val="24"/>
              </w:rPr>
              <w:t>I</w:t>
            </w:r>
            <w:r w:rsidR="004E2A1D" w:rsidRPr="00E750EB">
              <w:rPr>
                <w:rFonts w:ascii="Times New Roman" w:eastAsia="Times New Roman" w:hAnsi="Times New Roman"/>
                <w:b/>
                <w:bCs/>
                <w:color w:val="000000"/>
                <w:sz w:val="24"/>
                <w:szCs w:val="24"/>
              </w:rPr>
              <w:t>nstrument</w:t>
            </w:r>
            <w:r w:rsidR="002D6680">
              <w:rPr>
                <w:rStyle w:val="FootnoteReference"/>
                <w:rFonts w:ascii="Times New Roman" w:eastAsia="Times New Roman" w:hAnsi="Times New Roman"/>
                <w:b/>
                <w:bCs/>
                <w:color w:val="000000"/>
                <w:sz w:val="24"/>
                <w:szCs w:val="24"/>
              </w:rPr>
              <w:footnoteReference w:id="20"/>
            </w:r>
            <w:r w:rsidR="004E2A1D" w:rsidRPr="00E750EB">
              <w:rPr>
                <w:rFonts w:ascii="Times New Roman" w:eastAsia="Times New Roman" w:hAnsi="Times New Roman"/>
                <w:color w:val="000000"/>
                <w:sz w:val="24"/>
                <w:szCs w:val="24"/>
              </w:rPr>
              <w:t xml:space="preserve"> </w:t>
            </w:r>
            <w:r w:rsidR="001F7ADC" w:rsidRPr="00E750EB">
              <w:rPr>
                <w:rFonts w:ascii="Times New Roman" w:eastAsia="Times New Roman" w:hAnsi="Times New Roman"/>
                <w:color w:val="000000"/>
                <w:sz w:val="24"/>
                <w:szCs w:val="24"/>
              </w:rPr>
              <w:t xml:space="preserve">in the Plans, the instrument will consolidate further its function of helping to translate regional specialisation into EU-wide industrial value chains </w:t>
            </w:r>
            <w:r w:rsidR="004E2A1D" w:rsidRPr="00E750EB">
              <w:rPr>
                <w:rFonts w:ascii="Times New Roman" w:eastAsia="Times New Roman" w:hAnsi="Times New Roman"/>
                <w:color w:val="000000"/>
                <w:sz w:val="24"/>
                <w:szCs w:val="24"/>
              </w:rPr>
              <w:t xml:space="preserve">through interregional investment projects that connect regional innovation ecosystems, including those in less developed regions. </w:t>
            </w:r>
          </w:p>
          <w:p w14:paraId="474E696F" w14:textId="37FB143D" w:rsidR="00A55072" w:rsidRPr="00E750EB" w:rsidRDefault="00965B1E" w:rsidP="00994914">
            <w:pPr>
              <w:widowControl w:val="0"/>
              <w:spacing w:before="120" w:after="120"/>
              <w:jc w:val="both"/>
              <w:rPr>
                <w:rFonts w:ascii="Times New Roman" w:hAnsi="Times New Roman"/>
                <w:sz w:val="24"/>
                <w:szCs w:val="24"/>
              </w:rPr>
            </w:pPr>
            <w:r w:rsidRPr="00E750EB">
              <w:rPr>
                <w:rFonts w:ascii="Times New Roman" w:hAnsi="Times New Roman"/>
                <w:sz w:val="24"/>
                <w:szCs w:val="24"/>
              </w:rPr>
              <w:t xml:space="preserve">Beyond </w:t>
            </w:r>
            <w:r w:rsidR="00AB7376" w:rsidRPr="00E750EB">
              <w:rPr>
                <w:rFonts w:ascii="Times New Roman" w:hAnsi="Times New Roman"/>
                <w:sz w:val="24"/>
                <w:szCs w:val="24"/>
              </w:rPr>
              <w:t>the EU Single Market</w:t>
            </w:r>
            <w:r w:rsidRPr="00E750EB">
              <w:rPr>
                <w:rFonts w:ascii="Times New Roman" w:hAnsi="Times New Roman"/>
                <w:sz w:val="24"/>
                <w:szCs w:val="24"/>
              </w:rPr>
              <w:t xml:space="preserve">, the Commission is pursuing </w:t>
            </w:r>
            <w:r w:rsidRPr="00E750EB">
              <w:rPr>
                <w:rFonts w:ascii="Times New Roman" w:hAnsi="Times New Roman"/>
                <w:b/>
                <w:bCs/>
                <w:sz w:val="24"/>
                <w:szCs w:val="24"/>
              </w:rPr>
              <w:t>Clean Trade and Investment Partnerships</w:t>
            </w:r>
            <w:r w:rsidRPr="00E750EB">
              <w:rPr>
                <w:rFonts w:ascii="Times New Roman" w:hAnsi="Times New Roman"/>
                <w:sz w:val="24"/>
                <w:szCs w:val="24"/>
              </w:rPr>
              <w:t xml:space="preserve"> to diversify supply chains in clean energy, clean technologies and raw materials, and secure mutually beneficial deals.</w:t>
            </w:r>
            <w:r w:rsidR="003000ED" w:rsidRPr="00E750EB">
              <w:rPr>
                <w:rFonts w:ascii="Times New Roman" w:hAnsi="Times New Roman"/>
                <w:sz w:val="24"/>
                <w:szCs w:val="24"/>
              </w:rPr>
              <w:t xml:space="preserve"> Negotiations on a first such Partnership with South Africa have been launched in March 2025.</w:t>
            </w:r>
          </w:p>
          <w:p w14:paraId="1055DDA6" w14:textId="79730CB9" w:rsidR="001E50EB" w:rsidRPr="00E750EB" w:rsidRDefault="07D5A01A" w:rsidP="00994914">
            <w:pPr>
              <w:widowControl w:val="0"/>
              <w:spacing w:before="120" w:after="120"/>
              <w:jc w:val="both"/>
              <w:rPr>
                <w:rFonts w:ascii="Times New Roman" w:hAnsi="Times New Roman"/>
                <w:sz w:val="24"/>
                <w:szCs w:val="24"/>
                <w:lang w:val="en-IE"/>
              </w:rPr>
            </w:pPr>
            <w:r w:rsidRPr="00E750EB">
              <w:rPr>
                <w:rFonts w:ascii="Times New Roman" w:hAnsi="Times New Roman"/>
                <w:sz w:val="24"/>
                <w:szCs w:val="24"/>
              </w:rPr>
              <w:t xml:space="preserve">Additionally, the EU is set to strengthen </w:t>
            </w:r>
            <w:r w:rsidRPr="00E750EB">
              <w:rPr>
                <w:rFonts w:ascii="Times New Roman" w:hAnsi="Times New Roman"/>
                <w:b/>
                <w:bCs/>
                <w:sz w:val="24"/>
                <w:szCs w:val="24"/>
              </w:rPr>
              <w:t>trade defence measures</w:t>
            </w:r>
            <w:r w:rsidRPr="00E750EB">
              <w:rPr>
                <w:rFonts w:ascii="Times New Roman" w:hAnsi="Times New Roman"/>
                <w:sz w:val="24"/>
                <w:szCs w:val="24"/>
              </w:rPr>
              <w:t xml:space="preserve"> to shield European industries from unfair global competition and overcapacities.</w:t>
            </w:r>
            <w:r w:rsidR="09717113" w:rsidRPr="00E750EB">
              <w:rPr>
                <w:rFonts w:ascii="Times New Roman" w:hAnsi="Times New Roman"/>
                <w:sz w:val="24"/>
                <w:szCs w:val="24"/>
              </w:rPr>
              <w:t xml:space="preserve"> </w:t>
            </w:r>
            <w:r w:rsidR="56D424D4" w:rsidRPr="00E750EB">
              <w:rPr>
                <w:rFonts w:ascii="Times New Roman" w:hAnsi="Times New Roman"/>
                <w:sz w:val="24"/>
                <w:szCs w:val="24"/>
              </w:rPr>
              <w:t xml:space="preserve">The Carbon Border Adjustment Mechanism will also be strengthened. Furthermore, </w:t>
            </w:r>
            <w:r w:rsidR="00463094" w:rsidRPr="00E750EB">
              <w:rPr>
                <w:rFonts w:ascii="Times New Roman" w:hAnsi="Times New Roman"/>
                <w:sz w:val="24"/>
                <w:szCs w:val="24"/>
              </w:rPr>
              <w:t>t</w:t>
            </w:r>
            <w:r w:rsidR="09717113" w:rsidRPr="00E750EB">
              <w:rPr>
                <w:rFonts w:ascii="Times New Roman" w:hAnsi="Times New Roman"/>
                <w:sz w:val="24"/>
                <w:szCs w:val="24"/>
              </w:rPr>
              <w:t>he Commission will continue</w:t>
            </w:r>
            <w:r w:rsidR="09717113" w:rsidRPr="00E750EB">
              <w:rPr>
                <w:rFonts w:ascii="Times New Roman" w:hAnsi="Times New Roman"/>
                <w:sz w:val="24"/>
                <w:szCs w:val="24"/>
                <w:lang w:val="en-IE"/>
              </w:rPr>
              <w:t xml:space="preserve"> forging new international partnerships on raw materials</w:t>
            </w:r>
            <w:r w:rsidR="005E1ADE" w:rsidRPr="00E750EB">
              <w:rPr>
                <w:rStyle w:val="FootnoteReference"/>
                <w:rFonts w:ascii="Times New Roman" w:hAnsi="Times New Roman"/>
                <w:sz w:val="24"/>
                <w:szCs w:val="24"/>
                <w:lang w:val="en-IE"/>
              </w:rPr>
              <w:footnoteReference w:id="21"/>
            </w:r>
            <w:r w:rsidR="09717113" w:rsidRPr="00E750EB">
              <w:rPr>
                <w:rFonts w:ascii="Times New Roman" w:hAnsi="Times New Roman"/>
                <w:sz w:val="24"/>
                <w:szCs w:val="24"/>
                <w:lang w:val="en-IE"/>
              </w:rPr>
              <w:t xml:space="preserve"> with strategic </w:t>
            </w:r>
            <w:r w:rsidR="78AE6971" w:rsidRPr="00E750EB">
              <w:rPr>
                <w:rFonts w:ascii="Times New Roman" w:hAnsi="Times New Roman"/>
                <w:sz w:val="24"/>
                <w:szCs w:val="24"/>
                <w:lang w:val="en-IE"/>
              </w:rPr>
              <w:t>partners</w:t>
            </w:r>
            <w:r w:rsidR="09717113" w:rsidRPr="00E750EB">
              <w:rPr>
                <w:rFonts w:ascii="Times New Roman" w:hAnsi="Times New Roman"/>
                <w:sz w:val="24"/>
                <w:szCs w:val="24"/>
                <w:lang w:val="en-IE"/>
              </w:rPr>
              <w:t xml:space="preserve"> and new trade agreements</w:t>
            </w:r>
            <w:r w:rsidR="005E1ADE" w:rsidRPr="00E750EB">
              <w:rPr>
                <w:rStyle w:val="FootnoteReference"/>
                <w:rFonts w:ascii="Times New Roman" w:hAnsi="Times New Roman"/>
                <w:sz w:val="24"/>
                <w:szCs w:val="24"/>
                <w:lang w:val="en-IE"/>
              </w:rPr>
              <w:footnoteReference w:id="22"/>
            </w:r>
            <w:r w:rsidR="09717113" w:rsidRPr="00E750EB">
              <w:rPr>
                <w:rFonts w:ascii="Times New Roman" w:hAnsi="Times New Roman"/>
                <w:sz w:val="24"/>
                <w:szCs w:val="24"/>
                <w:lang w:val="en-IE"/>
              </w:rPr>
              <w:t xml:space="preserve"> and fostering ongoing and new industrial alliances</w:t>
            </w:r>
            <w:r w:rsidR="005E1ADE" w:rsidRPr="00E750EB">
              <w:rPr>
                <w:rStyle w:val="FootnoteReference"/>
                <w:rFonts w:ascii="Times New Roman" w:hAnsi="Times New Roman"/>
                <w:sz w:val="24"/>
                <w:szCs w:val="24"/>
                <w:lang w:val="en-IE"/>
              </w:rPr>
              <w:footnoteReference w:id="23"/>
            </w:r>
            <w:r w:rsidR="09717113" w:rsidRPr="00E750EB">
              <w:rPr>
                <w:rFonts w:ascii="Times New Roman" w:hAnsi="Times New Roman"/>
                <w:sz w:val="24"/>
                <w:szCs w:val="24"/>
                <w:lang w:val="en-IE"/>
              </w:rPr>
              <w:t>, bringing together stakeholders from entire value chains (including public, private sector and civil society) to contribute to EU policy objectives.</w:t>
            </w:r>
          </w:p>
          <w:p w14:paraId="5403CFFD" w14:textId="7E44E689" w:rsidR="004E0DDF" w:rsidRPr="00E750EB" w:rsidRDefault="004E0DDF" w:rsidP="00994914">
            <w:pPr>
              <w:widowControl w:val="0"/>
              <w:spacing w:before="120" w:after="120"/>
              <w:jc w:val="both"/>
              <w:rPr>
                <w:rFonts w:ascii="Times New Roman" w:eastAsia="Times New Roman" w:hAnsi="Times New Roman"/>
                <w:sz w:val="24"/>
                <w:szCs w:val="24"/>
              </w:rPr>
            </w:pPr>
            <w:r w:rsidRPr="00E750EB">
              <w:rPr>
                <w:rFonts w:ascii="Times New Roman" w:eastAsia="Times New Roman" w:hAnsi="Times New Roman"/>
                <w:sz w:val="24"/>
                <w:szCs w:val="24"/>
              </w:rPr>
              <w:t xml:space="preserve">In March 2025, the Commission and the </w:t>
            </w:r>
            <w:r w:rsidR="007D70BF">
              <w:rPr>
                <w:rFonts w:ascii="Times New Roman" w:eastAsia="Times New Roman" w:hAnsi="Times New Roman"/>
                <w:sz w:val="24"/>
                <w:szCs w:val="24"/>
              </w:rPr>
              <w:t>EU</w:t>
            </w:r>
            <w:r w:rsidRPr="00E750EB">
              <w:rPr>
                <w:rFonts w:ascii="Times New Roman" w:eastAsia="Times New Roman" w:hAnsi="Times New Roman"/>
                <w:sz w:val="24"/>
                <w:szCs w:val="24"/>
              </w:rPr>
              <w:t xml:space="preserve"> cross-industry social partners signed a </w:t>
            </w:r>
            <w:r w:rsidRPr="00E750EB">
              <w:rPr>
                <w:rFonts w:ascii="Times New Roman" w:eastAsia="Times New Roman" w:hAnsi="Times New Roman"/>
                <w:b/>
                <w:bCs/>
                <w:sz w:val="24"/>
                <w:szCs w:val="24"/>
              </w:rPr>
              <w:t>new Pact for European Social Dialogue</w:t>
            </w:r>
            <w:r w:rsidRPr="00E750EB">
              <w:rPr>
                <w:rFonts w:ascii="Times New Roman" w:eastAsia="Times New Roman" w:hAnsi="Times New Roman"/>
                <w:sz w:val="24"/>
                <w:szCs w:val="24"/>
                <w:vertAlign w:val="superscript"/>
              </w:rPr>
              <w:footnoteReference w:id="24"/>
            </w:r>
            <w:r w:rsidRPr="00E750EB">
              <w:rPr>
                <w:rFonts w:ascii="Times New Roman" w:eastAsia="Times New Roman" w:hAnsi="Times New Roman"/>
                <w:sz w:val="24"/>
                <w:szCs w:val="24"/>
              </w:rPr>
              <w:t xml:space="preserve"> to strengthen the role of social partners in shaping labour market, employment and social policies. The Commission promotes social dialogue at EU level by </w:t>
            </w:r>
            <w:r w:rsidRPr="00E750EB">
              <w:rPr>
                <w:rFonts w:ascii="Times New Roman" w:eastAsia="Times New Roman" w:hAnsi="Times New Roman"/>
                <w:sz w:val="24"/>
                <w:szCs w:val="24"/>
              </w:rPr>
              <w:lastRenderedPageBreak/>
              <w:t>supporting the activities of the 44 Sectoral Social Dialogue Committees, which also discuss regularly among themselves or with the Commission the need to ensure resilient, competitive and sustainable value chains.</w:t>
            </w:r>
          </w:p>
          <w:p w14:paraId="30D14481" w14:textId="096011A8" w:rsidR="00264D1B" w:rsidRPr="00E750EB" w:rsidRDefault="00AB7376" w:rsidP="00994914">
            <w:pPr>
              <w:widowControl w:val="0"/>
              <w:spacing w:before="120" w:after="120"/>
              <w:jc w:val="both"/>
              <w:rPr>
                <w:rFonts w:ascii="Times New Roman" w:eastAsia="Times New Roman" w:hAnsi="Times New Roman"/>
                <w:sz w:val="24"/>
                <w:szCs w:val="24"/>
              </w:rPr>
            </w:pPr>
            <w:r w:rsidRPr="00E750EB">
              <w:rPr>
                <w:rFonts w:ascii="Times New Roman" w:eastAsia="Times New Roman" w:hAnsi="Times New Roman"/>
                <w:sz w:val="24"/>
                <w:szCs w:val="24"/>
              </w:rPr>
              <w:t>A</w:t>
            </w:r>
            <w:r w:rsidR="6855F87A" w:rsidRPr="00E750EB">
              <w:rPr>
                <w:rFonts w:ascii="Times New Roman" w:eastAsia="Times New Roman" w:hAnsi="Times New Roman"/>
                <w:sz w:val="24"/>
                <w:szCs w:val="24"/>
              </w:rPr>
              <w:t xml:space="preserve"> </w:t>
            </w:r>
            <w:r w:rsidR="6855F87A" w:rsidRPr="00E750EB">
              <w:rPr>
                <w:rFonts w:ascii="Times New Roman" w:eastAsia="Times New Roman" w:hAnsi="Times New Roman"/>
                <w:b/>
                <w:bCs/>
                <w:sz w:val="24"/>
                <w:szCs w:val="24"/>
              </w:rPr>
              <w:t>European Fair Transition Observatory</w:t>
            </w:r>
            <w:r w:rsidR="6855F87A" w:rsidRPr="00E750EB">
              <w:rPr>
                <w:rFonts w:ascii="Times New Roman" w:eastAsia="Times New Roman" w:hAnsi="Times New Roman"/>
                <w:sz w:val="24"/>
                <w:szCs w:val="24"/>
              </w:rPr>
              <w:t xml:space="preserve"> will be established to provide a platform for supporting and monitoring the implementation of fair transition measures at all levels, and </w:t>
            </w:r>
            <w:r w:rsidR="21191FFD" w:rsidRPr="00E750EB">
              <w:rPr>
                <w:rFonts w:ascii="Times New Roman" w:eastAsia="Times New Roman" w:hAnsi="Times New Roman"/>
                <w:sz w:val="24"/>
                <w:szCs w:val="24"/>
              </w:rPr>
              <w:t xml:space="preserve">foster </w:t>
            </w:r>
            <w:r w:rsidR="6855F87A" w:rsidRPr="00E750EB">
              <w:rPr>
                <w:rFonts w:ascii="Times New Roman" w:eastAsia="Times New Roman" w:hAnsi="Times New Roman"/>
                <w:sz w:val="24"/>
                <w:szCs w:val="24"/>
              </w:rPr>
              <w:t>a</w:t>
            </w:r>
            <w:r w:rsidR="0001690E">
              <w:rPr>
                <w:rFonts w:ascii="Times New Roman" w:eastAsia="Times New Roman" w:hAnsi="Times New Roman"/>
                <w:sz w:val="24"/>
                <w:szCs w:val="24"/>
              </w:rPr>
              <w:t> </w:t>
            </w:r>
            <w:r w:rsidR="6855F87A" w:rsidRPr="00E750EB">
              <w:rPr>
                <w:rFonts w:ascii="Times New Roman" w:eastAsia="Times New Roman" w:hAnsi="Times New Roman"/>
                <w:sz w:val="24"/>
                <w:szCs w:val="24"/>
              </w:rPr>
              <w:t>transparent dialogue with social partners, regional</w:t>
            </w:r>
            <w:r w:rsidR="4DCF2DD3" w:rsidRPr="00E750EB">
              <w:rPr>
                <w:rFonts w:ascii="Times New Roman" w:eastAsia="Times New Roman" w:hAnsi="Times New Roman"/>
                <w:sz w:val="24"/>
                <w:szCs w:val="24"/>
              </w:rPr>
              <w:t>,</w:t>
            </w:r>
            <w:r w:rsidR="6855F87A" w:rsidRPr="00E750EB">
              <w:rPr>
                <w:rFonts w:ascii="Times New Roman" w:eastAsia="Times New Roman" w:hAnsi="Times New Roman"/>
                <w:sz w:val="24"/>
                <w:szCs w:val="24"/>
              </w:rPr>
              <w:t xml:space="preserve"> local</w:t>
            </w:r>
            <w:r w:rsidR="5CB43137" w:rsidRPr="00E750EB">
              <w:rPr>
                <w:rFonts w:ascii="Times New Roman" w:eastAsia="Times New Roman" w:hAnsi="Times New Roman"/>
                <w:sz w:val="24"/>
                <w:szCs w:val="24"/>
              </w:rPr>
              <w:t>, and sectoral actors</w:t>
            </w:r>
            <w:r w:rsidR="6855F87A" w:rsidRPr="00E750EB">
              <w:rPr>
                <w:rFonts w:ascii="Times New Roman" w:eastAsia="Times New Roman" w:hAnsi="Times New Roman"/>
                <w:sz w:val="24"/>
                <w:szCs w:val="24"/>
              </w:rPr>
              <w:t>, civil society and other stakeholders on just transition aspects.</w:t>
            </w:r>
          </w:p>
        </w:tc>
      </w:tr>
    </w:tbl>
    <w:p w14:paraId="615AAAEE" w14:textId="77777777" w:rsidR="007D70BF" w:rsidRPr="002B7EEE" w:rsidRDefault="007D70BF" w:rsidP="009E3BDC">
      <w:pPr>
        <w:widowControl w:val="0"/>
        <w:spacing w:after="0" w:line="240" w:lineRule="auto"/>
        <w:rPr>
          <w:rFonts w:ascii="Times New Roman" w:hAnsi="Times New Roman"/>
          <w:b/>
          <w:strike/>
          <w:sz w:val="2"/>
          <w:szCs w:val="2"/>
          <w:u w:val="single"/>
        </w:rPr>
      </w:pPr>
    </w:p>
    <w:sectPr w:rsidR="007D70BF" w:rsidRPr="002B7EEE" w:rsidSect="003B0174">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EBC7" w14:textId="77777777" w:rsidR="00BF3E60" w:rsidRDefault="00BF3E60" w:rsidP="00FF63EA">
      <w:pPr>
        <w:spacing w:after="0" w:line="240" w:lineRule="auto"/>
      </w:pPr>
      <w:r>
        <w:separator/>
      </w:r>
    </w:p>
  </w:endnote>
  <w:endnote w:type="continuationSeparator" w:id="0">
    <w:p w14:paraId="6AE836BB" w14:textId="77777777" w:rsidR="00BF3E60" w:rsidRDefault="00BF3E60" w:rsidP="00FF63EA">
      <w:pPr>
        <w:spacing w:after="0" w:line="240" w:lineRule="auto"/>
      </w:pPr>
      <w:r>
        <w:continuationSeparator/>
      </w:r>
    </w:p>
  </w:endnote>
  <w:endnote w:type="continuationNotice" w:id="1">
    <w:p w14:paraId="3675CDD9" w14:textId="77777777" w:rsidR="00BF3E60" w:rsidRDefault="00BF3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2A01" w14:textId="77777777" w:rsidR="002079A1" w:rsidRDefault="0020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3D2A" w14:textId="77777777" w:rsidR="002079A1" w:rsidRPr="00D713D5" w:rsidRDefault="002079A1">
    <w:pPr>
      <w:pStyle w:val="Footer"/>
      <w:jc w:val="right"/>
      <w:rPr>
        <w:rFonts w:ascii="Times New Roman" w:hAnsi="Times New Roman"/>
      </w:rPr>
    </w:pPr>
    <w:r w:rsidRPr="00D713D5">
      <w:rPr>
        <w:rFonts w:ascii="Times New Roman" w:hAnsi="Times New Roman"/>
      </w:rPr>
      <w:fldChar w:fldCharType="begin"/>
    </w:r>
    <w:r w:rsidRPr="00D713D5">
      <w:rPr>
        <w:rFonts w:ascii="Times New Roman" w:hAnsi="Times New Roman"/>
      </w:rPr>
      <w:instrText xml:space="preserve"> PAGE   \* MERGEFORMAT </w:instrText>
    </w:r>
    <w:r w:rsidRPr="00D713D5">
      <w:rPr>
        <w:rFonts w:ascii="Times New Roman" w:hAnsi="Times New Roman"/>
      </w:rPr>
      <w:fldChar w:fldCharType="separate"/>
    </w:r>
    <w:r w:rsidRPr="00D713D5">
      <w:rPr>
        <w:rFonts w:ascii="Times New Roman" w:hAnsi="Times New Roman"/>
        <w:noProof/>
      </w:rPr>
      <w:t>2</w:t>
    </w:r>
    <w:r w:rsidRPr="00D713D5">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C674" w14:textId="77777777" w:rsidR="002079A1" w:rsidRDefault="0020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E3BD" w14:textId="77777777" w:rsidR="00BF3E60" w:rsidRDefault="00BF3E60" w:rsidP="00FF63EA">
      <w:pPr>
        <w:spacing w:after="0" w:line="240" w:lineRule="auto"/>
      </w:pPr>
      <w:r>
        <w:separator/>
      </w:r>
    </w:p>
  </w:footnote>
  <w:footnote w:type="continuationSeparator" w:id="0">
    <w:p w14:paraId="498067DB" w14:textId="77777777" w:rsidR="00BF3E60" w:rsidRDefault="00BF3E60" w:rsidP="00FF63EA">
      <w:pPr>
        <w:spacing w:after="0" w:line="240" w:lineRule="auto"/>
      </w:pPr>
      <w:r>
        <w:continuationSeparator/>
      </w:r>
    </w:p>
  </w:footnote>
  <w:footnote w:type="continuationNotice" w:id="1">
    <w:p w14:paraId="1C10E2D1" w14:textId="77777777" w:rsidR="00BF3E60" w:rsidRDefault="00BF3E60">
      <w:pPr>
        <w:spacing w:after="0" w:line="240" w:lineRule="auto"/>
      </w:pPr>
    </w:p>
  </w:footnote>
  <w:footnote w:id="2">
    <w:p w14:paraId="30F47A31" w14:textId="16D2C402" w:rsidR="007240BD" w:rsidRDefault="007240BD" w:rsidP="000B2A5F">
      <w:pPr>
        <w:pStyle w:val="FootnoteText"/>
        <w:jc w:val="both"/>
      </w:pPr>
      <w:r>
        <w:rPr>
          <w:rStyle w:val="FootnoteReference"/>
        </w:rPr>
        <w:footnoteRef/>
      </w:r>
      <w:r>
        <w:t xml:space="preserve"> </w:t>
      </w:r>
      <w:r w:rsidR="000B2A5F">
        <w:tab/>
      </w:r>
      <w:r w:rsidRPr="00200A6B">
        <w:rPr>
          <w:rFonts w:ascii="Times New Roman" w:hAnsi="Times New Roman"/>
        </w:rPr>
        <w:t>A number of legislative initiatives pre-dating or launched under the European Green Deal incorporate the value chain approach. These include the Corporate Sustainability Due Diligence Directive (CSDDD) and the Corporate Sustainability Reporting Directive, as well as sectoral legislation requiring companies to prevent or mitigate human rights abuses and adverse environmental impacts throughout their value chains. The CSDDD applies to very large companies active in the EU market and requires them to make appropriate preventing and corrective actions, also providing support to their SME business partners where necessary. Under the CSDDD, in-scope companies are also required to adopt a transition plan for climate change mitigation that covers scopes 1, 2, and 3 greenhouse gas emissions, reflecting a value chain approach.</w:t>
      </w:r>
    </w:p>
  </w:footnote>
  <w:footnote w:id="3">
    <w:p w14:paraId="756FD4B6" w14:textId="64105C55" w:rsidR="007240BD" w:rsidRPr="00460DDC" w:rsidRDefault="007240BD" w:rsidP="007240BD">
      <w:pPr>
        <w:pStyle w:val="FootnoteText"/>
        <w:widowControl w:val="0"/>
        <w:jc w:val="both"/>
        <w:rPr>
          <w:rFonts w:ascii="Times New Roman" w:hAnsi="Times New Roman"/>
        </w:rPr>
      </w:pPr>
      <w:r w:rsidRPr="00460DDC">
        <w:rPr>
          <w:rStyle w:val="FootnoteReference"/>
          <w:rFonts w:ascii="Times New Roman" w:hAnsi="Times New Roman"/>
        </w:rPr>
        <w:footnoteRef/>
      </w:r>
      <w:r w:rsidRPr="00460DDC">
        <w:rPr>
          <w:rFonts w:ascii="Times New Roman" w:hAnsi="Times New Roman"/>
        </w:rPr>
        <w:t xml:space="preserve"> </w:t>
      </w:r>
      <w:r w:rsidRPr="00460DDC">
        <w:rPr>
          <w:rFonts w:ascii="Times New Roman" w:hAnsi="Times New Roman"/>
        </w:rPr>
        <w:tab/>
        <w:t xml:space="preserve">See, e.g., </w:t>
      </w:r>
      <w:hyperlink r:id="rId1" w:history="1">
        <w:r w:rsidRPr="00030D0E">
          <w:rPr>
            <w:rStyle w:val="Hyperlink"/>
            <w:rFonts w:ascii="Times New Roman" w:hAnsi="Times New Roman"/>
          </w:rPr>
          <w:t>https://single-market-economy.ec.europa.eu/publications/scan-supply-chain-alert-notification-monitoring-system_en</w:t>
        </w:r>
      </w:hyperlink>
      <w:r>
        <w:rPr>
          <w:rFonts w:ascii="Times New Roman" w:hAnsi="Times New Roman"/>
        </w:rPr>
        <w:t xml:space="preserve"> </w:t>
      </w:r>
      <w:r w:rsidRPr="00460DDC">
        <w:rPr>
          <w:rFonts w:ascii="Times New Roman" w:hAnsi="Times New Roman"/>
        </w:rPr>
        <w:t>concerning supply chain monitoring.</w:t>
      </w:r>
    </w:p>
  </w:footnote>
  <w:footnote w:id="4">
    <w:p w14:paraId="7E7AA1AA" w14:textId="45920304" w:rsidR="00264D1B" w:rsidRPr="00E6704D" w:rsidRDefault="00264D1B" w:rsidP="00E6704D">
      <w:pPr>
        <w:pStyle w:val="FootnoteText"/>
        <w:widowControl w:val="0"/>
        <w:jc w:val="both"/>
        <w:rPr>
          <w:rFonts w:ascii="Times New Roman" w:hAnsi="Times New Roman"/>
          <w:lang w:val="fr-BE"/>
        </w:rPr>
      </w:pPr>
      <w:r w:rsidRPr="00460DDC">
        <w:rPr>
          <w:rStyle w:val="FootnoteReference"/>
          <w:rFonts w:ascii="Times New Roman" w:hAnsi="Times New Roman"/>
        </w:rPr>
        <w:footnoteRef/>
      </w:r>
      <w:r w:rsidRPr="00E6704D">
        <w:rPr>
          <w:rFonts w:ascii="Times New Roman" w:hAnsi="Times New Roman"/>
          <w:lang w:val="fr-BE"/>
        </w:rPr>
        <w:t xml:space="preserve"> </w:t>
      </w:r>
      <w:r w:rsidR="00460DDC" w:rsidRPr="00E6704D">
        <w:rPr>
          <w:rFonts w:ascii="Times New Roman" w:hAnsi="Times New Roman"/>
          <w:lang w:val="fr-BE"/>
        </w:rPr>
        <w:tab/>
      </w:r>
      <w:r w:rsidRPr="00E6704D">
        <w:rPr>
          <w:rFonts w:ascii="Times New Roman" w:hAnsi="Times New Roman"/>
          <w:lang w:val="fr-BE"/>
        </w:rPr>
        <w:t>COM(2025) 30</w:t>
      </w:r>
      <w:r w:rsidR="00460DDC" w:rsidRPr="00E6704D">
        <w:rPr>
          <w:rFonts w:ascii="Times New Roman" w:hAnsi="Times New Roman"/>
          <w:lang w:val="fr-BE"/>
        </w:rPr>
        <w:t xml:space="preserve"> (</w:t>
      </w:r>
      <w:hyperlink r:id="rId2" w:history="1">
        <w:r w:rsidR="00460DDC" w:rsidRPr="00E6704D">
          <w:rPr>
            <w:rStyle w:val="Hyperlink"/>
            <w:rFonts w:ascii="Times New Roman" w:hAnsi="Times New Roman"/>
            <w:lang w:val="fr-BE"/>
          </w:rPr>
          <w:t>EUR-Lex - 52025DC0030 - EN - EUR-Lex</w:t>
        </w:r>
      </w:hyperlink>
      <w:r w:rsidR="00460DDC" w:rsidRPr="00E6704D">
        <w:rPr>
          <w:rFonts w:ascii="Times New Roman" w:hAnsi="Times New Roman"/>
          <w:lang w:val="fr-BE"/>
        </w:rPr>
        <w:t>)</w:t>
      </w:r>
      <w:r w:rsidRPr="00E6704D">
        <w:rPr>
          <w:rFonts w:ascii="Times New Roman" w:hAnsi="Times New Roman"/>
          <w:lang w:val="fr-BE"/>
        </w:rPr>
        <w:t>.</w:t>
      </w:r>
    </w:p>
  </w:footnote>
  <w:footnote w:id="5">
    <w:p w14:paraId="10C70D1E" w14:textId="0D8A9802" w:rsidR="007918D3" w:rsidRPr="00E6704D" w:rsidRDefault="007918D3" w:rsidP="00E6704D">
      <w:pPr>
        <w:pStyle w:val="FootnoteText"/>
        <w:widowControl w:val="0"/>
        <w:jc w:val="both"/>
        <w:rPr>
          <w:rFonts w:ascii="Times New Roman" w:hAnsi="Times New Roman"/>
          <w:lang w:val="fr-BE"/>
        </w:rPr>
      </w:pPr>
      <w:r w:rsidRPr="00460DDC">
        <w:rPr>
          <w:rStyle w:val="FootnoteReference"/>
          <w:rFonts w:ascii="Times New Roman" w:hAnsi="Times New Roman"/>
        </w:rPr>
        <w:footnoteRef/>
      </w:r>
      <w:r w:rsidRPr="00E6704D">
        <w:rPr>
          <w:rFonts w:ascii="Times New Roman" w:hAnsi="Times New Roman"/>
          <w:lang w:val="fr-BE"/>
        </w:rPr>
        <w:t xml:space="preserve"> </w:t>
      </w:r>
      <w:r w:rsidR="00460DDC" w:rsidRPr="00E6704D">
        <w:rPr>
          <w:rFonts w:ascii="Times New Roman" w:hAnsi="Times New Roman"/>
          <w:lang w:val="fr-BE"/>
        </w:rPr>
        <w:tab/>
      </w:r>
      <w:r w:rsidRPr="00E6704D">
        <w:rPr>
          <w:rFonts w:ascii="Times New Roman" w:hAnsi="Times New Roman"/>
          <w:lang w:val="fr-BE"/>
        </w:rPr>
        <w:t>COM(2025) 85</w:t>
      </w:r>
      <w:r w:rsidR="00460DDC" w:rsidRPr="00E6704D">
        <w:rPr>
          <w:rFonts w:ascii="Times New Roman" w:hAnsi="Times New Roman"/>
          <w:lang w:val="fr-BE"/>
        </w:rPr>
        <w:t xml:space="preserve"> (</w:t>
      </w:r>
      <w:hyperlink r:id="rId3" w:history="1">
        <w:r w:rsidR="00460DDC" w:rsidRPr="00E6704D">
          <w:rPr>
            <w:rStyle w:val="Hyperlink"/>
            <w:rFonts w:ascii="Times New Roman" w:hAnsi="Times New Roman"/>
            <w:lang w:val="fr-BE"/>
          </w:rPr>
          <w:t>EUR-Lex - 52025DC0085 - EN - EUR-Lex</w:t>
        </w:r>
      </w:hyperlink>
      <w:r w:rsidR="00460DDC" w:rsidRPr="00E6704D">
        <w:rPr>
          <w:rFonts w:ascii="Times New Roman" w:hAnsi="Times New Roman"/>
          <w:lang w:val="fr-BE"/>
        </w:rPr>
        <w:t>)</w:t>
      </w:r>
      <w:r w:rsidRPr="00E6704D">
        <w:rPr>
          <w:rFonts w:ascii="Times New Roman" w:hAnsi="Times New Roman"/>
          <w:lang w:val="fr-BE"/>
        </w:rPr>
        <w:t>.</w:t>
      </w:r>
    </w:p>
  </w:footnote>
  <w:footnote w:id="6">
    <w:p w14:paraId="4D69DF20" w14:textId="18F63941" w:rsidR="00264D1B" w:rsidRPr="00E6704D" w:rsidRDefault="00264D1B" w:rsidP="00E6704D">
      <w:pPr>
        <w:pStyle w:val="FootnoteText"/>
        <w:widowControl w:val="0"/>
        <w:jc w:val="both"/>
        <w:rPr>
          <w:rFonts w:ascii="Times New Roman" w:hAnsi="Times New Roman"/>
          <w:lang w:val="fr-BE"/>
        </w:rPr>
      </w:pPr>
      <w:r w:rsidRPr="00460DDC">
        <w:rPr>
          <w:rStyle w:val="FootnoteReference"/>
          <w:rFonts w:ascii="Times New Roman" w:hAnsi="Times New Roman"/>
        </w:rPr>
        <w:footnoteRef/>
      </w:r>
      <w:r w:rsidRPr="00E6704D">
        <w:rPr>
          <w:rFonts w:ascii="Times New Roman" w:hAnsi="Times New Roman"/>
          <w:lang w:val="fr-BE"/>
        </w:rPr>
        <w:t xml:space="preserve"> </w:t>
      </w:r>
      <w:r w:rsidR="00460DDC" w:rsidRPr="00E6704D">
        <w:rPr>
          <w:rFonts w:ascii="Times New Roman" w:hAnsi="Times New Roman"/>
          <w:lang w:val="fr-BE"/>
        </w:rPr>
        <w:tab/>
      </w:r>
      <w:r w:rsidRPr="00E6704D">
        <w:rPr>
          <w:rFonts w:ascii="Times New Roman" w:hAnsi="Times New Roman"/>
          <w:lang w:val="fr-BE"/>
        </w:rPr>
        <w:t>COM(2025) 125 final</w:t>
      </w:r>
      <w:r w:rsidR="00460DDC" w:rsidRPr="00E6704D">
        <w:rPr>
          <w:rFonts w:ascii="Times New Roman" w:hAnsi="Times New Roman"/>
          <w:lang w:val="fr-BE"/>
        </w:rPr>
        <w:t xml:space="preserve"> (</w:t>
      </w:r>
      <w:hyperlink r:id="rId4" w:history="1">
        <w:r w:rsidR="00460DDC" w:rsidRPr="00E6704D">
          <w:rPr>
            <w:rStyle w:val="Hyperlink"/>
            <w:rFonts w:ascii="Times New Roman" w:hAnsi="Times New Roman"/>
            <w:lang w:val="fr-BE"/>
          </w:rPr>
          <w:t>EUR-Lex - 52025DC0125 - EN - EUR-Lex</w:t>
        </w:r>
      </w:hyperlink>
      <w:r w:rsidR="00460DDC" w:rsidRPr="00E6704D">
        <w:rPr>
          <w:rFonts w:ascii="Times New Roman" w:hAnsi="Times New Roman"/>
          <w:lang w:val="fr-BE"/>
        </w:rPr>
        <w:t>)</w:t>
      </w:r>
      <w:r w:rsidRPr="00E6704D">
        <w:rPr>
          <w:rFonts w:ascii="Times New Roman" w:hAnsi="Times New Roman"/>
          <w:lang w:val="fr-BE"/>
        </w:rPr>
        <w:t>.</w:t>
      </w:r>
    </w:p>
  </w:footnote>
  <w:footnote w:id="7">
    <w:p w14:paraId="71A1B041" w14:textId="314ADC2C" w:rsidR="00264D1B" w:rsidRPr="00E6704D" w:rsidRDefault="00264D1B" w:rsidP="00E6704D">
      <w:pPr>
        <w:pStyle w:val="FootnoteText"/>
        <w:widowControl w:val="0"/>
        <w:jc w:val="both"/>
        <w:rPr>
          <w:rFonts w:ascii="Times New Roman" w:hAnsi="Times New Roman"/>
          <w:lang w:val="fr-BE"/>
        </w:rPr>
      </w:pPr>
      <w:r w:rsidRPr="00460DDC">
        <w:rPr>
          <w:rStyle w:val="FootnoteReference"/>
          <w:rFonts w:ascii="Times New Roman" w:hAnsi="Times New Roman"/>
        </w:rPr>
        <w:footnoteRef/>
      </w:r>
      <w:r w:rsidRPr="00E6704D">
        <w:rPr>
          <w:rFonts w:ascii="Times New Roman" w:hAnsi="Times New Roman"/>
          <w:lang w:val="fr-BE"/>
        </w:rPr>
        <w:t xml:space="preserve"> </w:t>
      </w:r>
      <w:r w:rsidR="00460DDC" w:rsidRPr="00E6704D">
        <w:rPr>
          <w:rFonts w:ascii="Times New Roman" w:hAnsi="Times New Roman"/>
          <w:lang w:val="fr-BE"/>
        </w:rPr>
        <w:tab/>
      </w:r>
      <w:r w:rsidRPr="00E6704D">
        <w:rPr>
          <w:rFonts w:ascii="Times New Roman" w:hAnsi="Times New Roman"/>
          <w:lang w:val="fr-BE"/>
        </w:rPr>
        <w:t>COM(2025) 530 final</w:t>
      </w:r>
      <w:r w:rsidR="00460DDC" w:rsidRPr="00E6704D">
        <w:rPr>
          <w:rFonts w:ascii="Times New Roman" w:hAnsi="Times New Roman"/>
          <w:lang w:val="fr-BE"/>
        </w:rPr>
        <w:t xml:space="preserve"> (</w:t>
      </w:r>
      <w:hyperlink r:id="rId5" w:history="1">
        <w:r w:rsidR="00460DDC" w:rsidRPr="00E6704D">
          <w:rPr>
            <w:rStyle w:val="Hyperlink"/>
            <w:rFonts w:ascii="Times New Roman" w:hAnsi="Times New Roman"/>
            <w:lang w:val="fr-BE"/>
          </w:rPr>
          <w:t>EUR-Lex - 52025DC0530 - EN - EUR-Lex</w:t>
        </w:r>
      </w:hyperlink>
      <w:r w:rsidR="00460DDC" w:rsidRPr="00E6704D">
        <w:rPr>
          <w:rFonts w:ascii="Times New Roman" w:hAnsi="Times New Roman"/>
          <w:lang w:val="fr-BE"/>
        </w:rPr>
        <w:t>)</w:t>
      </w:r>
      <w:r w:rsidRPr="00E6704D">
        <w:rPr>
          <w:rFonts w:ascii="Times New Roman" w:hAnsi="Times New Roman"/>
          <w:lang w:val="fr-BE"/>
        </w:rPr>
        <w:t>.</w:t>
      </w:r>
    </w:p>
  </w:footnote>
  <w:footnote w:id="8">
    <w:p w14:paraId="6E31041D" w14:textId="4F6B043D" w:rsidR="00E86619" w:rsidRPr="00E6704D" w:rsidRDefault="00E86619" w:rsidP="00E6704D">
      <w:pPr>
        <w:pStyle w:val="FootnoteText"/>
        <w:widowControl w:val="0"/>
        <w:ind w:left="284" w:hanging="284"/>
        <w:jc w:val="both"/>
        <w:rPr>
          <w:rFonts w:ascii="Times New Roman" w:hAnsi="Times New Roman"/>
          <w:lang w:val="fr-BE"/>
        </w:rPr>
      </w:pPr>
      <w:r w:rsidRPr="00460DDC">
        <w:rPr>
          <w:rStyle w:val="FootnoteReference"/>
          <w:rFonts w:ascii="Times New Roman" w:hAnsi="Times New Roman"/>
        </w:rPr>
        <w:footnoteRef/>
      </w:r>
      <w:r w:rsidRPr="00E6704D">
        <w:rPr>
          <w:rFonts w:ascii="Times New Roman" w:hAnsi="Times New Roman"/>
          <w:lang w:val="fr-BE"/>
        </w:rPr>
        <w:t xml:space="preserve"> </w:t>
      </w:r>
      <w:r w:rsidR="00460DDC" w:rsidRPr="00E6704D">
        <w:rPr>
          <w:rFonts w:ascii="Times New Roman" w:hAnsi="Times New Roman"/>
          <w:lang w:val="fr-BE"/>
        </w:rPr>
        <w:tab/>
      </w:r>
      <w:r w:rsidR="00E6704D">
        <w:rPr>
          <w:rFonts w:ascii="Times New Roman" w:hAnsi="Times New Roman"/>
          <w:lang w:val="fr-BE"/>
        </w:rPr>
        <w:tab/>
      </w:r>
      <w:r w:rsidRPr="00E6704D">
        <w:rPr>
          <w:rFonts w:ascii="Times New Roman" w:hAnsi="Times New Roman"/>
          <w:lang w:val="fr-BE"/>
        </w:rPr>
        <w:t>COM(2025) 79</w:t>
      </w:r>
      <w:r w:rsidR="00460DDC" w:rsidRPr="00E6704D">
        <w:rPr>
          <w:rFonts w:ascii="Times New Roman" w:hAnsi="Times New Roman"/>
          <w:lang w:val="fr-BE"/>
        </w:rPr>
        <w:t xml:space="preserve"> final (</w:t>
      </w:r>
      <w:hyperlink r:id="rId6" w:history="1">
        <w:r w:rsidR="00460DDC" w:rsidRPr="00E6704D">
          <w:rPr>
            <w:rStyle w:val="Hyperlink"/>
            <w:rFonts w:ascii="Times New Roman" w:hAnsi="Times New Roman"/>
            <w:lang w:val="fr-BE"/>
          </w:rPr>
          <w:t>EUR-Lex - 52025DC0079 - EN - EUR-Lex</w:t>
        </w:r>
      </w:hyperlink>
      <w:r w:rsidR="00460DDC" w:rsidRPr="00E6704D">
        <w:rPr>
          <w:rFonts w:ascii="Times New Roman" w:hAnsi="Times New Roman"/>
          <w:lang w:val="fr-BE"/>
        </w:rPr>
        <w:t>)</w:t>
      </w:r>
      <w:r w:rsidRPr="00E6704D">
        <w:rPr>
          <w:rFonts w:ascii="Times New Roman" w:hAnsi="Times New Roman"/>
          <w:lang w:val="fr-BE"/>
        </w:rPr>
        <w:t>.</w:t>
      </w:r>
    </w:p>
  </w:footnote>
  <w:footnote w:id="9">
    <w:p w14:paraId="1297DCD2" w14:textId="37E2CA26" w:rsidR="00B61742" w:rsidRPr="00342F4A" w:rsidRDefault="00B61742" w:rsidP="00342F4A">
      <w:pPr>
        <w:pStyle w:val="FootnoteText"/>
        <w:jc w:val="both"/>
        <w:rPr>
          <w:rFonts w:ascii="Times New Roman" w:hAnsi="Times New Roman"/>
        </w:rPr>
      </w:pPr>
      <w:r w:rsidRPr="00342F4A">
        <w:rPr>
          <w:rStyle w:val="FootnoteReference"/>
          <w:rFonts w:ascii="Times New Roman" w:hAnsi="Times New Roman"/>
        </w:rPr>
        <w:footnoteRef/>
      </w:r>
      <w:r w:rsidRPr="00342F4A">
        <w:rPr>
          <w:rFonts w:ascii="Times New Roman" w:hAnsi="Times New Roman"/>
        </w:rPr>
        <w:t xml:space="preserve"> </w:t>
      </w:r>
      <w:r w:rsidR="00460DDC">
        <w:rPr>
          <w:rFonts w:ascii="Times New Roman" w:hAnsi="Times New Roman"/>
        </w:rPr>
        <w:tab/>
      </w:r>
      <w:r w:rsidRPr="00342F4A">
        <w:rPr>
          <w:rFonts w:ascii="Times New Roman" w:hAnsi="Times New Roman"/>
        </w:rPr>
        <w:t>Directive 2014/23/EU on the award of concession contracts</w:t>
      </w:r>
      <w:r w:rsidR="00CC7196">
        <w:rPr>
          <w:rFonts w:ascii="Times New Roman" w:hAnsi="Times New Roman"/>
        </w:rPr>
        <w:t xml:space="preserve"> (</w:t>
      </w:r>
      <w:r w:rsidR="00CC7196" w:rsidRPr="00CC7196">
        <w:rPr>
          <w:rFonts w:ascii="Times New Roman" w:hAnsi="Times New Roman"/>
        </w:rPr>
        <w:t> </w:t>
      </w:r>
      <w:hyperlink r:id="rId7" w:tooltip="Gives access to this document through its ELI URI." w:history="1">
        <w:r w:rsidR="00CC7196" w:rsidRPr="00CC7196">
          <w:rPr>
            <w:rStyle w:val="Hyperlink"/>
            <w:rFonts w:ascii="Times New Roman" w:hAnsi="Times New Roman"/>
          </w:rPr>
          <w:t>http://data.europa.eu/eli/dir/2014/23/oj</w:t>
        </w:r>
      </w:hyperlink>
      <w:r w:rsidR="00CC7196">
        <w:rPr>
          <w:rFonts w:ascii="Times New Roman" w:hAnsi="Times New Roman"/>
        </w:rPr>
        <w:t>)</w:t>
      </w:r>
      <w:r w:rsidRPr="00342F4A">
        <w:rPr>
          <w:rFonts w:ascii="Times New Roman" w:hAnsi="Times New Roman"/>
        </w:rPr>
        <w:t>, Directive 2014/24/EU on public procurement</w:t>
      </w:r>
      <w:r w:rsidR="00CC7196">
        <w:rPr>
          <w:rFonts w:ascii="Times New Roman" w:hAnsi="Times New Roman"/>
        </w:rPr>
        <w:t xml:space="preserve"> (</w:t>
      </w:r>
      <w:hyperlink r:id="rId8" w:tooltip="Gives access to this document through its ELI URI." w:history="1">
        <w:r w:rsidR="00CC7196" w:rsidRPr="00CC7196">
          <w:rPr>
            <w:rStyle w:val="Hyperlink"/>
            <w:rFonts w:ascii="Times New Roman" w:hAnsi="Times New Roman"/>
          </w:rPr>
          <w:t>http://data.europa.eu/eli/dir/2014/24/oj</w:t>
        </w:r>
      </w:hyperlink>
      <w:r w:rsidR="00CC7196">
        <w:rPr>
          <w:rFonts w:ascii="Times New Roman" w:hAnsi="Times New Roman"/>
        </w:rPr>
        <w:t>)</w:t>
      </w:r>
      <w:r w:rsidRPr="00342F4A">
        <w:rPr>
          <w:rFonts w:ascii="Times New Roman" w:hAnsi="Times New Roman"/>
        </w:rPr>
        <w:t>, and Directive 2014/25/EU on procurement by entities operating in the water, energy, transport and postal services sectors</w:t>
      </w:r>
      <w:r w:rsidR="00CC7196">
        <w:rPr>
          <w:rFonts w:ascii="Times New Roman" w:hAnsi="Times New Roman"/>
        </w:rPr>
        <w:t xml:space="preserve"> (</w:t>
      </w:r>
      <w:hyperlink r:id="rId9" w:tooltip="Gives access to this document through its ELI URI." w:history="1">
        <w:r w:rsidR="00CC7196" w:rsidRPr="00CC7196">
          <w:rPr>
            <w:rStyle w:val="Hyperlink"/>
            <w:rFonts w:ascii="Times New Roman" w:hAnsi="Times New Roman"/>
          </w:rPr>
          <w:t>http://data.europa.eu/eli/dir/2014/25/oj</w:t>
        </w:r>
      </w:hyperlink>
      <w:r w:rsidR="00CC7196">
        <w:rPr>
          <w:rFonts w:ascii="Times New Roman" w:hAnsi="Times New Roman"/>
        </w:rPr>
        <w:t>)</w:t>
      </w:r>
      <w:r w:rsidRPr="00342F4A">
        <w:rPr>
          <w:rFonts w:ascii="Times New Roman" w:hAnsi="Times New Roman"/>
        </w:rPr>
        <w:t>.</w:t>
      </w:r>
    </w:p>
  </w:footnote>
  <w:footnote w:id="10">
    <w:p w14:paraId="6FC21DD8" w14:textId="6F40E450" w:rsidR="00264D1B" w:rsidRPr="00E6704D" w:rsidRDefault="00264D1B" w:rsidP="00342F4A">
      <w:pPr>
        <w:pStyle w:val="FootnoteText"/>
        <w:jc w:val="both"/>
        <w:rPr>
          <w:rFonts w:ascii="Times New Roman" w:hAnsi="Times New Roman"/>
          <w:lang w:val="fr-BE"/>
        </w:rPr>
      </w:pPr>
      <w:r w:rsidRPr="00342F4A">
        <w:rPr>
          <w:rStyle w:val="FootnoteReference"/>
          <w:rFonts w:ascii="Times New Roman" w:hAnsi="Times New Roman"/>
        </w:rPr>
        <w:footnoteRef/>
      </w:r>
      <w:r w:rsidRPr="00E6704D">
        <w:rPr>
          <w:rFonts w:ascii="Times New Roman" w:hAnsi="Times New Roman"/>
          <w:lang w:val="fr-BE"/>
        </w:rPr>
        <w:t xml:space="preserve"> </w:t>
      </w:r>
      <w:r w:rsidR="00460DDC" w:rsidRPr="00E6704D">
        <w:rPr>
          <w:rFonts w:ascii="Times New Roman" w:hAnsi="Times New Roman"/>
          <w:lang w:val="fr-BE"/>
        </w:rPr>
        <w:tab/>
      </w:r>
      <w:r w:rsidRPr="00E6704D">
        <w:rPr>
          <w:rFonts w:ascii="Times New Roman" w:hAnsi="Times New Roman"/>
          <w:lang w:val="fr-BE"/>
        </w:rPr>
        <w:t>COM(2025) 500 final</w:t>
      </w:r>
      <w:r w:rsidR="00460DDC" w:rsidRPr="00E6704D">
        <w:rPr>
          <w:rFonts w:ascii="Times New Roman" w:hAnsi="Times New Roman"/>
          <w:lang w:val="fr-BE"/>
        </w:rPr>
        <w:t xml:space="preserve"> (</w:t>
      </w:r>
      <w:hyperlink r:id="rId10" w:history="1">
        <w:r w:rsidR="00460DDC" w:rsidRPr="00E6704D">
          <w:rPr>
            <w:rStyle w:val="Hyperlink"/>
            <w:rFonts w:ascii="Times New Roman" w:hAnsi="Times New Roman"/>
            <w:lang w:val="fr-BE"/>
          </w:rPr>
          <w:t>EUR-Lex - 52025DC0500 - EN - EUR-Lex</w:t>
        </w:r>
      </w:hyperlink>
      <w:r w:rsidR="00460DDC" w:rsidRPr="00E6704D">
        <w:rPr>
          <w:rFonts w:ascii="Times New Roman" w:hAnsi="Times New Roman"/>
          <w:lang w:val="fr-BE"/>
        </w:rPr>
        <w:t>)</w:t>
      </w:r>
      <w:r w:rsidRPr="00E6704D">
        <w:rPr>
          <w:rFonts w:ascii="Times New Roman" w:hAnsi="Times New Roman"/>
          <w:lang w:val="fr-BE"/>
        </w:rPr>
        <w:t xml:space="preserve">. </w:t>
      </w:r>
    </w:p>
  </w:footnote>
  <w:footnote w:id="11">
    <w:p w14:paraId="1E95B3A8" w14:textId="7A504521" w:rsidR="00EC7E1C" w:rsidRPr="00342F4A" w:rsidRDefault="00EC7E1C" w:rsidP="00342F4A">
      <w:pPr>
        <w:pStyle w:val="FootnoteText"/>
        <w:jc w:val="both"/>
        <w:rPr>
          <w:rFonts w:ascii="Times New Roman" w:hAnsi="Times New Roman"/>
        </w:rPr>
      </w:pPr>
      <w:r w:rsidRPr="00342F4A">
        <w:rPr>
          <w:rStyle w:val="FootnoteReference"/>
          <w:rFonts w:ascii="Times New Roman" w:hAnsi="Times New Roman"/>
        </w:rPr>
        <w:footnoteRef/>
      </w:r>
      <w:r w:rsidRPr="00342F4A">
        <w:rPr>
          <w:rFonts w:ascii="Times New Roman" w:hAnsi="Times New Roman"/>
        </w:rPr>
        <w:t xml:space="preserve"> </w:t>
      </w:r>
      <w:r w:rsidR="00460DDC">
        <w:rPr>
          <w:rFonts w:ascii="Times New Roman" w:hAnsi="Times New Roman"/>
        </w:rPr>
        <w:tab/>
      </w:r>
      <w:r w:rsidRPr="00342F4A">
        <w:rPr>
          <w:rFonts w:ascii="Times New Roman" w:hAnsi="Times New Roman"/>
        </w:rPr>
        <w:t>The Commission has identified a set of ‘Terrible Ten' Single Market barriers on the basis of comprehensive stakeholder consultations: complicated business establishment and operations; complex EU rules; lack of ownership by Member States; limited recognition of professional qualifications; lack of common standards; fragmentated rules on packaging; lack of product compliance; restrictive and diverging national services regulation; burdensome rules for posting of workers in low-risk sectors; unjustified territorial supply constraints causing high prices for consumers.</w:t>
      </w:r>
    </w:p>
  </w:footnote>
  <w:footnote w:id="12">
    <w:p w14:paraId="0746E8B2" w14:textId="2783D5D6" w:rsidR="00512B1B" w:rsidRPr="00E6704D" w:rsidRDefault="00512B1B" w:rsidP="00342F4A">
      <w:pPr>
        <w:pStyle w:val="FootnoteText"/>
        <w:jc w:val="both"/>
        <w:rPr>
          <w:rFonts w:ascii="Times New Roman" w:hAnsi="Times New Roman"/>
          <w:lang w:val="fr-BE"/>
        </w:rPr>
      </w:pPr>
      <w:r w:rsidRPr="00342F4A">
        <w:rPr>
          <w:rStyle w:val="FootnoteReference"/>
          <w:rFonts w:ascii="Times New Roman" w:hAnsi="Times New Roman"/>
        </w:rPr>
        <w:footnoteRef/>
      </w:r>
      <w:r w:rsidRPr="00E6704D">
        <w:rPr>
          <w:rFonts w:ascii="Times New Roman" w:hAnsi="Times New Roman"/>
          <w:lang w:val="fr-BE"/>
        </w:rPr>
        <w:t xml:space="preserve"> </w:t>
      </w:r>
      <w:r w:rsidR="00460DDC" w:rsidRPr="00E6704D">
        <w:rPr>
          <w:rFonts w:ascii="Times New Roman" w:hAnsi="Times New Roman"/>
          <w:lang w:val="fr-BE"/>
        </w:rPr>
        <w:tab/>
      </w:r>
      <w:r w:rsidRPr="00E6704D">
        <w:rPr>
          <w:rFonts w:ascii="Times New Roman" w:hAnsi="Times New Roman"/>
          <w:lang w:val="fr-BE"/>
        </w:rPr>
        <w:t>COM(2025) 270 final</w:t>
      </w:r>
      <w:r w:rsidR="00CC7196" w:rsidRPr="00E6704D">
        <w:rPr>
          <w:rFonts w:ascii="Times New Roman" w:hAnsi="Times New Roman"/>
          <w:lang w:val="fr-BE"/>
        </w:rPr>
        <w:t xml:space="preserve"> (</w:t>
      </w:r>
      <w:hyperlink r:id="rId11" w:history="1">
        <w:r w:rsidR="00CC7196" w:rsidRPr="00E6704D">
          <w:rPr>
            <w:rStyle w:val="Hyperlink"/>
            <w:rFonts w:ascii="Times New Roman" w:hAnsi="Times New Roman"/>
            <w:lang w:val="fr-BE"/>
          </w:rPr>
          <w:t>EUR-Lex - 52025DC0270 - EN - EUR-Lex</w:t>
        </w:r>
      </w:hyperlink>
      <w:r w:rsidR="00CC7196" w:rsidRPr="00E6704D">
        <w:rPr>
          <w:rFonts w:ascii="Times New Roman" w:hAnsi="Times New Roman"/>
          <w:lang w:val="fr-BE"/>
        </w:rPr>
        <w:t>)</w:t>
      </w:r>
      <w:r w:rsidRPr="00E6704D">
        <w:rPr>
          <w:rFonts w:ascii="Times New Roman" w:hAnsi="Times New Roman"/>
          <w:lang w:val="fr-BE"/>
        </w:rPr>
        <w:t>.</w:t>
      </w:r>
    </w:p>
  </w:footnote>
  <w:footnote w:id="13">
    <w:p w14:paraId="25E1B42C" w14:textId="3EAEB376" w:rsidR="00E23611" w:rsidRPr="00342F4A" w:rsidRDefault="00E23611" w:rsidP="00342F4A">
      <w:pPr>
        <w:pStyle w:val="FootnoteText"/>
        <w:jc w:val="both"/>
        <w:rPr>
          <w:rFonts w:ascii="Times New Roman" w:hAnsi="Times New Roman"/>
        </w:rPr>
      </w:pPr>
      <w:r w:rsidRPr="00342F4A">
        <w:rPr>
          <w:rStyle w:val="FootnoteReference"/>
          <w:rFonts w:ascii="Times New Roman" w:hAnsi="Times New Roman"/>
        </w:rPr>
        <w:footnoteRef/>
      </w:r>
      <w:r w:rsidRPr="00342F4A">
        <w:rPr>
          <w:rFonts w:ascii="Times New Roman" w:hAnsi="Times New Roman"/>
        </w:rPr>
        <w:t xml:space="preserve"> </w:t>
      </w:r>
      <w:r w:rsidR="00460DDC">
        <w:rPr>
          <w:rFonts w:ascii="Times New Roman" w:hAnsi="Times New Roman"/>
        </w:rPr>
        <w:tab/>
      </w:r>
      <w:r w:rsidRPr="00342F4A">
        <w:rPr>
          <w:rFonts w:ascii="Times New Roman" w:hAnsi="Times New Roman"/>
        </w:rPr>
        <w:t xml:space="preserve">The Internal Market Emergency and Resilience Act (IMERA) was adopted on 9 October 2024 and will come into effect on 29 May 2026. The IMERA package includes the main regulation (Regulation (EU) 2024/2747) and the Omnibus Regulation (Regulation (EU) 2024/2748) and Directive (Directive (EU) 2024/2749). More information: </w:t>
      </w:r>
      <w:hyperlink r:id="rId12" w:history="1">
        <w:r w:rsidRPr="00342F4A">
          <w:rPr>
            <w:rStyle w:val="Hyperlink"/>
            <w:rFonts w:ascii="Times New Roman" w:hAnsi="Times New Roman"/>
          </w:rPr>
          <w:t>https://single-market-economy.ec.europa.eu/single-market/internal-market-emergency-and-resilience-act_en</w:t>
        </w:r>
      </w:hyperlink>
    </w:p>
  </w:footnote>
  <w:footnote w:id="14">
    <w:p w14:paraId="20E5A660" w14:textId="5841FEF3" w:rsidR="004E2A1D" w:rsidRPr="00342F4A" w:rsidRDefault="004E2A1D" w:rsidP="00342F4A">
      <w:pPr>
        <w:pStyle w:val="FootnoteText"/>
        <w:jc w:val="both"/>
        <w:rPr>
          <w:rFonts w:ascii="Times New Roman" w:hAnsi="Times New Roman"/>
        </w:rPr>
      </w:pPr>
      <w:r w:rsidRPr="00342F4A">
        <w:rPr>
          <w:rStyle w:val="FootnoteReference"/>
          <w:rFonts w:ascii="Times New Roman" w:hAnsi="Times New Roman"/>
        </w:rPr>
        <w:footnoteRef/>
      </w:r>
      <w:r w:rsidRPr="00342F4A">
        <w:rPr>
          <w:rFonts w:ascii="Times New Roman" w:hAnsi="Times New Roman"/>
        </w:rPr>
        <w:t xml:space="preserve"> </w:t>
      </w:r>
      <w:r w:rsidR="00460DDC">
        <w:rPr>
          <w:rFonts w:ascii="Times New Roman" w:hAnsi="Times New Roman"/>
        </w:rPr>
        <w:tab/>
      </w:r>
      <w:r w:rsidRPr="00342F4A">
        <w:rPr>
          <w:rFonts w:ascii="Times New Roman" w:hAnsi="Times New Roman"/>
        </w:rPr>
        <w:t>C/2025/3602</w:t>
      </w:r>
      <w:r w:rsidR="00CC7196">
        <w:rPr>
          <w:rFonts w:ascii="Times New Roman" w:hAnsi="Times New Roman"/>
        </w:rPr>
        <w:t xml:space="preserve"> (</w:t>
      </w:r>
      <w:hyperlink r:id="rId13" w:history="1">
        <w:r w:rsidR="00CC7196" w:rsidRPr="00CC7196">
          <w:rPr>
            <w:rStyle w:val="Hyperlink"/>
            <w:rFonts w:ascii="Times New Roman" w:hAnsi="Times New Roman"/>
          </w:rPr>
          <w:t>COMMUNICATION FROM THE COMMISSION – Framework for State Aid measures to support the Clean Industrial Deal (Clean Industrial Deal State Aid Framework)</w:t>
        </w:r>
      </w:hyperlink>
      <w:r w:rsidR="00CC7196">
        <w:rPr>
          <w:rFonts w:ascii="Times New Roman" w:hAnsi="Times New Roman"/>
        </w:rPr>
        <w:t>.</w:t>
      </w:r>
    </w:p>
  </w:footnote>
  <w:footnote w:id="15">
    <w:p w14:paraId="2551BE47" w14:textId="06E772D6" w:rsidR="004C5AD7" w:rsidRPr="00342F4A" w:rsidRDefault="004C5AD7" w:rsidP="00342F4A">
      <w:pPr>
        <w:pStyle w:val="FootnoteText"/>
        <w:jc w:val="both"/>
        <w:rPr>
          <w:rFonts w:ascii="Times New Roman" w:hAnsi="Times New Roman"/>
        </w:rPr>
      </w:pPr>
      <w:r w:rsidRPr="00342F4A">
        <w:rPr>
          <w:rStyle w:val="FootnoteReference"/>
          <w:rFonts w:ascii="Times New Roman" w:hAnsi="Times New Roman"/>
        </w:rPr>
        <w:footnoteRef/>
      </w:r>
      <w:r w:rsidRPr="00342F4A">
        <w:rPr>
          <w:rFonts w:ascii="Times New Roman" w:hAnsi="Times New Roman"/>
        </w:rPr>
        <w:t xml:space="preserve"> </w:t>
      </w:r>
      <w:r w:rsidR="00460DDC">
        <w:rPr>
          <w:rFonts w:ascii="Times New Roman" w:hAnsi="Times New Roman"/>
        </w:rPr>
        <w:tab/>
      </w:r>
      <w:r w:rsidRPr="00342F4A">
        <w:rPr>
          <w:rFonts w:ascii="Times New Roman" w:hAnsi="Times New Roman"/>
        </w:rPr>
        <w:t>Regulation (EU) 2021/691 of the European Parliament and of the Council of 28 April 2021 on the European Globalisation Adjustment Fund for Displaced Workers (EGF) and repealing Regulation (EU) No 1309/2013</w:t>
      </w:r>
      <w:r w:rsidR="00106620">
        <w:rPr>
          <w:rFonts w:ascii="Times New Roman" w:hAnsi="Times New Roman"/>
        </w:rPr>
        <w:t xml:space="preserve"> (</w:t>
      </w:r>
      <w:hyperlink r:id="rId14" w:tooltip="Gives access to this document through its ELI URI." w:history="1">
        <w:r w:rsidR="00106620" w:rsidRPr="00106620">
          <w:rPr>
            <w:rStyle w:val="Hyperlink"/>
            <w:rFonts w:ascii="Times New Roman" w:hAnsi="Times New Roman"/>
          </w:rPr>
          <w:t>http://data.europa.eu/eli/reg/2021/691/oj</w:t>
        </w:r>
      </w:hyperlink>
      <w:r w:rsidR="00106620">
        <w:rPr>
          <w:rFonts w:ascii="Times New Roman" w:hAnsi="Times New Roman"/>
        </w:rPr>
        <w:t>)</w:t>
      </w:r>
      <w:r w:rsidRPr="00342F4A">
        <w:rPr>
          <w:rFonts w:ascii="Times New Roman" w:hAnsi="Times New Roman"/>
        </w:rPr>
        <w:t xml:space="preserve">. </w:t>
      </w:r>
    </w:p>
  </w:footnote>
  <w:footnote w:id="16">
    <w:p w14:paraId="408736E8" w14:textId="7E2AC2A4" w:rsidR="004C5AD7" w:rsidRPr="00342F4A" w:rsidRDefault="004C5AD7" w:rsidP="00342F4A">
      <w:pPr>
        <w:pStyle w:val="FootnoteText"/>
        <w:jc w:val="both"/>
        <w:rPr>
          <w:rFonts w:ascii="Times New Roman" w:hAnsi="Times New Roman"/>
        </w:rPr>
      </w:pPr>
      <w:r w:rsidRPr="00342F4A">
        <w:rPr>
          <w:rStyle w:val="FootnoteReference"/>
          <w:rFonts w:ascii="Times New Roman" w:hAnsi="Times New Roman"/>
        </w:rPr>
        <w:footnoteRef/>
      </w:r>
      <w:r w:rsidRPr="00342F4A">
        <w:rPr>
          <w:rFonts w:ascii="Times New Roman" w:hAnsi="Times New Roman"/>
        </w:rPr>
        <w:t xml:space="preserve"> </w:t>
      </w:r>
      <w:r w:rsidR="00460DDC">
        <w:rPr>
          <w:rFonts w:ascii="Times New Roman" w:hAnsi="Times New Roman"/>
        </w:rPr>
        <w:tab/>
      </w:r>
      <w:r w:rsidRPr="00342F4A">
        <w:rPr>
          <w:rFonts w:ascii="Times New Roman" w:hAnsi="Times New Roman"/>
        </w:rPr>
        <w:t>Regulation (EU) 2021/1057 of the European Parliament and of the Council of 24 June 2021 establishing the European Social Fund Plus (ESF+) and repealing Regulation (EU) No 1296/2013</w:t>
      </w:r>
      <w:r w:rsidR="00106620">
        <w:rPr>
          <w:rFonts w:ascii="Times New Roman" w:hAnsi="Times New Roman"/>
        </w:rPr>
        <w:t xml:space="preserve"> (</w:t>
      </w:r>
      <w:hyperlink r:id="rId15" w:tooltip="Gives access to this document through its ELI URI." w:history="1">
        <w:r w:rsidR="00106620" w:rsidRPr="00106620">
          <w:rPr>
            <w:rStyle w:val="Hyperlink"/>
            <w:rFonts w:ascii="Times New Roman" w:hAnsi="Times New Roman"/>
          </w:rPr>
          <w:t>http://data.europa.eu/eli/reg/2021/1057/oj</w:t>
        </w:r>
      </w:hyperlink>
      <w:r w:rsidR="00106620">
        <w:rPr>
          <w:rFonts w:ascii="Times New Roman" w:hAnsi="Times New Roman"/>
        </w:rPr>
        <w:t>)</w:t>
      </w:r>
      <w:r w:rsidRPr="00342F4A">
        <w:rPr>
          <w:rFonts w:ascii="Times New Roman" w:hAnsi="Times New Roman"/>
        </w:rPr>
        <w:t>.</w:t>
      </w:r>
    </w:p>
  </w:footnote>
  <w:footnote w:id="17">
    <w:p w14:paraId="110E740B" w14:textId="3C02C2C0" w:rsidR="004C5AD7" w:rsidRPr="00342F4A" w:rsidRDefault="004C5AD7" w:rsidP="00342F4A">
      <w:pPr>
        <w:pStyle w:val="FootnoteText"/>
        <w:jc w:val="both"/>
        <w:rPr>
          <w:rFonts w:ascii="Times New Roman" w:hAnsi="Times New Roman"/>
        </w:rPr>
      </w:pPr>
      <w:r w:rsidRPr="00342F4A">
        <w:rPr>
          <w:rStyle w:val="FootnoteReference"/>
          <w:rFonts w:ascii="Times New Roman" w:hAnsi="Times New Roman"/>
        </w:rPr>
        <w:footnoteRef/>
      </w:r>
      <w:r w:rsidRPr="00342F4A">
        <w:rPr>
          <w:rFonts w:ascii="Times New Roman" w:hAnsi="Times New Roman"/>
        </w:rPr>
        <w:t xml:space="preserve"> </w:t>
      </w:r>
      <w:r w:rsidR="00106620">
        <w:rPr>
          <w:rFonts w:ascii="Times New Roman" w:hAnsi="Times New Roman"/>
        </w:rPr>
        <w:tab/>
      </w:r>
      <w:r w:rsidRPr="00342F4A">
        <w:rPr>
          <w:rFonts w:ascii="Times New Roman" w:hAnsi="Times New Roman"/>
        </w:rPr>
        <w:t xml:space="preserve">Regulation (EU) 2021/523 of the European Parliament and of the Council of 24 March 2021 establishing the </w:t>
      </w:r>
      <w:proofErr w:type="spellStart"/>
      <w:r w:rsidRPr="00342F4A">
        <w:rPr>
          <w:rFonts w:ascii="Times New Roman" w:hAnsi="Times New Roman"/>
        </w:rPr>
        <w:t>InvestEU</w:t>
      </w:r>
      <w:proofErr w:type="spellEnd"/>
      <w:r w:rsidRPr="00342F4A">
        <w:rPr>
          <w:rFonts w:ascii="Times New Roman" w:hAnsi="Times New Roman"/>
        </w:rPr>
        <w:t xml:space="preserve"> Programme and amending Regulation (EU) 2015/1017</w:t>
      </w:r>
      <w:r w:rsidR="00106620">
        <w:rPr>
          <w:rFonts w:ascii="Times New Roman" w:hAnsi="Times New Roman"/>
        </w:rPr>
        <w:t xml:space="preserve"> (</w:t>
      </w:r>
      <w:hyperlink r:id="rId16" w:tooltip="Gives access to this document through its ELI URI." w:history="1">
        <w:r w:rsidR="00106620" w:rsidRPr="00106620">
          <w:rPr>
            <w:rStyle w:val="Hyperlink"/>
            <w:rFonts w:ascii="Times New Roman" w:hAnsi="Times New Roman"/>
          </w:rPr>
          <w:t>http://data.europa.eu/eli/reg/2021/523/oj</w:t>
        </w:r>
      </w:hyperlink>
      <w:r w:rsidR="00106620">
        <w:rPr>
          <w:rFonts w:ascii="Times New Roman" w:hAnsi="Times New Roman"/>
        </w:rPr>
        <w:t>)</w:t>
      </w:r>
      <w:r w:rsidRPr="00342F4A">
        <w:rPr>
          <w:rFonts w:ascii="Times New Roman" w:hAnsi="Times New Roman"/>
        </w:rPr>
        <w:t>.</w:t>
      </w:r>
    </w:p>
  </w:footnote>
  <w:footnote w:id="18">
    <w:p w14:paraId="14A855A2" w14:textId="16609B39" w:rsidR="007918D3" w:rsidRPr="002406D8" w:rsidRDefault="007918D3" w:rsidP="00E6704D">
      <w:pPr>
        <w:pStyle w:val="FootnoteText"/>
        <w:widowControl w:val="0"/>
        <w:jc w:val="both"/>
        <w:rPr>
          <w:rFonts w:ascii="Times New Roman" w:hAnsi="Times New Roman"/>
        </w:rPr>
      </w:pPr>
      <w:r w:rsidRPr="002406D8">
        <w:rPr>
          <w:rStyle w:val="FootnoteReference"/>
          <w:rFonts w:ascii="Times New Roman" w:hAnsi="Times New Roman"/>
        </w:rPr>
        <w:footnoteRef/>
      </w:r>
      <w:r w:rsidRPr="002406D8">
        <w:rPr>
          <w:rFonts w:ascii="Times New Roman" w:hAnsi="Times New Roman"/>
        </w:rPr>
        <w:t xml:space="preserve"> </w:t>
      </w:r>
      <w:r w:rsidR="002406D8">
        <w:rPr>
          <w:rFonts w:ascii="Times New Roman" w:hAnsi="Times New Roman"/>
        </w:rPr>
        <w:tab/>
      </w:r>
      <w:r w:rsidRPr="002406D8">
        <w:rPr>
          <w:rFonts w:ascii="Times New Roman" w:hAnsi="Times New Roman"/>
        </w:rPr>
        <w:t>Commission Delegated Regulation (EU) 2019/856 of 26 February 2019 supplementing Directive 2003/87/EC of the European Parliament and of the Council with regard to the operation of the Innovation Fund</w:t>
      </w:r>
      <w:r w:rsidR="00106620">
        <w:rPr>
          <w:rFonts w:ascii="Times New Roman" w:hAnsi="Times New Roman"/>
        </w:rPr>
        <w:t xml:space="preserve"> (</w:t>
      </w:r>
      <w:hyperlink r:id="rId17" w:tooltip="Gives access to this document through its ELI URI." w:history="1">
        <w:r w:rsidR="00106620" w:rsidRPr="00106620">
          <w:rPr>
            <w:rStyle w:val="Hyperlink"/>
            <w:rFonts w:ascii="Times New Roman" w:hAnsi="Times New Roman"/>
          </w:rPr>
          <w:t>http://data.europa.eu/eli/reg_del/2019/856/oj</w:t>
        </w:r>
      </w:hyperlink>
      <w:r w:rsidR="00106620">
        <w:rPr>
          <w:rFonts w:ascii="Times New Roman" w:hAnsi="Times New Roman"/>
        </w:rPr>
        <w:t>)</w:t>
      </w:r>
      <w:r w:rsidRPr="002406D8">
        <w:rPr>
          <w:rFonts w:ascii="Times New Roman" w:hAnsi="Times New Roman"/>
        </w:rPr>
        <w:t>.</w:t>
      </w:r>
    </w:p>
  </w:footnote>
  <w:footnote w:id="19">
    <w:p w14:paraId="665BE49E" w14:textId="49368B74" w:rsidR="00A41558" w:rsidRPr="00A974B1" w:rsidRDefault="00A41558" w:rsidP="00E6704D">
      <w:pPr>
        <w:pStyle w:val="FootnoteText"/>
        <w:widowControl w:val="0"/>
        <w:jc w:val="both"/>
        <w:rPr>
          <w:rFonts w:ascii="Times New Roman" w:hAnsi="Times New Roman"/>
          <w:lang w:val="en-IE"/>
        </w:rPr>
      </w:pPr>
      <w:r w:rsidRPr="002406D8">
        <w:rPr>
          <w:rStyle w:val="FootnoteReference"/>
          <w:rFonts w:ascii="Times New Roman" w:hAnsi="Times New Roman"/>
        </w:rPr>
        <w:footnoteRef/>
      </w:r>
      <w:r w:rsidRPr="00A974B1">
        <w:rPr>
          <w:rFonts w:ascii="Times New Roman" w:hAnsi="Times New Roman"/>
          <w:lang w:val="en-IE"/>
        </w:rPr>
        <w:t xml:space="preserve"> </w:t>
      </w:r>
      <w:r w:rsidR="002406D8" w:rsidRPr="00A974B1">
        <w:rPr>
          <w:rFonts w:ascii="Times New Roman" w:hAnsi="Times New Roman"/>
          <w:lang w:val="en-IE"/>
        </w:rPr>
        <w:tab/>
      </w:r>
      <w:r w:rsidRPr="00A974B1">
        <w:rPr>
          <w:rFonts w:ascii="Times New Roman" w:hAnsi="Times New Roman"/>
          <w:lang w:val="en-IE"/>
        </w:rPr>
        <w:t>COM(2025) 571 final</w:t>
      </w:r>
      <w:r w:rsidR="00106620" w:rsidRPr="00A974B1">
        <w:rPr>
          <w:rFonts w:ascii="Times New Roman" w:hAnsi="Times New Roman"/>
          <w:lang w:val="en-IE"/>
        </w:rPr>
        <w:t xml:space="preserve"> (</w:t>
      </w:r>
      <w:hyperlink r:id="rId18" w:history="1">
        <w:r w:rsidR="00106620" w:rsidRPr="00A974B1">
          <w:rPr>
            <w:rStyle w:val="Hyperlink"/>
            <w:rFonts w:ascii="Times New Roman" w:hAnsi="Times New Roman"/>
            <w:lang w:val="en-IE"/>
          </w:rPr>
          <w:t>EUR-Lex - 52025PC0571 - EN - EUR-Lex</w:t>
        </w:r>
      </w:hyperlink>
      <w:r w:rsidR="00106620" w:rsidRPr="00A974B1">
        <w:rPr>
          <w:rFonts w:ascii="Times New Roman" w:hAnsi="Times New Roman"/>
          <w:lang w:val="en-IE"/>
        </w:rPr>
        <w:t>)</w:t>
      </w:r>
      <w:r w:rsidR="00342F4A" w:rsidRPr="00A974B1">
        <w:rPr>
          <w:rFonts w:ascii="Times New Roman" w:hAnsi="Times New Roman"/>
          <w:lang w:val="en-IE"/>
        </w:rPr>
        <w:t>.</w:t>
      </w:r>
    </w:p>
  </w:footnote>
  <w:footnote w:id="20">
    <w:p w14:paraId="3EF63723" w14:textId="34D58BB1" w:rsidR="002D6680" w:rsidRPr="002406D8" w:rsidRDefault="002D6680" w:rsidP="00E6704D">
      <w:pPr>
        <w:pStyle w:val="FootnoteText"/>
        <w:widowControl w:val="0"/>
        <w:jc w:val="both"/>
        <w:rPr>
          <w:rFonts w:ascii="Times New Roman" w:hAnsi="Times New Roman"/>
        </w:rPr>
      </w:pPr>
      <w:r w:rsidRPr="002406D8">
        <w:rPr>
          <w:rStyle w:val="FootnoteReference"/>
          <w:rFonts w:ascii="Times New Roman" w:hAnsi="Times New Roman"/>
        </w:rPr>
        <w:footnoteRef/>
      </w:r>
      <w:r w:rsidRPr="002406D8">
        <w:rPr>
          <w:rFonts w:ascii="Times New Roman" w:hAnsi="Times New Roman"/>
        </w:rPr>
        <w:t xml:space="preserve"> </w:t>
      </w:r>
      <w:r w:rsidR="002406D8">
        <w:rPr>
          <w:rFonts w:ascii="Times New Roman" w:hAnsi="Times New Roman"/>
        </w:rPr>
        <w:tab/>
      </w:r>
      <w:r w:rsidRPr="002406D8">
        <w:rPr>
          <w:rFonts w:ascii="Times New Roman" w:hAnsi="Times New Roman"/>
        </w:rPr>
        <w:t>Regulation (EU) 2021/1058 of the European Parliament and of the Council of 24 June 2021 on the European Regional Development Fund and on the Cohesion Fund (OJ L 231, 30.6.2021, Article 13)</w:t>
      </w:r>
      <w:r w:rsidR="00106620">
        <w:rPr>
          <w:rFonts w:ascii="Times New Roman" w:hAnsi="Times New Roman"/>
        </w:rPr>
        <w:t xml:space="preserve"> (</w:t>
      </w:r>
      <w:hyperlink r:id="rId19" w:tooltip="Gives access to this document through its ELI URI." w:history="1">
        <w:r w:rsidR="00106620" w:rsidRPr="00106620">
          <w:rPr>
            <w:rStyle w:val="Hyperlink"/>
            <w:rFonts w:ascii="Times New Roman" w:hAnsi="Times New Roman"/>
          </w:rPr>
          <w:t>http://data.europa.eu/eli/reg/2021/1058/oj</w:t>
        </w:r>
      </w:hyperlink>
      <w:r w:rsidR="00106620">
        <w:rPr>
          <w:rFonts w:ascii="Times New Roman" w:hAnsi="Times New Roman"/>
        </w:rPr>
        <w:t>)</w:t>
      </w:r>
      <w:r w:rsidRPr="002406D8">
        <w:rPr>
          <w:rFonts w:ascii="Times New Roman" w:hAnsi="Times New Roman"/>
        </w:rPr>
        <w:t>.</w:t>
      </w:r>
    </w:p>
  </w:footnote>
  <w:footnote w:id="21">
    <w:p w14:paraId="6C14800B" w14:textId="537F25E5" w:rsidR="005E1ADE" w:rsidRPr="002406D8" w:rsidRDefault="005E1ADE" w:rsidP="00E6704D">
      <w:pPr>
        <w:widowControl w:val="0"/>
        <w:spacing w:after="0" w:line="240" w:lineRule="auto"/>
        <w:jc w:val="both"/>
        <w:rPr>
          <w:rFonts w:ascii="Times New Roman" w:hAnsi="Times New Roman"/>
        </w:rPr>
      </w:pPr>
      <w:r w:rsidRPr="002406D8">
        <w:rPr>
          <w:rStyle w:val="FootnoteReference"/>
          <w:rFonts w:ascii="Times New Roman" w:hAnsi="Times New Roman"/>
          <w:sz w:val="20"/>
          <w:szCs w:val="20"/>
        </w:rPr>
        <w:footnoteRef/>
      </w:r>
      <w:r w:rsidRPr="002406D8">
        <w:rPr>
          <w:rFonts w:ascii="Times New Roman" w:hAnsi="Times New Roman"/>
          <w:sz w:val="20"/>
          <w:szCs w:val="20"/>
        </w:rPr>
        <w:t xml:space="preserve"> </w:t>
      </w:r>
      <w:r w:rsidR="002406D8">
        <w:rPr>
          <w:rFonts w:ascii="Times New Roman" w:hAnsi="Times New Roman"/>
          <w:sz w:val="20"/>
          <w:szCs w:val="20"/>
        </w:rPr>
        <w:tab/>
      </w:r>
      <w:r w:rsidR="003000ED" w:rsidRPr="002406D8">
        <w:rPr>
          <w:rFonts w:ascii="Times New Roman" w:hAnsi="Times New Roman"/>
          <w:sz w:val="20"/>
          <w:szCs w:val="20"/>
        </w:rPr>
        <w:t xml:space="preserve">The Commission has already successfully concluded Memorandums of Understanding on raw materials with Serbia, Australia, Uzbekistan, Norway, Rwanda, Greenland, DRC, Zambia, Chile, Argentina, Namibia, Kazakhstan, Ukraine, Canada. More information at </w:t>
      </w:r>
      <w:hyperlink r:id="rId20" w:history="1">
        <w:r w:rsidR="00106620" w:rsidRPr="003460EA">
          <w:rPr>
            <w:rStyle w:val="Hyperlink"/>
            <w:rFonts w:ascii="Times New Roman" w:hAnsi="Times New Roman"/>
            <w:sz w:val="20"/>
            <w:szCs w:val="20"/>
            <w:lang w:val="en-IE"/>
          </w:rPr>
          <w:t>https://single-market-economy.ec.europa.eu/sectors/raw-materials/areas-specific-interest/raw-materials-diplomacy_en</w:t>
        </w:r>
      </w:hyperlink>
      <w:r w:rsidR="00D07240">
        <w:rPr>
          <w:rFonts w:ascii="Times New Roman" w:hAnsi="Times New Roman"/>
          <w:sz w:val="20"/>
          <w:szCs w:val="20"/>
          <w:lang w:val="en-IE"/>
        </w:rPr>
        <w:t>.</w:t>
      </w:r>
    </w:p>
  </w:footnote>
  <w:footnote w:id="22">
    <w:p w14:paraId="1D823687" w14:textId="065E1210" w:rsidR="005E1ADE" w:rsidRPr="002406D8" w:rsidRDefault="005E1ADE" w:rsidP="00E6704D">
      <w:pPr>
        <w:pStyle w:val="FootnoteText"/>
        <w:widowControl w:val="0"/>
        <w:jc w:val="both"/>
        <w:rPr>
          <w:rFonts w:ascii="Times New Roman" w:hAnsi="Times New Roman"/>
        </w:rPr>
      </w:pPr>
      <w:r w:rsidRPr="002406D8">
        <w:rPr>
          <w:rStyle w:val="FootnoteReference"/>
          <w:rFonts w:ascii="Times New Roman" w:hAnsi="Times New Roman"/>
        </w:rPr>
        <w:footnoteRef/>
      </w:r>
      <w:r w:rsidRPr="002406D8">
        <w:rPr>
          <w:rFonts w:ascii="Times New Roman" w:hAnsi="Times New Roman"/>
        </w:rPr>
        <w:t xml:space="preserve"> </w:t>
      </w:r>
      <w:r w:rsidR="002406D8">
        <w:rPr>
          <w:rFonts w:ascii="Times New Roman" w:hAnsi="Times New Roman"/>
        </w:rPr>
        <w:tab/>
      </w:r>
      <w:hyperlink r:id="rId21" w:history="1">
        <w:r w:rsidR="002406D8" w:rsidRPr="002406D8">
          <w:rPr>
            <w:rStyle w:val="Hyperlink"/>
            <w:rFonts w:ascii="Times New Roman" w:hAnsi="Times New Roman"/>
            <w:lang w:val="en-IE"/>
          </w:rPr>
          <w:t>https://policy.trade.ec.europa.eu/eu-trade-relationships-country-and-region/negotiations-and-agreements_en</w:t>
        </w:r>
      </w:hyperlink>
      <w:r w:rsidR="00D07240">
        <w:rPr>
          <w:rFonts w:ascii="Times New Roman" w:hAnsi="Times New Roman"/>
          <w:lang w:val="en-IE"/>
        </w:rPr>
        <w:t>.</w:t>
      </w:r>
    </w:p>
  </w:footnote>
  <w:footnote w:id="23">
    <w:p w14:paraId="3837FC25" w14:textId="0C59779D" w:rsidR="005E1ADE" w:rsidRPr="002406D8" w:rsidRDefault="005E1ADE" w:rsidP="00E6704D">
      <w:pPr>
        <w:pStyle w:val="FootnoteText"/>
        <w:widowControl w:val="0"/>
        <w:jc w:val="both"/>
        <w:rPr>
          <w:rFonts w:ascii="Times New Roman" w:hAnsi="Times New Roman"/>
        </w:rPr>
      </w:pPr>
      <w:r w:rsidRPr="002406D8">
        <w:rPr>
          <w:rStyle w:val="FootnoteReference"/>
          <w:rFonts w:ascii="Times New Roman" w:hAnsi="Times New Roman"/>
        </w:rPr>
        <w:footnoteRef/>
      </w:r>
      <w:r w:rsidRPr="002406D8">
        <w:rPr>
          <w:rFonts w:ascii="Times New Roman" w:hAnsi="Times New Roman"/>
        </w:rPr>
        <w:t xml:space="preserve"> </w:t>
      </w:r>
      <w:r w:rsidR="002406D8">
        <w:rPr>
          <w:rFonts w:ascii="Times New Roman" w:hAnsi="Times New Roman"/>
        </w:rPr>
        <w:tab/>
      </w:r>
      <w:hyperlink r:id="rId22" w:history="1">
        <w:r w:rsidR="002406D8" w:rsidRPr="002406D8">
          <w:rPr>
            <w:rStyle w:val="Hyperlink"/>
            <w:rFonts w:ascii="Times New Roman" w:hAnsi="Times New Roman"/>
            <w:lang w:val="en-IE"/>
          </w:rPr>
          <w:t>https://single-market-economy.ec.europa.eu/industry/industrial-alliances_en</w:t>
        </w:r>
      </w:hyperlink>
      <w:r w:rsidR="00D07240">
        <w:rPr>
          <w:rFonts w:ascii="Times New Roman" w:hAnsi="Times New Roman"/>
          <w:lang w:val="en-IE"/>
        </w:rPr>
        <w:t>.</w:t>
      </w:r>
    </w:p>
  </w:footnote>
  <w:footnote w:id="24">
    <w:p w14:paraId="67598263" w14:textId="5F4E744F" w:rsidR="004E0DDF" w:rsidRPr="00BF26F4" w:rsidRDefault="004E0DDF" w:rsidP="00E6704D">
      <w:pPr>
        <w:pStyle w:val="FootnoteText"/>
        <w:widowControl w:val="0"/>
        <w:jc w:val="both"/>
        <w:rPr>
          <w:rFonts w:ascii="Times New Roman" w:hAnsi="Times New Roman"/>
        </w:rPr>
      </w:pPr>
      <w:r w:rsidRPr="002406D8">
        <w:rPr>
          <w:rStyle w:val="FootnoteReference"/>
          <w:rFonts w:ascii="Times New Roman" w:hAnsi="Times New Roman"/>
        </w:rPr>
        <w:footnoteRef/>
      </w:r>
      <w:r w:rsidRPr="002406D8">
        <w:rPr>
          <w:rFonts w:ascii="Times New Roman" w:hAnsi="Times New Roman"/>
        </w:rPr>
        <w:t xml:space="preserve"> </w:t>
      </w:r>
      <w:r w:rsidR="002406D8">
        <w:rPr>
          <w:rFonts w:ascii="Times New Roman" w:hAnsi="Times New Roman"/>
        </w:rPr>
        <w:tab/>
      </w:r>
      <w:r w:rsidRPr="002406D8">
        <w:rPr>
          <w:rFonts w:ascii="Times New Roman" w:hAnsi="Times New Roman"/>
        </w:rPr>
        <w:t xml:space="preserve">Pact for European Social Dialogue, signed by the European Commission, ETUC, SGI Europe, </w:t>
      </w:r>
      <w:proofErr w:type="spellStart"/>
      <w:r w:rsidRPr="002406D8">
        <w:rPr>
          <w:rFonts w:ascii="Times New Roman" w:hAnsi="Times New Roman"/>
        </w:rPr>
        <w:t>BusinessEurope</w:t>
      </w:r>
      <w:proofErr w:type="spellEnd"/>
      <w:r w:rsidRPr="002406D8">
        <w:rPr>
          <w:rFonts w:ascii="Times New Roman" w:hAnsi="Times New Roman"/>
        </w:rPr>
        <w:t xml:space="preserve">, and </w:t>
      </w:r>
      <w:proofErr w:type="spellStart"/>
      <w:r w:rsidRPr="002406D8">
        <w:rPr>
          <w:rFonts w:ascii="Times New Roman" w:hAnsi="Times New Roman"/>
        </w:rPr>
        <w:t>SMEUnited</w:t>
      </w:r>
      <w:proofErr w:type="spellEnd"/>
      <w:r w:rsidRPr="002406D8">
        <w:rPr>
          <w:rFonts w:ascii="Times New Roman" w:hAnsi="Times New Roman"/>
        </w:rPr>
        <w:t xml:space="preserve">: </w:t>
      </w:r>
      <w:hyperlink r:id="rId23" w:history="1">
        <w:r w:rsidRPr="002406D8">
          <w:rPr>
            <w:rStyle w:val="Hyperlink"/>
            <w:rFonts w:ascii="Times New Roman" w:hAnsi="Times New Roman"/>
          </w:rPr>
          <w:t>https://employment-social-affairs.ec.europa.eu/news/commission-and-social-partners-sign-joint-pact-strengthen-social-dialogue-europe-2025-03-05_en</w:t>
        </w:r>
      </w:hyperlink>
      <w:r w:rsidR="00D07240">
        <w:t>.</w:t>
      </w:r>
      <w:r w:rsidRPr="00BF26F4">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438C" w14:textId="77777777" w:rsidR="002079A1" w:rsidRDefault="0020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9AB9" w14:textId="77777777" w:rsidR="002079A1" w:rsidRDefault="00207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C3C8" w14:textId="77777777" w:rsidR="002079A1" w:rsidRDefault="0020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3E9A"/>
    <w:multiLevelType w:val="multilevel"/>
    <w:tmpl w:val="9D6E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55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6B26"/>
    <w:rsid w:val="00007BB3"/>
    <w:rsid w:val="00012A37"/>
    <w:rsid w:val="0001690E"/>
    <w:rsid w:val="00022956"/>
    <w:rsid w:val="00024EAF"/>
    <w:rsid w:val="00030038"/>
    <w:rsid w:val="000437DE"/>
    <w:rsid w:val="000459C7"/>
    <w:rsid w:val="00046B15"/>
    <w:rsid w:val="00046E83"/>
    <w:rsid w:val="00050DC7"/>
    <w:rsid w:val="000518BD"/>
    <w:rsid w:val="0005305D"/>
    <w:rsid w:val="000642DB"/>
    <w:rsid w:val="000663CF"/>
    <w:rsid w:val="00067110"/>
    <w:rsid w:val="000746AF"/>
    <w:rsid w:val="00076109"/>
    <w:rsid w:val="00077C4F"/>
    <w:rsid w:val="000822D7"/>
    <w:rsid w:val="0008284F"/>
    <w:rsid w:val="00086153"/>
    <w:rsid w:val="000910DD"/>
    <w:rsid w:val="00095E64"/>
    <w:rsid w:val="000A0687"/>
    <w:rsid w:val="000A259B"/>
    <w:rsid w:val="000B2A5F"/>
    <w:rsid w:val="000D3400"/>
    <w:rsid w:val="000E42F1"/>
    <w:rsid w:val="000E44DA"/>
    <w:rsid w:val="000F0D44"/>
    <w:rsid w:val="000F29BD"/>
    <w:rsid w:val="000F3E29"/>
    <w:rsid w:val="000F5FD8"/>
    <w:rsid w:val="00100250"/>
    <w:rsid w:val="00101BEB"/>
    <w:rsid w:val="00101C01"/>
    <w:rsid w:val="00104200"/>
    <w:rsid w:val="00106620"/>
    <w:rsid w:val="001167C0"/>
    <w:rsid w:val="00117D1A"/>
    <w:rsid w:val="00122A9F"/>
    <w:rsid w:val="00134BBA"/>
    <w:rsid w:val="00135C2A"/>
    <w:rsid w:val="00137BBB"/>
    <w:rsid w:val="00140639"/>
    <w:rsid w:val="00162F0B"/>
    <w:rsid w:val="00170B22"/>
    <w:rsid w:val="00170D3B"/>
    <w:rsid w:val="00181DCD"/>
    <w:rsid w:val="00182A44"/>
    <w:rsid w:val="00183172"/>
    <w:rsid w:val="00196EEA"/>
    <w:rsid w:val="001971D9"/>
    <w:rsid w:val="001A51EC"/>
    <w:rsid w:val="001A52E2"/>
    <w:rsid w:val="001B0E0B"/>
    <w:rsid w:val="001B5BB2"/>
    <w:rsid w:val="001C4138"/>
    <w:rsid w:val="001D24E6"/>
    <w:rsid w:val="001E50EB"/>
    <w:rsid w:val="001F2EC6"/>
    <w:rsid w:val="001F5C56"/>
    <w:rsid w:val="001F65D0"/>
    <w:rsid w:val="001F7290"/>
    <w:rsid w:val="001F7ADC"/>
    <w:rsid w:val="00200A6B"/>
    <w:rsid w:val="002079A1"/>
    <w:rsid w:val="002129E1"/>
    <w:rsid w:val="00217E59"/>
    <w:rsid w:val="00217F3C"/>
    <w:rsid w:val="00223332"/>
    <w:rsid w:val="0023518E"/>
    <w:rsid w:val="00237E82"/>
    <w:rsid w:val="002406D8"/>
    <w:rsid w:val="00243007"/>
    <w:rsid w:val="00253BB2"/>
    <w:rsid w:val="00264D1B"/>
    <w:rsid w:val="00272AE0"/>
    <w:rsid w:val="002839CA"/>
    <w:rsid w:val="002865A1"/>
    <w:rsid w:val="00296CDB"/>
    <w:rsid w:val="0029786E"/>
    <w:rsid w:val="002A4AEB"/>
    <w:rsid w:val="002A6410"/>
    <w:rsid w:val="002B208D"/>
    <w:rsid w:val="002B7EEE"/>
    <w:rsid w:val="002D0881"/>
    <w:rsid w:val="002D41AC"/>
    <w:rsid w:val="002D6680"/>
    <w:rsid w:val="002D79E3"/>
    <w:rsid w:val="002E200E"/>
    <w:rsid w:val="002E528F"/>
    <w:rsid w:val="002F03FA"/>
    <w:rsid w:val="002F6859"/>
    <w:rsid w:val="003000ED"/>
    <w:rsid w:val="003004D2"/>
    <w:rsid w:val="003106EE"/>
    <w:rsid w:val="00312B69"/>
    <w:rsid w:val="00321F92"/>
    <w:rsid w:val="00332499"/>
    <w:rsid w:val="00332FD4"/>
    <w:rsid w:val="003349A3"/>
    <w:rsid w:val="00334D45"/>
    <w:rsid w:val="0033748E"/>
    <w:rsid w:val="003376B9"/>
    <w:rsid w:val="00342F4A"/>
    <w:rsid w:val="00360EA7"/>
    <w:rsid w:val="00362E62"/>
    <w:rsid w:val="0037214B"/>
    <w:rsid w:val="003742ED"/>
    <w:rsid w:val="00375AEB"/>
    <w:rsid w:val="00377967"/>
    <w:rsid w:val="00386143"/>
    <w:rsid w:val="003B0174"/>
    <w:rsid w:val="003B13C3"/>
    <w:rsid w:val="003B58DC"/>
    <w:rsid w:val="003C1EE6"/>
    <w:rsid w:val="003C4220"/>
    <w:rsid w:val="003C71DE"/>
    <w:rsid w:val="003E7D38"/>
    <w:rsid w:val="003F25F5"/>
    <w:rsid w:val="003F385F"/>
    <w:rsid w:val="003F686E"/>
    <w:rsid w:val="0040191B"/>
    <w:rsid w:val="00404798"/>
    <w:rsid w:val="00412696"/>
    <w:rsid w:val="004326B9"/>
    <w:rsid w:val="00442552"/>
    <w:rsid w:val="0044792A"/>
    <w:rsid w:val="0045024D"/>
    <w:rsid w:val="00455A1C"/>
    <w:rsid w:val="00455AE6"/>
    <w:rsid w:val="00460DDC"/>
    <w:rsid w:val="00463094"/>
    <w:rsid w:val="00464EAE"/>
    <w:rsid w:val="004662B0"/>
    <w:rsid w:val="004675B5"/>
    <w:rsid w:val="004770D6"/>
    <w:rsid w:val="00482524"/>
    <w:rsid w:val="00484C1D"/>
    <w:rsid w:val="004856B1"/>
    <w:rsid w:val="0049174A"/>
    <w:rsid w:val="0049246C"/>
    <w:rsid w:val="00495DC6"/>
    <w:rsid w:val="004A28BB"/>
    <w:rsid w:val="004A6624"/>
    <w:rsid w:val="004B03D4"/>
    <w:rsid w:val="004B3F47"/>
    <w:rsid w:val="004B7669"/>
    <w:rsid w:val="004C0506"/>
    <w:rsid w:val="004C5AD7"/>
    <w:rsid w:val="004C5C31"/>
    <w:rsid w:val="004E0DDF"/>
    <w:rsid w:val="004E137F"/>
    <w:rsid w:val="004E2A1D"/>
    <w:rsid w:val="004E3253"/>
    <w:rsid w:val="004E5DBB"/>
    <w:rsid w:val="004E741B"/>
    <w:rsid w:val="004F4060"/>
    <w:rsid w:val="004F6117"/>
    <w:rsid w:val="004F63F1"/>
    <w:rsid w:val="004F651E"/>
    <w:rsid w:val="004F6752"/>
    <w:rsid w:val="004F7F6C"/>
    <w:rsid w:val="00512A91"/>
    <w:rsid w:val="00512B1B"/>
    <w:rsid w:val="0052596B"/>
    <w:rsid w:val="00526DED"/>
    <w:rsid w:val="00547AC8"/>
    <w:rsid w:val="00551717"/>
    <w:rsid w:val="00554D8D"/>
    <w:rsid w:val="0055684A"/>
    <w:rsid w:val="00557CAF"/>
    <w:rsid w:val="00566F10"/>
    <w:rsid w:val="00567194"/>
    <w:rsid w:val="00573835"/>
    <w:rsid w:val="0057760A"/>
    <w:rsid w:val="00580EF6"/>
    <w:rsid w:val="00581306"/>
    <w:rsid w:val="00593670"/>
    <w:rsid w:val="00593ACF"/>
    <w:rsid w:val="005A1DA7"/>
    <w:rsid w:val="005A3CD2"/>
    <w:rsid w:val="005B403B"/>
    <w:rsid w:val="005C3105"/>
    <w:rsid w:val="005C469A"/>
    <w:rsid w:val="005D40A4"/>
    <w:rsid w:val="005D5333"/>
    <w:rsid w:val="005E0D5D"/>
    <w:rsid w:val="005E1ADE"/>
    <w:rsid w:val="005E2AE6"/>
    <w:rsid w:val="005E5CB6"/>
    <w:rsid w:val="005E6DD9"/>
    <w:rsid w:val="005F3C8D"/>
    <w:rsid w:val="005F5BB8"/>
    <w:rsid w:val="006019C7"/>
    <w:rsid w:val="00621318"/>
    <w:rsid w:val="006234D9"/>
    <w:rsid w:val="00625E6F"/>
    <w:rsid w:val="0063563E"/>
    <w:rsid w:val="00636FDE"/>
    <w:rsid w:val="0064224F"/>
    <w:rsid w:val="006425B3"/>
    <w:rsid w:val="00642F94"/>
    <w:rsid w:val="00647F5D"/>
    <w:rsid w:val="0065031B"/>
    <w:rsid w:val="006636AC"/>
    <w:rsid w:val="006855BF"/>
    <w:rsid w:val="00692C2F"/>
    <w:rsid w:val="00695797"/>
    <w:rsid w:val="0069636D"/>
    <w:rsid w:val="00696A5E"/>
    <w:rsid w:val="006B3B69"/>
    <w:rsid w:val="006B7573"/>
    <w:rsid w:val="006C2BEF"/>
    <w:rsid w:val="006C5787"/>
    <w:rsid w:val="006C6420"/>
    <w:rsid w:val="006D2C59"/>
    <w:rsid w:val="006D4910"/>
    <w:rsid w:val="006D4AAF"/>
    <w:rsid w:val="006D5682"/>
    <w:rsid w:val="006D5863"/>
    <w:rsid w:val="006F3D10"/>
    <w:rsid w:val="00703987"/>
    <w:rsid w:val="00706E2B"/>
    <w:rsid w:val="00707680"/>
    <w:rsid w:val="00710B82"/>
    <w:rsid w:val="007117AC"/>
    <w:rsid w:val="00712721"/>
    <w:rsid w:val="00715122"/>
    <w:rsid w:val="0071547E"/>
    <w:rsid w:val="00715E7D"/>
    <w:rsid w:val="007240BD"/>
    <w:rsid w:val="00730A46"/>
    <w:rsid w:val="00734613"/>
    <w:rsid w:val="00746CDD"/>
    <w:rsid w:val="00751910"/>
    <w:rsid w:val="00751E60"/>
    <w:rsid w:val="0075370D"/>
    <w:rsid w:val="007547B5"/>
    <w:rsid w:val="00760543"/>
    <w:rsid w:val="00765949"/>
    <w:rsid w:val="00766F77"/>
    <w:rsid w:val="00770C7A"/>
    <w:rsid w:val="00774A79"/>
    <w:rsid w:val="00783706"/>
    <w:rsid w:val="00785E09"/>
    <w:rsid w:val="007914BE"/>
    <w:rsid w:val="007918CC"/>
    <w:rsid w:val="007918D3"/>
    <w:rsid w:val="00795A9E"/>
    <w:rsid w:val="007A2686"/>
    <w:rsid w:val="007A606D"/>
    <w:rsid w:val="007A618F"/>
    <w:rsid w:val="007C1D34"/>
    <w:rsid w:val="007C2214"/>
    <w:rsid w:val="007C345F"/>
    <w:rsid w:val="007D70BF"/>
    <w:rsid w:val="007E0A71"/>
    <w:rsid w:val="007E2414"/>
    <w:rsid w:val="007E6926"/>
    <w:rsid w:val="007F1119"/>
    <w:rsid w:val="00800DF9"/>
    <w:rsid w:val="00802D6D"/>
    <w:rsid w:val="00807B48"/>
    <w:rsid w:val="00810133"/>
    <w:rsid w:val="00810DA7"/>
    <w:rsid w:val="00812FBE"/>
    <w:rsid w:val="008135CA"/>
    <w:rsid w:val="00813B27"/>
    <w:rsid w:val="00814D01"/>
    <w:rsid w:val="0081584F"/>
    <w:rsid w:val="0082022E"/>
    <w:rsid w:val="008221C1"/>
    <w:rsid w:val="0082322C"/>
    <w:rsid w:val="00825BF6"/>
    <w:rsid w:val="00831C3B"/>
    <w:rsid w:val="008336BE"/>
    <w:rsid w:val="00836FE5"/>
    <w:rsid w:val="008446DE"/>
    <w:rsid w:val="00850277"/>
    <w:rsid w:val="00850751"/>
    <w:rsid w:val="0085083D"/>
    <w:rsid w:val="0085086F"/>
    <w:rsid w:val="008562AF"/>
    <w:rsid w:val="0086025D"/>
    <w:rsid w:val="00862FDF"/>
    <w:rsid w:val="00863598"/>
    <w:rsid w:val="008703BF"/>
    <w:rsid w:val="00870826"/>
    <w:rsid w:val="00873937"/>
    <w:rsid w:val="008824DB"/>
    <w:rsid w:val="00882CE0"/>
    <w:rsid w:val="008925CE"/>
    <w:rsid w:val="00897653"/>
    <w:rsid w:val="008A7CEB"/>
    <w:rsid w:val="008B11B0"/>
    <w:rsid w:val="008B1928"/>
    <w:rsid w:val="008C4D41"/>
    <w:rsid w:val="008D7950"/>
    <w:rsid w:val="008E6609"/>
    <w:rsid w:val="008F2E80"/>
    <w:rsid w:val="00906489"/>
    <w:rsid w:val="0091062D"/>
    <w:rsid w:val="00911266"/>
    <w:rsid w:val="0091255F"/>
    <w:rsid w:val="009216BE"/>
    <w:rsid w:val="00927730"/>
    <w:rsid w:val="009439B2"/>
    <w:rsid w:val="00956159"/>
    <w:rsid w:val="00965B1E"/>
    <w:rsid w:val="0097597A"/>
    <w:rsid w:val="00981F45"/>
    <w:rsid w:val="00992CE7"/>
    <w:rsid w:val="00994914"/>
    <w:rsid w:val="00994D12"/>
    <w:rsid w:val="0099786D"/>
    <w:rsid w:val="009A388E"/>
    <w:rsid w:val="009A413B"/>
    <w:rsid w:val="009A6104"/>
    <w:rsid w:val="009B128B"/>
    <w:rsid w:val="009B28DE"/>
    <w:rsid w:val="009C41FE"/>
    <w:rsid w:val="009D0231"/>
    <w:rsid w:val="009D79E9"/>
    <w:rsid w:val="009E1643"/>
    <w:rsid w:val="009E3BDC"/>
    <w:rsid w:val="009E4DD1"/>
    <w:rsid w:val="00A059BC"/>
    <w:rsid w:val="00A10F92"/>
    <w:rsid w:val="00A15C4D"/>
    <w:rsid w:val="00A16F07"/>
    <w:rsid w:val="00A17B84"/>
    <w:rsid w:val="00A25E9F"/>
    <w:rsid w:val="00A31572"/>
    <w:rsid w:val="00A34CC7"/>
    <w:rsid w:val="00A36B44"/>
    <w:rsid w:val="00A41558"/>
    <w:rsid w:val="00A4539E"/>
    <w:rsid w:val="00A54177"/>
    <w:rsid w:val="00A55072"/>
    <w:rsid w:val="00A61E2B"/>
    <w:rsid w:val="00A62C7B"/>
    <w:rsid w:val="00A7709A"/>
    <w:rsid w:val="00A827EF"/>
    <w:rsid w:val="00A848A4"/>
    <w:rsid w:val="00A974B1"/>
    <w:rsid w:val="00AA520E"/>
    <w:rsid w:val="00AA53F0"/>
    <w:rsid w:val="00AA6423"/>
    <w:rsid w:val="00AB3EB5"/>
    <w:rsid w:val="00AB7376"/>
    <w:rsid w:val="00AD0B59"/>
    <w:rsid w:val="00AD2FB6"/>
    <w:rsid w:val="00AD3F2E"/>
    <w:rsid w:val="00AD5038"/>
    <w:rsid w:val="00AE1842"/>
    <w:rsid w:val="00AE334B"/>
    <w:rsid w:val="00AE3C7C"/>
    <w:rsid w:val="00AF1081"/>
    <w:rsid w:val="00AF31DB"/>
    <w:rsid w:val="00B105AF"/>
    <w:rsid w:val="00B11539"/>
    <w:rsid w:val="00B16551"/>
    <w:rsid w:val="00B2396F"/>
    <w:rsid w:val="00B28847"/>
    <w:rsid w:val="00B31306"/>
    <w:rsid w:val="00B341C3"/>
    <w:rsid w:val="00B42814"/>
    <w:rsid w:val="00B5138D"/>
    <w:rsid w:val="00B61742"/>
    <w:rsid w:val="00B638B6"/>
    <w:rsid w:val="00B674F1"/>
    <w:rsid w:val="00B76C5F"/>
    <w:rsid w:val="00B83708"/>
    <w:rsid w:val="00B83936"/>
    <w:rsid w:val="00B9763A"/>
    <w:rsid w:val="00BA65DF"/>
    <w:rsid w:val="00BA7755"/>
    <w:rsid w:val="00BB139B"/>
    <w:rsid w:val="00BC0BD5"/>
    <w:rsid w:val="00BC4A26"/>
    <w:rsid w:val="00BD15F1"/>
    <w:rsid w:val="00BD1E00"/>
    <w:rsid w:val="00BD6EB7"/>
    <w:rsid w:val="00BF26F4"/>
    <w:rsid w:val="00BF3E60"/>
    <w:rsid w:val="00C01AF3"/>
    <w:rsid w:val="00C0714D"/>
    <w:rsid w:val="00C24562"/>
    <w:rsid w:val="00C255DF"/>
    <w:rsid w:val="00C32828"/>
    <w:rsid w:val="00C344F9"/>
    <w:rsid w:val="00C34FA6"/>
    <w:rsid w:val="00C37702"/>
    <w:rsid w:val="00C42C0D"/>
    <w:rsid w:val="00C460E1"/>
    <w:rsid w:val="00C51062"/>
    <w:rsid w:val="00C5451C"/>
    <w:rsid w:val="00C54D27"/>
    <w:rsid w:val="00C573BA"/>
    <w:rsid w:val="00C66272"/>
    <w:rsid w:val="00C71523"/>
    <w:rsid w:val="00C76EEB"/>
    <w:rsid w:val="00C83DE8"/>
    <w:rsid w:val="00C84A0D"/>
    <w:rsid w:val="00C86E34"/>
    <w:rsid w:val="00C91424"/>
    <w:rsid w:val="00C92110"/>
    <w:rsid w:val="00CA0536"/>
    <w:rsid w:val="00CA63D1"/>
    <w:rsid w:val="00CB3C40"/>
    <w:rsid w:val="00CB6EB5"/>
    <w:rsid w:val="00CC48F7"/>
    <w:rsid w:val="00CC66C5"/>
    <w:rsid w:val="00CC7196"/>
    <w:rsid w:val="00CC725B"/>
    <w:rsid w:val="00CE151E"/>
    <w:rsid w:val="00CE2B09"/>
    <w:rsid w:val="00CF452F"/>
    <w:rsid w:val="00D00419"/>
    <w:rsid w:val="00D01E56"/>
    <w:rsid w:val="00D01F5A"/>
    <w:rsid w:val="00D05D38"/>
    <w:rsid w:val="00D07240"/>
    <w:rsid w:val="00D1716E"/>
    <w:rsid w:val="00D31BE8"/>
    <w:rsid w:val="00D44F76"/>
    <w:rsid w:val="00D556A2"/>
    <w:rsid w:val="00D6349F"/>
    <w:rsid w:val="00D63DB2"/>
    <w:rsid w:val="00D6472E"/>
    <w:rsid w:val="00D64E05"/>
    <w:rsid w:val="00D70327"/>
    <w:rsid w:val="00D713D5"/>
    <w:rsid w:val="00D80371"/>
    <w:rsid w:val="00D82F44"/>
    <w:rsid w:val="00D92FD3"/>
    <w:rsid w:val="00DA039E"/>
    <w:rsid w:val="00DA25D5"/>
    <w:rsid w:val="00DA3B6E"/>
    <w:rsid w:val="00DA43C2"/>
    <w:rsid w:val="00DA6742"/>
    <w:rsid w:val="00DB247D"/>
    <w:rsid w:val="00DB28D5"/>
    <w:rsid w:val="00DB7581"/>
    <w:rsid w:val="00DC4ACF"/>
    <w:rsid w:val="00DC51C3"/>
    <w:rsid w:val="00DC6969"/>
    <w:rsid w:val="00DC70C1"/>
    <w:rsid w:val="00DD14A7"/>
    <w:rsid w:val="00DD7800"/>
    <w:rsid w:val="00DE02AA"/>
    <w:rsid w:val="00E12A47"/>
    <w:rsid w:val="00E23611"/>
    <w:rsid w:val="00E35F37"/>
    <w:rsid w:val="00E43282"/>
    <w:rsid w:val="00E461DC"/>
    <w:rsid w:val="00E535FC"/>
    <w:rsid w:val="00E54823"/>
    <w:rsid w:val="00E54E59"/>
    <w:rsid w:val="00E55A06"/>
    <w:rsid w:val="00E565A3"/>
    <w:rsid w:val="00E57457"/>
    <w:rsid w:val="00E57ACE"/>
    <w:rsid w:val="00E655E8"/>
    <w:rsid w:val="00E65F59"/>
    <w:rsid w:val="00E6704D"/>
    <w:rsid w:val="00E710F4"/>
    <w:rsid w:val="00E750EB"/>
    <w:rsid w:val="00E80847"/>
    <w:rsid w:val="00E83C12"/>
    <w:rsid w:val="00E86619"/>
    <w:rsid w:val="00E8778F"/>
    <w:rsid w:val="00E904C8"/>
    <w:rsid w:val="00E95C66"/>
    <w:rsid w:val="00E97E1F"/>
    <w:rsid w:val="00EA1BBF"/>
    <w:rsid w:val="00EA5968"/>
    <w:rsid w:val="00EB29A9"/>
    <w:rsid w:val="00EB77D2"/>
    <w:rsid w:val="00EB7E1F"/>
    <w:rsid w:val="00EC7E1C"/>
    <w:rsid w:val="00ED0A74"/>
    <w:rsid w:val="00ED566D"/>
    <w:rsid w:val="00EE31CB"/>
    <w:rsid w:val="00EE4668"/>
    <w:rsid w:val="00EF2A2D"/>
    <w:rsid w:val="00EF7E88"/>
    <w:rsid w:val="00F00415"/>
    <w:rsid w:val="00F04A14"/>
    <w:rsid w:val="00F12EB8"/>
    <w:rsid w:val="00F14A77"/>
    <w:rsid w:val="00F232A6"/>
    <w:rsid w:val="00F31347"/>
    <w:rsid w:val="00F316C8"/>
    <w:rsid w:val="00F4000F"/>
    <w:rsid w:val="00F557B5"/>
    <w:rsid w:val="00F564D2"/>
    <w:rsid w:val="00F56932"/>
    <w:rsid w:val="00F56DDD"/>
    <w:rsid w:val="00F632DE"/>
    <w:rsid w:val="00F67EB5"/>
    <w:rsid w:val="00F735E4"/>
    <w:rsid w:val="00F741E4"/>
    <w:rsid w:val="00F854F0"/>
    <w:rsid w:val="00F858C2"/>
    <w:rsid w:val="00F86724"/>
    <w:rsid w:val="00F95508"/>
    <w:rsid w:val="00FA42DC"/>
    <w:rsid w:val="00FB676E"/>
    <w:rsid w:val="00FB7834"/>
    <w:rsid w:val="00FC7C1E"/>
    <w:rsid w:val="00FD4B6A"/>
    <w:rsid w:val="00FE19C3"/>
    <w:rsid w:val="00FF03A8"/>
    <w:rsid w:val="00FF63EA"/>
    <w:rsid w:val="00FF6401"/>
    <w:rsid w:val="04ACFFBE"/>
    <w:rsid w:val="0579B44B"/>
    <w:rsid w:val="05FF098B"/>
    <w:rsid w:val="0743EDDA"/>
    <w:rsid w:val="07673913"/>
    <w:rsid w:val="07D5A01A"/>
    <w:rsid w:val="09717113"/>
    <w:rsid w:val="0973572B"/>
    <w:rsid w:val="0BC91A11"/>
    <w:rsid w:val="0BE3D96B"/>
    <w:rsid w:val="0D0C7A0D"/>
    <w:rsid w:val="0DD0E053"/>
    <w:rsid w:val="0DEB8FDC"/>
    <w:rsid w:val="0FFE6CE0"/>
    <w:rsid w:val="105800AB"/>
    <w:rsid w:val="13B2BFEB"/>
    <w:rsid w:val="1441D83B"/>
    <w:rsid w:val="14668AA3"/>
    <w:rsid w:val="14BDDC08"/>
    <w:rsid w:val="15279E33"/>
    <w:rsid w:val="15443865"/>
    <w:rsid w:val="15B38651"/>
    <w:rsid w:val="15E56D5D"/>
    <w:rsid w:val="17570E44"/>
    <w:rsid w:val="175F2D0C"/>
    <w:rsid w:val="1784B8E1"/>
    <w:rsid w:val="17A7CDC5"/>
    <w:rsid w:val="17DB26B0"/>
    <w:rsid w:val="1890D30A"/>
    <w:rsid w:val="192E5D3A"/>
    <w:rsid w:val="19F3FBF5"/>
    <w:rsid w:val="1BE0427D"/>
    <w:rsid w:val="1CEDF062"/>
    <w:rsid w:val="1D3465E3"/>
    <w:rsid w:val="1D4B3550"/>
    <w:rsid w:val="1DDEC854"/>
    <w:rsid w:val="1E93B7FC"/>
    <w:rsid w:val="209D46BD"/>
    <w:rsid w:val="21191FFD"/>
    <w:rsid w:val="214E3A8C"/>
    <w:rsid w:val="224A4854"/>
    <w:rsid w:val="22588661"/>
    <w:rsid w:val="24594F49"/>
    <w:rsid w:val="269F24F1"/>
    <w:rsid w:val="27F3AE46"/>
    <w:rsid w:val="28B4B4D7"/>
    <w:rsid w:val="295CDB34"/>
    <w:rsid w:val="29B06A75"/>
    <w:rsid w:val="29E62193"/>
    <w:rsid w:val="2BA4EED1"/>
    <w:rsid w:val="2C76289C"/>
    <w:rsid w:val="2D74306D"/>
    <w:rsid w:val="2FDABC79"/>
    <w:rsid w:val="31C82B06"/>
    <w:rsid w:val="31E6DB06"/>
    <w:rsid w:val="326CD770"/>
    <w:rsid w:val="32A34906"/>
    <w:rsid w:val="3312F5AD"/>
    <w:rsid w:val="334BEA88"/>
    <w:rsid w:val="3369CAD7"/>
    <w:rsid w:val="35300C43"/>
    <w:rsid w:val="366E6132"/>
    <w:rsid w:val="38073AB7"/>
    <w:rsid w:val="386178FA"/>
    <w:rsid w:val="3971A032"/>
    <w:rsid w:val="39A5EE18"/>
    <w:rsid w:val="3AE01056"/>
    <w:rsid w:val="3B329F8B"/>
    <w:rsid w:val="3BC0F51C"/>
    <w:rsid w:val="3CAC29B0"/>
    <w:rsid w:val="3DEF2446"/>
    <w:rsid w:val="3DF29C1B"/>
    <w:rsid w:val="3E600820"/>
    <w:rsid w:val="3EEF279B"/>
    <w:rsid w:val="3FB9935E"/>
    <w:rsid w:val="3FDB34AE"/>
    <w:rsid w:val="3FFCBE6B"/>
    <w:rsid w:val="411BF313"/>
    <w:rsid w:val="41914216"/>
    <w:rsid w:val="426A449E"/>
    <w:rsid w:val="44F8FD16"/>
    <w:rsid w:val="4518A87F"/>
    <w:rsid w:val="4576329E"/>
    <w:rsid w:val="45A97626"/>
    <w:rsid w:val="463260FB"/>
    <w:rsid w:val="4657BF16"/>
    <w:rsid w:val="46F6076D"/>
    <w:rsid w:val="478F4715"/>
    <w:rsid w:val="47EB33D9"/>
    <w:rsid w:val="49415DA9"/>
    <w:rsid w:val="4A3BDD49"/>
    <w:rsid w:val="4A4B9EDF"/>
    <w:rsid w:val="4B5156CE"/>
    <w:rsid w:val="4CE91FF8"/>
    <w:rsid w:val="4CF4BABE"/>
    <w:rsid w:val="4DCF2DD3"/>
    <w:rsid w:val="509F53BD"/>
    <w:rsid w:val="50BDE0D6"/>
    <w:rsid w:val="524B14AB"/>
    <w:rsid w:val="526D0320"/>
    <w:rsid w:val="5433DC3C"/>
    <w:rsid w:val="543A6F01"/>
    <w:rsid w:val="545C34BA"/>
    <w:rsid w:val="546935C0"/>
    <w:rsid w:val="54C3F397"/>
    <w:rsid w:val="554F914B"/>
    <w:rsid w:val="55CF6A40"/>
    <w:rsid w:val="55F98404"/>
    <w:rsid w:val="56454DE2"/>
    <w:rsid w:val="56D424D4"/>
    <w:rsid w:val="57907C85"/>
    <w:rsid w:val="57BCC74C"/>
    <w:rsid w:val="57FCC906"/>
    <w:rsid w:val="5833F4C5"/>
    <w:rsid w:val="583BD68A"/>
    <w:rsid w:val="58EF3566"/>
    <w:rsid w:val="59782E23"/>
    <w:rsid w:val="59B18AA5"/>
    <w:rsid w:val="59F1978E"/>
    <w:rsid w:val="5A016958"/>
    <w:rsid w:val="5A494D32"/>
    <w:rsid w:val="5B543AB8"/>
    <w:rsid w:val="5C11EC2D"/>
    <w:rsid w:val="5CB43137"/>
    <w:rsid w:val="5D23A861"/>
    <w:rsid w:val="5D23DD7A"/>
    <w:rsid w:val="5DD68564"/>
    <w:rsid w:val="60F699B9"/>
    <w:rsid w:val="612F2E78"/>
    <w:rsid w:val="619CB139"/>
    <w:rsid w:val="61C26266"/>
    <w:rsid w:val="63666D98"/>
    <w:rsid w:val="651B0E3C"/>
    <w:rsid w:val="6595E42C"/>
    <w:rsid w:val="66262694"/>
    <w:rsid w:val="66959351"/>
    <w:rsid w:val="6714454C"/>
    <w:rsid w:val="67D24B41"/>
    <w:rsid w:val="6855F87A"/>
    <w:rsid w:val="68BF7A73"/>
    <w:rsid w:val="69030F36"/>
    <w:rsid w:val="6A5F6B45"/>
    <w:rsid w:val="6AC1E972"/>
    <w:rsid w:val="6AF5103E"/>
    <w:rsid w:val="6B3A87C6"/>
    <w:rsid w:val="6CB03B57"/>
    <w:rsid w:val="6E004CA2"/>
    <w:rsid w:val="6E24CE9D"/>
    <w:rsid w:val="6FC1C67D"/>
    <w:rsid w:val="6FC88045"/>
    <w:rsid w:val="6FF58968"/>
    <w:rsid w:val="70345C16"/>
    <w:rsid w:val="719533EC"/>
    <w:rsid w:val="71D47499"/>
    <w:rsid w:val="731856AC"/>
    <w:rsid w:val="731A0DFB"/>
    <w:rsid w:val="733CC364"/>
    <w:rsid w:val="73EEFBFD"/>
    <w:rsid w:val="78AE6971"/>
    <w:rsid w:val="78C434D0"/>
    <w:rsid w:val="7A51788C"/>
    <w:rsid w:val="7B6FB005"/>
    <w:rsid w:val="7D4A9292"/>
    <w:rsid w:val="7DC03EDF"/>
    <w:rsid w:val="7DFB48FA"/>
    <w:rsid w:val="7E336671"/>
    <w:rsid w:val="7EE0BF9C"/>
    <w:rsid w:val="7FF3A8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946675B3-8DFE-4E16-A2C1-45668931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234D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n,Schriftart: 9 pt,Schriftart: 10 pt,Schriftart: 8 pt,WB-Fußnotentext,Voetnoottekst Char,Voetnoottekst Char1,Voetnoottekst Char2 Char Char,Voetnoottekst Char Char1 Char Char,Voetnoottekst Char1 Char Char Char Char,ft,Fußnote"/>
    <w:basedOn w:val="Normal"/>
    <w:link w:val="FootnoteTextChar"/>
    <w:uiPriority w:val="99"/>
    <w:unhideWhenUsed/>
    <w:qFormat/>
    <w:rsid w:val="00264D1B"/>
    <w:pPr>
      <w:spacing w:after="0" w:line="240" w:lineRule="auto"/>
    </w:pPr>
    <w:rPr>
      <w:kern w:val="2"/>
      <w:sz w:val="20"/>
      <w:szCs w:val="20"/>
    </w:rPr>
  </w:style>
  <w:style w:type="character" w:customStyle="1" w:styleId="FootnoteTextChar">
    <w:name w:val="Footnote Text Char"/>
    <w:aliases w:val="Footnote text Char,fn Char,Schriftart: 9 pt Char,Schriftart: 10 pt Char,Schriftart: 8 pt Char,WB-Fußnotentext Char,Voetnoottekst Char Char,Voetnoottekst Char1 Char,Voetnoottekst Char2 Char Char Char,ft Char,Fußnote Char"/>
    <w:link w:val="FootnoteText"/>
    <w:uiPriority w:val="99"/>
    <w:rsid w:val="00264D1B"/>
    <w:rPr>
      <w:kern w:val="2"/>
      <w:lang w:eastAsia="en-US"/>
    </w:rPr>
  </w:style>
  <w:style w:type="character" w:styleId="FootnoteReference">
    <w:name w:val="footnote reference"/>
    <w:aliases w:val="Footnote Reference Superscript,BVI fnr,Footnote symbol,Footnote reference number,number,note TESI,SUPERS,EN Footnote Reference,Times 10 Point,Exposant 3 Point,Footnote Reference_LVL6,Footnote,Footnote number,Nota,Ref,styl,o,Char1,R,FR"/>
    <w:link w:val="-FNCharCharChar"/>
    <w:uiPriority w:val="99"/>
    <w:unhideWhenUsed/>
    <w:qFormat/>
    <w:rsid w:val="00264D1B"/>
    <w:rPr>
      <w:vertAlign w:val="superscript"/>
    </w:rPr>
  </w:style>
  <w:style w:type="character" w:styleId="Hyperlink">
    <w:name w:val="Hyperlink"/>
    <w:uiPriority w:val="99"/>
    <w:unhideWhenUsed/>
    <w:rsid w:val="00264D1B"/>
    <w:rPr>
      <w:color w:val="0000FF"/>
      <w:u w:val="single"/>
    </w:rPr>
  </w:style>
  <w:style w:type="paragraph" w:customStyle="1" w:styleId="-FNCharCharChar">
    <w:name w:val="Знак сноски-FN Char Char Char"/>
    <w:basedOn w:val="Normal"/>
    <w:link w:val="FootnoteReference"/>
    <w:uiPriority w:val="99"/>
    <w:rsid w:val="00264D1B"/>
    <w:pPr>
      <w:spacing w:after="160" w:line="240" w:lineRule="exact"/>
    </w:pPr>
    <w:rPr>
      <w:sz w:val="20"/>
      <w:szCs w:val="20"/>
      <w:vertAlign w:val="superscript"/>
      <w:lang w:eastAsia="en-GB"/>
    </w:rPr>
  </w:style>
  <w:style w:type="character" w:styleId="FollowedHyperlink">
    <w:name w:val="FollowedHyperlink"/>
    <w:uiPriority w:val="99"/>
    <w:semiHidden/>
    <w:unhideWhenUsed/>
    <w:rsid w:val="00264D1B"/>
    <w:rPr>
      <w:color w:val="954F72"/>
      <w:u w:val="single"/>
    </w:rPr>
  </w:style>
  <w:style w:type="paragraph" w:styleId="Revision">
    <w:name w:val="Revision"/>
    <w:hidden/>
    <w:uiPriority w:val="99"/>
    <w:semiHidden/>
    <w:rsid w:val="00196EEA"/>
    <w:rPr>
      <w:sz w:val="22"/>
      <w:szCs w:val="22"/>
      <w:lang w:eastAsia="en-US"/>
    </w:rPr>
  </w:style>
  <w:style w:type="paragraph" w:styleId="Header">
    <w:name w:val="header"/>
    <w:basedOn w:val="Normal"/>
    <w:link w:val="HeaderChar"/>
    <w:uiPriority w:val="99"/>
    <w:unhideWhenUsed/>
    <w:rsid w:val="00E8778F"/>
    <w:pPr>
      <w:tabs>
        <w:tab w:val="center" w:pos="4513"/>
        <w:tab w:val="right" w:pos="9026"/>
      </w:tabs>
    </w:pPr>
  </w:style>
  <w:style w:type="character" w:customStyle="1" w:styleId="HeaderChar">
    <w:name w:val="Header Char"/>
    <w:link w:val="Header"/>
    <w:uiPriority w:val="99"/>
    <w:rsid w:val="00E8778F"/>
    <w:rPr>
      <w:sz w:val="22"/>
      <w:szCs w:val="22"/>
      <w:lang w:val="en-GB" w:eastAsia="en-US"/>
    </w:rPr>
  </w:style>
  <w:style w:type="paragraph" w:styleId="Footer">
    <w:name w:val="footer"/>
    <w:basedOn w:val="Normal"/>
    <w:link w:val="FooterChar"/>
    <w:uiPriority w:val="99"/>
    <w:unhideWhenUsed/>
    <w:rsid w:val="00E8778F"/>
    <w:pPr>
      <w:tabs>
        <w:tab w:val="center" w:pos="4513"/>
        <w:tab w:val="right" w:pos="9026"/>
      </w:tabs>
    </w:pPr>
  </w:style>
  <w:style w:type="character" w:customStyle="1" w:styleId="FooterChar">
    <w:name w:val="Footer Char"/>
    <w:link w:val="Footer"/>
    <w:uiPriority w:val="99"/>
    <w:rsid w:val="00E8778F"/>
    <w:rPr>
      <w:sz w:val="22"/>
      <w:szCs w:val="22"/>
      <w:lang w:val="en-GB" w:eastAsia="en-US"/>
    </w:rPr>
  </w:style>
  <w:style w:type="character" w:styleId="CommentReference">
    <w:name w:val="annotation reference"/>
    <w:uiPriority w:val="99"/>
    <w:semiHidden/>
    <w:unhideWhenUsed/>
    <w:rsid w:val="00FE19C3"/>
    <w:rPr>
      <w:sz w:val="16"/>
      <w:szCs w:val="16"/>
    </w:rPr>
  </w:style>
  <w:style w:type="paragraph" w:styleId="CommentText">
    <w:name w:val="annotation text"/>
    <w:basedOn w:val="Normal"/>
    <w:link w:val="CommentTextChar"/>
    <w:uiPriority w:val="99"/>
    <w:unhideWhenUsed/>
    <w:rsid w:val="00FE19C3"/>
    <w:rPr>
      <w:sz w:val="20"/>
      <w:szCs w:val="20"/>
    </w:rPr>
  </w:style>
  <w:style w:type="character" w:customStyle="1" w:styleId="CommentTextChar">
    <w:name w:val="Comment Text Char"/>
    <w:link w:val="CommentText"/>
    <w:uiPriority w:val="99"/>
    <w:rsid w:val="00FE19C3"/>
    <w:rPr>
      <w:lang w:val="en-GB" w:eastAsia="en-US"/>
    </w:rPr>
  </w:style>
  <w:style w:type="paragraph" w:styleId="CommentSubject">
    <w:name w:val="annotation subject"/>
    <w:basedOn w:val="CommentText"/>
    <w:next w:val="CommentText"/>
    <w:link w:val="CommentSubjectChar"/>
    <w:uiPriority w:val="99"/>
    <w:semiHidden/>
    <w:unhideWhenUsed/>
    <w:rsid w:val="00FE19C3"/>
    <w:rPr>
      <w:b/>
      <w:bCs/>
    </w:rPr>
  </w:style>
  <w:style w:type="character" w:customStyle="1" w:styleId="CommentSubjectChar">
    <w:name w:val="Comment Subject Char"/>
    <w:link w:val="CommentSubject"/>
    <w:uiPriority w:val="99"/>
    <w:semiHidden/>
    <w:rsid w:val="00FE19C3"/>
    <w:rPr>
      <w:b/>
      <w:bCs/>
      <w:lang w:val="en-GB" w:eastAsia="en-US"/>
    </w:rPr>
  </w:style>
  <w:style w:type="character" w:styleId="UnresolvedMention">
    <w:name w:val="Unresolved Mention"/>
    <w:uiPriority w:val="99"/>
    <w:semiHidden/>
    <w:unhideWhenUsed/>
    <w:rsid w:val="006B7573"/>
    <w:rPr>
      <w:color w:val="605E5C"/>
      <w:shd w:val="clear" w:color="auto" w:fill="E1DFDD"/>
    </w:rPr>
  </w:style>
  <w:style w:type="character" w:customStyle="1" w:styleId="Heading1Char">
    <w:name w:val="Heading 1 Char"/>
    <w:basedOn w:val="DefaultParagraphFont"/>
    <w:link w:val="Heading1"/>
    <w:uiPriority w:val="9"/>
    <w:rsid w:val="006234D9"/>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1514">
      <w:bodyDiv w:val="1"/>
      <w:marLeft w:val="0"/>
      <w:marRight w:val="0"/>
      <w:marTop w:val="0"/>
      <w:marBottom w:val="0"/>
      <w:divBdr>
        <w:top w:val="none" w:sz="0" w:space="0" w:color="auto"/>
        <w:left w:val="none" w:sz="0" w:space="0" w:color="auto"/>
        <w:bottom w:val="none" w:sz="0" w:space="0" w:color="auto"/>
        <w:right w:val="none" w:sz="0" w:space="0" w:color="auto"/>
      </w:divBdr>
    </w:div>
    <w:div w:id="1080103509">
      <w:bodyDiv w:val="1"/>
      <w:marLeft w:val="0"/>
      <w:marRight w:val="0"/>
      <w:marTop w:val="0"/>
      <w:marBottom w:val="0"/>
      <w:divBdr>
        <w:top w:val="none" w:sz="0" w:space="0" w:color="auto"/>
        <w:left w:val="none" w:sz="0" w:space="0" w:color="auto"/>
        <w:bottom w:val="none" w:sz="0" w:space="0" w:color="auto"/>
        <w:right w:val="none" w:sz="0" w:space="0" w:color="auto"/>
      </w:divBdr>
    </w:div>
    <w:div w:id="1113283225">
      <w:bodyDiv w:val="1"/>
      <w:marLeft w:val="0"/>
      <w:marRight w:val="0"/>
      <w:marTop w:val="0"/>
      <w:marBottom w:val="0"/>
      <w:divBdr>
        <w:top w:val="none" w:sz="0" w:space="0" w:color="auto"/>
        <w:left w:val="none" w:sz="0" w:space="0" w:color="auto"/>
        <w:bottom w:val="none" w:sz="0" w:space="0" w:color="auto"/>
        <w:right w:val="none" w:sz="0" w:space="0" w:color="auto"/>
      </w:divBdr>
    </w:div>
    <w:div w:id="1400443364">
      <w:bodyDiv w:val="1"/>
      <w:marLeft w:val="0"/>
      <w:marRight w:val="0"/>
      <w:marTop w:val="0"/>
      <w:marBottom w:val="0"/>
      <w:divBdr>
        <w:top w:val="none" w:sz="0" w:space="0" w:color="auto"/>
        <w:left w:val="none" w:sz="0" w:space="0" w:color="auto"/>
        <w:bottom w:val="none" w:sz="0" w:space="0" w:color="auto"/>
        <w:right w:val="none" w:sz="0" w:space="0" w:color="auto"/>
      </w:divBdr>
    </w:div>
    <w:div w:id="1454786653">
      <w:bodyDiv w:val="1"/>
      <w:marLeft w:val="0"/>
      <w:marRight w:val="0"/>
      <w:marTop w:val="0"/>
      <w:marBottom w:val="0"/>
      <w:divBdr>
        <w:top w:val="none" w:sz="0" w:space="0" w:color="auto"/>
        <w:left w:val="none" w:sz="0" w:space="0" w:color="auto"/>
        <w:bottom w:val="none" w:sz="0" w:space="0" w:color="auto"/>
        <w:right w:val="none" w:sz="0" w:space="0" w:color="auto"/>
      </w:divBdr>
    </w:div>
    <w:div w:id="190397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14/24/oj" TargetMode="External"/><Relationship Id="rId13" Type="http://schemas.openxmlformats.org/officeDocument/2006/relationships/hyperlink" Target="https://eur-lex.europa.eu/eli/C/2025/3602/oj/eng/pdf" TargetMode="External"/><Relationship Id="rId18" Type="http://schemas.openxmlformats.org/officeDocument/2006/relationships/hyperlink" Target="https://eur-lex.europa.eu/legal-content/EN/TXT/?uri=CELEX%3A52025PC0571" TargetMode="External"/><Relationship Id="rId3" Type="http://schemas.openxmlformats.org/officeDocument/2006/relationships/hyperlink" Target="https://eur-lex.europa.eu/legal-content/EN/ALL/?uri=comnat:COM_2025_0085_FIN" TargetMode="External"/><Relationship Id="rId21" Type="http://schemas.openxmlformats.org/officeDocument/2006/relationships/hyperlink" Target="https://policy.trade.ec.europa.eu/eu-trade-relationships-country-and-region/negotiations-and-agreements_en" TargetMode="External"/><Relationship Id="rId7" Type="http://schemas.openxmlformats.org/officeDocument/2006/relationships/hyperlink" Target="http://data.europa.eu/eli/dir/2014/23/oj" TargetMode="External"/><Relationship Id="rId12" Type="http://schemas.openxmlformats.org/officeDocument/2006/relationships/hyperlink" Target="https://single-market-economy.ec.europa.eu/single-market/internal-market-emergency-and-resilience-act_en" TargetMode="External"/><Relationship Id="rId17" Type="http://schemas.openxmlformats.org/officeDocument/2006/relationships/hyperlink" Target="http://data.europa.eu/eli/reg_del/2019/856/oj" TargetMode="External"/><Relationship Id="rId2" Type="http://schemas.openxmlformats.org/officeDocument/2006/relationships/hyperlink" Target="https://eur-lex.europa.eu/legal-content/EN/TXT/?uri=CELEX%3A52025DC0030" TargetMode="External"/><Relationship Id="rId16" Type="http://schemas.openxmlformats.org/officeDocument/2006/relationships/hyperlink" Target="http://data.europa.eu/eli/reg/2021/523/oj" TargetMode="External"/><Relationship Id="rId20" Type="http://schemas.openxmlformats.org/officeDocument/2006/relationships/hyperlink" Target="https://single-market-economy.ec.europa.eu/sectors/raw-materials/areas-specific-interest/raw-materials-diplomacy_en" TargetMode="External"/><Relationship Id="rId1" Type="http://schemas.openxmlformats.org/officeDocument/2006/relationships/hyperlink" Target="https://single-market-economy.ec.europa.eu/publications/scan-supply-chain-alert-notification-monitoring-system_en" TargetMode="External"/><Relationship Id="rId6" Type="http://schemas.openxmlformats.org/officeDocument/2006/relationships/hyperlink" Target="https://eur-lex.europa.eu/legal-content/EN/TXT/?uri=celex:52025DC0079" TargetMode="External"/><Relationship Id="rId11" Type="http://schemas.openxmlformats.org/officeDocument/2006/relationships/hyperlink" Target="https://eur-lex.europa.eu/legal-content/EN/TXT/?uri=celex:52025DC0270" TargetMode="External"/><Relationship Id="rId5" Type="http://schemas.openxmlformats.org/officeDocument/2006/relationships/hyperlink" Target="https://eur-lex.europa.eu/legal-content/EN/TXT/?uri=celex:52025DC0530" TargetMode="External"/><Relationship Id="rId15" Type="http://schemas.openxmlformats.org/officeDocument/2006/relationships/hyperlink" Target="http://data.europa.eu/eli/reg/2021/1057/oj" TargetMode="External"/><Relationship Id="rId23" Type="http://schemas.openxmlformats.org/officeDocument/2006/relationships/hyperlink" Target="https://employment-social-affairs.ec.europa.eu/news/commission-and-social-partners-sign-joint-pact-strengthen-social-dialogue-europe-2025-03-05_en" TargetMode="External"/><Relationship Id="rId10" Type="http://schemas.openxmlformats.org/officeDocument/2006/relationships/hyperlink" Target="https://eur-lex.europa.eu/legal-content/EN/TXT/?uri=CELEX:52025DC0500" TargetMode="External"/><Relationship Id="rId19" Type="http://schemas.openxmlformats.org/officeDocument/2006/relationships/hyperlink" Target="http://data.europa.eu/eli/reg/2021/1058/oj" TargetMode="External"/><Relationship Id="rId4" Type="http://schemas.openxmlformats.org/officeDocument/2006/relationships/hyperlink" Target="https://eur-lex.europa.eu/legal-content/EN/TXT/?uri=celex:52025DC0125" TargetMode="External"/><Relationship Id="rId9" Type="http://schemas.openxmlformats.org/officeDocument/2006/relationships/hyperlink" Target="http://data.europa.eu/eli/dir/2014/25/oj" TargetMode="External"/><Relationship Id="rId14" Type="http://schemas.openxmlformats.org/officeDocument/2006/relationships/hyperlink" Target="http://data.europa.eu/eli/reg/2021/691/oj" TargetMode="External"/><Relationship Id="rId22" Type="http://schemas.openxmlformats.org/officeDocument/2006/relationships/hyperlink" Target="https://single-market-economy.ec.europa.eu/industry/industrial-allianc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4fd46d44ded56fd54e4bd842f5f57edb">
  <xsd:schema xmlns:xsd="http://www.w3.org/2001/XMLSchema" xmlns:xs="http://www.w3.org/2001/XMLSchema" xmlns:p="http://schemas.microsoft.com/office/2006/metadata/properties" xmlns:ns2="2a565401-6124-4834-af4c-bc1a772a6083" targetNamespace="http://schemas.microsoft.com/office/2006/metadata/properties" ma:root="true" ma:fieldsID="33d8369442dc572cd43d37368d70a296"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79EFC-FA27-4FAA-A1B4-66D1BD79DECB}">
  <ds:schemaRefs>
    <ds:schemaRef ds:uri="http://schemas.microsoft.com/sharepoint/v3/contenttype/forms"/>
  </ds:schemaRefs>
</ds:datastoreItem>
</file>

<file path=customXml/itemProps2.xml><?xml version="1.0" encoding="utf-8"?>
<ds:datastoreItem xmlns:ds="http://schemas.openxmlformats.org/officeDocument/2006/customXml" ds:itemID="{0FA20314-6AA3-47E9-A263-52FB01CCD61E}">
  <ds:schemaRefs>
    <ds:schemaRef ds:uri="http://schemas.openxmlformats.org/officeDocument/2006/bibliography"/>
  </ds:schemaRefs>
</ds:datastoreItem>
</file>

<file path=customXml/itemProps3.xml><?xml version="1.0" encoding="utf-8"?>
<ds:datastoreItem xmlns:ds="http://schemas.openxmlformats.org/officeDocument/2006/customXml" ds:itemID="{6FECF63A-CA16-42B6-918C-6B86BB53E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8EAA6-C635-49E5-A7DF-E57A409B87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1024</Words>
  <Characters>6116</Characters>
  <Application>Microsoft Office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2013-03-01T06:02:00Z</cp:lastPrinted>
  <dcterms:created xsi:type="dcterms:W3CDTF">2026-02-25T08:19:00Z</dcterms:created>
  <dcterms:modified xsi:type="dcterms:W3CDTF">2026-02-25T08:20:00Z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0x01010078D2C354A9B80F4897019BC7E2880A88</vt:lpwstr>
  </property>
</Properties>
</file>