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A53701" w:rsidRDefault="00077C4F" w:rsidP="00A53701">
      <w:pPr>
        <w:spacing w:after="0" w:line="240" w:lineRule="auto"/>
        <w:ind w:left="-426"/>
        <w:rPr>
          <w:rFonts w:ascii="Times New Roman" w:hAnsi="Times New Roman"/>
          <w:bCs/>
          <w:sz w:val="16"/>
          <w:szCs w:val="16"/>
        </w:rPr>
      </w:pPr>
    </w:p>
    <w:tbl>
      <w:tblPr>
        <w:tblW w:w="995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959"/>
      </w:tblGrid>
      <w:tr w:rsidR="001C4138" w:rsidRPr="00442552" w14:paraId="7E6372DC" w14:textId="77777777" w:rsidTr="00471CDA">
        <w:trPr>
          <w:jc w:val="center"/>
        </w:trPr>
        <w:tc>
          <w:tcPr>
            <w:tcW w:w="9959" w:type="dxa"/>
          </w:tcPr>
          <w:p w14:paraId="3A4EDC3A" w14:textId="6664519D" w:rsidR="00523B7F" w:rsidRPr="00FF6489" w:rsidRDefault="00523B7F" w:rsidP="00B515A5">
            <w:pPr>
              <w:spacing w:before="120" w:after="120"/>
              <w:rPr>
                <w:rFonts w:ascii="Times New Roman" w:hAnsi="Times New Roman"/>
                <w:b/>
                <w:bCs/>
                <w:sz w:val="24"/>
                <w:szCs w:val="24"/>
              </w:rPr>
            </w:pPr>
            <w:r w:rsidRPr="00FF6489">
              <w:rPr>
                <w:rFonts w:ascii="Times New Roman" w:hAnsi="Times New Roman"/>
                <w:b/>
                <w:bCs/>
                <w:sz w:val="24"/>
                <w:szCs w:val="24"/>
              </w:rPr>
              <w:t xml:space="preserve">Blue diplomacy and water cooperation </w:t>
            </w:r>
            <w:r w:rsidR="002F2EC5" w:rsidRPr="00FF6489">
              <w:rPr>
                <w:rFonts w:ascii="Times New Roman" w:hAnsi="Times New Roman"/>
                <w:b/>
                <w:bCs/>
                <w:sz w:val="24"/>
                <w:szCs w:val="24"/>
              </w:rPr>
              <w:t>– solutions</w:t>
            </w:r>
            <w:r w:rsidRPr="00FF6489">
              <w:rPr>
                <w:rFonts w:ascii="Times New Roman" w:hAnsi="Times New Roman"/>
                <w:b/>
                <w:bCs/>
                <w:sz w:val="24"/>
                <w:szCs w:val="24"/>
              </w:rPr>
              <w:t xml:space="preserve"> to relieve the pressure of climate induced migration</w:t>
            </w:r>
            <w:r w:rsidR="00A8328B" w:rsidRPr="00A53701">
              <w:rPr>
                <w:b/>
                <w:bCs/>
                <w:sz w:val="24"/>
                <w:szCs w:val="24"/>
                <w:lang w:val="en-IE"/>
              </w:rPr>
              <w:br/>
            </w:r>
            <w:r w:rsidR="00FF6489" w:rsidRPr="00A53701">
              <w:rPr>
                <w:rFonts w:ascii="Times New Roman" w:hAnsi="Times New Roman"/>
                <w:b/>
                <w:bCs/>
                <w:sz w:val="24"/>
                <w:szCs w:val="24"/>
              </w:rPr>
              <w:t>(own-initiative opinion)</w:t>
            </w:r>
            <w:r w:rsidR="00A8328B" w:rsidRPr="00A53701">
              <w:rPr>
                <w:b/>
                <w:bCs/>
                <w:sz w:val="24"/>
                <w:szCs w:val="24"/>
                <w:lang w:val="en-IE"/>
              </w:rPr>
              <w:br/>
            </w:r>
            <w:r w:rsidR="001C4138" w:rsidRPr="00FF6489">
              <w:rPr>
                <w:rFonts w:ascii="Times New Roman" w:hAnsi="Times New Roman"/>
                <w:b/>
                <w:bCs/>
                <w:sz w:val="24"/>
                <w:szCs w:val="24"/>
                <w:lang w:val="en-IE"/>
              </w:rPr>
              <w:t>EESC-202</w:t>
            </w:r>
            <w:r w:rsidR="00A8328B" w:rsidRPr="00FF6489">
              <w:rPr>
                <w:rFonts w:ascii="Times New Roman" w:hAnsi="Times New Roman"/>
                <w:b/>
                <w:bCs/>
                <w:sz w:val="24"/>
                <w:szCs w:val="24"/>
                <w:lang w:val="en-IE"/>
              </w:rPr>
              <w:t>5</w:t>
            </w:r>
            <w:r w:rsidR="00FF6489" w:rsidRPr="00A53701">
              <w:rPr>
                <w:rFonts w:ascii="Times New Roman" w:hAnsi="Times New Roman"/>
                <w:b/>
                <w:bCs/>
                <w:sz w:val="24"/>
                <w:szCs w:val="24"/>
              </w:rPr>
              <w:t>-00737</w:t>
            </w:r>
            <w:r w:rsidR="00FF6489" w:rsidRPr="00FF6489">
              <w:rPr>
                <w:rFonts w:ascii="Times New Roman" w:hAnsi="Times New Roman"/>
                <w:b/>
                <w:bCs/>
                <w:sz w:val="24"/>
                <w:szCs w:val="24"/>
                <w:lang w:val="en-IE"/>
              </w:rPr>
              <w:t xml:space="preserve"> </w:t>
            </w:r>
            <w:r w:rsidR="00FF6489" w:rsidRPr="00FF6489">
              <w:rPr>
                <w:rFonts w:ascii="Times New Roman" w:hAnsi="Times New Roman"/>
                <w:b/>
                <w:bCs/>
                <w:sz w:val="24"/>
                <w:szCs w:val="24"/>
              </w:rPr>
              <w:t>–</w:t>
            </w:r>
            <w:r w:rsidRPr="00A53701">
              <w:rPr>
                <w:rFonts w:ascii="Times New Roman" w:eastAsia="Times New Roman" w:hAnsi="Times New Roman"/>
                <w:b/>
                <w:bCs/>
                <w:sz w:val="24"/>
                <w:szCs w:val="24"/>
                <w:lang w:val="en-IE"/>
              </w:rPr>
              <w:t xml:space="preserve"> </w:t>
            </w:r>
            <w:r w:rsidRPr="00A53701">
              <w:rPr>
                <w:rFonts w:ascii="Times New Roman" w:hAnsi="Times New Roman"/>
                <w:b/>
                <w:bCs/>
                <w:sz w:val="24"/>
                <w:szCs w:val="24"/>
                <w:lang w:val="en-IE"/>
              </w:rPr>
              <w:t>REX/597</w:t>
            </w:r>
            <w:r w:rsidR="00FF6489" w:rsidRPr="00FF6489">
              <w:rPr>
                <w:rFonts w:ascii="Times New Roman" w:hAnsi="Times New Roman"/>
                <w:b/>
                <w:bCs/>
                <w:sz w:val="24"/>
                <w:szCs w:val="24"/>
                <w:lang w:val="en-IE"/>
              </w:rPr>
              <w:br/>
            </w:r>
            <w:r w:rsidR="00A8328B" w:rsidRPr="00FF6489">
              <w:rPr>
                <w:rFonts w:ascii="Times New Roman" w:hAnsi="Times New Roman"/>
                <w:b/>
                <w:bCs/>
                <w:sz w:val="24"/>
                <w:szCs w:val="24"/>
              </w:rPr>
              <w:t>59</w:t>
            </w:r>
            <w:r w:rsidR="00222D68" w:rsidRPr="00FF6489">
              <w:rPr>
                <w:rFonts w:ascii="Times New Roman" w:hAnsi="Times New Roman"/>
                <w:b/>
                <w:bCs/>
                <w:sz w:val="24"/>
                <w:szCs w:val="24"/>
              </w:rPr>
              <w:t>9</w:t>
            </w:r>
            <w:r w:rsidR="00A8328B" w:rsidRPr="00FF6489">
              <w:rPr>
                <w:rFonts w:ascii="Times New Roman" w:hAnsi="Times New Roman"/>
                <w:b/>
                <w:bCs/>
                <w:sz w:val="24"/>
                <w:szCs w:val="24"/>
                <w:vertAlign w:val="superscript"/>
              </w:rPr>
              <w:t>th</w:t>
            </w:r>
            <w:r w:rsidR="00A8328B" w:rsidRPr="00FF6489">
              <w:rPr>
                <w:rFonts w:ascii="Times New Roman" w:hAnsi="Times New Roman"/>
                <w:b/>
                <w:bCs/>
                <w:sz w:val="24"/>
                <w:szCs w:val="24"/>
              </w:rPr>
              <w:t xml:space="preserve"> </w:t>
            </w:r>
            <w:r w:rsidR="001C4138" w:rsidRPr="00FF6489">
              <w:rPr>
                <w:rFonts w:ascii="Times New Roman" w:hAnsi="Times New Roman"/>
                <w:b/>
                <w:bCs/>
                <w:sz w:val="24"/>
                <w:szCs w:val="24"/>
              </w:rPr>
              <w:t xml:space="preserve">Plenary Session – </w:t>
            </w:r>
            <w:r w:rsidR="00222D68" w:rsidRPr="00FF6489">
              <w:rPr>
                <w:rFonts w:ascii="Times New Roman" w:hAnsi="Times New Roman"/>
                <w:b/>
                <w:bCs/>
                <w:sz w:val="24"/>
                <w:szCs w:val="24"/>
              </w:rPr>
              <w:t>September</w:t>
            </w:r>
            <w:r w:rsidR="00A8328B" w:rsidRPr="00FF6489">
              <w:rPr>
                <w:rFonts w:ascii="Times New Roman" w:hAnsi="Times New Roman"/>
                <w:b/>
                <w:bCs/>
                <w:sz w:val="24"/>
                <w:szCs w:val="24"/>
              </w:rPr>
              <w:t xml:space="preserve"> 2025</w:t>
            </w:r>
            <w:r w:rsidR="00A8328B" w:rsidRPr="00A53701">
              <w:rPr>
                <w:b/>
                <w:bCs/>
                <w:sz w:val="24"/>
                <w:szCs w:val="24"/>
              </w:rPr>
              <w:br/>
            </w:r>
            <w:r w:rsidR="001C4138" w:rsidRPr="00FF6489">
              <w:rPr>
                <w:rFonts w:ascii="Times New Roman" w:hAnsi="Times New Roman"/>
                <w:b/>
                <w:bCs/>
                <w:sz w:val="24"/>
                <w:szCs w:val="24"/>
              </w:rPr>
              <w:t xml:space="preserve">Rapporteur: </w:t>
            </w:r>
            <w:r w:rsidRPr="00FF6489">
              <w:rPr>
                <w:rFonts w:ascii="Times New Roman" w:hAnsi="Times New Roman"/>
                <w:b/>
                <w:bCs/>
                <w:sz w:val="24"/>
                <w:szCs w:val="24"/>
              </w:rPr>
              <w:t>Milena ANGELOVA</w:t>
            </w:r>
            <w:r w:rsidR="00FF6489" w:rsidRPr="00FF6489">
              <w:rPr>
                <w:rFonts w:ascii="Times New Roman" w:hAnsi="Times New Roman"/>
                <w:b/>
                <w:bCs/>
                <w:sz w:val="24"/>
                <w:szCs w:val="24"/>
              </w:rPr>
              <w:t xml:space="preserve"> </w:t>
            </w:r>
            <w:r w:rsidR="00FF6489" w:rsidRPr="00A53701">
              <w:rPr>
                <w:rFonts w:ascii="Times New Roman" w:hAnsi="Times New Roman"/>
                <w:b/>
                <w:bCs/>
                <w:sz w:val="24"/>
                <w:szCs w:val="24"/>
                <w:lang w:val="en-IE"/>
              </w:rPr>
              <w:t>(BG-I)</w:t>
            </w:r>
            <w:r w:rsidR="00FF6489" w:rsidRPr="00FF6489">
              <w:rPr>
                <w:rFonts w:ascii="Times New Roman" w:hAnsi="Times New Roman"/>
                <w:b/>
                <w:bCs/>
                <w:sz w:val="24"/>
                <w:szCs w:val="24"/>
              </w:rPr>
              <w:br/>
            </w:r>
            <w:r w:rsidRPr="00FF6489">
              <w:rPr>
                <w:rFonts w:ascii="Times New Roman" w:hAnsi="Times New Roman"/>
                <w:b/>
                <w:bCs/>
                <w:sz w:val="24"/>
                <w:szCs w:val="24"/>
              </w:rPr>
              <w:t>Co-rapporteur: Ioannis VARDAKASTANIS</w:t>
            </w:r>
            <w:r w:rsidR="00FF6489" w:rsidRPr="00FF6489">
              <w:rPr>
                <w:rFonts w:ascii="Times New Roman" w:hAnsi="Times New Roman"/>
                <w:b/>
                <w:bCs/>
                <w:sz w:val="24"/>
                <w:szCs w:val="24"/>
              </w:rPr>
              <w:t xml:space="preserve"> </w:t>
            </w:r>
            <w:r w:rsidR="00FF6489" w:rsidRPr="00A53701">
              <w:rPr>
                <w:rFonts w:ascii="Times New Roman" w:hAnsi="Times New Roman"/>
                <w:b/>
                <w:bCs/>
                <w:sz w:val="24"/>
                <w:szCs w:val="24"/>
              </w:rPr>
              <w:t>(EL-III)</w:t>
            </w:r>
            <w:r w:rsidRPr="00A53701">
              <w:rPr>
                <w:b/>
                <w:bCs/>
                <w:sz w:val="24"/>
                <w:szCs w:val="24"/>
              </w:rPr>
              <w:br/>
            </w:r>
            <w:r w:rsidR="001C4138" w:rsidRPr="00FF6489">
              <w:rPr>
                <w:rFonts w:ascii="Times New Roman" w:hAnsi="Times New Roman"/>
                <w:b/>
                <w:bCs/>
                <w:sz w:val="24"/>
                <w:szCs w:val="24"/>
              </w:rPr>
              <w:t xml:space="preserve">DG </w:t>
            </w:r>
            <w:r w:rsidR="00A8328B" w:rsidRPr="00FF6489">
              <w:rPr>
                <w:rFonts w:ascii="Times New Roman" w:hAnsi="Times New Roman"/>
                <w:b/>
                <w:bCs/>
                <w:sz w:val="24"/>
                <w:szCs w:val="24"/>
              </w:rPr>
              <w:t>ENV</w:t>
            </w:r>
            <w:r w:rsidR="001C4138" w:rsidRPr="00FF6489">
              <w:rPr>
                <w:rFonts w:ascii="Times New Roman" w:hAnsi="Times New Roman"/>
                <w:b/>
                <w:bCs/>
                <w:sz w:val="24"/>
                <w:szCs w:val="24"/>
              </w:rPr>
              <w:t xml:space="preserve"> – Commissioner </w:t>
            </w:r>
            <w:r w:rsidR="00FF6489" w:rsidRPr="00FF6489">
              <w:rPr>
                <w:rFonts w:ascii="Times New Roman" w:hAnsi="Times New Roman"/>
                <w:b/>
                <w:bCs/>
                <w:sz w:val="24"/>
                <w:szCs w:val="24"/>
              </w:rPr>
              <w:t>ROSWALL</w:t>
            </w:r>
          </w:p>
        </w:tc>
      </w:tr>
      <w:tr w:rsidR="00734613" w:rsidRPr="00442552" w14:paraId="1937071F" w14:textId="77777777" w:rsidTr="00471CDA">
        <w:trPr>
          <w:jc w:val="center"/>
        </w:trPr>
        <w:tc>
          <w:tcPr>
            <w:tcW w:w="9959" w:type="dxa"/>
          </w:tcPr>
          <w:p w14:paraId="1E50B4DB" w14:textId="3538818E"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FF6489">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471CDA">
        <w:trPr>
          <w:jc w:val="center"/>
        </w:trPr>
        <w:tc>
          <w:tcPr>
            <w:tcW w:w="9959" w:type="dxa"/>
          </w:tcPr>
          <w:p w14:paraId="4C3335CD" w14:textId="6BEEFE69" w:rsidR="00734613" w:rsidRPr="00A94B1A" w:rsidRDefault="0002177B" w:rsidP="00A53701">
            <w:pPr>
              <w:widowControl w:val="0"/>
              <w:spacing w:before="120" w:after="120"/>
              <w:jc w:val="both"/>
              <w:rPr>
                <w:rFonts w:ascii="Times New Roman" w:hAnsi="Times New Roman"/>
                <w:sz w:val="24"/>
                <w:szCs w:val="24"/>
                <w:lang w:val="en-IE"/>
              </w:rPr>
            </w:pPr>
            <w:r w:rsidRPr="0002177B">
              <w:rPr>
                <w:rFonts w:ascii="Times New Roman" w:hAnsi="Times New Roman"/>
                <w:sz w:val="24"/>
                <w:szCs w:val="24"/>
                <w:lang w:val="en-IE"/>
              </w:rPr>
              <w:t xml:space="preserve">The Commission </w:t>
            </w:r>
            <w:r w:rsidR="00A94B1A">
              <w:rPr>
                <w:rFonts w:ascii="Times New Roman" w:hAnsi="Times New Roman"/>
                <w:sz w:val="24"/>
                <w:szCs w:val="24"/>
                <w:lang w:val="en-IE"/>
              </w:rPr>
              <w:t xml:space="preserve">welcomes the opinion </w:t>
            </w:r>
            <w:r w:rsidR="00A94B1A" w:rsidRPr="6E0A37D3">
              <w:rPr>
                <w:rFonts w:ascii="Times New Roman" w:hAnsi="Times New Roman"/>
                <w:sz w:val="24"/>
                <w:szCs w:val="24"/>
                <w:lang w:val="en-IE"/>
              </w:rPr>
              <w:t xml:space="preserve">and </w:t>
            </w:r>
            <w:r w:rsidRPr="00E57013">
              <w:rPr>
                <w:rFonts w:ascii="Times New Roman" w:hAnsi="Times New Roman"/>
                <w:sz w:val="24"/>
                <w:szCs w:val="24"/>
                <w:lang w:val="en-IE"/>
              </w:rPr>
              <w:t xml:space="preserve">thanks </w:t>
            </w:r>
            <w:r w:rsidR="00A617A9">
              <w:rPr>
                <w:rFonts w:ascii="Times New Roman" w:hAnsi="Times New Roman"/>
                <w:sz w:val="24"/>
                <w:szCs w:val="24"/>
                <w:lang w:val="en-IE"/>
              </w:rPr>
              <w:t xml:space="preserve">the Committee </w:t>
            </w:r>
            <w:r w:rsidR="00A94B1A" w:rsidRPr="00E57013">
              <w:rPr>
                <w:rFonts w:ascii="Times New Roman" w:hAnsi="Times New Roman"/>
                <w:sz w:val="24"/>
                <w:szCs w:val="24"/>
                <w:lang w:val="en-IE"/>
              </w:rPr>
              <w:t xml:space="preserve">for the expressed </w:t>
            </w:r>
            <w:r w:rsidR="00E57013" w:rsidRPr="00003877">
              <w:rPr>
                <w:rFonts w:ascii="Times New Roman" w:hAnsi="Times New Roman"/>
                <w:sz w:val="24"/>
                <w:szCs w:val="24"/>
                <w:lang w:val="en-IE"/>
              </w:rPr>
              <w:t>views</w:t>
            </w:r>
            <w:r w:rsidRPr="00E57013">
              <w:rPr>
                <w:rFonts w:ascii="Times New Roman" w:hAnsi="Times New Roman"/>
                <w:sz w:val="24"/>
                <w:szCs w:val="24"/>
                <w:lang w:val="en-IE"/>
              </w:rPr>
              <w:t>,</w:t>
            </w:r>
            <w:r w:rsidRPr="0002177B">
              <w:rPr>
                <w:rFonts w:ascii="Times New Roman" w:hAnsi="Times New Roman"/>
                <w:sz w:val="24"/>
                <w:szCs w:val="24"/>
                <w:lang w:val="en-IE"/>
              </w:rPr>
              <w:t xml:space="preserve"> in particular</w:t>
            </w:r>
            <w:r w:rsidR="00E57013" w:rsidRPr="6E0A37D3">
              <w:rPr>
                <w:rFonts w:ascii="Times New Roman" w:hAnsi="Times New Roman"/>
                <w:sz w:val="24"/>
                <w:szCs w:val="24"/>
                <w:lang w:val="en-IE"/>
              </w:rPr>
              <w:t xml:space="preserve"> </w:t>
            </w:r>
            <w:r w:rsidR="00E57013" w:rsidRPr="6E0A37D3">
              <w:rPr>
                <w:rFonts w:ascii="Times New Roman" w:hAnsi="Times New Roman"/>
                <w:sz w:val="24"/>
                <w:szCs w:val="24"/>
              </w:rPr>
              <w:t>the view that efficient and sustainable water use should be a</w:t>
            </w:r>
            <w:r w:rsidR="00552628">
              <w:rPr>
                <w:rFonts w:ascii="Times New Roman" w:hAnsi="Times New Roman"/>
                <w:sz w:val="24"/>
                <w:szCs w:val="24"/>
              </w:rPr>
              <w:t> </w:t>
            </w:r>
            <w:r w:rsidR="00E57013" w:rsidRPr="6E0A37D3">
              <w:rPr>
                <w:rFonts w:ascii="Times New Roman" w:hAnsi="Times New Roman"/>
                <w:sz w:val="24"/>
                <w:szCs w:val="24"/>
              </w:rPr>
              <w:t>central component of the EU’s blue diplomacy.</w:t>
            </w:r>
            <w:r w:rsidR="00222D68" w:rsidRPr="6E0A37D3">
              <w:rPr>
                <w:rFonts w:ascii="Times New Roman" w:hAnsi="Times New Roman"/>
                <w:sz w:val="24"/>
                <w:szCs w:val="24"/>
              </w:rPr>
              <w:t xml:space="preserve"> The EU has clearly made this a policy priority as laid out in the European Water Resilience Strategy</w:t>
            </w:r>
            <w:r w:rsidR="00A74A88" w:rsidRPr="6E0A37D3">
              <w:rPr>
                <w:rFonts w:ascii="Times New Roman" w:hAnsi="Times New Roman"/>
                <w:sz w:val="24"/>
                <w:szCs w:val="24"/>
              </w:rPr>
              <w:t xml:space="preserve"> (WRS</w:t>
            </w:r>
            <w:r w:rsidR="003800D1" w:rsidRPr="6E0A37D3">
              <w:rPr>
                <w:rFonts w:ascii="Times New Roman" w:hAnsi="Times New Roman"/>
                <w:sz w:val="24"/>
                <w:szCs w:val="24"/>
              </w:rPr>
              <w:t>)</w:t>
            </w:r>
            <w:r w:rsidR="00FF6489">
              <w:rPr>
                <w:rStyle w:val="FootnoteReference"/>
                <w:rFonts w:ascii="Times New Roman" w:hAnsi="Times New Roman"/>
                <w:sz w:val="24"/>
                <w:szCs w:val="24"/>
              </w:rPr>
              <w:footnoteReference w:id="1"/>
            </w:r>
            <w:r w:rsidR="003800D1" w:rsidRPr="4126FBC9" w:rsidDel="00222D68">
              <w:rPr>
                <w:rFonts w:ascii="Times New Roman" w:hAnsi="Times New Roman"/>
                <w:sz w:val="24"/>
                <w:szCs w:val="24"/>
              </w:rPr>
              <w:t>.</w:t>
            </w:r>
            <w:r w:rsidR="003800D1" w:rsidRPr="4126FBC9">
              <w:rPr>
                <w:rFonts w:ascii="Times New Roman" w:eastAsia="Times New Roman" w:hAnsi="Times New Roman"/>
                <w:sz w:val="24"/>
                <w:szCs w:val="24"/>
              </w:rPr>
              <w:t xml:space="preserve"> Next</w:t>
            </w:r>
            <w:r w:rsidR="1B81F944" w:rsidRPr="4126FBC9">
              <w:rPr>
                <w:rFonts w:ascii="Times New Roman" w:eastAsia="Times New Roman" w:hAnsi="Times New Roman"/>
                <w:sz w:val="24"/>
                <w:szCs w:val="24"/>
              </w:rPr>
              <w:t xml:space="preserve"> to the key objective the WRS: ensuring sustainable water supply, building a water-smart </w:t>
            </w:r>
            <w:r w:rsidR="1B81F944" w:rsidRPr="04527CB4" w:rsidDel="00222D68">
              <w:rPr>
                <w:rFonts w:ascii="Times New Roman" w:eastAsia="Times New Roman" w:hAnsi="Times New Roman"/>
                <w:sz w:val="24"/>
                <w:szCs w:val="24"/>
              </w:rPr>
              <w:t>economy</w:t>
            </w:r>
            <w:r w:rsidR="1B81F944" w:rsidRPr="04527CB4" w:rsidDel="70E0B5D1">
              <w:rPr>
                <w:rFonts w:ascii="Times New Roman" w:eastAsia="Times New Roman" w:hAnsi="Times New Roman"/>
                <w:sz w:val="24"/>
                <w:szCs w:val="24"/>
              </w:rPr>
              <w:t xml:space="preserve"> and securing clean and affordable water and sanitation, the WRS </w:t>
            </w:r>
            <w:r w:rsidR="1B81F944" w:rsidRPr="00552628" w:rsidDel="70E0B5D1">
              <w:rPr>
                <w:rFonts w:ascii="Times New Roman" w:eastAsia="Times New Roman" w:hAnsi="Times New Roman"/>
                <w:sz w:val="24"/>
                <w:szCs w:val="24"/>
              </w:rPr>
              <w:t>outlines also</w:t>
            </w:r>
            <w:r w:rsidR="70E0B5D1" w:rsidRPr="6E0A37D3">
              <w:rPr>
                <w:rFonts w:ascii="Times New Roman" w:hAnsi="Times New Roman"/>
                <w:sz w:val="24"/>
                <w:szCs w:val="24"/>
              </w:rPr>
              <w:t xml:space="preserve"> how the EU will</w:t>
            </w:r>
            <w:r w:rsidR="00222D68" w:rsidRPr="6E0A37D3">
              <w:rPr>
                <w:rFonts w:ascii="Times New Roman" w:hAnsi="Times New Roman"/>
                <w:sz w:val="24"/>
                <w:szCs w:val="24"/>
              </w:rPr>
              <w:t xml:space="preserve"> </w:t>
            </w:r>
            <w:r w:rsidR="418DA0EE" w:rsidRPr="6E0A37D3">
              <w:rPr>
                <w:rFonts w:ascii="Times New Roman" w:hAnsi="Times New Roman"/>
                <w:sz w:val="24"/>
                <w:szCs w:val="24"/>
              </w:rPr>
              <w:t>promote water</w:t>
            </w:r>
            <w:r w:rsidR="00222D68" w:rsidRPr="6E0A37D3">
              <w:rPr>
                <w:rFonts w:ascii="Times New Roman" w:hAnsi="Times New Roman"/>
                <w:sz w:val="24"/>
                <w:szCs w:val="24"/>
              </w:rPr>
              <w:t xml:space="preserve"> resilience globally</w:t>
            </w:r>
            <w:r w:rsidR="00A53701">
              <w:rPr>
                <w:rFonts w:ascii="Times New Roman" w:hAnsi="Times New Roman"/>
                <w:sz w:val="24"/>
                <w:szCs w:val="24"/>
              </w:rPr>
              <w:t>.</w:t>
            </w:r>
            <w:r w:rsidRPr="04527CB4">
              <w:rPr>
                <w:rStyle w:val="FootnoteReference"/>
                <w:rFonts w:ascii="Times New Roman" w:hAnsi="Times New Roman"/>
                <w:sz w:val="24"/>
                <w:szCs w:val="24"/>
              </w:rPr>
              <w:footnoteReference w:id="2"/>
            </w:r>
          </w:p>
          <w:p w14:paraId="5A714758" w14:textId="2D693125" w:rsidR="00D65641" w:rsidRPr="00E57013" w:rsidRDefault="00A25B35" w:rsidP="00A53701">
            <w:pPr>
              <w:widowControl w:val="0"/>
              <w:spacing w:before="120" w:after="120"/>
              <w:jc w:val="both"/>
              <w:rPr>
                <w:rFonts w:ascii="Times New Roman" w:hAnsi="Times New Roman"/>
                <w:sz w:val="24"/>
                <w:szCs w:val="24"/>
              </w:rPr>
            </w:pPr>
            <w:r w:rsidRPr="6E0A37D3">
              <w:rPr>
                <w:rFonts w:ascii="Times New Roman" w:hAnsi="Times New Roman"/>
                <w:sz w:val="24"/>
                <w:szCs w:val="24"/>
              </w:rPr>
              <w:t>With regard</w:t>
            </w:r>
            <w:r w:rsidR="00E57013" w:rsidRPr="2EAC028C">
              <w:rPr>
                <w:rFonts w:ascii="Times New Roman" w:hAnsi="Times New Roman"/>
                <w:sz w:val="24"/>
                <w:szCs w:val="24"/>
              </w:rPr>
              <w:t>s</w:t>
            </w:r>
            <w:r w:rsidRPr="6E0A37D3">
              <w:rPr>
                <w:rFonts w:ascii="Times New Roman" w:hAnsi="Times New Roman"/>
                <w:sz w:val="24"/>
                <w:szCs w:val="24"/>
              </w:rPr>
              <w:t xml:space="preserve"> to the </w:t>
            </w:r>
            <w:r w:rsidRPr="00A53701">
              <w:rPr>
                <w:rFonts w:ascii="Times New Roman" w:hAnsi="Times New Roman"/>
                <w:sz w:val="24"/>
                <w:szCs w:val="24"/>
                <w:u w:val="single"/>
              </w:rPr>
              <w:t>recommendation</w:t>
            </w:r>
            <w:r w:rsidR="00E57013" w:rsidRPr="00A53701">
              <w:rPr>
                <w:rFonts w:ascii="Times New Roman" w:hAnsi="Times New Roman"/>
                <w:sz w:val="24"/>
                <w:szCs w:val="24"/>
                <w:u w:val="single"/>
              </w:rPr>
              <w:t>s</w:t>
            </w:r>
            <w:r w:rsidRPr="00A53701">
              <w:rPr>
                <w:rFonts w:ascii="Times New Roman" w:hAnsi="Times New Roman"/>
                <w:sz w:val="24"/>
                <w:szCs w:val="24"/>
                <w:u w:val="single"/>
              </w:rPr>
              <w:t xml:space="preserve"> 1.</w:t>
            </w:r>
            <w:r w:rsidR="00E57013" w:rsidRPr="00A53701">
              <w:rPr>
                <w:rFonts w:ascii="Times New Roman" w:hAnsi="Times New Roman"/>
                <w:sz w:val="24"/>
                <w:szCs w:val="24"/>
                <w:u w:val="single"/>
              </w:rPr>
              <w:t>2 and 1.3</w:t>
            </w:r>
            <w:r w:rsidR="00FF6489">
              <w:rPr>
                <w:rFonts w:ascii="Times New Roman" w:hAnsi="Times New Roman"/>
                <w:sz w:val="24"/>
                <w:szCs w:val="24"/>
              </w:rPr>
              <w:t>,</w:t>
            </w:r>
            <w:r w:rsidR="00E57013" w:rsidRPr="6E0A37D3">
              <w:rPr>
                <w:rFonts w:ascii="Times New Roman" w:hAnsi="Times New Roman"/>
                <w:sz w:val="24"/>
                <w:szCs w:val="24"/>
              </w:rPr>
              <w:t xml:space="preserve"> t</w:t>
            </w:r>
            <w:r w:rsidR="00E57013" w:rsidRPr="00003877">
              <w:rPr>
                <w:rFonts w:ascii="Times New Roman" w:hAnsi="Times New Roman"/>
                <w:sz w:val="24"/>
                <w:szCs w:val="24"/>
              </w:rPr>
              <w:t xml:space="preserve">he Commission fully recognises the critical importance of </w:t>
            </w:r>
            <w:r w:rsidR="00E57013" w:rsidRPr="6E0A37D3">
              <w:rPr>
                <w:rFonts w:ascii="Times New Roman" w:hAnsi="Times New Roman"/>
                <w:sz w:val="24"/>
                <w:szCs w:val="24"/>
              </w:rPr>
              <w:t xml:space="preserve">definitions, </w:t>
            </w:r>
            <w:r w:rsidR="00E57013" w:rsidRPr="00003877">
              <w:rPr>
                <w:rFonts w:ascii="Times New Roman" w:hAnsi="Times New Roman"/>
                <w:sz w:val="24"/>
                <w:szCs w:val="24"/>
              </w:rPr>
              <w:t xml:space="preserve">data and evidence to inform policy and interventions on climate mobility considering the complexity of the </w:t>
            </w:r>
            <w:r w:rsidR="00E57013" w:rsidRPr="6E0A37D3">
              <w:rPr>
                <w:rFonts w:ascii="Times New Roman" w:hAnsi="Times New Roman"/>
                <w:sz w:val="24"/>
                <w:szCs w:val="24"/>
              </w:rPr>
              <w:t>phenomenon and</w:t>
            </w:r>
            <w:r w:rsidR="00E57013" w:rsidRPr="00003877">
              <w:rPr>
                <w:rFonts w:ascii="Times New Roman" w:hAnsi="Times New Roman"/>
                <w:sz w:val="24"/>
                <w:szCs w:val="24"/>
              </w:rPr>
              <w:t xml:space="preserve"> has invested significant resources to support research and data efforts in this field.</w:t>
            </w:r>
            <w:r w:rsidR="00E57013">
              <w:rPr>
                <w:rStyle w:val="FootnoteReference"/>
                <w:rFonts w:ascii="Times New Roman" w:hAnsi="Times New Roman"/>
                <w:bCs/>
                <w:sz w:val="24"/>
                <w:szCs w:val="24"/>
              </w:rPr>
              <w:footnoteReference w:id="3"/>
            </w:r>
          </w:p>
          <w:p w14:paraId="7DF9F9B7" w14:textId="4C987570" w:rsidR="00C1440B" w:rsidRPr="00003877" w:rsidRDefault="0098429B" w:rsidP="00A53701">
            <w:pPr>
              <w:widowControl w:val="0"/>
              <w:spacing w:before="120" w:after="120"/>
              <w:jc w:val="both"/>
              <w:rPr>
                <w:rFonts w:ascii="Times New Roman" w:hAnsi="Times New Roman"/>
                <w:sz w:val="24"/>
                <w:szCs w:val="24"/>
                <w:lang w:val="en-US"/>
              </w:rPr>
            </w:pPr>
            <w:r w:rsidRPr="2EAC028C">
              <w:rPr>
                <w:rFonts w:ascii="Times New Roman" w:hAnsi="Times New Roman"/>
                <w:sz w:val="24"/>
                <w:szCs w:val="24"/>
              </w:rPr>
              <w:t>Regarding</w:t>
            </w:r>
            <w:r w:rsidR="00693015" w:rsidRPr="2EAC028C">
              <w:rPr>
                <w:rFonts w:ascii="Times New Roman" w:hAnsi="Times New Roman"/>
                <w:sz w:val="24"/>
                <w:szCs w:val="24"/>
              </w:rPr>
              <w:t xml:space="preserve"> </w:t>
            </w:r>
            <w:r w:rsidR="00790B23" w:rsidRPr="00A53701">
              <w:rPr>
                <w:rFonts w:ascii="Times New Roman" w:hAnsi="Times New Roman"/>
                <w:sz w:val="24"/>
                <w:szCs w:val="24"/>
                <w:u w:val="single"/>
              </w:rPr>
              <w:t>recommendation 1.</w:t>
            </w:r>
            <w:r w:rsidR="00C1440B" w:rsidRPr="00A53701">
              <w:rPr>
                <w:rFonts w:ascii="Times New Roman" w:hAnsi="Times New Roman"/>
                <w:sz w:val="24"/>
                <w:szCs w:val="24"/>
                <w:u w:val="single"/>
              </w:rPr>
              <w:t>4</w:t>
            </w:r>
            <w:r w:rsidR="00C1440B" w:rsidRPr="00003877">
              <w:rPr>
                <w:rFonts w:ascii="Times New Roman" w:hAnsi="Times New Roman"/>
                <w:b/>
                <w:bCs/>
                <w:sz w:val="24"/>
                <w:szCs w:val="24"/>
              </w:rPr>
              <w:t>,</w:t>
            </w:r>
            <w:r w:rsidR="00C1440B" w:rsidRPr="00003877">
              <w:rPr>
                <w:rFonts w:ascii="Times New Roman" w:hAnsi="Times New Roman"/>
                <w:sz w:val="24"/>
                <w:szCs w:val="24"/>
              </w:rPr>
              <w:t xml:space="preserve"> the Commission concurs with the importance of integrating the Humanitarian Development-Peace</w:t>
            </w:r>
            <w:r w:rsidR="00552628">
              <w:rPr>
                <w:rFonts w:ascii="Times New Roman" w:hAnsi="Times New Roman"/>
                <w:sz w:val="24"/>
                <w:szCs w:val="24"/>
              </w:rPr>
              <w:t> </w:t>
            </w:r>
            <w:r w:rsidR="00C1440B" w:rsidRPr="00003877">
              <w:rPr>
                <w:rFonts w:ascii="Times New Roman" w:hAnsi="Times New Roman"/>
                <w:sz w:val="24"/>
                <w:szCs w:val="24"/>
              </w:rPr>
              <w:t>(HDP) nexus into climate mobility policy and embedding migration as adaptation under some circumstances as part of the approach to climate mobility. These key elements are already promoted at policy and operational levels, for example in the Horn of Africa.</w:t>
            </w:r>
          </w:p>
          <w:p w14:paraId="57F85AB9" w14:textId="582DDD8D" w:rsidR="00356A69" w:rsidRDefault="00C1440B" w:rsidP="00A53701">
            <w:pPr>
              <w:widowControl w:val="0"/>
              <w:spacing w:before="120" w:after="120"/>
              <w:jc w:val="both"/>
              <w:rPr>
                <w:rFonts w:ascii="Times New Roman" w:hAnsi="Times New Roman"/>
                <w:sz w:val="24"/>
                <w:szCs w:val="24"/>
                <w:lang w:val="en-US"/>
              </w:rPr>
            </w:pPr>
            <w:r w:rsidRPr="00003877">
              <w:rPr>
                <w:rFonts w:ascii="Times New Roman" w:hAnsi="Times New Roman"/>
                <w:sz w:val="24"/>
                <w:szCs w:val="24"/>
                <w:lang w:val="en-US"/>
              </w:rPr>
              <w:t>As per</w:t>
            </w:r>
            <w:r w:rsidR="00AC0396">
              <w:rPr>
                <w:rFonts w:ascii="Times New Roman" w:hAnsi="Times New Roman"/>
                <w:sz w:val="24"/>
                <w:szCs w:val="24"/>
                <w:lang w:val="en-US"/>
              </w:rPr>
              <w:t xml:space="preserve"> </w:t>
            </w:r>
            <w:r w:rsidR="00AC0396" w:rsidRPr="00A53701">
              <w:rPr>
                <w:rFonts w:ascii="Times New Roman" w:hAnsi="Times New Roman"/>
                <w:sz w:val="24"/>
                <w:szCs w:val="24"/>
                <w:u w:val="single"/>
                <w:lang w:val="en-US"/>
              </w:rPr>
              <w:t>paragraph</w:t>
            </w:r>
            <w:r w:rsidRPr="00A53701">
              <w:rPr>
                <w:rFonts w:ascii="Times New Roman" w:hAnsi="Times New Roman"/>
                <w:sz w:val="24"/>
                <w:szCs w:val="24"/>
                <w:u w:val="single"/>
                <w:lang w:val="en-US"/>
              </w:rPr>
              <w:t xml:space="preserve"> </w:t>
            </w:r>
            <w:r w:rsidR="765E2C8A" w:rsidRPr="00A53701">
              <w:rPr>
                <w:rFonts w:ascii="Times New Roman" w:hAnsi="Times New Roman"/>
                <w:sz w:val="24"/>
                <w:szCs w:val="24"/>
                <w:u w:val="single"/>
                <w:lang w:val="en-US"/>
              </w:rPr>
              <w:t>1.5</w:t>
            </w:r>
            <w:r w:rsidR="765E2C8A" w:rsidRPr="00003877">
              <w:rPr>
                <w:rFonts w:ascii="Times New Roman" w:hAnsi="Times New Roman"/>
                <w:sz w:val="24"/>
                <w:szCs w:val="24"/>
                <w:lang w:val="en-US"/>
              </w:rPr>
              <w:t>,</w:t>
            </w:r>
            <w:r w:rsidRPr="00003877">
              <w:rPr>
                <w:rFonts w:ascii="Times New Roman" w:hAnsi="Times New Roman"/>
                <w:b/>
                <w:bCs/>
                <w:sz w:val="24"/>
                <w:szCs w:val="24"/>
                <w:lang w:val="en-US"/>
              </w:rPr>
              <w:t xml:space="preserve"> </w:t>
            </w:r>
            <w:r w:rsidRPr="2EAC028C">
              <w:rPr>
                <w:rFonts w:ascii="Times New Roman" w:hAnsi="Times New Roman"/>
                <w:sz w:val="24"/>
                <w:szCs w:val="24"/>
                <w:lang w:val="en-US"/>
              </w:rPr>
              <w:t>t</w:t>
            </w:r>
            <w:r w:rsidRPr="00003877">
              <w:rPr>
                <w:rFonts w:ascii="Times New Roman" w:hAnsi="Times New Roman"/>
                <w:sz w:val="24"/>
                <w:szCs w:val="24"/>
                <w:lang w:val="en-US"/>
              </w:rPr>
              <w:t xml:space="preserve">he Commission supports the call to link environmental policy more closely with humanitarian action and </w:t>
            </w:r>
            <w:r w:rsidR="002D5C53">
              <w:rPr>
                <w:rFonts w:ascii="Times New Roman" w:hAnsi="Times New Roman"/>
                <w:sz w:val="24"/>
                <w:szCs w:val="24"/>
                <w:lang w:val="en-US"/>
              </w:rPr>
              <w:t>to enhance</w:t>
            </w:r>
            <w:r w:rsidR="002D5C53" w:rsidRPr="00003877">
              <w:rPr>
                <w:rFonts w:ascii="Times New Roman" w:hAnsi="Times New Roman"/>
                <w:sz w:val="24"/>
                <w:szCs w:val="24"/>
                <w:lang w:val="en-US"/>
              </w:rPr>
              <w:t xml:space="preserve"> </w:t>
            </w:r>
            <w:r w:rsidRPr="00003877">
              <w:rPr>
                <w:rFonts w:ascii="Times New Roman" w:hAnsi="Times New Roman"/>
                <w:sz w:val="24"/>
                <w:szCs w:val="24"/>
                <w:lang w:val="en-US"/>
              </w:rPr>
              <w:t>support</w:t>
            </w:r>
            <w:r w:rsidR="002D5C53">
              <w:rPr>
                <w:rFonts w:ascii="Times New Roman" w:hAnsi="Times New Roman"/>
                <w:sz w:val="24"/>
                <w:szCs w:val="24"/>
                <w:lang w:val="en-US"/>
              </w:rPr>
              <w:t xml:space="preserve"> to</w:t>
            </w:r>
            <w:r w:rsidRPr="00003877">
              <w:rPr>
                <w:rFonts w:ascii="Times New Roman" w:hAnsi="Times New Roman"/>
                <w:sz w:val="24"/>
                <w:szCs w:val="24"/>
                <w:lang w:val="en-US"/>
              </w:rPr>
              <w:t xml:space="preserve"> partner countries </w:t>
            </w:r>
            <w:r w:rsidR="002D5C53">
              <w:rPr>
                <w:rFonts w:ascii="Times New Roman" w:hAnsi="Times New Roman"/>
                <w:sz w:val="24"/>
                <w:szCs w:val="24"/>
                <w:lang w:val="en-US"/>
              </w:rPr>
              <w:t>o</w:t>
            </w:r>
            <w:r w:rsidRPr="007551A3">
              <w:rPr>
                <w:rFonts w:ascii="Times New Roman" w:hAnsi="Times New Roman"/>
                <w:sz w:val="24"/>
                <w:szCs w:val="24"/>
                <w:lang w:val="en-US"/>
              </w:rPr>
              <w:t>n climate resilience and preparedness. The EU Preparedness Union Strategy</w:t>
            </w:r>
            <w:r w:rsidR="00552628">
              <w:rPr>
                <w:rStyle w:val="FootnoteReference"/>
                <w:rFonts w:ascii="Times New Roman" w:hAnsi="Times New Roman"/>
                <w:sz w:val="24"/>
                <w:szCs w:val="24"/>
                <w:lang w:val="en-US"/>
              </w:rPr>
              <w:footnoteReference w:id="4"/>
            </w:r>
            <w:r w:rsidRPr="007551A3">
              <w:rPr>
                <w:rFonts w:ascii="Times New Roman" w:hAnsi="Times New Roman"/>
                <w:sz w:val="24"/>
                <w:szCs w:val="24"/>
                <w:lang w:val="en-US"/>
              </w:rPr>
              <w:t xml:space="preserve"> offers guidance for integrating preparedness into EU external investments.</w:t>
            </w:r>
            <w:r w:rsidR="00AC0396" w:rsidRPr="04527CB4">
              <w:rPr>
                <w:rStyle w:val="FootnoteReference"/>
                <w:rFonts w:ascii="Times New Roman" w:hAnsi="Times New Roman"/>
                <w:sz w:val="24"/>
                <w:szCs w:val="24"/>
                <w:lang w:val="en-US"/>
              </w:rPr>
              <w:footnoteReference w:id="5"/>
            </w:r>
            <w:r w:rsidRPr="00003877">
              <w:rPr>
                <w:rFonts w:ascii="Times New Roman" w:hAnsi="Times New Roman"/>
                <w:sz w:val="24"/>
                <w:szCs w:val="24"/>
                <w:lang w:val="en-US"/>
              </w:rPr>
              <w:t xml:space="preserve"> This includes strengthening climate adaptation and resilience projects through Global Gateway</w:t>
            </w:r>
            <w:r w:rsidRPr="2EAC028C">
              <w:rPr>
                <w:rFonts w:ascii="Times New Roman" w:hAnsi="Times New Roman"/>
                <w:sz w:val="24"/>
                <w:szCs w:val="24"/>
                <w:lang w:val="en-US"/>
              </w:rPr>
              <w:t xml:space="preserve"> (GG)</w:t>
            </w:r>
            <w:r w:rsidR="00552628">
              <w:rPr>
                <w:rStyle w:val="FootnoteReference"/>
                <w:rFonts w:ascii="Times New Roman" w:hAnsi="Times New Roman"/>
                <w:sz w:val="24"/>
                <w:szCs w:val="24"/>
                <w:lang w:val="en-US"/>
              </w:rPr>
              <w:footnoteReference w:id="6"/>
            </w:r>
            <w:r w:rsidRPr="00003877">
              <w:rPr>
                <w:rFonts w:ascii="Times New Roman" w:hAnsi="Times New Roman"/>
                <w:sz w:val="24"/>
                <w:szCs w:val="24"/>
                <w:lang w:val="en-US"/>
              </w:rPr>
              <w:t xml:space="preserve"> and Team Europe</w:t>
            </w:r>
            <w:r w:rsidR="00552628">
              <w:rPr>
                <w:rStyle w:val="FootnoteReference"/>
                <w:rFonts w:ascii="Times New Roman" w:hAnsi="Times New Roman"/>
                <w:sz w:val="24"/>
                <w:szCs w:val="24"/>
                <w:lang w:val="en-US"/>
              </w:rPr>
              <w:footnoteReference w:id="7"/>
            </w:r>
            <w:r w:rsidRPr="00003877">
              <w:rPr>
                <w:rFonts w:ascii="Times New Roman" w:hAnsi="Times New Roman"/>
                <w:sz w:val="24"/>
                <w:szCs w:val="24"/>
                <w:lang w:val="en-US"/>
              </w:rPr>
              <w:t xml:space="preserve"> initiatives. </w:t>
            </w:r>
            <w:r w:rsidR="00A617A9">
              <w:rPr>
                <w:rFonts w:ascii="Times New Roman" w:hAnsi="Times New Roman"/>
                <w:sz w:val="24"/>
                <w:szCs w:val="24"/>
                <w:lang w:val="en-US"/>
              </w:rPr>
              <w:t>It is t</w:t>
            </w:r>
            <w:r w:rsidRPr="00003877">
              <w:rPr>
                <w:rFonts w:ascii="Times New Roman" w:hAnsi="Times New Roman"/>
                <w:sz w:val="24"/>
                <w:szCs w:val="24"/>
                <w:lang w:val="en-US"/>
              </w:rPr>
              <w:t xml:space="preserve">o be noted that currently </w:t>
            </w:r>
            <w:r w:rsidRPr="00003877">
              <w:rPr>
                <w:rFonts w:ascii="Times New Roman" w:hAnsi="Times New Roman"/>
                <w:sz w:val="24"/>
                <w:szCs w:val="24"/>
              </w:rPr>
              <w:t xml:space="preserve">half of GG flagship are already on Climate and Energy. </w:t>
            </w:r>
            <w:r w:rsidRPr="00003877">
              <w:rPr>
                <w:rFonts w:ascii="Times New Roman" w:hAnsi="Times New Roman"/>
                <w:sz w:val="24"/>
                <w:szCs w:val="24"/>
                <w:lang w:val="en-US"/>
              </w:rPr>
              <w:t xml:space="preserve">Furthermore, </w:t>
            </w:r>
            <w:r w:rsidR="007066F8" w:rsidRPr="00A53701">
              <w:rPr>
                <w:rFonts w:ascii="Times New Roman" w:hAnsi="Times New Roman"/>
                <w:sz w:val="24"/>
                <w:szCs w:val="24"/>
              </w:rPr>
              <w:t xml:space="preserve">Neighbourhood, Development and </w:t>
            </w:r>
            <w:r w:rsidR="007066F8" w:rsidRPr="00A53701">
              <w:rPr>
                <w:rFonts w:ascii="Times New Roman" w:hAnsi="Times New Roman"/>
                <w:sz w:val="24"/>
                <w:szCs w:val="24"/>
              </w:rPr>
              <w:lastRenderedPageBreak/>
              <w:t>International Cooperation Instrument</w:t>
            </w:r>
            <w:r w:rsidR="007066F8">
              <w:rPr>
                <w:rFonts w:ascii="Times New Roman" w:hAnsi="Times New Roman"/>
                <w:sz w:val="24"/>
                <w:szCs w:val="24"/>
                <w:lang w:val="en-US"/>
              </w:rPr>
              <w:t> (</w:t>
            </w:r>
            <w:r w:rsidRPr="00003877">
              <w:rPr>
                <w:rFonts w:ascii="Times New Roman" w:hAnsi="Times New Roman"/>
                <w:sz w:val="24"/>
                <w:szCs w:val="24"/>
                <w:lang w:val="en-US"/>
              </w:rPr>
              <w:t>NDICI</w:t>
            </w:r>
            <w:r w:rsidR="007066F8">
              <w:rPr>
                <w:rFonts w:ascii="Times New Roman" w:hAnsi="Times New Roman"/>
                <w:sz w:val="24"/>
                <w:szCs w:val="24"/>
                <w:lang w:val="en-US"/>
              </w:rPr>
              <w:t>)</w:t>
            </w:r>
            <w:r w:rsidRPr="00003877">
              <w:rPr>
                <w:rFonts w:ascii="Times New Roman" w:hAnsi="Times New Roman"/>
                <w:sz w:val="24"/>
                <w:szCs w:val="24"/>
                <w:lang w:val="en-US"/>
              </w:rPr>
              <w:t>-Global Europe actions incorporate climate and environmental considerations across sectors, aligning with international commitments like the Paris Agreement and the Sendai Framework</w:t>
            </w:r>
            <w:r w:rsidR="007066F8">
              <w:rPr>
                <w:rStyle w:val="FootnoteReference"/>
                <w:rFonts w:ascii="Times New Roman" w:hAnsi="Times New Roman"/>
                <w:sz w:val="24"/>
                <w:szCs w:val="24"/>
                <w:lang w:val="en-US"/>
              </w:rPr>
              <w:footnoteReference w:id="8"/>
            </w:r>
            <w:r w:rsidRPr="00003877">
              <w:rPr>
                <w:rFonts w:ascii="Times New Roman" w:hAnsi="Times New Roman"/>
                <w:sz w:val="24"/>
                <w:szCs w:val="24"/>
                <w:lang w:val="en-US"/>
              </w:rPr>
              <w:t>. The EU, its Member States, and the European Investment Bank are leading contributors to global development assistance and climate finance, providing a</w:t>
            </w:r>
            <w:r w:rsidR="004C6F30">
              <w:rPr>
                <w:rFonts w:ascii="Times New Roman" w:hAnsi="Times New Roman"/>
                <w:sz w:val="24"/>
                <w:szCs w:val="24"/>
                <w:lang w:val="en-US"/>
              </w:rPr>
              <w:t> </w:t>
            </w:r>
            <w:r w:rsidRPr="00003877">
              <w:rPr>
                <w:rFonts w:ascii="Times New Roman" w:hAnsi="Times New Roman"/>
                <w:sz w:val="24"/>
                <w:szCs w:val="24"/>
                <w:lang w:val="en-US"/>
              </w:rPr>
              <w:t>significant share of public climate finance</w:t>
            </w:r>
            <w:r w:rsidRPr="2EAC028C">
              <w:rPr>
                <w:rFonts w:ascii="Times New Roman" w:hAnsi="Times New Roman"/>
                <w:sz w:val="24"/>
                <w:szCs w:val="24"/>
                <w:lang w:val="en-US"/>
              </w:rPr>
              <w:t>.</w:t>
            </w:r>
          </w:p>
          <w:p w14:paraId="74A77E34" w14:textId="73747AAE" w:rsidR="005765B8" w:rsidRDefault="00356A69" w:rsidP="00A53701">
            <w:pPr>
              <w:widowControl w:val="0"/>
              <w:spacing w:before="120" w:after="120"/>
              <w:jc w:val="both"/>
              <w:rPr>
                <w:rFonts w:ascii="Times New Roman" w:hAnsi="Times New Roman"/>
                <w:sz w:val="24"/>
                <w:szCs w:val="24"/>
              </w:rPr>
            </w:pPr>
            <w:r w:rsidRPr="2EAC028C">
              <w:rPr>
                <w:rFonts w:ascii="Times New Roman" w:hAnsi="Times New Roman"/>
                <w:sz w:val="24"/>
                <w:szCs w:val="24"/>
                <w:lang w:val="en-US"/>
              </w:rPr>
              <w:t xml:space="preserve">As </w:t>
            </w:r>
            <w:r w:rsidR="002D5C53">
              <w:rPr>
                <w:rFonts w:ascii="Times New Roman" w:hAnsi="Times New Roman"/>
                <w:sz w:val="24"/>
                <w:szCs w:val="24"/>
                <w:lang w:val="en-US"/>
              </w:rPr>
              <w:t>mentioned</w:t>
            </w:r>
            <w:r w:rsidR="002D5C53" w:rsidRPr="2EAC028C">
              <w:rPr>
                <w:rFonts w:ascii="Times New Roman" w:hAnsi="Times New Roman"/>
                <w:sz w:val="24"/>
                <w:szCs w:val="24"/>
                <w:lang w:val="en-US"/>
              </w:rPr>
              <w:t xml:space="preserve"> </w:t>
            </w:r>
            <w:r w:rsidRPr="2EAC028C">
              <w:rPr>
                <w:rFonts w:ascii="Times New Roman" w:hAnsi="Times New Roman"/>
                <w:sz w:val="24"/>
                <w:szCs w:val="24"/>
                <w:lang w:val="en-US"/>
              </w:rPr>
              <w:t xml:space="preserve">in </w:t>
            </w:r>
            <w:r w:rsidR="002D5C53" w:rsidRPr="00A53701">
              <w:rPr>
                <w:rFonts w:ascii="Times New Roman" w:hAnsi="Times New Roman"/>
                <w:sz w:val="24"/>
                <w:szCs w:val="24"/>
                <w:u w:val="single"/>
                <w:lang w:val="en-US"/>
              </w:rPr>
              <w:t xml:space="preserve">recommendation </w:t>
            </w:r>
            <w:r w:rsidRPr="00A53701">
              <w:rPr>
                <w:rFonts w:ascii="Times New Roman" w:hAnsi="Times New Roman"/>
                <w:sz w:val="24"/>
                <w:szCs w:val="24"/>
                <w:u w:val="single"/>
                <w:lang w:val="en-US"/>
              </w:rPr>
              <w:t>2.2</w:t>
            </w:r>
            <w:r w:rsidR="003B1F64">
              <w:rPr>
                <w:rFonts w:ascii="Times New Roman" w:hAnsi="Times New Roman"/>
                <w:sz w:val="24"/>
                <w:szCs w:val="24"/>
                <w:lang w:val="en-US"/>
              </w:rPr>
              <w:t>,</w:t>
            </w:r>
            <w:r w:rsidRPr="2EAC028C">
              <w:rPr>
                <w:rFonts w:ascii="Times New Roman" w:hAnsi="Times New Roman"/>
                <w:sz w:val="24"/>
                <w:szCs w:val="24"/>
                <w:lang w:val="en-US"/>
              </w:rPr>
              <w:t xml:space="preserve"> the </w:t>
            </w:r>
            <w:r w:rsidR="002D5C53">
              <w:rPr>
                <w:rFonts w:ascii="Times New Roman" w:hAnsi="Times New Roman"/>
                <w:sz w:val="24"/>
                <w:szCs w:val="24"/>
                <w:lang w:val="en-US"/>
              </w:rPr>
              <w:t>C</w:t>
            </w:r>
            <w:r w:rsidRPr="2EAC028C">
              <w:rPr>
                <w:rFonts w:ascii="Times New Roman" w:hAnsi="Times New Roman"/>
                <w:sz w:val="24"/>
                <w:szCs w:val="24"/>
                <w:lang w:val="en-US"/>
              </w:rPr>
              <w:t xml:space="preserve">ommission agrees that </w:t>
            </w:r>
            <w:r w:rsidRPr="2EAC028C">
              <w:rPr>
                <w:rFonts w:ascii="Times New Roman" w:hAnsi="Times New Roman"/>
                <w:sz w:val="24"/>
                <w:szCs w:val="24"/>
              </w:rPr>
              <w:t xml:space="preserve">climate-induced migration is already happening and could soon reach unprecedented proportions. Desertification, water scarcity, pollution, drought and environmental catastrophes have the potential to destabilise regions and trigger conflict and additional migration waves. </w:t>
            </w:r>
            <w:r w:rsidR="002D5C53">
              <w:rPr>
                <w:rFonts w:ascii="Times New Roman" w:hAnsi="Times New Roman"/>
                <w:sz w:val="24"/>
                <w:szCs w:val="24"/>
              </w:rPr>
              <w:t xml:space="preserve">The </w:t>
            </w:r>
            <w:r w:rsidR="005765B8" w:rsidRPr="2EAC028C">
              <w:rPr>
                <w:rFonts w:ascii="Times New Roman" w:hAnsi="Times New Roman"/>
                <w:sz w:val="24"/>
                <w:szCs w:val="24"/>
              </w:rPr>
              <w:t xml:space="preserve">Commission agrees with </w:t>
            </w:r>
            <w:r w:rsidR="0098429B" w:rsidRPr="00A53701">
              <w:rPr>
                <w:rFonts w:ascii="Times New Roman" w:hAnsi="Times New Roman"/>
                <w:sz w:val="24"/>
                <w:szCs w:val="24"/>
                <w:u w:val="single"/>
              </w:rPr>
              <w:t xml:space="preserve">recommendation </w:t>
            </w:r>
            <w:r w:rsidR="005765B8" w:rsidRPr="00A53701">
              <w:rPr>
                <w:rFonts w:ascii="Times New Roman" w:hAnsi="Times New Roman"/>
                <w:sz w:val="24"/>
                <w:szCs w:val="24"/>
                <w:u w:val="single"/>
              </w:rPr>
              <w:t>2</w:t>
            </w:r>
            <w:r w:rsidR="0098429B" w:rsidRPr="00A53701">
              <w:rPr>
                <w:rFonts w:ascii="Times New Roman" w:hAnsi="Times New Roman"/>
                <w:sz w:val="24"/>
                <w:szCs w:val="24"/>
                <w:u w:val="single"/>
              </w:rPr>
              <w:t>.</w:t>
            </w:r>
            <w:r w:rsidR="005765B8" w:rsidRPr="00A53701">
              <w:rPr>
                <w:rFonts w:ascii="Times New Roman" w:hAnsi="Times New Roman"/>
                <w:sz w:val="24"/>
                <w:szCs w:val="24"/>
                <w:u w:val="single"/>
              </w:rPr>
              <w:t>4</w:t>
            </w:r>
            <w:r w:rsidR="005765B8" w:rsidRPr="2EAC028C">
              <w:rPr>
                <w:rFonts w:ascii="Times New Roman" w:hAnsi="Times New Roman"/>
                <w:sz w:val="24"/>
                <w:szCs w:val="24"/>
              </w:rPr>
              <w:t xml:space="preserve"> that more attention should be paid to understanding the impact of slow-onset events on migratory decisions</w:t>
            </w:r>
            <w:r w:rsidR="007551A3">
              <w:rPr>
                <w:rFonts w:ascii="Times New Roman" w:hAnsi="Times New Roman"/>
                <w:sz w:val="24"/>
                <w:szCs w:val="24"/>
              </w:rPr>
              <w:t>,</w:t>
            </w:r>
            <w:r w:rsidR="005765B8" w:rsidRPr="2EAC028C">
              <w:rPr>
                <w:rFonts w:ascii="Times New Roman" w:hAnsi="Times New Roman"/>
                <w:sz w:val="24"/>
                <w:szCs w:val="24"/>
              </w:rPr>
              <w:t xml:space="preserve"> patterns</w:t>
            </w:r>
            <w:r w:rsidR="007551A3">
              <w:rPr>
                <w:rFonts w:ascii="Times New Roman" w:hAnsi="Times New Roman"/>
                <w:sz w:val="24"/>
                <w:szCs w:val="24"/>
              </w:rPr>
              <w:t xml:space="preserve"> and the many factors and trends that negatively affect the peoples lively over the coming decades.</w:t>
            </w:r>
          </w:p>
          <w:p w14:paraId="687460D8" w14:textId="03810031" w:rsidR="00394340" w:rsidRPr="0098429B" w:rsidRDefault="00394340" w:rsidP="00A53701">
            <w:pPr>
              <w:widowControl w:val="0"/>
              <w:spacing w:before="120" w:after="120"/>
              <w:jc w:val="both"/>
              <w:rPr>
                <w:rFonts w:ascii="Times New Roman" w:hAnsi="Times New Roman"/>
                <w:sz w:val="24"/>
                <w:szCs w:val="24"/>
                <w:lang w:val="en-US"/>
              </w:rPr>
            </w:pPr>
            <w:r w:rsidRPr="00003877">
              <w:rPr>
                <w:rFonts w:ascii="Times New Roman" w:hAnsi="Times New Roman"/>
                <w:sz w:val="24"/>
                <w:szCs w:val="24"/>
                <w:lang w:val="en-US"/>
              </w:rPr>
              <w:t xml:space="preserve">Regarding the possibility of expanding the scope of international protection for persons affected by climate change as requested in </w:t>
            </w:r>
            <w:r w:rsidR="002D5C53" w:rsidRPr="00A53701">
              <w:rPr>
                <w:rFonts w:ascii="Times New Roman" w:hAnsi="Times New Roman"/>
                <w:sz w:val="24"/>
                <w:szCs w:val="24"/>
                <w:u w:val="single"/>
                <w:lang w:val="en-US"/>
              </w:rPr>
              <w:t xml:space="preserve">recommendations </w:t>
            </w:r>
            <w:r w:rsidRPr="00A53701">
              <w:rPr>
                <w:rFonts w:ascii="Times New Roman" w:hAnsi="Times New Roman"/>
                <w:sz w:val="24"/>
                <w:szCs w:val="24"/>
                <w:u w:val="single"/>
                <w:lang w:val="en-US"/>
              </w:rPr>
              <w:t>1.6, 2.1.4, 2.1.5</w:t>
            </w:r>
            <w:r w:rsidRPr="00003877">
              <w:rPr>
                <w:rFonts w:ascii="Times New Roman" w:hAnsi="Times New Roman"/>
                <w:sz w:val="24"/>
                <w:szCs w:val="24"/>
                <w:lang w:val="en-US"/>
              </w:rPr>
              <w:t xml:space="preserve">, the Commission reminds the EESC that the definition of </w:t>
            </w:r>
            <w:proofErr w:type="spellStart"/>
            <w:r w:rsidR="007066F8">
              <w:rPr>
                <w:rFonts w:ascii="Times New Roman" w:hAnsi="Times New Roman"/>
                <w:sz w:val="24"/>
                <w:szCs w:val="24"/>
                <w:lang w:val="en-US"/>
              </w:rPr>
              <w:t>ʻ</w:t>
            </w:r>
            <w:r w:rsidRPr="00003877">
              <w:rPr>
                <w:rFonts w:ascii="Times New Roman" w:hAnsi="Times New Roman"/>
                <w:sz w:val="24"/>
                <w:szCs w:val="24"/>
                <w:lang w:val="en-US"/>
              </w:rPr>
              <w:t>refugee</w:t>
            </w:r>
            <w:proofErr w:type="spellEnd"/>
            <w:r w:rsidR="007066F8">
              <w:rPr>
                <w:rFonts w:ascii="Times New Roman" w:hAnsi="Times New Roman"/>
                <w:sz w:val="24"/>
                <w:szCs w:val="24"/>
                <w:lang w:val="en-US"/>
              </w:rPr>
              <w:t>’</w:t>
            </w:r>
            <w:r w:rsidRPr="00003877">
              <w:rPr>
                <w:rFonts w:ascii="Times New Roman" w:hAnsi="Times New Roman"/>
                <w:sz w:val="24"/>
                <w:szCs w:val="24"/>
                <w:lang w:val="en-US"/>
              </w:rPr>
              <w:t xml:space="preserve"> under the 1951 Geneva Convention, which is mirrored by the EU Qualification Directive</w:t>
            </w:r>
            <w:r w:rsidR="007066F8">
              <w:rPr>
                <w:rStyle w:val="FootnoteReference"/>
                <w:rFonts w:ascii="Times New Roman" w:hAnsi="Times New Roman"/>
                <w:sz w:val="24"/>
                <w:szCs w:val="24"/>
                <w:lang w:val="en-US"/>
              </w:rPr>
              <w:footnoteReference w:id="9"/>
            </w:r>
            <w:r w:rsidRPr="00003877">
              <w:rPr>
                <w:rFonts w:ascii="Times New Roman" w:hAnsi="Times New Roman"/>
                <w:sz w:val="24"/>
                <w:szCs w:val="24"/>
                <w:lang w:val="en-US"/>
              </w:rPr>
              <w:t>, and the upcoming Qualification Regulation, does not address climate change as a reason for a well-founded fear of persecution. There are currently no plans at EU level to change that definition, nor the one of ‘temporary protection’ under the Temporary Protection Directive</w:t>
            </w:r>
            <w:r w:rsidR="007066F8">
              <w:rPr>
                <w:rStyle w:val="FootnoteReference"/>
                <w:rFonts w:ascii="Times New Roman" w:hAnsi="Times New Roman"/>
                <w:sz w:val="24"/>
                <w:szCs w:val="24"/>
                <w:lang w:val="en-US"/>
              </w:rPr>
              <w:footnoteReference w:id="10"/>
            </w:r>
            <w:r w:rsidRPr="00003877">
              <w:rPr>
                <w:rFonts w:ascii="Times New Roman" w:hAnsi="Times New Roman"/>
                <w:sz w:val="24"/>
                <w:szCs w:val="24"/>
                <w:lang w:val="en-US"/>
              </w:rPr>
              <w:t xml:space="preserve"> (or to change the current scope for displaced persons from </w:t>
            </w:r>
            <w:r w:rsidR="0098429B" w:rsidRPr="2EAC028C">
              <w:rPr>
                <w:rFonts w:ascii="Times New Roman" w:hAnsi="Times New Roman"/>
                <w:sz w:val="24"/>
                <w:szCs w:val="24"/>
                <w:lang w:val="en-US"/>
              </w:rPr>
              <w:t>Ukraine</w:t>
            </w:r>
            <w:r w:rsidR="00E71BBF">
              <w:rPr>
                <w:rStyle w:val="FootnoteReference"/>
                <w:rFonts w:ascii="Times New Roman" w:hAnsi="Times New Roman"/>
                <w:sz w:val="24"/>
                <w:szCs w:val="24"/>
                <w:lang w:val="en-US"/>
              </w:rPr>
              <w:footnoteReference w:id="11"/>
            </w:r>
            <w:r w:rsidR="0098429B" w:rsidRPr="2EAC028C">
              <w:rPr>
                <w:rFonts w:ascii="Times New Roman" w:hAnsi="Times New Roman"/>
                <w:sz w:val="24"/>
                <w:szCs w:val="24"/>
                <w:lang w:val="en-US"/>
              </w:rPr>
              <w:t>) to</w:t>
            </w:r>
            <w:r w:rsidRPr="00003877">
              <w:rPr>
                <w:rFonts w:ascii="Times New Roman" w:hAnsi="Times New Roman"/>
                <w:sz w:val="24"/>
                <w:szCs w:val="24"/>
                <w:lang w:val="en-US"/>
              </w:rPr>
              <w:t xml:space="preserve"> cover migrants fleeing from countries heavily affected by disasters and climate change.</w:t>
            </w:r>
          </w:p>
          <w:p w14:paraId="1B24940D" w14:textId="17FF1DBA" w:rsidR="007B2C8F" w:rsidRDefault="007B2C8F" w:rsidP="00A53701">
            <w:pPr>
              <w:widowControl w:val="0"/>
              <w:spacing w:before="120" w:after="120"/>
              <w:jc w:val="both"/>
              <w:rPr>
                <w:rFonts w:ascii="Times New Roman" w:hAnsi="Times New Roman"/>
                <w:sz w:val="24"/>
                <w:szCs w:val="24"/>
                <w:lang w:val="en-US"/>
              </w:rPr>
            </w:pPr>
            <w:r w:rsidRPr="04527CB4">
              <w:rPr>
                <w:rFonts w:ascii="Times New Roman" w:hAnsi="Times New Roman"/>
                <w:sz w:val="24"/>
                <w:szCs w:val="24"/>
              </w:rPr>
              <w:t>The Commission agrees</w:t>
            </w:r>
            <w:r w:rsidR="00823104">
              <w:rPr>
                <w:rFonts w:ascii="Times New Roman" w:hAnsi="Times New Roman"/>
                <w:sz w:val="24"/>
                <w:szCs w:val="24"/>
              </w:rPr>
              <w:t>,</w:t>
            </w:r>
            <w:r w:rsidRPr="04527CB4">
              <w:rPr>
                <w:rFonts w:ascii="Times New Roman" w:hAnsi="Times New Roman"/>
                <w:sz w:val="24"/>
                <w:szCs w:val="24"/>
              </w:rPr>
              <w:t xml:space="preserve"> as laid </w:t>
            </w:r>
            <w:r w:rsidR="002D5C53" w:rsidRPr="04527CB4">
              <w:rPr>
                <w:rFonts w:ascii="Times New Roman" w:hAnsi="Times New Roman"/>
                <w:sz w:val="24"/>
                <w:szCs w:val="24"/>
              </w:rPr>
              <w:t xml:space="preserve">down </w:t>
            </w:r>
            <w:r w:rsidRPr="04527CB4">
              <w:rPr>
                <w:rFonts w:ascii="Times New Roman" w:hAnsi="Times New Roman"/>
                <w:sz w:val="24"/>
                <w:szCs w:val="24"/>
              </w:rPr>
              <w:t xml:space="preserve">in </w:t>
            </w:r>
            <w:r w:rsidR="002D5C53" w:rsidRPr="00A53701">
              <w:rPr>
                <w:rFonts w:ascii="Times New Roman" w:hAnsi="Times New Roman"/>
                <w:sz w:val="24"/>
                <w:szCs w:val="24"/>
                <w:u w:val="single"/>
              </w:rPr>
              <w:t xml:space="preserve">recommendations </w:t>
            </w:r>
            <w:r w:rsidRPr="00A53701">
              <w:rPr>
                <w:rFonts w:ascii="Times New Roman" w:hAnsi="Times New Roman"/>
                <w:sz w:val="24"/>
                <w:szCs w:val="24"/>
                <w:u w:val="single"/>
              </w:rPr>
              <w:t>3.1.1 and 3.1.</w:t>
            </w:r>
            <w:r w:rsidR="005E0C4B" w:rsidRPr="00A53701">
              <w:rPr>
                <w:rFonts w:ascii="Times New Roman" w:hAnsi="Times New Roman"/>
                <w:sz w:val="24"/>
                <w:szCs w:val="24"/>
                <w:u w:val="single"/>
              </w:rPr>
              <w:t>2.</w:t>
            </w:r>
            <w:r w:rsidR="00823104">
              <w:rPr>
                <w:rFonts w:ascii="Times New Roman" w:hAnsi="Times New Roman"/>
                <w:sz w:val="24"/>
                <w:szCs w:val="24"/>
                <w:u w:val="single"/>
              </w:rPr>
              <w:t>,</w:t>
            </w:r>
            <w:r w:rsidR="005E0C4B" w:rsidRPr="04527CB4">
              <w:rPr>
                <w:rFonts w:ascii="Times New Roman" w:hAnsi="Times New Roman"/>
                <w:sz w:val="24"/>
                <w:szCs w:val="24"/>
              </w:rPr>
              <w:t xml:space="preserve"> that</w:t>
            </w:r>
            <w:r w:rsidRPr="04527CB4">
              <w:rPr>
                <w:rFonts w:ascii="Times New Roman" w:hAnsi="Times New Roman"/>
                <w:sz w:val="24"/>
                <w:szCs w:val="24"/>
              </w:rPr>
              <w:t xml:space="preserve"> sustainable water management and innovation will increase resilience, strengthen businesses and boost competitiveness. Unsustainable water management undermines our overall security of supply and competitiveness. This calls for a better integration of water resilience into business decisions and an integrated vision of sustainable water management, reflecting long term climate scenarios</w:t>
            </w:r>
            <w:r w:rsidR="005E0C4B" w:rsidRPr="04527CB4">
              <w:rPr>
                <w:rFonts w:ascii="Times New Roman" w:hAnsi="Times New Roman"/>
                <w:sz w:val="24"/>
                <w:szCs w:val="24"/>
              </w:rPr>
              <w:t xml:space="preserve"> in Europe and beyond. The </w:t>
            </w:r>
            <w:r w:rsidR="002D5C53" w:rsidRPr="04527CB4">
              <w:rPr>
                <w:rFonts w:ascii="Times New Roman" w:hAnsi="Times New Roman"/>
                <w:sz w:val="24"/>
                <w:szCs w:val="24"/>
              </w:rPr>
              <w:t>C</w:t>
            </w:r>
            <w:r w:rsidR="005E0C4B" w:rsidRPr="04527CB4">
              <w:rPr>
                <w:rFonts w:ascii="Times New Roman" w:hAnsi="Times New Roman"/>
                <w:sz w:val="24"/>
                <w:szCs w:val="24"/>
              </w:rPr>
              <w:t xml:space="preserve">ommission also agrees that </w:t>
            </w:r>
            <w:r w:rsidR="00562E99" w:rsidRPr="04527CB4">
              <w:rPr>
                <w:rFonts w:ascii="Times New Roman" w:hAnsi="Times New Roman"/>
                <w:sz w:val="24"/>
                <w:szCs w:val="24"/>
              </w:rPr>
              <w:t>d</w:t>
            </w:r>
            <w:r w:rsidR="005E0C4B" w:rsidRPr="04527CB4">
              <w:rPr>
                <w:rFonts w:ascii="Times New Roman" w:hAnsi="Times New Roman"/>
                <w:sz w:val="24"/>
                <w:szCs w:val="24"/>
              </w:rPr>
              <w:t xml:space="preserve">igitalisation has significant potential for revolutionising water management and promoting sustainable water use in Europe and globally by for example through improved data and analyses. Therefore, </w:t>
            </w:r>
            <w:r w:rsidR="00562E99" w:rsidRPr="04527CB4">
              <w:rPr>
                <w:rFonts w:ascii="Times New Roman" w:hAnsi="Times New Roman"/>
                <w:sz w:val="24"/>
                <w:szCs w:val="24"/>
              </w:rPr>
              <w:t xml:space="preserve">the Commission also agrees </w:t>
            </w:r>
            <w:r w:rsidR="005E0C4B" w:rsidRPr="04527CB4">
              <w:rPr>
                <w:rFonts w:ascii="Times New Roman" w:hAnsi="Times New Roman"/>
                <w:sz w:val="24"/>
                <w:szCs w:val="24"/>
              </w:rPr>
              <w:t xml:space="preserve">with EESC </w:t>
            </w:r>
            <w:r w:rsidR="00562E99" w:rsidRPr="00A53701">
              <w:rPr>
                <w:rFonts w:ascii="Times New Roman" w:hAnsi="Times New Roman"/>
                <w:sz w:val="24"/>
                <w:szCs w:val="24"/>
                <w:u w:val="single"/>
              </w:rPr>
              <w:t xml:space="preserve">recommendation </w:t>
            </w:r>
            <w:r w:rsidR="005E0C4B" w:rsidRPr="00A53701">
              <w:rPr>
                <w:rFonts w:ascii="Times New Roman" w:hAnsi="Times New Roman"/>
                <w:sz w:val="24"/>
                <w:szCs w:val="24"/>
                <w:u w:val="single"/>
              </w:rPr>
              <w:t>5.3</w:t>
            </w:r>
            <w:r w:rsidR="005E0C4B" w:rsidRPr="04527CB4">
              <w:rPr>
                <w:rFonts w:ascii="Times New Roman" w:hAnsi="Times New Roman"/>
                <w:sz w:val="24"/>
                <w:szCs w:val="24"/>
              </w:rPr>
              <w:t xml:space="preserve"> that improving the efficiency of water management and use in agriculture is an</w:t>
            </w:r>
            <w:r w:rsidR="004C6F30">
              <w:rPr>
                <w:rFonts w:ascii="Times New Roman" w:hAnsi="Times New Roman"/>
                <w:sz w:val="24"/>
                <w:szCs w:val="24"/>
              </w:rPr>
              <w:t> </w:t>
            </w:r>
            <w:r w:rsidR="005E0C4B" w:rsidRPr="04527CB4">
              <w:rPr>
                <w:rFonts w:ascii="Times New Roman" w:hAnsi="Times New Roman"/>
                <w:sz w:val="24"/>
                <w:szCs w:val="24"/>
              </w:rPr>
              <w:t xml:space="preserve">utmost priority. As noted in the </w:t>
            </w:r>
            <w:r w:rsidR="00562E99" w:rsidRPr="04527CB4">
              <w:rPr>
                <w:rFonts w:ascii="Times New Roman" w:hAnsi="Times New Roman"/>
                <w:sz w:val="24"/>
                <w:szCs w:val="24"/>
              </w:rPr>
              <w:t>WRS</w:t>
            </w:r>
            <w:r w:rsidR="005E0C4B" w:rsidRPr="04527CB4">
              <w:rPr>
                <w:rFonts w:ascii="Times New Roman" w:hAnsi="Times New Roman"/>
                <w:sz w:val="24"/>
                <w:szCs w:val="24"/>
              </w:rPr>
              <w:t>, research and investment in the technologies that optimise the use of water is essential.</w:t>
            </w:r>
            <w:r w:rsidR="653CC8EE" w:rsidRPr="04527CB4">
              <w:rPr>
                <w:rFonts w:ascii="Times New Roman" w:hAnsi="Times New Roman"/>
                <w:sz w:val="24"/>
                <w:szCs w:val="24"/>
              </w:rPr>
              <w:t xml:space="preserve"> To support these aspects, the Partnerships Water Security for the Planet (Water4All)</w:t>
            </w:r>
            <w:r w:rsidR="4A739AF9" w:rsidRPr="04527CB4">
              <w:rPr>
                <w:rFonts w:ascii="Times New Roman" w:hAnsi="Times New Roman"/>
                <w:sz w:val="24"/>
                <w:szCs w:val="24"/>
              </w:rPr>
              <w:t>, Sustainable Blue Economy (SBEP)</w:t>
            </w:r>
            <w:r w:rsidR="653CC8EE" w:rsidRPr="04527CB4">
              <w:rPr>
                <w:rFonts w:ascii="Times New Roman" w:hAnsi="Times New Roman"/>
                <w:sz w:val="24"/>
                <w:szCs w:val="24"/>
              </w:rPr>
              <w:t xml:space="preserve"> and PRIMA (Partnership for Research and Innovation in the Mediterran</w:t>
            </w:r>
            <w:r w:rsidR="4495875D" w:rsidRPr="04527CB4">
              <w:rPr>
                <w:rFonts w:ascii="Times New Roman" w:hAnsi="Times New Roman"/>
                <w:sz w:val="24"/>
                <w:szCs w:val="24"/>
              </w:rPr>
              <w:t xml:space="preserve">ea Area) </w:t>
            </w:r>
            <w:r w:rsidR="474C8D9F" w:rsidRPr="04527CB4">
              <w:rPr>
                <w:rFonts w:ascii="Times New Roman" w:hAnsi="Times New Roman"/>
                <w:sz w:val="24"/>
                <w:szCs w:val="24"/>
              </w:rPr>
              <w:t xml:space="preserve">all </w:t>
            </w:r>
            <w:r w:rsidR="4495875D" w:rsidRPr="04527CB4">
              <w:rPr>
                <w:rFonts w:ascii="Times New Roman" w:hAnsi="Times New Roman"/>
                <w:sz w:val="24"/>
                <w:szCs w:val="24"/>
              </w:rPr>
              <w:t>have an important international component that</w:t>
            </w:r>
            <w:r w:rsidR="5EF9D675" w:rsidRPr="04527CB4">
              <w:rPr>
                <w:rFonts w:ascii="Times New Roman" w:hAnsi="Times New Roman"/>
                <w:sz w:val="24"/>
                <w:szCs w:val="24"/>
              </w:rPr>
              <w:t xml:space="preserve"> </w:t>
            </w:r>
            <w:r w:rsidR="4495875D" w:rsidRPr="04527CB4">
              <w:rPr>
                <w:rFonts w:ascii="Times New Roman" w:hAnsi="Times New Roman"/>
                <w:sz w:val="24"/>
                <w:szCs w:val="24"/>
              </w:rPr>
              <w:t>is supporting Blue Diplomacy.</w:t>
            </w:r>
          </w:p>
          <w:p w14:paraId="26B549F7" w14:textId="641FBB8E" w:rsidR="003800D1" w:rsidRPr="003800D1" w:rsidRDefault="003800D1" w:rsidP="00A53701">
            <w:pPr>
              <w:widowControl w:val="0"/>
              <w:spacing w:before="120" w:after="120"/>
              <w:jc w:val="both"/>
              <w:rPr>
                <w:rFonts w:ascii="Times New Roman" w:hAnsi="Times New Roman"/>
                <w:sz w:val="24"/>
                <w:szCs w:val="24"/>
              </w:rPr>
            </w:pPr>
            <w:r w:rsidRPr="003800D1">
              <w:rPr>
                <w:rFonts w:ascii="Times New Roman" w:hAnsi="Times New Roman"/>
                <w:sz w:val="24"/>
                <w:szCs w:val="24"/>
              </w:rPr>
              <w:lastRenderedPageBreak/>
              <w:t xml:space="preserve">Regarding </w:t>
            </w:r>
            <w:r w:rsidRPr="00A53701">
              <w:rPr>
                <w:rFonts w:ascii="Times New Roman" w:hAnsi="Times New Roman"/>
                <w:sz w:val="24"/>
                <w:szCs w:val="24"/>
                <w:u w:val="single"/>
              </w:rPr>
              <w:t>recommendation 5.5</w:t>
            </w:r>
            <w:r w:rsidRPr="003800D1">
              <w:rPr>
                <w:rFonts w:ascii="Times New Roman" w:hAnsi="Times New Roman"/>
                <w:sz w:val="24"/>
                <w:szCs w:val="24"/>
              </w:rPr>
              <w:t xml:space="preserve"> on incorporating blue diplomacy as a pillar of resilience into the EU’s Common Foreign and Security Policy and Global Gateway strategy, the Commission underscores the importance attributed to water resilience in the 2023 EU Joint Communication on the Climate and Security Nexus</w:t>
            </w:r>
            <w:r w:rsidRPr="003800D1">
              <w:rPr>
                <w:rFonts w:ascii="Times New Roman" w:hAnsi="Times New Roman"/>
                <w:sz w:val="24"/>
                <w:szCs w:val="24"/>
                <w:vertAlign w:val="superscript"/>
              </w:rPr>
              <w:footnoteReference w:id="12"/>
            </w:r>
            <w:r w:rsidRPr="003800D1">
              <w:rPr>
                <w:rFonts w:ascii="Times New Roman" w:hAnsi="Times New Roman"/>
                <w:sz w:val="24"/>
                <w:szCs w:val="24"/>
              </w:rPr>
              <w:t>. It agrees that further strengthening is needed and is addressing this through ongoing work with EU Delegations and Team Europe Initiatives under the Global Gateway strategy.</w:t>
            </w:r>
          </w:p>
          <w:p w14:paraId="0E854B13" w14:textId="18125AA7" w:rsidR="007B2C8F" w:rsidRDefault="003800D1" w:rsidP="00A53701">
            <w:pPr>
              <w:widowControl w:val="0"/>
              <w:spacing w:before="120" w:after="120"/>
              <w:jc w:val="both"/>
              <w:rPr>
                <w:rFonts w:ascii="Times New Roman" w:hAnsi="Times New Roman"/>
                <w:sz w:val="24"/>
                <w:szCs w:val="24"/>
                <w:lang w:val="en-US"/>
              </w:rPr>
            </w:pPr>
            <w:r>
              <w:rPr>
                <w:rFonts w:ascii="Times New Roman" w:hAnsi="Times New Roman"/>
                <w:sz w:val="24"/>
                <w:szCs w:val="24"/>
                <w:lang w:val="en-US"/>
              </w:rPr>
              <w:t xml:space="preserve">To continue on </w:t>
            </w:r>
            <w:r w:rsidR="00C1440B" w:rsidRPr="00003877">
              <w:rPr>
                <w:rFonts w:ascii="Times New Roman" w:hAnsi="Times New Roman"/>
                <w:sz w:val="24"/>
                <w:szCs w:val="24"/>
                <w:lang w:val="en-US"/>
              </w:rPr>
              <w:t xml:space="preserve">the </w:t>
            </w:r>
            <w:r w:rsidR="00562E99" w:rsidRPr="00A53701">
              <w:rPr>
                <w:rFonts w:ascii="Times New Roman" w:hAnsi="Times New Roman"/>
                <w:sz w:val="24"/>
                <w:szCs w:val="24"/>
                <w:u w:val="single"/>
                <w:lang w:val="en-US"/>
              </w:rPr>
              <w:t xml:space="preserve">recommendation </w:t>
            </w:r>
            <w:r w:rsidR="00C1440B" w:rsidRPr="00A53701">
              <w:rPr>
                <w:rFonts w:ascii="Times New Roman" w:hAnsi="Times New Roman"/>
                <w:sz w:val="24"/>
                <w:szCs w:val="24"/>
                <w:u w:val="single"/>
                <w:lang w:val="en-US"/>
              </w:rPr>
              <w:t>5.5</w:t>
            </w:r>
            <w:r>
              <w:rPr>
                <w:rFonts w:ascii="Times New Roman" w:hAnsi="Times New Roman"/>
                <w:sz w:val="24"/>
                <w:szCs w:val="24"/>
                <w:lang w:val="en-US"/>
              </w:rPr>
              <w:t>,</w:t>
            </w:r>
            <w:r w:rsidRPr="003800D1">
              <w:rPr>
                <w:rFonts w:ascii="Times New Roman" w:eastAsia="Times New Roman" w:hAnsi="Times New Roman"/>
              </w:rPr>
              <w:t xml:space="preserve"> </w:t>
            </w:r>
            <w:r w:rsidRPr="003800D1">
              <w:rPr>
                <w:rFonts w:ascii="Times New Roman" w:hAnsi="Times New Roman"/>
                <w:sz w:val="24"/>
                <w:szCs w:val="24"/>
              </w:rPr>
              <w:t>using trade policy as a lever to encourage sustainable water management</w:t>
            </w:r>
            <w:r w:rsidR="00562E99">
              <w:rPr>
                <w:rFonts w:ascii="Times New Roman" w:hAnsi="Times New Roman"/>
                <w:sz w:val="24"/>
                <w:szCs w:val="24"/>
                <w:lang w:val="en-US"/>
              </w:rPr>
              <w:t>,</w:t>
            </w:r>
            <w:r w:rsidR="00A74A88">
              <w:rPr>
                <w:rFonts w:ascii="Times New Roman" w:hAnsi="Times New Roman"/>
                <w:sz w:val="24"/>
                <w:szCs w:val="24"/>
                <w:lang w:val="en-US"/>
              </w:rPr>
              <w:t xml:space="preserve"> t</w:t>
            </w:r>
            <w:r w:rsidR="00C1440B" w:rsidRPr="2EAC028C">
              <w:rPr>
                <w:rFonts w:ascii="Times New Roman" w:hAnsi="Times New Roman"/>
                <w:sz w:val="24"/>
                <w:szCs w:val="24"/>
              </w:rPr>
              <w:t xml:space="preserve">he Commission wants to emphasise that </w:t>
            </w:r>
            <w:r w:rsidR="005765B8" w:rsidRPr="2EAC028C">
              <w:rPr>
                <w:rFonts w:ascii="Times New Roman" w:hAnsi="Times New Roman"/>
                <w:sz w:val="24"/>
                <w:szCs w:val="24"/>
              </w:rPr>
              <w:t>the EU remains committed to help closing the considerable gap in international water financing.</w:t>
            </w:r>
            <w:r w:rsidR="005765B8" w:rsidRPr="04527CB4">
              <w:rPr>
                <w:rStyle w:val="FootnoteReference"/>
                <w:rFonts w:ascii="Times New Roman" w:hAnsi="Times New Roman"/>
                <w:sz w:val="24"/>
                <w:szCs w:val="24"/>
              </w:rPr>
              <w:footnoteReference w:id="13"/>
            </w:r>
            <w:r w:rsidR="005765B8" w:rsidRPr="2EAC028C">
              <w:rPr>
                <w:rFonts w:ascii="Times New Roman" w:hAnsi="Times New Roman"/>
                <w:sz w:val="24"/>
                <w:szCs w:val="24"/>
              </w:rPr>
              <w:t xml:space="preserve"> </w:t>
            </w:r>
            <w:r w:rsidR="739EB8B3" w:rsidRPr="2EAC028C">
              <w:rPr>
                <w:rFonts w:ascii="Times New Roman" w:hAnsi="Times New Roman"/>
                <w:sz w:val="24"/>
                <w:szCs w:val="24"/>
              </w:rPr>
              <w:t>T</w:t>
            </w:r>
            <w:r w:rsidR="00C1440B" w:rsidRPr="2EAC028C">
              <w:rPr>
                <w:rFonts w:ascii="Times New Roman" w:hAnsi="Times New Roman"/>
                <w:sz w:val="24"/>
                <w:szCs w:val="24"/>
              </w:rPr>
              <w:t>he G</w:t>
            </w:r>
            <w:r w:rsidR="75B5E416" w:rsidRPr="2EAC028C">
              <w:rPr>
                <w:rFonts w:ascii="Times New Roman" w:hAnsi="Times New Roman"/>
                <w:sz w:val="24"/>
                <w:szCs w:val="24"/>
              </w:rPr>
              <w:t>G</w:t>
            </w:r>
            <w:r w:rsidR="00C1440B" w:rsidRPr="2EAC028C">
              <w:rPr>
                <w:rFonts w:ascii="Times New Roman" w:hAnsi="Times New Roman"/>
                <w:sz w:val="24"/>
                <w:szCs w:val="24"/>
              </w:rPr>
              <w:t xml:space="preserve"> </w:t>
            </w:r>
            <w:r w:rsidR="00C1440B" w:rsidRPr="00003877">
              <w:rPr>
                <w:rFonts w:ascii="Times New Roman" w:hAnsi="Times New Roman"/>
                <w:sz w:val="24"/>
                <w:szCs w:val="24"/>
              </w:rPr>
              <w:t>investment strategy</w:t>
            </w:r>
            <w:r w:rsidR="00C1440B" w:rsidRPr="2EAC028C">
              <w:rPr>
                <w:rFonts w:ascii="Times New Roman" w:hAnsi="Times New Roman"/>
                <w:sz w:val="24"/>
                <w:szCs w:val="24"/>
              </w:rPr>
              <w:t xml:space="preserve"> supports Blue Diplomacy and adaptation, notably through investments in transboundary water management, knowledge, disaster risk reduction, early warning systems or nature-based solutions</w:t>
            </w:r>
            <w:r w:rsidR="00C1440B" w:rsidRPr="00A53701">
              <w:rPr>
                <w:rFonts w:ascii="Times New Roman" w:hAnsi="Times New Roman"/>
                <w:sz w:val="24"/>
                <w:szCs w:val="24"/>
              </w:rPr>
              <w:t xml:space="preserve">. </w:t>
            </w:r>
            <w:r w:rsidR="00B539FF" w:rsidRPr="00A53701">
              <w:rPr>
                <w:rFonts w:ascii="Times New Roman" w:hAnsi="Times New Roman"/>
                <w:sz w:val="24"/>
                <w:szCs w:val="24"/>
                <w:lang w:val="en-US"/>
              </w:rPr>
              <w:t xml:space="preserve"> </w:t>
            </w:r>
            <w:r w:rsidR="00A74A88" w:rsidRPr="00003877">
              <w:rPr>
                <w:rFonts w:ascii="Times New Roman" w:hAnsi="Times New Roman"/>
                <w:sz w:val="24"/>
                <w:szCs w:val="24"/>
              </w:rPr>
              <w:t>With regards to the</w:t>
            </w:r>
            <w:r w:rsidR="00A74A88" w:rsidRPr="2EAC028C">
              <w:rPr>
                <w:rFonts w:ascii="Times New Roman" w:hAnsi="Times New Roman"/>
                <w:sz w:val="24"/>
                <w:szCs w:val="24"/>
                <w:lang w:val="en-US"/>
              </w:rPr>
              <w:t xml:space="preserve"> </w:t>
            </w:r>
            <w:r w:rsidR="00562E99" w:rsidRPr="00A53701">
              <w:rPr>
                <w:rFonts w:ascii="Times New Roman" w:hAnsi="Times New Roman"/>
                <w:sz w:val="24"/>
                <w:szCs w:val="24"/>
                <w:u w:val="single"/>
                <w:lang w:val="en-US"/>
              </w:rPr>
              <w:t xml:space="preserve">recommendations </w:t>
            </w:r>
            <w:r w:rsidR="00EB6F4F" w:rsidRPr="00A53701">
              <w:rPr>
                <w:rFonts w:ascii="Times New Roman" w:hAnsi="Times New Roman"/>
                <w:sz w:val="24"/>
                <w:szCs w:val="24"/>
                <w:u w:val="single"/>
                <w:lang w:val="en-US"/>
              </w:rPr>
              <w:t>6.1 and 6.4</w:t>
            </w:r>
            <w:r w:rsidR="00655EC4">
              <w:rPr>
                <w:rFonts w:ascii="Times New Roman" w:hAnsi="Times New Roman"/>
                <w:sz w:val="24"/>
                <w:szCs w:val="24"/>
                <w:lang w:val="en-US"/>
              </w:rPr>
              <w:t xml:space="preserve">, </w:t>
            </w:r>
            <w:r w:rsidR="00655EC4" w:rsidRPr="2EAC028C">
              <w:rPr>
                <w:rFonts w:ascii="Times New Roman" w:hAnsi="Times New Roman"/>
                <w:sz w:val="24"/>
                <w:szCs w:val="24"/>
                <w:lang w:val="en-US"/>
              </w:rPr>
              <w:t>the</w:t>
            </w:r>
            <w:r w:rsidR="00EB6F4F" w:rsidRPr="2EAC028C">
              <w:rPr>
                <w:rFonts w:ascii="Times New Roman" w:hAnsi="Times New Roman"/>
                <w:sz w:val="24"/>
                <w:szCs w:val="24"/>
              </w:rPr>
              <w:t xml:space="preserve"> Commission reiterates the 33</w:t>
            </w:r>
            <w:r w:rsidR="00B539FF">
              <w:rPr>
                <w:rFonts w:ascii="Times New Roman" w:hAnsi="Times New Roman"/>
                <w:sz w:val="24"/>
                <w:szCs w:val="24"/>
              </w:rPr>
              <w:t> </w:t>
            </w:r>
            <w:r w:rsidR="00EB6F4F" w:rsidRPr="2EAC028C">
              <w:rPr>
                <w:rFonts w:ascii="Times New Roman" w:hAnsi="Times New Roman"/>
                <w:sz w:val="24"/>
                <w:szCs w:val="24"/>
              </w:rPr>
              <w:t>commitments made to the Water Action Agenda</w:t>
            </w:r>
            <w:r w:rsidR="00B539FF">
              <w:rPr>
                <w:rStyle w:val="FootnoteReference"/>
                <w:rFonts w:ascii="Times New Roman" w:hAnsi="Times New Roman"/>
                <w:sz w:val="24"/>
                <w:szCs w:val="24"/>
              </w:rPr>
              <w:footnoteReference w:id="14"/>
            </w:r>
            <w:r w:rsidR="00EB6F4F" w:rsidRPr="2EAC028C">
              <w:rPr>
                <w:rFonts w:ascii="Times New Roman" w:hAnsi="Times New Roman"/>
                <w:sz w:val="24"/>
                <w:szCs w:val="24"/>
              </w:rPr>
              <w:t xml:space="preserve"> for concrete and transformative action at the UN 2023 Water Conference. </w:t>
            </w:r>
            <w:r w:rsidR="00A74A88" w:rsidRPr="2EAC028C">
              <w:rPr>
                <w:rFonts w:ascii="Times New Roman" w:hAnsi="Times New Roman"/>
                <w:sz w:val="24"/>
                <w:szCs w:val="24"/>
              </w:rPr>
              <w:t xml:space="preserve">As targeted in the WRS </w:t>
            </w:r>
            <w:r w:rsidR="00EB6F4F" w:rsidRPr="2EAC028C">
              <w:rPr>
                <w:rFonts w:ascii="Times New Roman" w:hAnsi="Times New Roman"/>
                <w:sz w:val="24"/>
                <w:szCs w:val="24"/>
              </w:rPr>
              <w:t>the EU</w:t>
            </w:r>
            <w:r w:rsidR="00A74A88" w:rsidRPr="2EAC028C">
              <w:rPr>
                <w:rFonts w:ascii="Times New Roman" w:hAnsi="Times New Roman"/>
                <w:sz w:val="24"/>
                <w:szCs w:val="24"/>
              </w:rPr>
              <w:t xml:space="preserve"> will </w:t>
            </w:r>
            <w:r w:rsidR="00EB6F4F" w:rsidRPr="2EAC028C">
              <w:rPr>
                <w:rFonts w:ascii="Times New Roman" w:hAnsi="Times New Roman"/>
                <w:sz w:val="24"/>
                <w:szCs w:val="24"/>
              </w:rPr>
              <w:t>support the access of 70</w:t>
            </w:r>
            <w:r w:rsidR="00B539FF">
              <w:rPr>
                <w:rFonts w:ascii="Times New Roman" w:hAnsi="Times New Roman"/>
                <w:sz w:val="24"/>
                <w:szCs w:val="24"/>
              </w:rPr>
              <w:t> </w:t>
            </w:r>
            <w:r w:rsidR="00EB6F4F" w:rsidRPr="2EAC028C">
              <w:rPr>
                <w:rFonts w:ascii="Times New Roman" w:hAnsi="Times New Roman"/>
                <w:sz w:val="24"/>
                <w:szCs w:val="24"/>
              </w:rPr>
              <w:t>million individuals to an improved drinking water source and/or sanitation facility by 2030 and commits to develop its work to mobilise the private sector with innovative financing under the European Fund for Sustainable Development</w:t>
            </w:r>
            <w:r w:rsidR="00B539FF">
              <w:rPr>
                <w:rFonts w:ascii="Times New Roman" w:hAnsi="Times New Roman"/>
                <w:sz w:val="24"/>
                <w:szCs w:val="24"/>
              </w:rPr>
              <w:t> </w:t>
            </w:r>
            <w:r w:rsidR="00EB6F4F" w:rsidRPr="2EAC028C">
              <w:rPr>
                <w:rFonts w:ascii="Times New Roman" w:hAnsi="Times New Roman"/>
                <w:sz w:val="24"/>
                <w:szCs w:val="24"/>
              </w:rPr>
              <w:t>(EFSD+) to further increase its reach.</w:t>
            </w:r>
          </w:p>
          <w:p w14:paraId="74867299" w14:textId="64849156" w:rsidR="007B2C8F" w:rsidRPr="00003877" w:rsidRDefault="007B2C8F" w:rsidP="00A53701">
            <w:pPr>
              <w:widowControl w:val="0"/>
              <w:spacing w:before="120" w:after="120"/>
              <w:jc w:val="both"/>
              <w:rPr>
                <w:rFonts w:ascii="Times New Roman" w:hAnsi="Times New Roman"/>
                <w:sz w:val="24"/>
                <w:szCs w:val="24"/>
                <w:lang w:val="en-US"/>
              </w:rPr>
            </w:pPr>
            <w:r w:rsidRPr="2EAC028C">
              <w:rPr>
                <w:rFonts w:ascii="Times New Roman" w:hAnsi="Times New Roman"/>
                <w:sz w:val="24"/>
                <w:szCs w:val="24"/>
              </w:rPr>
              <w:t xml:space="preserve">The </w:t>
            </w:r>
            <w:r w:rsidR="00562E99">
              <w:rPr>
                <w:rFonts w:ascii="Times New Roman" w:hAnsi="Times New Roman"/>
                <w:sz w:val="24"/>
                <w:szCs w:val="24"/>
              </w:rPr>
              <w:t>C</w:t>
            </w:r>
            <w:r w:rsidRPr="2EAC028C">
              <w:rPr>
                <w:rFonts w:ascii="Times New Roman" w:hAnsi="Times New Roman"/>
                <w:sz w:val="24"/>
                <w:szCs w:val="24"/>
              </w:rPr>
              <w:t xml:space="preserve">ommission agrees that </w:t>
            </w:r>
            <w:r w:rsidR="7B4E6E79" w:rsidRPr="2EAC028C">
              <w:rPr>
                <w:rFonts w:ascii="Times New Roman" w:hAnsi="Times New Roman"/>
                <w:sz w:val="24"/>
                <w:szCs w:val="24"/>
              </w:rPr>
              <w:t xml:space="preserve">adequate </w:t>
            </w:r>
            <w:r w:rsidRPr="2EAC028C">
              <w:rPr>
                <w:rFonts w:ascii="Times New Roman" w:hAnsi="Times New Roman"/>
                <w:sz w:val="24"/>
                <w:szCs w:val="24"/>
              </w:rPr>
              <w:t xml:space="preserve">institutions and governance is often the linchpin of water security and that even the best laws or technologies falter without capable institutions as per </w:t>
            </w:r>
            <w:r w:rsidR="00562E99" w:rsidRPr="00A53701">
              <w:rPr>
                <w:rFonts w:ascii="Times New Roman" w:hAnsi="Times New Roman"/>
                <w:sz w:val="24"/>
                <w:szCs w:val="24"/>
                <w:u w:val="single"/>
                <w:lang w:val="en-US"/>
              </w:rPr>
              <w:t xml:space="preserve">recommendation </w:t>
            </w:r>
            <w:r w:rsidRPr="00A53701">
              <w:rPr>
                <w:rFonts w:ascii="Times New Roman" w:hAnsi="Times New Roman"/>
                <w:sz w:val="24"/>
                <w:szCs w:val="24"/>
                <w:u w:val="single"/>
              </w:rPr>
              <w:t>6.7</w:t>
            </w:r>
            <w:r w:rsidRPr="2EAC028C">
              <w:rPr>
                <w:rFonts w:ascii="Times New Roman" w:hAnsi="Times New Roman"/>
                <w:sz w:val="24"/>
                <w:szCs w:val="24"/>
              </w:rPr>
              <w:t>. Th</w:t>
            </w:r>
            <w:r w:rsidR="5EC79A28" w:rsidRPr="2EAC028C">
              <w:rPr>
                <w:rFonts w:ascii="Times New Roman" w:hAnsi="Times New Roman"/>
                <w:sz w:val="24"/>
                <w:szCs w:val="24"/>
              </w:rPr>
              <w:t>ese</w:t>
            </w:r>
            <w:r w:rsidRPr="2EAC028C">
              <w:rPr>
                <w:rFonts w:ascii="Times New Roman" w:hAnsi="Times New Roman"/>
                <w:sz w:val="24"/>
                <w:szCs w:val="24"/>
              </w:rPr>
              <w:t xml:space="preserve"> </w:t>
            </w:r>
            <w:r w:rsidR="6D44A76E" w:rsidRPr="2EAC028C">
              <w:rPr>
                <w:rFonts w:ascii="Times New Roman" w:hAnsi="Times New Roman"/>
                <w:sz w:val="24"/>
                <w:szCs w:val="24"/>
              </w:rPr>
              <w:t>are key elements of</w:t>
            </w:r>
            <w:r w:rsidRPr="2EAC028C">
              <w:rPr>
                <w:rFonts w:ascii="Times New Roman" w:hAnsi="Times New Roman"/>
                <w:sz w:val="24"/>
                <w:szCs w:val="24"/>
              </w:rPr>
              <w:t xml:space="preserve"> achieving the </w:t>
            </w:r>
            <w:r w:rsidR="00B539FF" w:rsidRPr="00A53701">
              <w:rPr>
                <w:rFonts w:ascii="Times New Roman" w:hAnsi="Times New Roman"/>
                <w:sz w:val="24"/>
                <w:szCs w:val="24"/>
              </w:rPr>
              <w:t>Sustainable Development Goal</w:t>
            </w:r>
            <w:r w:rsidR="00B539FF">
              <w:rPr>
                <w:rFonts w:ascii="Times New Roman" w:hAnsi="Times New Roman"/>
                <w:sz w:val="24"/>
                <w:szCs w:val="24"/>
              </w:rPr>
              <w:t> (</w:t>
            </w:r>
            <w:r w:rsidRPr="2EAC028C">
              <w:rPr>
                <w:rFonts w:ascii="Times New Roman" w:hAnsi="Times New Roman"/>
                <w:sz w:val="24"/>
                <w:szCs w:val="24"/>
              </w:rPr>
              <w:t>SDG</w:t>
            </w:r>
            <w:r w:rsidR="00B539FF">
              <w:rPr>
                <w:rFonts w:ascii="Times New Roman" w:hAnsi="Times New Roman"/>
                <w:sz w:val="24"/>
                <w:szCs w:val="24"/>
              </w:rPr>
              <w:t>) </w:t>
            </w:r>
            <w:r w:rsidRPr="2EAC028C">
              <w:rPr>
                <w:rFonts w:ascii="Times New Roman" w:hAnsi="Times New Roman"/>
                <w:sz w:val="24"/>
                <w:szCs w:val="24"/>
              </w:rPr>
              <w:t>6</w:t>
            </w:r>
            <w:r w:rsidR="0FB35D74" w:rsidRPr="2EAC028C">
              <w:rPr>
                <w:rFonts w:ascii="Times New Roman" w:hAnsi="Times New Roman"/>
                <w:sz w:val="24"/>
                <w:szCs w:val="24"/>
              </w:rPr>
              <w:t>.</w:t>
            </w:r>
            <w:r w:rsidR="7070394B" w:rsidRPr="2EAC028C">
              <w:rPr>
                <w:rFonts w:ascii="Times New Roman" w:hAnsi="Times New Roman"/>
                <w:sz w:val="24"/>
                <w:szCs w:val="24"/>
              </w:rPr>
              <w:t xml:space="preserve"> along with the </w:t>
            </w:r>
            <w:r w:rsidR="606237B6" w:rsidRPr="2EAC028C">
              <w:rPr>
                <w:rFonts w:ascii="Times New Roman" w:hAnsi="Times New Roman"/>
                <w:sz w:val="24"/>
                <w:szCs w:val="24"/>
              </w:rPr>
              <w:t>I</w:t>
            </w:r>
            <w:r w:rsidRPr="2EAC028C">
              <w:rPr>
                <w:rFonts w:ascii="Times New Roman" w:hAnsi="Times New Roman"/>
                <w:sz w:val="24"/>
                <w:szCs w:val="24"/>
              </w:rPr>
              <w:t>ntegrated water resource management</w:t>
            </w:r>
            <w:r w:rsidR="00B539FF">
              <w:rPr>
                <w:rFonts w:ascii="Times New Roman" w:hAnsi="Times New Roman"/>
                <w:sz w:val="24"/>
                <w:szCs w:val="24"/>
              </w:rPr>
              <w:t> </w:t>
            </w:r>
            <w:r w:rsidRPr="2EAC028C">
              <w:rPr>
                <w:rFonts w:ascii="Times New Roman" w:hAnsi="Times New Roman"/>
                <w:sz w:val="24"/>
                <w:szCs w:val="24"/>
              </w:rPr>
              <w:t>(IWRM) recognising the interconnectedness of rivers, aquifers, land use and ecosystems.</w:t>
            </w:r>
            <w:r w:rsidR="436E045B" w:rsidRPr="2EAC028C">
              <w:rPr>
                <w:rFonts w:ascii="Times New Roman" w:hAnsi="Times New Roman"/>
                <w:sz w:val="24"/>
                <w:szCs w:val="24"/>
              </w:rPr>
              <w:t xml:space="preserve"> </w:t>
            </w:r>
            <w:r w:rsidR="00562E99">
              <w:rPr>
                <w:rFonts w:ascii="Times New Roman" w:hAnsi="Times New Roman"/>
                <w:sz w:val="24"/>
                <w:szCs w:val="24"/>
              </w:rPr>
              <w:t>It i</w:t>
            </w:r>
            <w:r w:rsidR="436E045B" w:rsidRPr="2EAC028C">
              <w:rPr>
                <w:rFonts w:ascii="Times New Roman" w:hAnsi="Times New Roman"/>
                <w:sz w:val="24"/>
                <w:szCs w:val="24"/>
              </w:rPr>
              <w:t xml:space="preserve">s also </w:t>
            </w:r>
            <w:r w:rsidR="123F735B" w:rsidRPr="2EAC028C">
              <w:rPr>
                <w:rFonts w:ascii="Times New Roman" w:hAnsi="Times New Roman"/>
                <w:sz w:val="24"/>
                <w:szCs w:val="24"/>
              </w:rPr>
              <w:t>laid</w:t>
            </w:r>
            <w:r w:rsidR="005E0C4B" w:rsidRPr="2EAC028C">
              <w:rPr>
                <w:rFonts w:ascii="Times New Roman" w:hAnsi="Times New Roman"/>
                <w:sz w:val="24"/>
                <w:szCs w:val="24"/>
              </w:rPr>
              <w:t xml:space="preserve"> out </w:t>
            </w:r>
            <w:r w:rsidR="00562E99">
              <w:rPr>
                <w:rFonts w:ascii="Times New Roman" w:hAnsi="Times New Roman"/>
                <w:sz w:val="24"/>
                <w:szCs w:val="24"/>
              </w:rPr>
              <w:t xml:space="preserve">as </w:t>
            </w:r>
            <w:r w:rsidR="00562E99" w:rsidRPr="2EAC028C">
              <w:rPr>
                <w:rFonts w:ascii="Times New Roman" w:hAnsi="Times New Roman"/>
                <w:sz w:val="24"/>
                <w:szCs w:val="24"/>
              </w:rPr>
              <w:t xml:space="preserve">of key importance </w:t>
            </w:r>
            <w:r w:rsidR="005E0C4B" w:rsidRPr="2EAC028C">
              <w:rPr>
                <w:rFonts w:ascii="Times New Roman" w:hAnsi="Times New Roman"/>
                <w:sz w:val="24"/>
                <w:szCs w:val="24"/>
              </w:rPr>
              <w:t>in the WRS.</w:t>
            </w:r>
          </w:p>
          <w:p w14:paraId="3AF6B215" w14:textId="4CC88FC5" w:rsidR="00C1440B" w:rsidRPr="00003877" w:rsidRDefault="005E0C4B" w:rsidP="00A53701">
            <w:pPr>
              <w:widowControl w:val="0"/>
              <w:spacing w:before="120" w:after="120"/>
              <w:jc w:val="both"/>
              <w:rPr>
                <w:rFonts w:ascii="Times New Roman" w:hAnsi="Times New Roman"/>
                <w:sz w:val="24"/>
                <w:szCs w:val="24"/>
              </w:rPr>
            </w:pPr>
            <w:r w:rsidRPr="04527CB4">
              <w:rPr>
                <w:rFonts w:ascii="Times New Roman" w:hAnsi="Times New Roman"/>
                <w:sz w:val="24"/>
                <w:szCs w:val="24"/>
              </w:rPr>
              <w:t xml:space="preserve">The Commission would like to thank the EESC in particular for </w:t>
            </w:r>
            <w:r w:rsidR="00356A69" w:rsidRPr="04527CB4">
              <w:rPr>
                <w:rFonts w:ascii="Times New Roman" w:hAnsi="Times New Roman"/>
                <w:sz w:val="24"/>
                <w:szCs w:val="24"/>
              </w:rPr>
              <w:t>the significance i</w:t>
            </w:r>
            <w:r w:rsidR="00356A69" w:rsidRPr="00CA4F1B">
              <w:rPr>
                <w:rFonts w:ascii="Times New Roman" w:eastAsia="Times New Roman" w:hAnsi="Times New Roman"/>
                <w:sz w:val="24"/>
                <w:szCs w:val="24"/>
              </w:rPr>
              <w:t xml:space="preserve">t gives to the </w:t>
            </w:r>
            <w:r w:rsidRPr="00CA4F1B">
              <w:rPr>
                <w:rFonts w:ascii="Times New Roman" w:eastAsia="Times New Roman" w:hAnsi="Times New Roman"/>
                <w:sz w:val="24"/>
                <w:szCs w:val="24"/>
              </w:rPr>
              <w:t>blue diplomacy</w:t>
            </w:r>
            <w:r w:rsidR="00356A69" w:rsidRPr="00CA4F1B">
              <w:rPr>
                <w:rFonts w:ascii="Times New Roman" w:eastAsia="Times New Roman" w:hAnsi="Times New Roman"/>
                <w:sz w:val="24"/>
                <w:szCs w:val="24"/>
              </w:rPr>
              <w:t xml:space="preserve">. </w:t>
            </w:r>
            <w:r w:rsidR="0D91FA65" w:rsidRPr="00CA4F1B">
              <w:rPr>
                <w:rFonts w:ascii="Times New Roman" w:eastAsia="Times New Roman" w:hAnsi="Times New Roman"/>
                <w:sz w:val="24"/>
                <w:szCs w:val="24"/>
                <w:lang w:val="en-IE"/>
              </w:rPr>
              <w:t>The</w:t>
            </w:r>
            <w:r w:rsidR="0D91FA65" w:rsidRPr="04527CB4">
              <w:rPr>
                <w:rFonts w:ascii="Times New Roman" w:eastAsia="Times New Roman" w:hAnsi="Times New Roman"/>
                <w:color w:val="4EA72E"/>
                <w:sz w:val="24"/>
                <w:szCs w:val="24"/>
                <w:lang w:val="en-IE"/>
              </w:rPr>
              <w:t xml:space="preserve"> </w:t>
            </w:r>
            <w:r w:rsidR="0D91FA65" w:rsidRPr="04527CB4">
              <w:rPr>
                <w:rFonts w:ascii="Times New Roman" w:eastAsia="Times New Roman" w:hAnsi="Times New Roman"/>
                <w:sz w:val="24"/>
                <w:szCs w:val="24"/>
                <w:lang w:val="en-IE"/>
              </w:rPr>
              <w:t>EU is a global leader on water. It contributed to the 2023 U</w:t>
            </w:r>
            <w:r w:rsidR="00B539FF">
              <w:rPr>
                <w:rFonts w:ascii="Times New Roman" w:eastAsia="Times New Roman" w:hAnsi="Times New Roman"/>
                <w:sz w:val="24"/>
                <w:szCs w:val="24"/>
                <w:lang w:val="en-IE"/>
              </w:rPr>
              <w:t>n</w:t>
            </w:r>
            <w:r w:rsidR="00471CDA">
              <w:rPr>
                <w:rFonts w:ascii="Times New Roman" w:eastAsia="Times New Roman" w:hAnsi="Times New Roman"/>
                <w:sz w:val="24"/>
                <w:szCs w:val="24"/>
                <w:lang w:val="en-IE"/>
              </w:rPr>
              <w:t>i</w:t>
            </w:r>
            <w:r w:rsidR="00B539FF">
              <w:rPr>
                <w:rFonts w:ascii="Times New Roman" w:eastAsia="Times New Roman" w:hAnsi="Times New Roman"/>
                <w:sz w:val="24"/>
                <w:szCs w:val="24"/>
                <w:lang w:val="en-IE"/>
              </w:rPr>
              <w:t xml:space="preserve">ted </w:t>
            </w:r>
            <w:r w:rsidR="0D91FA65" w:rsidRPr="04527CB4">
              <w:rPr>
                <w:rFonts w:ascii="Times New Roman" w:eastAsia="Times New Roman" w:hAnsi="Times New Roman"/>
                <w:sz w:val="24"/>
                <w:szCs w:val="24"/>
                <w:lang w:val="en-IE"/>
              </w:rPr>
              <w:t>N</w:t>
            </w:r>
            <w:r w:rsidR="00B539FF">
              <w:rPr>
                <w:rFonts w:ascii="Times New Roman" w:eastAsia="Times New Roman" w:hAnsi="Times New Roman"/>
                <w:sz w:val="24"/>
                <w:szCs w:val="24"/>
                <w:lang w:val="en-IE"/>
              </w:rPr>
              <w:t>ations</w:t>
            </w:r>
            <w:r w:rsidR="0D91FA65" w:rsidRPr="04527CB4">
              <w:rPr>
                <w:rFonts w:ascii="Times New Roman" w:eastAsia="Times New Roman" w:hAnsi="Times New Roman"/>
                <w:sz w:val="24"/>
                <w:szCs w:val="24"/>
                <w:lang w:val="en-IE"/>
              </w:rPr>
              <w:t xml:space="preserve"> Water Conference and will do so for the UN Water Conferences in 2026 and 2028. The EU is further supporting the work of the UN Special Envoy on Water as well as the implementation of the UN System-wide Strategy for</w:t>
            </w:r>
            <w:r w:rsidR="0D91FA65" w:rsidRPr="04527CB4">
              <w:rPr>
                <w:rFonts w:ascii="Times New Roman" w:hAnsi="Times New Roman"/>
                <w:sz w:val="24"/>
                <w:szCs w:val="24"/>
                <w:lang w:val="en-IE"/>
              </w:rPr>
              <w:t xml:space="preserve"> Water and Sanitation.</w:t>
            </w:r>
            <w:r w:rsidR="0D91FA65" w:rsidRPr="04527CB4">
              <w:rPr>
                <w:rFonts w:ascii="Times New Roman" w:hAnsi="Times New Roman"/>
                <w:sz w:val="24"/>
                <w:szCs w:val="24"/>
              </w:rPr>
              <w:t xml:space="preserve"> </w:t>
            </w:r>
            <w:r w:rsidRPr="04527CB4">
              <w:rPr>
                <w:rFonts w:ascii="Times New Roman" w:hAnsi="Times New Roman"/>
                <w:sz w:val="24"/>
                <w:szCs w:val="24"/>
              </w:rPr>
              <w:t xml:space="preserve">As per </w:t>
            </w:r>
            <w:r w:rsidR="00356A69" w:rsidRPr="00A53701">
              <w:rPr>
                <w:rFonts w:ascii="Times New Roman" w:hAnsi="Times New Roman"/>
                <w:sz w:val="24"/>
                <w:szCs w:val="24"/>
                <w:u w:val="single"/>
              </w:rPr>
              <w:t xml:space="preserve">recommendation </w:t>
            </w:r>
            <w:r w:rsidRPr="00A53701">
              <w:rPr>
                <w:rFonts w:ascii="Times New Roman" w:hAnsi="Times New Roman"/>
                <w:sz w:val="24"/>
                <w:szCs w:val="24"/>
                <w:u w:val="single"/>
              </w:rPr>
              <w:t>6.5</w:t>
            </w:r>
            <w:r w:rsidR="00562E99" w:rsidRPr="04527CB4">
              <w:rPr>
                <w:rFonts w:ascii="Times New Roman" w:hAnsi="Times New Roman"/>
                <w:sz w:val="24"/>
                <w:szCs w:val="24"/>
              </w:rPr>
              <w:t>,</w:t>
            </w:r>
            <w:r w:rsidRPr="04527CB4">
              <w:rPr>
                <w:rFonts w:ascii="Times New Roman" w:hAnsi="Times New Roman"/>
                <w:sz w:val="24"/>
                <w:szCs w:val="24"/>
              </w:rPr>
              <w:t xml:space="preserve"> the EU continues to advocate </w:t>
            </w:r>
            <w:r w:rsidR="778A1087" w:rsidRPr="04527CB4">
              <w:rPr>
                <w:rFonts w:ascii="Times New Roman" w:hAnsi="Times New Roman"/>
                <w:sz w:val="24"/>
                <w:szCs w:val="24"/>
              </w:rPr>
              <w:t xml:space="preserve">for </w:t>
            </w:r>
            <w:r w:rsidRPr="04527CB4">
              <w:rPr>
                <w:rFonts w:ascii="Times New Roman" w:hAnsi="Times New Roman"/>
                <w:sz w:val="24"/>
                <w:szCs w:val="24"/>
              </w:rPr>
              <w:t xml:space="preserve">inclusive UN processes on water including Indigenous Peoples, civil society and youth. </w:t>
            </w:r>
            <w:r w:rsidR="00356A69" w:rsidRPr="04527CB4">
              <w:rPr>
                <w:rFonts w:ascii="Times New Roman" w:hAnsi="Times New Roman"/>
                <w:sz w:val="24"/>
                <w:szCs w:val="24"/>
              </w:rPr>
              <w:t xml:space="preserve">As per </w:t>
            </w:r>
            <w:r w:rsidR="00562E99" w:rsidRPr="00A53701">
              <w:rPr>
                <w:rFonts w:ascii="Times New Roman" w:hAnsi="Times New Roman"/>
                <w:sz w:val="24"/>
                <w:szCs w:val="24"/>
                <w:u w:val="single"/>
                <w:lang w:val="en-US"/>
              </w:rPr>
              <w:t xml:space="preserve">recommendation </w:t>
            </w:r>
            <w:r w:rsidR="00356A69" w:rsidRPr="00A53701">
              <w:rPr>
                <w:rFonts w:ascii="Times New Roman" w:hAnsi="Times New Roman"/>
                <w:sz w:val="24"/>
                <w:szCs w:val="24"/>
                <w:u w:val="single"/>
              </w:rPr>
              <w:t>6.6</w:t>
            </w:r>
            <w:r w:rsidR="00562E99" w:rsidRPr="00A53701">
              <w:rPr>
                <w:rFonts w:ascii="Times New Roman" w:hAnsi="Times New Roman"/>
                <w:sz w:val="24"/>
                <w:szCs w:val="24"/>
                <w:u w:val="single"/>
              </w:rPr>
              <w:t>,</w:t>
            </w:r>
            <w:r w:rsidR="00562E99" w:rsidRPr="04527CB4">
              <w:rPr>
                <w:rFonts w:ascii="Times New Roman" w:hAnsi="Times New Roman"/>
                <w:sz w:val="24"/>
                <w:szCs w:val="24"/>
              </w:rPr>
              <w:t xml:space="preserve"> the</w:t>
            </w:r>
            <w:r w:rsidR="00356A69" w:rsidRPr="04527CB4">
              <w:rPr>
                <w:rFonts w:ascii="Times New Roman" w:hAnsi="Times New Roman"/>
                <w:sz w:val="24"/>
                <w:szCs w:val="24"/>
              </w:rPr>
              <w:t xml:space="preserve"> Commission agrees that an effective blue diplomacy strategy requires the coordinated engagement of governments, regional organisations river basin commissions and cross-border institutions, European institutions, international organisations, </w:t>
            </w:r>
            <w:r w:rsidR="00471CDA">
              <w:rPr>
                <w:rFonts w:ascii="Times New Roman" w:hAnsi="Times New Roman"/>
                <w:sz w:val="24"/>
                <w:szCs w:val="24"/>
              </w:rPr>
              <w:t>n</w:t>
            </w:r>
            <w:r w:rsidR="00471CDA" w:rsidRPr="00A53701">
              <w:rPr>
                <w:rFonts w:ascii="Times New Roman" w:hAnsi="Times New Roman"/>
                <w:sz w:val="24"/>
                <w:szCs w:val="24"/>
              </w:rPr>
              <w:t>on-</w:t>
            </w:r>
            <w:r w:rsidR="00471CDA">
              <w:rPr>
                <w:rFonts w:ascii="Times New Roman" w:hAnsi="Times New Roman"/>
                <w:sz w:val="24"/>
                <w:szCs w:val="24"/>
              </w:rPr>
              <w:t>g</w:t>
            </w:r>
            <w:r w:rsidR="00471CDA" w:rsidRPr="00A53701">
              <w:rPr>
                <w:rFonts w:ascii="Times New Roman" w:hAnsi="Times New Roman"/>
                <w:sz w:val="24"/>
                <w:szCs w:val="24"/>
              </w:rPr>
              <w:t>overnmental</w:t>
            </w:r>
            <w:r w:rsidR="00471CDA">
              <w:rPr>
                <w:rFonts w:ascii="Times New Roman" w:hAnsi="Times New Roman"/>
                <w:sz w:val="24"/>
                <w:szCs w:val="24"/>
              </w:rPr>
              <w:t xml:space="preserve"> o</w:t>
            </w:r>
            <w:r w:rsidR="00471CDA" w:rsidRPr="00A53701">
              <w:rPr>
                <w:rFonts w:ascii="Times New Roman" w:hAnsi="Times New Roman"/>
                <w:sz w:val="24"/>
                <w:szCs w:val="24"/>
              </w:rPr>
              <w:t>rganizations</w:t>
            </w:r>
            <w:r w:rsidR="00471CDA">
              <w:rPr>
                <w:rFonts w:ascii="Times New Roman" w:hAnsi="Times New Roman"/>
                <w:sz w:val="24"/>
                <w:szCs w:val="24"/>
              </w:rPr>
              <w:t> </w:t>
            </w:r>
            <w:r w:rsidR="00B539FF">
              <w:rPr>
                <w:rFonts w:ascii="Times New Roman" w:hAnsi="Times New Roman"/>
                <w:sz w:val="24"/>
                <w:szCs w:val="24"/>
              </w:rPr>
              <w:t>(</w:t>
            </w:r>
            <w:r w:rsidR="00356A69" w:rsidRPr="04527CB4">
              <w:rPr>
                <w:rFonts w:ascii="Times New Roman" w:hAnsi="Times New Roman"/>
                <w:sz w:val="24"/>
                <w:szCs w:val="24"/>
              </w:rPr>
              <w:t>NGOs</w:t>
            </w:r>
            <w:r w:rsidR="00B539FF">
              <w:rPr>
                <w:rFonts w:ascii="Times New Roman" w:hAnsi="Times New Roman"/>
                <w:sz w:val="24"/>
                <w:szCs w:val="24"/>
              </w:rPr>
              <w:t>)</w:t>
            </w:r>
            <w:r w:rsidR="00356A69" w:rsidRPr="04527CB4">
              <w:rPr>
                <w:rFonts w:ascii="Times New Roman" w:hAnsi="Times New Roman"/>
                <w:sz w:val="24"/>
                <w:szCs w:val="24"/>
              </w:rPr>
              <w:t>, private-sector actors and local communities to ensure that water governance aligns with climate resilience, trade, conflict prevention and finance.</w:t>
            </w:r>
          </w:p>
          <w:p w14:paraId="30D14481" w14:textId="2710F2F1" w:rsidR="00A25B35" w:rsidRPr="00A25B35" w:rsidRDefault="00A25B35" w:rsidP="00A53701">
            <w:pPr>
              <w:widowControl w:val="0"/>
              <w:spacing w:before="120" w:after="120"/>
              <w:jc w:val="both"/>
              <w:rPr>
                <w:rFonts w:ascii="Times New Roman" w:hAnsi="Times New Roman"/>
                <w:sz w:val="24"/>
                <w:szCs w:val="24"/>
              </w:rPr>
            </w:pPr>
            <w:r w:rsidRPr="2EAC028C">
              <w:rPr>
                <w:rFonts w:ascii="Times New Roman" w:hAnsi="Times New Roman"/>
                <w:sz w:val="24"/>
                <w:szCs w:val="24"/>
              </w:rPr>
              <w:t xml:space="preserve">The Commission would like to </w:t>
            </w:r>
            <w:r w:rsidR="005765B8" w:rsidRPr="2EAC028C">
              <w:rPr>
                <w:rFonts w:ascii="Times New Roman" w:hAnsi="Times New Roman"/>
                <w:sz w:val="24"/>
                <w:szCs w:val="24"/>
              </w:rPr>
              <w:t xml:space="preserve">thank the EESC for </w:t>
            </w:r>
            <w:r w:rsidR="00562E99">
              <w:rPr>
                <w:rFonts w:ascii="Times New Roman" w:hAnsi="Times New Roman"/>
                <w:sz w:val="24"/>
                <w:szCs w:val="24"/>
              </w:rPr>
              <w:t xml:space="preserve">its </w:t>
            </w:r>
            <w:r w:rsidR="007551A3">
              <w:rPr>
                <w:rFonts w:ascii="Times New Roman" w:hAnsi="Times New Roman"/>
                <w:sz w:val="24"/>
                <w:szCs w:val="24"/>
              </w:rPr>
              <w:t>o</w:t>
            </w:r>
            <w:r w:rsidR="00562E99">
              <w:rPr>
                <w:rFonts w:ascii="Times New Roman" w:hAnsi="Times New Roman"/>
                <w:sz w:val="24"/>
                <w:szCs w:val="24"/>
              </w:rPr>
              <w:t>pinion</w:t>
            </w:r>
            <w:r w:rsidR="00562E99" w:rsidRPr="2EAC028C">
              <w:rPr>
                <w:rFonts w:ascii="Times New Roman" w:hAnsi="Times New Roman"/>
                <w:sz w:val="24"/>
                <w:szCs w:val="24"/>
              </w:rPr>
              <w:t xml:space="preserve"> </w:t>
            </w:r>
            <w:r w:rsidR="005765B8" w:rsidRPr="2EAC028C">
              <w:rPr>
                <w:rFonts w:ascii="Times New Roman" w:hAnsi="Times New Roman"/>
                <w:sz w:val="24"/>
                <w:szCs w:val="24"/>
              </w:rPr>
              <w:t xml:space="preserve">on </w:t>
            </w:r>
            <w:r w:rsidR="005765B8" w:rsidRPr="00003877">
              <w:rPr>
                <w:rFonts w:ascii="Times New Roman" w:hAnsi="Times New Roman"/>
                <w:sz w:val="24"/>
                <w:szCs w:val="24"/>
              </w:rPr>
              <w:t xml:space="preserve">Blue diplomacy and water </w:t>
            </w:r>
            <w:r w:rsidR="003800D1" w:rsidRPr="00003877">
              <w:rPr>
                <w:rFonts w:ascii="Times New Roman" w:hAnsi="Times New Roman"/>
                <w:sz w:val="24"/>
                <w:szCs w:val="24"/>
              </w:rPr>
              <w:t xml:space="preserve">cooperation </w:t>
            </w:r>
            <w:r w:rsidR="003800D1" w:rsidRPr="2EAC028C">
              <w:rPr>
                <w:rFonts w:ascii="Times New Roman" w:hAnsi="Times New Roman"/>
                <w:sz w:val="24"/>
                <w:szCs w:val="24"/>
              </w:rPr>
              <w:t>solutions</w:t>
            </w:r>
            <w:r w:rsidR="005765B8" w:rsidRPr="00003877">
              <w:rPr>
                <w:rFonts w:ascii="Times New Roman" w:hAnsi="Times New Roman"/>
                <w:sz w:val="24"/>
                <w:szCs w:val="24"/>
              </w:rPr>
              <w:t xml:space="preserve"> to relieve the pressure of climate induced migration</w:t>
            </w:r>
            <w:r w:rsidR="005765B8" w:rsidRPr="2EAC028C">
              <w:rPr>
                <w:rFonts w:ascii="Times New Roman" w:hAnsi="Times New Roman"/>
                <w:sz w:val="24"/>
                <w:szCs w:val="24"/>
              </w:rPr>
              <w:t>.</w:t>
            </w:r>
          </w:p>
        </w:tc>
      </w:tr>
    </w:tbl>
    <w:p w14:paraId="4B31F071" w14:textId="77777777" w:rsidR="00077C4F" w:rsidRPr="00B515A5" w:rsidRDefault="00077C4F" w:rsidP="00B515A5">
      <w:pPr>
        <w:widowControl w:val="0"/>
        <w:spacing w:after="0" w:line="240" w:lineRule="auto"/>
        <w:ind w:left="-284"/>
        <w:rPr>
          <w:rFonts w:ascii="Times New Roman" w:hAnsi="Times New Roman"/>
          <w:sz w:val="16"/>
          <w:szCs w:val="16"/>
        </w:rPr>
      </w:pPr>
    </w:p>
    <w:sectPr w:rsidR="00077C4F" w:rsidRPr="00B515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FA62B" w14:textId="77777777" w:rsidR="005937CE" w:rsidRDefault="005937CE" w:rsidP="00FF63EA">
      <w:pPr>
        <w:spacing w:after="0" w:line="240" w:lineRule="auto"/>
      </w:pPr>
      <w:r>
        <w:separator/>
      </w:r>
    </w:p>
  </w:endnote>
  <w:endnote w:type="continuationSeparator" w:id="0">
    <w:p w14:paraId="1A7AE8F1" w14:textId="77777777" w:rsidR="005937CE" w:rsidRDefault="005937CE"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7005" w14:textId="77777777" w:rsidR="005937CE" w:rsidRDefault="005937CE" w:rsidP="00FF63EA">
      <w:pPr>
        <w:spacing w:after="0" w:line="240" w:lineRule="auto"/>
      </w:pPr>
      <w:r>
        <w:separator/>
      </w:r>
    </w:p>
  </w:footnote>
  <w:footnote w:type="continuationSeparator" w:id="0">
    <w:p w14:paraId="16DFDBC3" w14:textId="77777777" w:rsidR="005937CE" w:rsidRDefault="005937CE" w:rsidP="00FF63EA">
      <w:pPr>
        <w:spacing w:after="0" w:line="240" w:lineRule="auto"/>
      </w:pPr>
      <w:r>
        <w:continuationSeparator/>
      </w:r>
    </w:p>
  </w:footnote>
  <w:footnote w:id="1">
    <w:p w14:paraId="20A9D11F" w14:textId="751DB83C" w:rsidR="00FF6489" w:rsidRPr="004C6F30" w:rsidRDefault="00FF6489" w:rsidP="00AF3D11">
      <w:pPr>
        <w:pStyle w:val="FootnoteText"/>
        <w:widowControl w:val="0"/>
        <w:spacing w:after="0" w:line="240" w:lineRule="auto"/>
        <w:ind w:left="284" w:right="-284" w:hanging="426"/>
        <w:jc w:val="both"/>
        <w:rPr>
          <w:rFonts w:ascii="Times New Roman" w:hAnsi="Times New Roman"/>
          <w:lang w:val="fr-BE"/>
        </w:rPr>
      </w:pPr>
      <w:r w:rsidRPr="004C6F30">
        <w:rPr>
          <w:rStyle w:val="FootnoteReference"/>
          <w:rFonts w:ascii="Times New Roman" w:hAnsi="Times New Roman"/>
        </w:rPr>
        <w:footnoteRef/>
      </w:r>
      <w:r w:rsidRPr="004C6F30">
        <w:rPr>
          <w:rFonts w:ascii="Times New Roman" w:hAnsi="Times New Roman"/>
          <w:lang w:val="fr-BE"/>
        </w:rPr>
        <w:t xml:space="preserve"> </w:t>
      </w:r>
      <w:r w:rsidRPr="004C6F30">
        <w:rPr>
          <w:rFonts w:ascii="Times New Roman" w:hAnsi="Times New Roman"/>
          <w:lang w:val="fr-BE"/>
        </w:rPr>
        <w:tab/>
        <w:t>COM(2025) 280 final (</w:t>
      </w:r>
      <w:r>
        <w:fldChar w:fldCharType="begin"/>
      </w:r>
      <w:r w:rsidRPr="00133EA6">
        <w:rPr>
          <w:lang w:val="fr-BE"/>
        </w:rPr>
        <w:instrText>HYPERLINK "https://eur-lex.europa.eu/legal-content/EN/TXT/?uri=celex:52025DC0280"</w:instrText>
      </w:r>
      <w:r>
        <w:fldChar w:fldCharType="separate"/>
      </w:r>
      <w:r w:rsidRPr="004C6F30">
        <w:rPr>
          <w:rStyle w:val="Hyperlink"/>
          <w:rFonts w:ascii="Times New Roman" w:hAnsi="Times New Roman"/>
          <w:lang w:val="fr-BE"/>
        </w:rPr>
        <w:t>EUR-Lex - 52025DC0280 - EN - EUR-Lex</w:t>
      </w:r>
      <w:r>
        <w:fldChar w:fldCharType="end"/>
      </w:r>
      <w:r w:rsidRPr="004C6F30">
        <w:rPr>
          <w:rFonts w:ascii="Times New Roman" w:hAnsi="Times New Roman"/>
          <w:lang w:val="fr-BE"/>
        </w:rPr>
        <w:t>).</w:t>
      </w:r>
    </w:p>
  </w:footnote>
  <w:footnote w:id="2">
    <w:p w14:paraId="2F83341D" w14:textId="289CCE5A" w:rsidR="00222D68" w:rsidRPr="004C6F30" w:rsidRDefault="00222D68" w:rsidP="00AF3D11">
      <w:pPr>
        <w:pStyle w:val="FootnoteText"/>
        <w:widowControl w:val="0"/>
        <w:spacing w:after="0" w:line="240" w:lineRule="auto"/>
        <w:ind w:left="284" w:right="-284" w:hanging="426"/>
        <w:jc w:val="both"/>
        <w:rPr>
          <w:rFonts w:ascii="Times New Roman" w:hAnsi="Times New Roman"/>
          <w:lang w:val="en-IE"/>
        </w:rPr>
      </w:pPr>
      <w:r w:rsidRPr="004C6F30">
        <w:rPr>
          <w:rStyle w:val="FootnoteReference"/>
          <w:rFonts w:ascii="Times New Roman" w:hAnsi="Times New Roman"/>
        </w:rPr>
        <w:footnoteRef/>
      </w:r>
      <w:r w:rsidRPr="004C6F30">
        <w:rPr>
          <w:rFonts w:ascii="Times New Roman" w:hAnsi="Times New Roman"/>
          <w:lang w:val="en-IE"/>
        </w:rPr>
        <w:t xml:space="preserve"> </w:t>
      </w:r>
      <w:r w:rsidR="00FF6489" w:rsidRPr="004C6F30">
        <w:rPr>
          <w:rFonts w:ascii="Times New Roman" w:hAnsi="Times New Roman"/>
          <w:lang w:val="en-IE"/>
        </w:rPr>
        <w:tab/>
      </w:r>
      <w:r w:rsidR="00A74A88" w:rsidRPr="004C6F30">
        <w:rPr>
          <w:rFonts w:ascii="Times New Roman" w:hAnsi="Times New Roman"/>
          <w:lang w:val="en-IE"/>
        </w:rPr>
        <w:t>European Water Resilience Strategy</w:t>
      </w:r>
      <w:r w:rsidR="004A7DB6" w:rsidRPr="004C6F30">
        <w:rPr>
          <w:rFonts w:ascii="Times New Roman" w:hAnsi="Times New Roman"/>
          <w:lang w:val="en-IE"/>
        </w:rPr>
        <w:t xml:space="preserve">, </w:t>
      </w:r>
      <w:r w:rsidR="00FF6489" w:rsidRPr="004C6F30">
        <w:rPr>
          <w:rFonts w:ascii="Times New Roman" w:hAnsi="Times New Roman"/>
          <w:lang w:val="en-IE"/>
        </w:rPr>
        <w:t>s</w:t>
      </w:r>
      <w:r w:rsidR="004A7DB6" w:rsidRPr="004C6F30">
        <w:rPr>
          <w:rFonts w:ascii="Times New Roman" w:hAnsi="Times New Roman"/>
          <w:lang w:val="en-IE"/>
        </w:rPr>
        <w:t>ee</w:t>
      </w:r>
      <w:r w:rsidR="00A74A88" w:rsidRPr="004C6F30">
        <w:rPr>
          <w:rFonts w:ascii="Times New Roman" w:hAnsi="Times New Roman"/>
          <w:lang w:val="en-IE"/>
        </w:rPr>
        <w:t xml:space="preserve"> for example </w:t>
      </w:r>
      <w:r w:rsidR="00A74A88" w:rsidRPr="004C6F30">
        <w:rPr>
          <w:rFonts w:ascii="Times New Roman" w:hAnsi="Times New Roman"/>
        </w:rPr>
        <w:t>ANNEX I – FULL LIST OF ACTIONS P.23.</w:t>
      </w:r>
    </w:p>
  </w:footnote>
  <w:footnote w:id="3">
    <w:p w14:paraId="2301599B" w14:textId="321DFE4F" w:rsidR="00E57013" w:rsidRPr="004C6F30" w:rsidRDefault="00E57013" w:rsidP="00AF3D11">
      <w:pPr>
        <w:widowControl w:val="0"/>
        <w:spacing w:after="0" w:line="240" w:lineRule="auto"/>
        <w:ind w:left="284" w:right="-284" w:hanging="426"/>
        <w:jc w:val="both"/>
        <w:rPr>
          <w:rFonts w:ascii="Times New Roman" w:hAnsi="Times New Roman"/>
          <w:bCs/>
          <w:sz w:val="20"/>
          <w:szCs w:val="20"/>
        </w:rPr>
      </w:pPr>
      <w:r w:rsidRPr="004C6F30">
        <w:rPr>
          <w:rStyle w:val="FootnoteReference"/>
          <w:rFonts w:ascii="Times New Roman" w:hAnsi="Times New Roman"/>
          <w:sz w:val="20"/>
          <w:szCs w:val="20"/>
        </w:rPr>
        <w:footnoteRef/>
      </w:r>
      <w:r w:rsidRPr="004C6F30">
        <w:rPr>
          <w:rFonts w:ascii="Times New Roman" w:hAnsi="Times New Roman"/>
          <w:sz w:val="20"/>
          <w:szCs w:val="20"/>
        </w:rPr>
        <w:t xml:space="preserve"> </w:t>
      </w:r>
      <w:r w:rsidR="00FF6489" w:rsidRPr="004C6F30">
        <w:rPr>
          <w:rFonts w:ascii="Times New Roman" w:hAnsi="Times New Roman"/>
          <w:sz w:val="20"/>
          <w:szCs w:val="20"/>
        </w:rPr>
        <w:tab/>
      </w:r>
      <w:r w:rsidR="00C1440B" w:rsidRPr="004C6F30">
        <w:rPr>
          <w:rFonts w:ascii="Times New Roman" w:hAnsi="Times New Roman"/>
          <w:bCs/>
          <w:sz w:val="20"/>
          <w:szCs w:val="20"/>
        </w:rPr>
        <w:t xml:space="preserve">E.g. </w:t>
      </w:r>
      <w:r w:rsidRPr="004C6F30">
        <w:rPr>
          <w:rFonts w:ascii="Times New Roman" w:hAnsi="Times New Roman"/>
          <w:bCs/>
          <w:sz w:val="20"/>
          <w:szCs w:val="20"/>
        </w:rPr>
        <w:t xml:space="preserve">EUR 100 million </w:t>
      </w:r>
      <w:r w:rsidRPr="004C6F30">
        <w:rPr>
          <w:rFonts w:ascii="Times New Roman" w:hAnsi="Times New Roman"/>
          <w:bCs/>
          <w:i/>
          <w:iCs/>
          <w:sz w:val="20"/>
          <w:szCs w:val="20"/>
        </w:rPr>
        <w:t>Regional Responses to Climate Displacement (RE2CLID)</w:t>
      </w:r>
      <w:r w:rsidR="00C1440B" w:rsidRPr="004C6F30">
        <w:rPr>
          <w:rFonts w:ascii="Times New Roman" w:hAnsi="Times New Roman"/>
          <w:bCs/>
          <w:i/>
          <w:iCs/>
          <w:sz w:val="20"/>
          <w:szCs w:val="20"/>
        </w:rPr>
        <w:t>,</w:t>
      </w:r>
      <w:r w:rsidRPr="004C6F30">
        <w:rPr>
          <w:rFonts w:ascii="Times New Roman" w:hAnsi="Times New Roman"/>
          <w:bCs/>
          <w:sz w:val="20"/>
          <w:szCs w:val="20"/>
        </w:rPr>
        <w:t xml:space="preserve"> includ</w:t>
      </w:r>
      <w:r w:rsidR="00C1440B" w:rsidRPr="004C6F30">
        <w:rPr>
          <w:rFonts w:ascii="Times New Roman" w:hAnsi="Times New Roman"/>
          <w:bCs/>
          <w:sz w:val="20"/>
          <w:szCs w:val="20"/>
        </w:rPr>
        <w:t>ing</w:t>
      </w:r>
      <w:r w:rsidRPr="004C6F30">
        <w:rPr>
          <w:rFonts w:ascii="Times New Roman" w:hAnsi="Times New Roman"/>
          <w:bCs/>
          <w:sz w:val="20"/>
          <w:szCs w:val="20"/>
        </w:rPr>
        <w:t xml:space="preserve"> a major data component and the EUR 8 </w:t>
      </w:r>
      <w:proofErr w:type="spellStart"/>
      <w:r w:rsidRPr="004C6F30">
        <w:rPr>
          <w:rFonts w:ascii="Times New Roman" w:hAnsi="Times New Roman"/>
          <w:bCs/>
          <w:sz w:val="20"/>
          <w:szCs w:val="20"/>
        </w:rPr>
        <w:t>mil</w:t>
      </w:r>
      <w:r w:rsidR="00C1440B" w:rsidRPr="004C6F30">
        <w:rPr>
          <w:rFonts w:ascii="Times New Roman" w:hAnsi="Times New Roman"/>
          <w:bCs/>
          <w:sz w:val="20"/>
          <w:szCs w:val="20"/>
        </w:rPr>
        <w:t>j</w:t>
      </w:r>
      <w:proofErr w:type="spellEnd"/>
      <w:r w:rsidR="00C1440B" w:rsidRPr="004C6F30">
        <w:rPr>
          <w:rFonts w:ascii="Times New Roman" w:hAnsi="Times New Roman"/>
          <w:bCs/>
          <w:sz w:val="20"/>
          <w:szCs w:val="20"/>
        </w:rPr>
        <w:t xml:space="preserve">. On </w:t>
      </w:r>
      <w:r w:rsidRPr="004C6F30">
        <w:rPr>
          <w:rFonts w:ascii="Times New Roman" w:hAnsi="Times New Roman"/>
          <w:bCs/>
          <w:i/>
          <w:iCs/>
          <w:sz w:val="20"/>
          <w:szCs w:val="20"/>
        </w:rPr>
        <w:t>Enhancing prevention, risk reduction and response to disaster and climate-related displacement worldwid</w:t>
      </w:r>
      <w:r w:rsidRPr="004C6F30">
        <w:rPr>
          <w:rFonts w:ascii="Times New Roman" w:hAnsi="Times New Roman"/>
          <w:bCs/>
          <w:sz w:val="20"/>
          <w:szCs w:val="20"/>
        </w:rPr>
        <w:t>e which focuses on data.</w:t>
      </w:r>
      <w:r w:rsidR="003B1F64" w:rsidRPr="004C6F30">
        <w:rPr>
          <w:rFonts w:ascii="Times New Roman" w:hAnsi="Times New Roman"/>
          <w:bCs/>
          <w:sz w:val="20"/>
          <w:szCs w:val="20"/>
        </w:rPr>
        <w:t xml:space="preserve"> </w:t>
      </w:r>
      <w:r w:rsidR="00C1440B" w:rsidRPr="004C6F30">
        <w:rPr>
          <w:rFonts w:ascii="Times New Roman" w:hAnsi="Times New Roman"/>
          <w:bCs/>
          <w:sz w:val="20"/>
          <w:szCs w:val="20"/>
        </w:rPr>
        <w:t>A</w:t>
      </w:r>
      <w:r w:rsidR="0098429B" w:rsidRPr="004C6F30">
        <w:rPr>
          <w:rFonts w:ascii="Times New Roman" w:hAnsi="Times New Roman"/>
          <w:bCs/>
          <w:sz w:val="20"/>
          <w:szCs w:val="20"/>
        </w:rPr>
        <w:t xml:space="preserve"> </w:t>
      </w:r>
      <w:r w:rsidR="00C1440B" w:rsidRPr="004C6F30">
        <w:rPr>
          <w:rFonts w:ascii="Times New Roman" w:hAnsi="Times New Roman"/>
          <w:bCs/>
          <w:sz w:val="20"/>
          <w:szCs w:val="20"/>
        </w:rPr>
        <w:t xml:space="preserve">global database of relevant judicial decisions already exists: </w:t>
      </w:r>
      <w:hyperlink r:id="rId1" w:history="1">
        <w:r w:rsidR="00C1440B" w:rsidRPr="004C6F30">
          <w:rPr>
            <w:rStyle w:val="Hyperlink"/>
            <w:rFonts w:ascii="Times New Roman" w:hAnsi="Times New Roman"/>
            <w:bCs/>
            <w:sz w:val="20"/>
            <w:szCs w:val="20"/>
          </w:rPr>
          <w:t>https://www.global-council.org/climate-database</w:t>
        </w:r>
      </w:hyperlink>
      <w:r w:rsidR="00FF6489" w:rsidRPr="004C6F30">
        <w:rPr>
          <w:rFonts w:ascii="Times New Roman" w:hAnsi="Times New Roman"/>
          <w:bCs/>
          <w:sz w:val="20"/>
          <w:szCs w:val="20"/>
        </w:rPr>
        <w:t>.</w:t>
      </w:r>
    </w:p>
  </w:footnote>
  <w:footnote w:id="4">
    <w:p w14:paraId="2E21B10D" w14:textId="2154EF9C" w:rsidR="00552628" w:rsidRPr="004C6F30" w:rsidRDefault="00552628" w:rsidP="00AF3D11">
      <w:pPr>
        <w:pStyle w:val="FootnoteText"/>
        <w:widowControl w:val="0"/>
        <w:spacing w:after="0" w:line="240" w:lineRule="auto"/>
        <w:ind w:left="284" w:hanging="426"/>
        <w:jc w:val="both"/>
        <w:rPr>
          <w:rFonts w:ascii="Times New Roman" w:hAnsi="Times New Roman"/>
          <w:lang w:val="fr-BE"/>
        </w:rPr>
      </w:pPr>
      <w:r w:rsidRPr="004C6F30">
        <w:rPr>
          <w:rStyle w:val="FootnoteReference"/>
          <w:rFonts w:ascii="Times New Roman" w:hAnsi="Times New Roman"/>
        </w:rPr>
        <w:footnoteRef/>
      </w:r>
      <w:r w:rsidRPr="004C6F30">
        <w:rPr>
          <w:rFonts w:ascii="Times New Roman" w:hAnsi="Times New Roman"/>
          <w:lang w:val="fr-BE"/>
        </w:rPr>
        <w:t xml:space="preserve"> </w:t>
      </w:r>
      <w:r w:rsidRPr="004C6F30">
        <w:rPr>
          <w:rFonts w:ascii="Times New Roman" w:hAnsi="Times New Roman"/>
          <w:lang w:val="fr-BE"/>
        </w:rPr>
        <w:tab/>
        <w:t>JOIN(2025) 130 final (</w:t>
      </w:r>
      <w:r>
        <w:fldChar w:fldCharType="begin"/>
      </w:r>
      <w:r w:rsidRPr="00133EA6">
        <w:rPr>
          <w:lang w:val="fr-BE"/>
        </w:rPr>
        <w:instrText>HYPERLINK "https://eur-lex.europa.eu/legal-content/EN/TXT/?uri=CELEX%3A52025JC0130"</w:instrText>
      </w:r>
      <w:r>
        <w:fldChar w:fldCharType="separate"/>
      </w:r>
      <w:r w:rsidRPr="004C6F30">
        <w:rPr>
          <w:rStyle w:val="Hyperlink"/>
          <w:rFonts w:ascii="Times New Roman" w:hAnsi="Times New Roman"/>
          <w:lang w:val="fr-BE"/>
        </w:rPr>
        <w:t>EUR-Lex - 52025JC0130 - EN - EUR-Lex</w:t>
      </w:r>
      <w:r>
        <w:fldChar w:fldCharType="end"/>
      </w:r>
      <w:r w:rsidRPr="004C6F30">
        <w:rPr>
          <w:rFonts w:ascii="Times New Roman" w:hAnsi="Times New Roman"/>
          <w:lang w:val="fr-BE"/>
        </w:rPr>
        <w:t>).</w:t>
      </w:r>
    </w:p>
  </w:footnote>
  <w:footnote w:id="5">
    <w:p w14:paraId="1AB4C8DB" w14:textId="711CCA47" w:rsidR="00AC0396" w:rsidRPr="004C6F30" w:rsidRDefault="00AC0396" w:rsidP="00AF3D11">
      <w:pPr>
        <w:pStyle w:val="FootnoteText"/>
        <w:widowControl w:val="0"/>
        <w:spacing w:after="0" w:line="240" w:lineRule="auto"/>
        <w:ind w:left="284" w:hanging="426"/>
        <w:jc w:val="both"/>
        <w:rPr>
          <w:rFonts w:ascii="Times New Roman" w:hAnsi="Times New Roman"/>
          <w:lang w:val="fr-BE"/>
        </w:rPr>
      </w:pPr>
      <w:r w:rsidRPr="004C6F30">
        <w:rPr>
          <w:rStyle w:val="FootnoteReference"/>
          <w:rFonts w:ascii="Times New Roman" w:hAnsi="Times New Roman"/>
        </w:rPr>
        <w:footnoteRef/>
      </w:r>
      <w:r w:rsidRPr="004C6F30">
        <w:rPr>
          <w:rFonts w:ascii="Times New Roman" w:hAnsi="Times New Roman"/>
          <w:lang w:val="fr-BE"/>
        </w:rPr>
        <w:t xml:space="preserve"> </w:t>
      </w:r>
      <w:r w:rsidR="00FF6489" w:rsidRPr="004C6F30">
        <w:rPr>
          <w:rFonts w:ascii="Times New Roman" w:hAnsi="Times New Roman"/>
          <w:lang w:val="fr-BE"/>
        </w:rPr>
        <w:tab/>
      </w:r>
      <w:r w:rsidR="00FF6489">
        <w:fldChar w:fldCharType="begin"/>
      </w:r>
      <w:r w:rsidR="00FF6489" w:rsidRPr="00133EA6">
        <w:rPr>
          <w:lang w:val="fr-BE"/>
        </w:rPr>
        <w:instrText>HYPERLINK "https://webgate.ec.europa.eu/circabc-ewpp/d/d/workspace/SpacesStore/b81316ab-a513-49a1-b520-b6a6e0de6986/download"</w:instrText>
      </w:r>
      <w:r w:rsidR="00FF6489">
        <w:fldChar w:fldCharType="separate"/>
      </w:r>
      <w:r w:rsidR="00FF6489" w:rsidRPr="004C6F30">
        <w:rPr>
          <w:rStyle w:val="Hyperlink"/>
          <w:rFonts w:ascii="Times New Roman" w:hAnsi="Times New Roman"/>
          <w:lang w:val="fr-BE"/>
        </w:rPr>
        <w:t>https://webgate.ec.europa.eu/circabc-ewpp/d/d/workspace/SpacesStore/b81316ab-a513-49a1-b520-b6a6e0de6986/download</w:t>
      </w:r>
      <w:r w:rsidR="00FF6489">
        <w:fldChar w:fldCharType="end"/>
      </w:r>
      <w:r w:rsidR="00FF6489" w:rsidRPr="004C6F30">
        <w:rPr>
          <w:rFonts w:ascii="Times New Roman" w:hAnsi="Times New Roman"/>
          <w:lang w:val="fr-BE"/>
        </w:rPr>
        <w:t>.</w:t>
      </w:r>
    </w:p>
  </w:footnote>
  <w:footnote w:id="6">
    <w:p w14:paraId="484F4D3B" w14:textId="406CE814" w:rsidR="00552628" w:rsidRPr="00AF3D11" w:rsidRDefault="00552628" w:rsidP="00AF3D11">
      <w:pPr>
        <w:pStyle w:val="FootnoteText"/>
        <w:widowControl w:val="0"/>
        <w:spacing w:after="0" w:line="240" w:lineRule="auto"/>
        <w:ind w:left="284" w:hanging="426"/>
        <w:jc w:val="both"/>
        <w:rPr>
          <w:rFonts w:ascii="Times New Roman" w:hAnsi="Times New Roman"/>
          <w:lang w:val="fr-BE"/>
        </w:rPr>
      </w:pPr>
      <w:r w:rsidRPr="00AF3D11">
        <w:rPr>
          <w:rStyle w:val="FootnoteReference"/>
          <w:rFonts w:ascii="Times New Roman" w:hAnsi="Times New Roman"/>
        </w:rPr>
        <w:footnoteRef/>
      </w:r>
      <w:r w:rsidRPr="00AF3D11">
        <w:rPr>
          <w:rFonts w:ascii="Times New Roman" w:hAnsi="Times New Roman"/>
          <w:lang w:val="fr-BE"/>
        </w:rPr>
        <w:t xml:space="preserve"> </w:t>
      </w:r>
      <w:r w:rsidRPr="00AF3D11">
        <w:rPr>
          <w:rFonts w:ascii="Times New Roman" w:hAnsi="Times New Roman"/>
          <w:lang w:val="fr-BE"/>
        </w:rPr>
        <w:tab/>
        <w:t>JOIN(2021) 30 final (</w:t>
      </w:r>
      <w:r>
        <w:fldChar w:fldCharType="begin"/>
      </w:r>
      <w:r w:rsidRPr="00133EA6">
        <w:rPr>
          <w:lang w:val="fr-BE"/>
        </w:rPr>
        <w:instrText>HYPERLINK "https://eur-lex.europa.eu/legal-content/EN/TXT/?uri=CELEX:52021JC0030"</w:instrText>
      </w:r>
      <w:r>
        <w:fldChar w:fldCharType="separate"/>
      </w:r>
      <w:r w:rsidRPr="00AF3D11">
        <w:rPr>
          <w:rStyle w:val="Hyperlink"/>
          <w:rFonts w:ascii="Times New Roman" w:hAnsi="Times New Roman"/>
          <w:lang w:val="fr-BE"/>
        </w:rPr>
        <w:t>EUR-Lex - 52021JC0030 - EN - EUR-Lex</w:t>
      </w:r>
      <w:r>
        <w:fldChar w:fldCharType="end"/>
      </w:r>
      <w:r w:rsidRPr="00AF3D11">
        <w:rPr>
          <w:rFonts w:ascii="Times New Roman" w:hAnsi="Times New Roman"/>
          <w:lang w:val="fr-BE"/>
        </w:rPr>
        <w:t>).</w:t>
      </w:r>
    </w:p>
  </w:footnote>
  <w:footnote w:id="7">
    <w:p w14:paraId="79D284BD" w14:textId="70770D20" w:rsidR="00552628" w:rsidRPr="00A53701" w:rsidRDefault="00552628" w:rsidP="00AF3D11">
      <w:pPr>
        <w:pStyle w:val="FootnoteText"/>
        <w:widowControl w:val="0"/>
        <w:spacing w:after="0" w:line="240" w:lineRule="auto"/>
        <w:ind w:left="284" w:right="-284" w:hanging="426"/>
        <w:jc w:val="both"/>
        <w:rPr>
          <w:rFonts w:ascii="Times New Roman" w:hAnsi="Times New Roman"/>
          <w:lang w:val="fr-BE"/>
        </w:rPr>
      </w:pPr>
      <w:r w:rsidRPr="004C6F30">
        <w:rPr>
          <w:rStyle w:val="FootnoteReference"/>
          <w:rFonts w:ascii="Times New Roman" w:hAnsi="Times New Roman"/>
        </w:rPr>
        <w:footnoteRef/>
      </w:r>
      <w:r w:rsidRPr="004C6F30">
        <w:rPr>
          <w:rFonts w:ascii="Times New Roman" w:hAnsi="Times New Roman"/>
          <w:lang w:val="fr-BE"/>
        </w:rPr>
        <w:t xml:space="preserve"> </w:t>
      </w:r>
      <w:r w:rsidRPr="004C6F30">
        <w:rPr>
          <w:rFonts w:ascii="Times New Roman" w:hAnsi="Times New Roman"/>
          <w:lang w:val="fr-BE"/>
        </w:rPr>
        <w:tab/>
        <w:t>JOIN(2024) 25 final (</w:t>
      </w:r>
      <w:r>
        <w:fldChar w:fldCharType="begin"/>
      </w:r>
      <w:r w:rsidRPr="00133EA6">
        <w:rPr>
          <w:lang w:val="fr-BE"/>
        </w:rPr>
        <w:instrText>HYPERLINK "https://eur-lex.europa.eu/legal-content/EN/TXT/?uri=CELEX:52024JC0025"</w:instrText>
      </w:r>
      <w:r>
        <w:fldChar w:fldCharType="separate"/>
      </w:r>
      <w:r w:rsidRPr="004C6F30">
        <w:rPr>
          <w:rStyle w:val="Hyperlink"/>
          <w:rFonts w:ascii="Times New Roman" w:hAnsi="Times New Roman"/>
          <w:lang w:val="fr-BE"/>
        </w:rPr>
        <w:t>EUR-Lex - 52024JC0025 - EN - EUR-Lex</w:t>
      </w:r>
      <w:r>
        <w:fldChar w:fldCharType="end"/>
      </w:r>
      <w:r w:rsidRPr="004C6F30">
        <w:rPr>
          <w:rFonts w:ascii="Times New Roman" w:hAnsi="Times New Roman"/>
          <w:lang w:val="fr-BE"/>
        </w:rPr>
        <w:t>).</w:t>
      </w:r>
    </w:p>
  </w:footnote>
  <w:footnote w:id="8">
    <w:p w14:paraId="266F717F" w14:textId="42463C51" w:rsidR="007066F8" w:rsidRPr="00A53701" w:rsidRDefault="007066F8" w:rsidP="00A53701">
      <w:pPr>
        <w:pStyle w:val="FootnoteText"/>
        <w:widowControl w:val="0"/>
        <w:spacing w:after="0" w:line="240" w:lineRule="auto"/>
        <w:ind w:left="142" w:right="-284" w:hanging="284"/>
        <w:jc w:val="both"/>
        <w:rPr>
          <w:rFonts w:ascii="Times New Roman" w:hAnsi="Times New Roman"/>
          <w:lang w:val="en-IE"/>
        </w:rPr>
      </w:pPr>
      <w:r w:rsidRPr="00A53701">
        <w:rPr>
          <w:rStyle w:val="FootnoteReference"/>
          <w:rFonts w:ascii="Times New Roman" w:hAnsi="Times New Roman"/>
        </w:rPr>
        <w:footnoteRef/>
      </w:r>
      <w:r w:rsidRPr="00A53701">
        <w:rPr>
          <w:rFonts w:ascii="Times New Roman" w:hAnsi="Times New Roman"/>
          <w:lang w:val="en-IE"/>
        </w:rPr>
        <w:t xml:space="preserve"> </w:t>
      </w:r>
      <w:r w:rsidRPr="00A53701">
        <w:rPr>
          <w:rFonts w:ascii="Times New Roman" w:hAnsi="Times New Roman"/>
          <w:lang w:val="en-IE"/>
        </w:rPr>
        <w:tab/>
      </w:r>
      <w:hyperlink r:id="rId2" w:history="1">
        <w:r w:rsidRPr="00A53701">
          <w:rPr>
            <w:rStyle w:val="Hyperlink"/>
            <w:rFonts w:ascii="Times New Roman" w:hAnsi="Times New Roman"/>
          </w:rPr>
          <w:t>Sendai Framework for Disaster Risk Reduction 2015-2030 | UNDRR</w:t>
        </w:r>
      </w:hyperlink>
      <w:r w:rsidRPr="00A53701">
        <w:rPr>
          <w:rFonts w:ascii="Times New Roman" w:hAnsi="Times New Roman"/>
          <w:lang w:val="en-IE"/>
        </w:rPr>
        <w:t>.</w:t>
      </w:r>
    </w:p>
  </w:footnote>
  <w:footnote w:id="9">
    <w:p w14:paraId="6C8B0E42" w14:textId="528D1C87" w:rsidR="007066F8" w:rsidRPr="00A53701" w:rsidRDefault="007066F8" w:rsidP="00A53701">
      <w:pPr>
        <w:pStyle w:val="FootnoteText"/>
        <w:widowControl w:val="0"/>
        <w:spacing w:after="0" w:line="240" w:lineRule="auto"/>
        <w:ind w:left="142" w:right="-284" w:hanging="284"/>
        <w:jc w:val="both"/>
        <w:rPr>
          <w:rFonts w:ascii="Times New Roman" w:hAnsi="Times New Roman"/>
        </w:rPr>
      </w:pPr>
      <w:r w:rsidRPr="00A53701">
        <w:rPr>
          <w:rStyle w:val="FootnoteReference"/>
          <w:rFonts w:ascii="Times New Roman" w:hAnsi="Times New Roman"/>
        </w:rPr>
        <w:footnoteRef/>
      </w:r>
      <w:r w:rsidRPr="00A53701">
        <w:rPr>
          <w:rFonts w:ascii="Times New Roman" w:hAnsi="Times New Roman"/>
        </w:rPr>
        <w:t xml:space="preserve"> </w:t>
      </w:r>
      <w:r w:rsidRPr="00A53701">
        <w:rPr>
          <w:rFonts w:ascii="Times New Roman" w:hAnsi="Times New Roman"/>
        </w:rPr>
        <w:tab/>
        <w:t>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(recast) (</w:t>
      </w:r>
      <w:hyperlink r:id="rId3" w:tooltip="Gives access to this document through its ELI URI." w:history="1">
        <w:r w:rsidRPr="00A53701">
          <w:rPr>
            <w:rStyle w:val="Hyperlink"/>
            <w:rFonts w:ascii="Times New Roman" w:hAnsi="Times New Roman"/>
          </w:rPr>
          <w:t>http://data.europa.eu/eli/dir/2011/95/oj</w:t>
        </w:r>
      </w:hyperlink>
      <w:r w:rsidRPr="00A53701">
        <w:rPr>
          <w:rFonts w:ascii="Times New Roman" w:hAnsi="Times New Roman"/>
        </w:rPr>
        <w:t>).</w:t>
      </w:r>
    </w:p>
  </w:footnote>
  <w:footnote w:id="10">
    <w:p w14:paraId="107F4764" w14:textId="0B459C74" w:rsidR="007066F8" w:rsidRPr="00A53701" w:rsidRDefault="007066F8" w:rsidP="00A53701">
      <w:pPr>
        <w:pStyle w:val="FootnoteText"/>
        <w:widowControl w:val="0"/>
        <w:spacing w:after="0" w:line="240" w:lineRule="auto"/>
        <w:ind w:left="142" w:right="-284" w:hanging="284"/>
        <w:jc w:val="both"/>
        <w:rPr>
          <w:rFonts w:ascii="Times New Roman" w:hAnsi="Times New Roman"/>
        </w:rPr>
      </w:pPr>
      <w:r w:rsidRPr="00A53701">
        <w:rPr>
          <w:rStyle w:val="FootnoteReference"/>
          <w:rFonts w:ascii="Times New Roman" w:hAnsi="Times New Roman"/>
        </w:rPr>
        <w:footnoteRef/>
      </w:r>
      <w:r w:rsidRPr="00A53701">
        <w:rPr>
          <w:rFonts w:ascii="Times New Roman" w:hAnsi="Times New Roman"/>
        </w:rPr>
        <w:t xml:space="preserve"> </w:t>
      </w:r>
      <w:r w:rsidRPr="00A53701">
        <w:rPr>
          <w:rFonts w:ascii="Times New Roman" w:hAnsi="Times New Roman"/>
        </w:rPr>
        <w:tab/>
        <w:t>Council Directive 2001/55/EC of 20 July 2001 on minimum standards for giving temporary protection in the event of a mass influx of displaced persons and on measures promoting a balance of efforts between Member States in receiving such persons and bearing the consequences thereof (</w:t>
      </w:r>
      <w:hyperlink r:id="rId4" w:tooltip="Gives access to this document through its ELI URI." w:history="1">
        <w:r w:rsidRPr="00A53701">
          <w:rPr>
            <w:rStyle w:val="Hyperlink"/>
            <w:rFonts w:ascii="Times New Roman" w:hAnsi="Times New Roman"/>
          </w:rPr>
          <w:t>http://data.europa.eu/eli/dir/2001/55/oj</w:t>
        </w:r>
      </w:hyperlink>
      <w:r w:rsidRPr="00A53701">
        <w:rPr>
          <w:rFonts w:ascii="Times New Roman" w:hAnsi="Times New Roman"/>
        </w:rPr>
        <w:t>).</w:t>
      </w:r>
    </w:p>
  </w:footnote>
  <w:footnote w:id="11">
    <w:p w14:paraId="48E44799" w14:textId="6294CC5A" w:rsidR="00E71BBF" w:rsidRPr="00A53701" w:rsidRDefault="00E71BBF" w:rsidP="00A53701">
      <w:pPr>
        <w:pStyle w:val="FootnoteText"/>
        <w:widowControl w:val="0"/>
        <w:spacing w:after="0" w:line="240" w:lineRule="auto"/>
        <w:ind w:left="142" w:right="-284" w:hanging="284"/>
        <w:jc w:val="both"/>
        <w:rPr>
          <w:rFonts w:ascii="Times New Roman" w:hAnsi="Times New Roman"/>
          <w:lang w:val="fr-BE"/>
        </w:rPr>
      </w:pPr>
      <w:r w:rsidRPr="00A53701">
        <w:rPr>
          <w:rStyle w:val="FootnoteReference"/>
          <w:rFonts w:ascii="Times New Roman" w:hAnsi="Times New Roman"/>
        </w:rPr>
        <w:footnoteRef/>
      </w:r>
      <w:r w:rsidRPr="00A53701">
        <w:rPr>
          <w:rFonts w:ascii="Times New Roman" w:hAnsi="Times New Roman"/>
          <w:lang w:val="fr-BE"/>
        </w:rPr>
        <w:t xml:space="preserve"> </w:t>
      </w:r>
      <w:r w:rsidRPr="00A53701">
        <w:rPr>
          <w:rFonts w:ascii="Times New Roman" w:hAnsi="Times New Roman"/>
          <w:lang w:val="fr-BE"/>
        </w:rPr>
        <w:tab/>
        <w:t>COM(2022) 131 final (</w:t>
      </w:r>
      <w:r>
        <w:fldChar w:fldCharType="begin"/>
      </w:r>
      <w:r w:rsidRPr="00133EA6">
        <w:rPr>
          <w:lang w:val="fr-BE"/>
        </w:rPr>
        <w:instrText>HYPERLINK "https://eur-lex.europa.eu/legal-content/EN/TXT/?uri=CELEX:52022DC0131"</w:instrText>
      </w:r>
      <w:r>
        <w:fldChar w:fldCharType="separate"/>
      </w:r>
      <w:r w:rsidRPr="00A53701">
        <w:rPr>
          <w:rStyle w:val="Hyperlink"/>
          <w:rFonts w:ascii="Times New Roman" w:hAnsi="Times New Roman"/>
          <w:lang w:val="fr-BE"/>
        </w:rPr>
        <w:t>EUR-Lex - 52022DC0131 - EN - EUR-Lex</w:t>
      </w:r>
      <w:r>
        <w:fldChar w:fldCharType="end"/>
      </w:r>
      <w:r w:rsidRPr="00A53701">
        <w:rPr>
          <w:rFonts w:ascii="Times New Roman" w:hAnsi="Times New Roman"/>
          <w:lang w:val="fr-BE"/>
        </w:rPr>
        <w:t>).</w:t>
      </w:r>
    </w:p>
  </w:footnote>
  <w:footnote w:id="12">
    <w:p w14:paraId="13E34A39" w14:textId="52F6C278" w:rsidR="003800D1" w:rsidRPr="00A53701" w:rsidRDefault="003800D1" w:rsidP="00A53701">
      <w:pPr>
        <w:pStyle w:val="FootnoteText"/>
        <w:widowControl w:val="0"/>
        <w:spacing w:after="0" w:line="240" w:lineRule="auto"/>
        <w:ind w:left="142" w:right="-284" w:hanging="284"/>
        <w:jc w:val="both"/>
        <w:rPr>
          <w:rFonts w:ascii="Times New Roman" w:hAnsi="Times New Roman"/>
          <w:lang w:val="fr-BE"/>
        </w:rPr>
      </w:pPr>
      <w:r w:rsidRPr="00552628">
        <w:rPr>
          <w:rStyle w:val="FootnoteReference"/>
          <w:rFonts w:ascii="Times New Roman" w:hAnsi="Times New Roman"/>
        </w:rPr>
        <w:footnoteRef/>
      </w:r>
      <w:r w:rsidRPr="00A53701">
        <w:rPr>
          <w:rFonts w:ascii="Times New Roman" w:hAnsi="Times New Roman"/>
          <w:lang w:val="fr-BE"/>
        </w:rPr>
        <w:t xml:space="preserve"> </w:t>
      </w:r>
      <w:r w:rsidR="003B1F64" w:rsidRPr="00A53701">
        <w:rPr>
          <w:rFonts w:ascii="Times New Roman" w:hAnsi="Times New Roman"/>
          <w:lang w:val="fr-BE"/>
        </w:rPr>
        <w:tab/>
      </w:r>
      <w:r w:rsidR="00D23706" w:rsidRPr="00A53701">
        <w:rPr>
          <w:rFonts w:ascii="Times New Roman" w:hAnsi="Times New Roman"/>
          <w:lang w:val="fr-BE"/>
        </w:rPr>
        <w:t>JOIN(2023) 19 final (</w:t>
      </w:r>
      <w:r w:rsidR="00D23706">
        <w:fldChar w:fldCharType="begin"/>
      </w:r>
      <w:r w:rsidR="00D23706" w:rsidRPr="00133EA6">
        <w:rPr>
          <w:lang w:val="fr-BE"/>
        </w:rPr>
        <w:instrText>HYPERLINK "https://eur-lex.europa.eu/legal-content/EN/TXT/?uri=CELEX:52023JC0019"</w:instrText>
      </w:r>
      <w:r w:rsidR="00D23706">
        <w:fldChar w:fldCharType="separate"/>
      </w:r>
      <w:r w:rsidR="00D23706" w:rsidRPr="00A53701">
        <w:rPr>
          <w:rStyle w:val="Hyperlink"/>
          <w:rFonts w:ascii="Times New Roman" w:hAnsi="Times New Roman"/>
          <w:lang w:val="fr-BE"/>
        </w:rPr>
        <w:t>EUR-Lex - 52023JC0019 - EN - EUR-Lex</w:t>
      </w:r>
      <w:r w:rsidR="00D23706">
        <w:fldChar w:fldCharType="end"/>
      </w:r>
      <w:r w:rsidR="00B539FF" w:rsidRPr="00A53701">
        <w:rPr>
          <w:rFonts w:ascii="Times New Roman" w:hAnsi="Times New Roman"/>
          <w:lang w:val="fr-BE"/>
        </w:rPr>
        <w:t>).</w:t>
      </w:r>
    </w:p>
  </w:footnote>
  <w:footnote w:id="13">
    <w:p w14:paraId="4768AAE2" w14:textId="02CAEB2B" w:rsidR="005765B8" w:rsidRPr="00D23706" w:rsidRDefault="005765B8" w:rsidP="00A53701">
      <w:pPr>
        <w:pStyle w:val="FootnoteText"/>
        <w:widowControl w:val="0"/>
        <w:spacing w:after="0" w:line="240" w:lineRule="auto"/>
        <w:ind w:left="142" w:hanging="284"/>
        <w:jc w:val="both"/>
        <w:rPr>
          <w:rFonts w:ascii="Times New Roman" w:hAnsi="Times New Roman"/>
          <w:lang w:val="en-IE"/>
        </w:rPr>
      </w:pPr>
      <w:r w:rsidRPr="00A53701">
        <w:rPr>
          <w:rStyle w:val="FootnoteReference"/>
          <w:rFonts w:ascii="Times New Roman" w:hAnsi="Times New Roman"/>
        </w:rPr>
        <w:footnoteRef/>
      </w:r>
      <w:r w:rsidRPr="00A53701">
        <w:rPr>
          <w:rFonts w:ascii="Times New Roman" w:hAnsi="Times New Roman"/>
        </w:rPr>
        <w:t xml:space="preserve"> </w:t>
      </w:r>
      <w:r w:rsidR="00D23706" w:rsidRPr="00A53701">
        <w:rPr>
          <w:rFonts w:ascii="Times New Roman" w:hAnsi="Times New Roman"/>
        </w:rPr>
        <w:tab/>
      </w:r>
      <w:r w:rsidR="004A7DB6" w:rsidRPr="00A53701">
        <w:rPr>
          <w:rFonts w:ascii="Times New Roman" w:hAnsi="Times New Roman"/>
        </w:rPr>
        <w:t xml:space="preserve">See: </w:t>
      </w:r>
      <w:r w:rsidRPr="00D23706">
        <w:rPr>
          <w:rFonts w:ascii="Times New Roman" w:hAnsi="Times New Roman"/>
          <w:lang w:val="en-IE"/>
        </w:rPr>
        <w:t>European Water Resilience Strategy, p.21</w:t>
      </w:r>
      <w:r w:rsidRPr="00D23706">
        <w:rPr>
          <w:rFonts w:ascii="Times New Roman" w:hAnsi="Times New Roman"/>
        </w:rPr>
        <w:t>.</w:t>
      </w:r>
    </w:p>
  </w:footnote>
  <w:footnote w:id="14">
    <w:p w14:paraId="44CA515E" w14:textId="5BDA4625" w:rsidR="00B539FF" w:rsidRPr="00A53701" w:rsidRDefault="00B539FF" w:rsidP="00A53701">
      <w:pPr>
        <w:pStyle w:val="FootnoteText"/>
        <w:widowControl w:val="0"/>
        <w:spacing w:after="0" w:line="240" w:lineRule="auto"/>
        <w:ind w:left="142" w:right="-284" w:hanging="284"/>
        <w:jc w:val="both"/>
        <w:rPr>
          <w:rFonts w:ascii="Times New Roman" w:hAnsi="Times New Roman"/>
          <w:lang w:val="en-IE"/>
        </w:rPr>
      </w:pPr>
      <w:r w:rsidRPr="00A53701">
        <w:rPr>
          <w:rStyle w:val="FootnoteReference"/>
          <w:rFonts w:ascii="Times New Roman" w:hAnsi="Times New Roman"/>
        </w:rPr>
        <w:footnoteRef/>
      </w:r>
      <w:r w:rsidRPr="00A53701">
        <w:rPr>
          <w:rFonts w:ascii="Times New Roman" w:hAnsi="Times New Roman"/>
        </w:rPr>
        <w:t xml:space="preserve"> </w:t>
      </w:r>
      <w:r w:rsidRPr="00A53701">
        <w:rPr>
          <w:rFonts w:ascii="Times New Roman" w:hAnsi="Times New Roman"/>
        </w:rPr>
        <w:tab/>
      </w:r>
      <w:hyperlink r:id="rId5" w:history="1">
        <w:r w:rsidRPr="00A53701">
          <w:rPr>
            <w:rStyle w:val="Hyperlink"/>
            <w:rFonts w:ascii="Times New Roman" w:hAnsi="Times New Roman"/>
          </w:rPr>
          <w:t>Water Action Agenda | Sustainable Development</w:t>
        </w:r>
      </w:hyperlink>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5C3572F"/>
    <w:multiLevelType w:val="multilevel"/>
    <w:tmpl w:val="F61A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1958816">
    <w:abstractNumId w:val="1"/>
  </w:num>
  <w:num w:numId="2" w16cid:durableId="155242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3877"/>
    <w:rsid w:val="00012A37"/>
    <w:rsid w:val="0002177B"/>
    <w:rsid w:val="00046B15"/>
    <w:rsid w:val="000504FF"/>
    <w:rsid w:val="00050DC7"/>
    <w:rsid w:val="00055752"/>
    <w:rsid w:val="00065FEF"/>
    <w:rsid w:val="00076109"/>
    <w:rsid w:val="00077C4F"/>
    <w:rsid w:val="00097BD1"/>
    <w:rsid w:val="000B326A"/>
    <w:rsid w:val="000E2992"/>
    <w:rsid w:val="000F370E"/>
    <w:rsid w:val="000F5FD8"/>
    <w:rsid w:val="001167C0"/>
    <w:rsid w:val="001216FF"/>
    <w:rsid w:val="001304F7"/>
    <w:rsid w:val="00133EA6"/>
    <w:rsid w:val="00135C2A"/>
    <w:rsid w:val="001427C6"/>
    <w:rsid w:val="001437D3"/>
    <w:rsid w:val="00185562"/>
    <w:rsid w:val="001B0E0B"/>
    <w:rsid w:val="001B591E"/>
    <w:rsid w:val="001C4138"/>
    <w:rsid w:val="001F2EC6"/>
    <w:rsid w:val="001F65D0"/>
    <w:rsid w:val="00202954"/>
    <w:rsid w:val="00213689"/>
    <w:rsid w:val="00217E59"/>
    <w:rsid w:val="00222D68"/>
    <w:rsid w:val="00244F3B"/>
    <w:rsid w:val="002452E7"/>
    <w:rsid w:val="0026319B"/>
    <w:rsid w:val="0028227D"/>
    <w:rsid w:val="002B363E"/>
    <w:rsid w:val="002B7835"/>
    <w:rsid w:val="002D5C53"/>
    <w:rsid w:val="002F03FA"/>
    <w:rsid w:val="002F2EC5"/>
    <w:rsid w:val="003004D2"/>
    <w:rsid w:val="003349A3"/>
    <w:rsid w:val="00353C5C"/>
    <w:rsid w:val="00356A69"/>
    <w:rsid w:val="00357353"/>
    <w:rsid w:val="0037743D"/>
    <w:rsid w:val="00377967"/>
    <w:rsid w:val="003800D1"/>
    <w:rsid w:val="00386143"/>
    <w:rsid w:val="00394340"/>
    <w:rsid w:val="00394920"/>
    <w:rsid w:val="00397293"/>
    <w:rsid w:val="003B1F64"/>
    <w:rsid w:val="003B58DC"/>
    <w:rsid w:val="003F686E"/>
    <w:rsid w:val="00431996"/>
    <w:rsid w:val="00433E02"/>
    <w:rsid w:val="00442552"/>
    <w:rsid w:val="00452A57"/>
    <w:rsid w:val="00455A1C"/>
    <w:rsid w:val="004675B5"/>
    <w:rsid w:val="00471CDA"/>
    <w:rsid w:val="004770D6"/>
    <w:rsid w:val="0049246C"/>
    <w:rsid w:val="00495847"/>
    <w:rsid w:val="004A791F"/>
    <w:rsid w:val="004A7DB6"/>
    <w:rsid w:val="004C6F30"/>
    <w:rsid w:val="004C7D0E"/>
    <w:rsid w:val="004D2AEC"/>
    <w:rsid w:val="004F03D3"/>
    <w:rsid w:val="004F554D"/>
    <w:rsid w:val="004F6117"/>
    <w:rsid w:val="004F63F1"/>
    <w:rsid w:val="004F651E"/>
    <w:rsid w:val="00506D53"/>
    <w:rsid w:val="00512926"/>
    <w:rsid w:val="00523B7F"/>
    <w:rsid w:val="0052596B"/>
    <w:rsid w:val="00532D6B"/>
    <w:rsid w:val="00552628"/>
    <w:rsid w:val="00554D8D"/>
    <w:rsid w:val="00562E99"/>
    <w:rsid w:val="00572A09"/>
    <w:rsid w:val="00573835"/>
    <w:rsid w:val="005765B8"/>
    <w:rsid w:val="00581306"/>
    <w:rsid w:val="005937CE"/>
    <w:rsid w:val="00597DC7"/>
    <w:rsid w:val="005C3105"/>
    <w:rsid w:val="005D4680"/>
    <w:rsid w:val="005E0C4B"/>
    <w:rsid w:val="006242C7"/>
    <w:rsid w:val="00655EC4"/>
    <w:rsid w:val="00692C2F"/>
    <w:rsid w:val="00693015"/>
    <w:rsid w:val="00695797"/>
    <w:rsid w:val="00696A5E"/>
    <w:rsid w:val="0069738D"/>
    <w:rsid w:val="006B3B69"/>
    <w:rsid w:val="006C02D6"/>
    <w:rsid w:val="007040E3"/>
    <w:rsid w:val="007066F8"/>
    <w:rsid w:val="00734613"/>
    <w:rsid w:val="00743183"/>
    <w:rsid w:val="00751910"/>
    <w:rsid w:val="00751E60"/>
    <w:rsid w:val="007547B5"/>
    <w:rsid w:val="007551A3"/>
    <w:rsid w:val="00756383"/>
    <w:rsid w:val="00790B23"/>
    <w:rsid w:val="00795A9E"/>
    <w:rsid w:val="007A606D"/>
    <w:rsid w:val="007B2C8F"/>
    <w:rsid w:val="007C1A9C"/>
    <w:rsid w:val="007C2214"/>
    <w:rsid w:val="007E2BDE"/>
    <w:rsid w:val="007E6926"/>
    <w:rsid w:val="007F431C"/>
    <w:rsid w:val="008077B7"/>
    <w:rsid w:val="00807B48"/>
    <w:rsid w:val="008135CA"/>
    <w:rsid w:val="0081584F"/>
    <w:rsid w:val="00817A03"/>
    <w:rsid w:val="00823104"/>
    <w:rsid w:val="00831871"/>
    <w:rsid w:val="008513A1"/>
    <w:rsid w:val="008703BF"/>
    <w:rsid w:val="00871A9F"/>
    <w:rsid w:val="00873EA6"/>
    <w:rsid w:val="008902D9"/>
    <w:rsid w:val="008925CE"/>
    <w:rsid w:val="008C4D41"/>
    <w:rsid w:val="00955CEA"/>
    <w:rsid w:val="00981F45"/>
    <w:rsid w:val="0098429B"/>
    <w:rsid w:val="0098510E"/>
    <w:rsid w:val="00994D12"/>
    <w:rsid w:val="009B128B"/>
    <w:rsid w:val="009B1E34"/>
    <w:rsid w:val="009E2965"/>
    <w:rsid w:val="00A15EFF"/>
    <w:rsid w:val="00A16F07"/>
    <w:rsid w:val="00A25B35"/>
    <w:rsid w:val="00A3001C"/>
    <w:rsid w:val="00A34D36"/>
    <w:rsid w:val="00A53701"/>
    <w:rsid w:val="00A617A9"/>
    <w:rsid w:val="00A62C7B"/>
    <w:rsid w:val="00A64434"/>
    <w:rsid w:val="00A701D8"/>
    <w:rsid w:val="00A74A88"/>
    <w:rsid w:val="00A7709A"/>
    <w:rsid w:val="00A8328B"/>
    <w:rsid w:val="00A8720B"/>
    <w:rsid w:val="00A87762"/>
    <w:rsid w:val="00A921BC"/>
    <w:rsid w:val="00A94B1A"/>
    <w:rsid w:val="00A97B88"/>
    <w:rsid w:val="00AC0396"/>
    <w:rsid w:val="00AE1842"/>
    <w:rsid w:val="00AE3C7C"/>
    <w:rsid w:val="00AF3D11"/>
    <w:rsid w:val="00B1352E"/>
    <w:rsid w:val="00B1714A"/>
    <w:rsid w:val="00B27A8C"/>
    <w:rsid w:val="00B31306"/>
    <w:rsid w:val="00B42814"/>
    <w:rsid w:val="00B43963"/>
    <w:rsid w:val="00B47D53"/>
    <w:rsid w:val="00B515A5"/>
    <w:rsid w:val="00B539FF"/>
    <w:rsid w:val="00B57C85"/>
    <w:rsid w:val="00B622A0"/>
    <w:rsid w:val="00B83936"/>
    <w:rsid w:val="00B87AA3"/>
    <w:rsid w:val="00B9080C"/>
    <w:rsid w:val="00BA3E44"/>
    <w:rsid w:val="00BC201B"/>
    <w:rsid w:val="00BD6EB7"/>
    <w:rsid w:val="00C1440B"/>
    <w:rsid w:val="00C314C7"/>
    <w:rsid w:val="00C54D27"/>
    <w:rsid w:val="00C60A1E"/>
    <w:rsid w:val="00C76EEB"/>
    <w:rsid w:val="00CA4F1B"/>
    <w:rsid w:val="00CE3219"/>
    <w:rsid w:val="00CF168C"/>
    <w:rsid w:val="00CF7F4D"/>
    <w:rsid w:val="00D01F5A"/>
    <w:rsid w:val="00D027E6"/>
    <w:rsid w:val="00D1716E"/>
    <w:rsid w:val="00D23706"/>
    <w:rsid w:val="00D42AC8"/>
    <w:rsid w:val="00D64E05"/>
    <w:rsid w:val="00D65641"/>
    <w:rsid w:val="00D81973"/>
    <w:rsid w:val="00D92FD3"/>
    <w:rsid w:val="00DA0558"/>
    <w:rsid w:val="00DA3B6E"/>
    <w:rsid w:val="00DB71B7"/>
    <w:rsid w:val="00DB7581"/>
    <w:rsid w:val="00DC70C1"/>
    <w:rsid w:val="00DF44E3"/>
    <w:rsid w:val="00DF4F8F"/>
    <w:rsid w:val="00DF5423"/>
    <w:rsid w:val="00E325F3"/>
    <w:rsid w:val="00E50DE9"/>
    <w:rsid w:val="00E57013"/>
    <w:rsid w:val="00E71BBF"/>
    <w:rsid w:val="00E83C12"/>
    <w:rsid w:val="00E904C8"/>
    <w:rsid w:val="00EA1BBF"/>
    <w:rsid w:val="00EB29A9"/>
    <w:rsid w:val="00EB34AF"/>
    <w:rsid w:val="00EB6F4F"/>
    <w:rsid w:val="00EB77D2"/>
    <w:rsid w:val="00F316C8"/>
    <w:rsid w:val="00F632DE"/>
    <w:rsid w:val="00F735E4"/>
    <w:rsid w:val="00FA4072"/>
    <w:rsid w:val="00FB2164"/>
    <w:rsid w:val="00FB37F1"/>
    <w:rsid w:val="00FB7834"/>
    <w:rsid w:val="00FD4B6A"/>
    <w:rsid w:val="00FD57FD"/>
    <w:rsid w:val="00FF03A8"/>
    <w:rsid w:val="00FF63EA"/>
    <w:rsid w:val="00FF6489"/>
    <w:rsid w:val="02CC7F94"/>
    <w:rsid w:val="042E351D"/>
    <w:rsid w:val="04527CB4"/>
    <w:rsid w:val="0803DB34"/>
    <w:rsid w:val="09A3596D"/>
    <w:rsid w:val="0AED34A7"/>
    <w:rsid w:val="0D91FA65"/>
    <w:rsid w:val="0DEF8CCB"/>
    <w:rsid w:val="0FB35D74"/>
    <w:rsid w:val="109BF908"/>
    <w:rsid w:val="118E7B13"/>
    <w:rsid w:val="123F735B"/>
    <w:rsid w:val="12D4D99D"/>
    <w:rsid w:val="12FBA3C5"/>
    <w:rsid w:val="13AF8398"/>
    <w:rsid w:val="14A8A852"/>
    <w:rsid w:val="172DBCB9"/>
    <w:rsid w:val="1865E86F"/>
    <w:rsid w:val="1B66638E"/>
    <w:rsid w:val="1B81F944"/>
    <w:rsid w:val="1C4FC05F"/>
    <w:rsid w:val="1F963623"/>
    <w:rsid w:val="1FA1EF4A"/>
    <w:rsid w:val="20BB6172"/>
    <w:rsid w:val="20C0ED40"/>
    <w:rsid w:val="21EB6BCE"/>
    <w:rsid w:val="27952F49"/>
    <w:rsid w:val="28D08492"/>
    <w:rsid w:val="29E23145"/>
    <w:rsid w:val="2BE98440"/>
    <w:rsid w:val="2C9FF17E"/>
    <w:rsid w:val="2CAEECFA"/>
    <w:rsid w:val="2EAC028C"/>
    <w:rsid w:val="2F0943D5"/>
    <w:rsid w:val="325D738E"/>
    <w:rsid w:val="32CE45EC"/>
    <w:rsid w:val="3349BEC3"/>
    <w:rsid w:val="35993518"/>
    <w:rsid w:val="35D3A13C"/>
    <w:rsid w:val="36D77630"/>
    <w:rsid w:val="3760F8BF"/>
    <w:rsid w:val="38B2249B"/>
    <w:rsid w:val="3E5842E7"/>
    <w:rsid w:val="3E85FA80"/>
    <w:rsid w:val="3EF3FF26"/>
    <w:rsid w:val="40AFB724"/>
    <w:rsid w:val="4126FBC9"/>
    <w:rsid w:val="418DA0EE"/>
    <w:rsid w:val="436E045B"/>
    <w:rsid w:val="4495875D"/>
    <w:rsid w:val="44C0AB60"/>
    <w:rsid w:val="45069230"/>
    <w:rsid w:val="46F7062C"/>
    <w:rsid w:val="474C8D9F"/>
    <w:rsid w:val="485587FF"/>
    <w:rsid w:val="48ABC0E1"/>
    <w:rsid w:val="4A739AF9"/>
    <w:rsid w:val="4CC77698"/>
    <w:rsid w:val="58FF9440"/>
    <w:rsid w:val="5B01FF22"/>
    <w:rsid w:val="5EC79A28"/>
    <w:rsid w:val="5EF9D675"/>
    <w:rsid w:val="5F28B830"/>
    <w:rsid w:val="606237B6"/>
    <w:rsid w:val="653CC8EE"/>
    <w:rsid w:val="660E22A0"/>
    <w:rsid w:val="6A4FA942"/>
    <w:rsid w:val="6D44A76E"/>
    <w:rsid w:val="6E0A37D3"/>
    <w:rsid w:val="7070394B"/>
    <w:rsid w:val="70E0B5D1"/>
    <w:rsid w:val="739EB8B3"/>
    <w:rsid w:val="7597A327"/>
    <w:rsid w:val="75B5E416"/>
    <w:rsid w:val="765E2C8A"/>
    <w:rsid w:val="778A1087"/>
    <w:rsid w:val="796D40C3"/>
    <w:rsid w:val="7B4E6E79"/>
    <w:rsid w:val="7E63C757"/>
    <w:rsid w:val="7EB78C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14062E63-4C3A-4478-AB50-F1D96740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qFormat/>
    <w:rsid w:val="007B2C8F"/>
    <w:pPr>
      <w:numPr>
        <w:numId w:val="2"/>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7B2C8F"/>
    <w:pPr>
      <w:numPr>
        <w:ilvl w:val="1"/>
        <w:numId w:val="2"/>
      </w:numPr>
      <w:spacing w:after="0" w:line="288" w:lineRule="auto"/>
      <w:ind w:left="567" w:hanging="567"/>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7B2C8F"/>
    <w:pPr>
      <w:numPr>
        <w:ilvl w:val="2"/>
        <w:numId w:val="2"/>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7B2C8F"/>
    <w:pPr>
      <w:numPr>
        <w:ilvl w:val="3"/>
        <w:numId w:val="2"/>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7B2C8F"/>
    <w:pPr>
      <w:numPr>
        <w:ilvl w:val="4"/>
        <w:numId w:val="2"/>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7B2C8F"/>
    <w:pPr>
      <w:numPr>
        <w:ilvl w:val="5"/>
        <w:numId w:val="2"/>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7B2C8F"/>
    <w:pPr>
      <w:numPr>
        <w:ilvl w:val="6"/>
        <w:numId w:val="2"/>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7B2C8F"/>
    <w:pPr>
      <w:numPr>
        <w:ilvl w:val="7"/>
        <w:numId w:val="2"/>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7B2C8F"/>
    <w:pPr>
      <w:numPr>
        <w:ilvl w:val="8"/>
        <w:numId w:val="2"/>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2177B"/>
    <w:rPr>
      <w:sz w:val="16"/>
      <w:szCs w:val="16"/>
    </w:rPr>
  </w:style>
  <w:style w:type="paragraph" w:styleId="CommentText">
    <w:name w:val="annotation text"/>
    <w:basedOn w:val="Normal"/>
    <w:link w:val="CommentTextChar"/>
    <w:uiPriority w:val="99"/>
    <w:unhideWhenUsed/>
    <w:rsid w:val="0002177B"/>
    <w:pPr>
      <w:spacing w:after="160" w:line="240" w:lineRule="auto"/>
    </w:pPr>
    <w:rPr>
      <w:rFonts w:ascii="Times New Roman" w:eastAsia="Aptos" w:hAnsi="Times New Roman"/>
      <w:kern w:val="2"/>
      <w:sz w:val="20"/>
      <w:szCs w:val="20"/>
    </w:rPr>
  </w:style>
  <w:style w:type="character" w:customStyle="1" w:styleId="CommentTextChar">
    <w:name w:val="Comment Text Char"/>
    <w:link w:val="CommentText"/>
    <w:uiPriority w:val="99"/>
    <w:rsid w:val="0002177B"/>
    <w:rPr>
      <w:rFonts w:ascii="Times New Roman" w:eastAsia="Aptos" w:hAnsi="Times New Roman"/>
      <w:kern w:val="2"/>
      <w:lang w:eastAsia="en-US"/>
    </w:rPr>
  </w:style>
  <w:style w:type="paragraph" w:styleId="Revision">
    <w:name w:val="Revision"/>
    <w:hidden/>
    <w:uiPriority w:val="99"/>
    <w:semiHidden/>
    <w:rsid w:val="00097BD1"/>
    <w:rPr>
      <w:sz w:val="22"/>
      <w:szCs w:val="22"/>
      <w:lang w:val="en-GB"/>
    </w:rPr>
  </w:style>
  <w:style w:type="paragraph" w:styleId="NormalWeb">
    <w:name w:val="Normal (Web)"/>
    <w:basedOn w:val="Normal"/>
    <w:uiPriority w:val="99"/>
    <w:semiHidden/>
    <w:unhideWhenUsed/>
    <w:rsid w:val="00D65641"/>
    <w:pPr>
      <w:spacing w:before="100" w:beforeAutospacing="1" w:after="100" w:afterAutospacing="1" w:line="240" w:lineRule="auto"/>
    </w:pPr>
    <w:rPr>
      <w:rFonts w:ascii="Times New Roman" w:eastAsia="Times New Roman" w:hAnsi="Times New Roman"/>
      <w:sz w:val="24"/>
      <w:szCs w:val="24"/>
      <w:lang w:val="en-IE" w:eastAsia="en-IE"/>
    </w:rPr>
  </w:style>
  <w:style w:type="character" w:styleId="Strong">
    <w:name w:val="Strong"/>
    <w:uiPriority w:val="22"/>
    <w:qFormat/>
    <w:rsid w:val="00D65641"/>
    <w:rPr>
      <w:b/>
      <w:bCs/>
    </w:rPr>
  </w:style>
  <w:style w:type="paragraph" w:styleId="Header">
    <w:name w:val="header"/>
    <w:basedOn w:val="Normal"/>
    <w:link w:val="HeaderChar"/>
    <w:uiPriority w:val="99"/>
    <w:semiHidden/>
    <w:unhideWhenUsed/>
    <w:rsid w:val="004D2AEC"/>
    <w:pPr>
      <w:tabs>
        <w:tab w:val="center" w:pos="4680"/>
        <w:tab w:val="right" w:pos="9360"/>
      </w:tabs>
    </w:pPr>
  </w:style>
  <w:style w:type="character" w:customStyle="1" w:styleId="HeaderChar">
    <w:name w:val="Header Char"/>
    <w:link w:val="Header"/>
    <w:uiPriority w:val="99"/>
    <w:semiHidden/>
    <w:rsid w:val="004D2AEC"/>
    <w:rPr>
      <w:sz w:val="22"/>
      <w:szCs w:val="22"/>
      <w:lang w:eastAsia="en-US"/>
    </w:rPr>
  </w:style>
  <w:style w:type="paragraph" w:styleId="Footer">
    <w:name w:val="footer"/>
    <w:basedOn w:val="Normal"/>
    <w:link w:val="FooterChar"/>
    <w:uiPriority w:val="99"/>
    <w:semiHidden/>
    <w:unhideWhenUsed/>
    <w:rsid w:val="004D2AEC"/>
    <w:pPr>
      <w:tabs>
        <w:tab w:val="center" w:pos="4680"/>
        <w:tab w:val="right" w:pos="9360"/>
      </w:tabs>
    </w:pPr>
  </w:style>
  <w:style w:type="character" w:customStyle="1" w:styleId="FooterChar">
    <w:name w:val="Footer Char"/>
    <w:link w:val="Footer"/>
    <w:uiPriority w:val="99"/>
    <w:semiHidden/>
    <w:rsid w:val="004D2AEC"/>
    <w:rPr>
      <w:sz w:val="22"/>
      <w:szCs w:val="22"/>
      <w:lang w:eastAsia="en-US"/>
    </w:rPr>
  </w:style>
  <w:style w:type="paragraph" w:styleId="FootnoteText">
    <w:name w:val="footnote text"/>
    <w:basedOn w:val="Normal"/>
    <w:link w:val="FootnoteTextChar"/>
    <w:uiPriority w:val="99"/>
    <w:semiHidden/>
    <w:unhideWhenUsed/>
    <w:rsid w:val="00E57013"/>
    <w:rPr>
      <w:sz w:val="20"/>
      <w:szCs w:val="20"/>
    </w:rPr>
  </w:style>
  <w:style w:type="character" w:customStyle="1" w:styleId="FootnoteTextChar">
    <w:name w:val="Footnote Text Char"/>
    <w:link w:val="FootnoteText"/>
    <w:uiPriority w:val="99"/>
    <w:semiHidden/>
    <w:rsid w:val="00E57013"/>
    <w:rPr>
      <w:lang w:eastAsia="en-US"/>
    </w:rPr>
  </w:style>
  <w:style w:type="character" w:styleId="FootnoteReference">
    <w:name w:val="footnote reference"/>
    <w:uiPriority w:val="99"/>
    <w:semiHidden/>
    <w:unhideWhenUsed/>
    <w:rsid w:val="00E57013"/>
    <w:rPr>
      <w:vertAlign w:val="superscript"/>
    </w:rPr>
  </w:style>
  <w:style w:type="character" w:styleId="Hyperlink">
    <w:name w:val="Hyperlink"/>
    <w:uiPriority w:val="99"/>
    <w:unhideWhenUsed/>
    <w:rsid w:val="00C1440B"/>
    <w:rPr>
      <w:color w:val="0563C1"/>
      <w:u w:val="single"/>
    </w:rPr>
  </w:style>
  <w:style w:type="character" w:styleId="UnresolvedMention">
    <w:name w:val="Unresolved Mention"/>
    <w:uiPriority w:val="99"/>
    <w:semiHidden/>
    <w:unhideWhenUsed/>
    <w:rsid w:val="00C1440B"/>
    <w:rPr>
      <w:color w:val="605E5C"/>
      <w:shd w:val="clear" w:color="auto" w:fill="E1DFDD"/>
    </w:rPr>
  </w:style>
  <w:style w:type="character" w:styleId="FollowedHyperlink">
    <w:name w:val="FollowedHyperlink"/>
    <w:uiPriority w:val="99"/>
    <w:semiHidden/>
    <w:unhideWhenUsed/>
    <w:rsid w:val="00A74A88"/>
    <w:rPr>
      <w:color w:val="954F72"/>
      <w:u w:val="single"/>
    </w:rPr>
  </w:style>
  <w:style w:type="character" w:customStyle="1" w:styleId="Heading1Char">
    <w:name w:val="Heading 1 Char"/>
    <w:link w:val="Heading1"/>
    <w:rsid w:val="007B2C8F"/>
    <w:rPr>
      <w:rFonts w:ascii="Times New Roman" w:eastAsia="Times New Roman" w:hAnsi="Times New Roman"/>
      <w:kern w:val="28"/>
      <w:sz w:val="22"/>
      <w:szCs w:val="22"/>
      <w:lang w:val="en-US" w:eastAsia="en-US"/>
    </w:rPr>
  </w:style>
  <w:style w:type="character" w:customStyle="1" w:styleId="Heading2Char">
    <w:name w:val="Heading 2 Char"/>
    <w:link w:val="Heading2"/>
    <w:rsid w:val="007B2C8F"/>
    <w:rPr>
      <w:rFonts w:ascii="Times New Roman" w:eastAsia="Times New Roman" w:hAnsi="Times New Roman"/>
      <w:sz w:val="22"/>
      <w:szCs w:val="22"/>
      <w:lang w:val="en-US" w:eastAsia="en-US"/>
    </w:rPr>
  </w:style>
  <w:style w:type="character" w:customStyle="1" w:styleId="Heading3Char">
    <w:name w:val="Heading 3 Char"/>
    <w:link w:val="Heading3"/>
    <w:rsid w:val="007B2C8F"/>
    <w:rPr>
      <w:rFonts w:ascii="Times New Roman" w:eastAsia="Times New Roman" w:hAnsi="Times New Roman"/>
      <w:sz w:val="22"/>
      <w:szCs w:val="22"/>
      <w:lang w:val="en-US" w:eastAsia="en-US"/>
    </w:rPr>
  </w:style>
  <w:style w:type="character" w:customStyle="1" w:styleId="Heading4Char">
    <w:name w:val="Heading 4 Char"/>
    <w:link w:val="Heading4"/>
    <w:rsid w:val="007B2C8F"/>
    <w:rPr>
      <w:rFonts w:ascii="Times New Roman" w:eastAsia="Times New Roman" w:hAnsi="Times New Roman"/>
      <w:sz w:val="22"/>
      <w:szCs w:val="22"/>
      <w:lang w:val="en-US" w:eastAsia="en-US"/>
    </w:rPr>
  </w:style>
  <w:style w:type="character" w:customStyle="1" w:styleId="Heading5Char">
    <w:name w:val="Heading 5 Char"/>
    <w:link w:val="Heading5"/>
    <w:rsid w:val="007B2C8F"/>
    <w:rPr>
      <w:rFonts w:ascii="Times New Roman" w:eastAsia="Times New Roman" w:hAnsi="Times New Roman"/>
      <w:sz w:val="22"/>
      <w:szCs w:val="22"/>
      <w:lang w:val="en-US" w:eastAsia="en-US"/>
    </w:rPr>
  </w:style>
  <w:style w:type="character" w:customStyle="1" w:styleId="Heading6Char">
    <w:name w:val="Heading 6 Char"/>
    <w:link w:val="Heading6"/>
    <w:rsid w:val="007B2C8F"/>
    <w:rPr>
      <w:rFonts w:ascii="Times New Roman" w:eastAsia="Times New Roman" w:hAnsi="Times New Roman"/>
      <w:sz w:val="22"/>
      <w:szCs w:val="22"/>
      <w:lang w:val="en-US" w:eastAsia="en-US"/>
    </w:rPr>
  </w:style>
  <w:style w:type="character" w:customStyle="1" w:styleId="Heading7Char">
    <w:name w:val="Heading 7 Char"/>
    <w:link w:val="Heading7"/>
    <w:rsid w:val="007B2C8F"/>
    <w:rPr>
      <w:rFonts w:ascii="Times New Roman" w:eastAsia="Times New Roman" w:hAnsi="Times New Roman"/>
      <w:sz w:val="22"/>
      <w:szCs w:val="22"/>
      <w:lang w:val="en-US" w:eastAsia="en-US"/>
    </w:rPr>
  </w:style>
  <w:style w:type="character" w:customStyle="1" w:styleId="Heading8Char">
    <w:name w:val="Heading 8 Char"/>
    <w:link w:val="Heading8"/>
    <w:rsid w:val="007B2C8F"/>
    <w:rPr>
      <w:rFonts w:ascii="Times New Roman" w:eastAsia="Times New Roman" w:hAnsi="Times New Roman"/>
      <w:sz w:val="22"/>
      <w:szCs w:val="22"/>
      <w:lang w:val="en-US" w:eastAsia="en-US"/>
    </w:rPr>
  </w:style>
  <w:style w:type="character" w:customStyle="1" w:styleId="Heading9Char">
    <w:name w:val="Heading 9 Char"/>
    <w:link w:val="Heading9"/>
    <w:rsid w:val="007B2C8F"/>
    <w:rPr>
      <w:rFonts w:ascii="Times New Roman" w:eastAsia="Times New Roman" w:hAnsi="Times New Roman"/>
      <w:sz w:val="22"/>
      <w:szCs w:val="22"/>
      <w:lang w:val="en-US" w:eastAsia="en-US"/>
    </w:rPr>
  </w:style>
  <w:style w:type="paragraph" w:styleId="CommentSubject">
    <w:name w:val="annotation subject"/>
    <w:basedOn w:val="CommentText"/>
    <w:next w:val="CommentText"/>
    <w:link w:val="CommentSubjectChar"/>
    <w:uiPriority w:val="99"/>
    <w:semiHidden/>
    <w:unhideWhenUsed/>
    <w:rsid w:val="002D5C53"/>
    <w:pPr>
      <w:spacing w:after="200" w:line="276" w:lineRule="auto"/>
    </w:pPr>
    <w:rPr>
      <w:rFonts w:ascii="Calibri" w:eastAsia="Calibri" w:hAnsi="Calibri"/>
      <w:b/>
      <w:bCs/>
      <w:kern w:val="0"/>
    </w:rPr>
  </w:style>
  <w:style w:type="character" w:customStyle="1" w:styleId="CommentSubjectChar">
    <w:name w:val="Comment Subject Char"/>
    <w:link w:val="CommentSubject"/>
    <w:uiPriority w:val="99"/>
    <w:semiHidden/>
    <w:rsid w:val="002D5C53"/>
    <w:rPr>
      <w:rFonts w:ascii="Times New Roman" w:eastAsia="Aptos" w:hAnsi="Times New Roman"/>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0006">
      <w:bodyDiv w:val="1"/>
      <w:marLeft w:val="0"/>
      <w:marRight w:val="0"/>
      <w:marTop w:val="0"/>
      <w:marBottom w:val="0"/>
      <w:divBdr>
        <w:top w:val="none" w:sz="0" w:space="0" w:color="auto"/>
        <w:left w:val="none" w:sz="0" w:space="0" w:color="auto"/>
        <w:bottom w:val="none" w:sz="0" w:space="0" w:color="auto"/>
        <w:right w:val="none" w:sz="0" w:space="0" w:color="auto"/>
      </w:divBdr>
      <w:divsChild>
        <w:div w:id="147137943">
          <w:marLeft w:val="0"/>
          <w:marRight w:val="0"/>
          <w:marTop w:val="0"/>
          <w:marBottom w:val="0"/>
          <w:divBdr>
            <w:top w:val="none" w:sz="0" w:space="0" w:color="auto"/>
            <w:left w:val="none" w:sz="0" w:space="0" w:color="auto"/>
            <w:bottom w:val="none" w:sz="0" w:space="0" w:color="auto"/>
            <w:right w:val="none" w:sz="0" w:space="0" w:color="auto"/>
          </w:divBdr>
        </w:div>
        <w:div w:id="879516248">
          <w:marLeft w:val="0"/>
          <w:marRight w:val="0"/>
          <w:marTop w:val="0"/>
          <w:marBottom w:val="0"/>
          <w:divBdr>
            <w:top w:val="none" w:sz="0" w:space="0" w:color="auto"/>
            <w:left w:val="none" w:sz="0" w:space="0" w:color="auto"/>
            <w:bottom w:val="none" w:sz="0" w:space="0" w:color="auto"/>
            <w:right w:val="none" w:sz="0" w:space="0" w:color="auto"/>
          </w:divBdr>
        </w:div>
        <w:div w:id="1611817724">
          <w:marLeft w:val="0"/>
          <w:marRight w:val="0"/>
          <w:marTop w:val="0"/>
          <w:marBottom w:val="0"/>
          <w:divBdr>
            <w:top w:val="none" w:sz="0" w:space="0" w:color="auto"/>
            <w:left w:val="none" w:sz="0" w:space="0" w:color="auto"/>
            <w:bottom w:val="none" w:sz="0" w:space="0" w:color="auto"/>
            <w:right w:val="none" w:sz="0" w:space="0" w:color="auto"/>
          </w:divBdr>
        </w:div>
      </w:divsChild>
    </w:div>
    <w:div w:id="129445733">
      <w:bodyDiv w:val="1"/>
      <w:marLeft w:val="0"/>
      <w:marRight w:val="0"/>
      <w:marTop w:val="0"/>
      <w:marBottom w:val="0"/>
      <w:divBdr>
        <w:top w:val="none" w:sz="0" w:space="0" w:color="auto"/>
        <w:left w:val="none" w:sz="0" w:space="0" w:color="auto"/>
        <w:bottom w:val="none" w:sz="0" w:space="0" w:color="auto"/>
        <w:right w:val="none" w:sz="0" w:space="0" w:color="auto"/>
      </w:divBdr>
      <w:divsChild>
        <w:div w:id="156462171">
          <w:marLeft w:val="0"/>
          <w:marRight w:val="0"/>
          <w:marTop w:val="0"/>
          <w:marBottom w:val="0"/>
          <w:divBdr>
            <w:top w:val="none" w:sz="0" w:space="0" w:color="auto"/>
            <w:left w:val="none" w:sz="0" w:space="0" w:color="auto"/>
            <w:bottom w:val="none" w:sz="0" w:space="0" w:color="auto"/>
            <w:right w:val="none" w:sz="0" w:space="0" w:color="auto"/>
          </w:divBdr>
        </w:div>
        <w:div w:id="1606574604">
          <w:marLeft w:val="0"/>
          <w:marRight w:val="0"/>
          <w:marTop w:val="0"/>
          <w:marBottom w:val="0"/>
          <w:divBdr>
            <w:top w:val="none" w:sz="0" w:space="0" w:color="auto"/>
            <w:left w:val="none" w:sz="0" w:space="0" w:color="auto"/>
            <w:bottom w:val="none" w:sz="0" w:space="0" w:color="auto"/>
            <w:right w:val="none" w:sz="0" w:space="0" w:color="auto"/>
          </w:divBdr>
        </w:div>
      </w:divsChild>
    </w:div>
    <w:div w:id="279534449">
      <w:bodyDiv w:val="1"/>
      <w:marLeft w:val="0"/>
      <w:marRight w:val="0"/>
      <w:marTop w:val="0"/>
      <w:marBottom w:val="0"/>
      <w:divBdr>
        <w:top w:val="none" w:sz="0" w:space="0" w:color="auto"/>
        <w:left w:val="none" w:sz="0" w:space="0" w:color="auto"/>
        <w:bottom w:val="none" w:sz="0" w:space="0" w:color="auto"/>
        <w:right w:val="none" w:sz="0" w:space="0" w:color="auto"/>
      </w:divBdr>
      <w:divsChild>
        <w:div w:id="1118111251">
          <w:marLeft w:val="0"/>
          <w:marRight w:val="0"/>
          <w:marTop w:val="0"/>
          <w:marBottom w:val="0"/>
          <w:divBdr>
            <w:top w:val="none" w:sz="0" w:space="0" w:color="auto"/>
            <w:left w:val="none" w:sz="0" w:space="0" w:color="auto"/>
            <w:bottom w:val="none" w:sz="0" w:space="0" w:color="auto"/>
            <w:right w:val="none" w:sz="0" w:space="0" w:color="auto"/>
          </w:divBdr>
        </w:div>
        <w:div w:id="2003123673">
          <w:marLeft w:val="0"/>
          <w:marRight w:val="0"/>
          <w:marTop w:val="0"/>
          <w:marBottom w:val="0"/>
          <w:divBdr>
            <w:top w:val="none" w:sz="0" w:space="0" w:color="auto"/>
            <w:left w:val="none" w:sz="0" w:space="0" w:color="auto"/>
            <w:bottom w:val="none" w:sz="0" w:space="0" w:color="auto"/>
            <w:right w:val="none" w:sz="0" w:space="0" w:color="auto"/>
          </w:divBdr>
        </w:div>
      </w:divsChild>
    </w:div>
    <w:div w:id="558588723">
      <w:bodyDiv w:val="1"/>
      <w:marLeft w:val="0"/>
      <w:marRight w:val="0"/>
      <w:marTop w:val="0"/>
      <w:marBottom w:val="0"/>
      <w:divBdr>
        <w:top w:val="none" w:sz="0" w:space="0" w:color="auto"/>
        <w:left w:val="none" w:sz="0" w:space="0" w:color="auto"/>
        <w:bottom w:val="none" w:sz="0" w:space="0" w:color="auto"/>
        <w:right w:val="none" w:sz="0" w:space="0" w:color="auto"/>
      </w:divBdr>
    </w:div>
    <w:div w:id="660544880">
      <w:bodyDiv w:val="1"/>
      <w:marLeft w:val="0"/>
      <w:marRight w:val="0"/>
      <w:marTop w:val="0"/>
      <w:marBottom w:val="0"/>
      <w:divBdr>
        <w:top w:val="none" w:sz="0" w:space="0" w:color="auto"/>
        <w:left w:val="none" w:sz="0" w:space="0" w:color="auto"/>
        <w:bottom w:val="none" w:sz="0" w:space="0" w:color="auto"/>
        <w:right w:val="none" w:sz="0" w:space="0" w:color="auto"/>
      </w:divBdr>
      <w:divsChild>
        <w:div w:id="1399816095">
          <w:marLeft w:val="0"/>
          <w:marRight w:val="0"/>
          <w:marTop w:val="0"/>
          <w:marBottom w:val="0"/>
          <w:divBdr>
            <w:top w:val="none" w:sz="0" w:space="0" w:color="auto"/>
            <w:left w:val="none" w:sz="0" w:space="0" w:color="auto"/>
            <w:bottom w:val="none" w:sz="0" w:space="0" w:color="auto"/>
            <w:right w:val="none" w:sz="0" w:space="0" w:color="auto"/>
          </w:divBdr>
        </w:div>
        <w:div w:id="1866478531">
          <w:marLeft w:val="0"/>
          <w:marRight w:val="0"/>
          <w:marTop w:val="0"/>
          <w:marBottom w:val="0"/>
          <w:divBdr>
            <w:top w:val="none" w:sz="0" w:space="0" w:color="auto"/>
            <w:left w:val="none" w:sz="0" w:space="0" w:color="auto"/>
            <w:bottom w:val="none" w:sz="0" w:space="0" w:color="auto"/>
            <w:right w:val="none" w:sz="0" w:space="0" w:color="auto"/>
          </w:divBdr>
        </w:div>
      </w:divsChild>
    </w:div>
    <w:div w:id="1259557332">
      <w:bodyDiv w:val="1"/>
      <w:marLeft w:val="0"/>
      <w:marRight w:val="0"/>
      <w:marTop w:val="0"/>
      <w:marBottom w:val="0"/>
      <w:divBdr>
        <w:top w:val="none" w:sz="0" w:space="0" w:color="auto"/>
        <w:left w:val="none" w:sz="0" w:space="0" w:color="auto"/>
        <w:bottom w:val="none" w:sz="0" w:space="0" w:color="auto"/>
        <w:right w:val="none" w:sz="0" w:space="0" w:color="auto"/>
      </w:divBdr>
    </w:div>
    <w:div w:id="1486047604">
      <w:bodyDiv w:val="1"/>
      <w:marLeft w:val="0"/>
      <w:marRight w:val="0"/>
      <w:marTop w:val="0"/>
      <w:marBottom w:val="0"/>
      <w:divBdr>
        <w:top w:val="none" w:sz="0" w:space="0" w:color="auto"/>
        <w:left w:val="none" w:sz="0" w:space="0" w:color="auto"/>
        <w:bottom w:val="none" w:sz="0" w:space="0" w:color="auto"/>
        <w:right w:val="none" w:sz="0" w:space="0" w:color="auto"/>
      </w:divBdr>
      <w:divsChild>
        <w:div w:id="1595282295">
          <w:marLeft w:val="0"/>
          <w:marRight w:val="0"/>
          <w:marTop w:val="0"/>
          <w:marBottom w:val="0"/>
          <w:divBdr>
            <w:top w:val="none" w:sz="0" w:space="0" w:color="auto"/>
            <w:left w:val="none" w:sz="0" w:space="0" w:color="auto"/>
            <w:bottom w:val="none" w:sz="0" w:space="0" w:color="auto"/>
            <w:right w:val="none" w:sz="0" w:space="0" w:color="auto"/>
          </w:divBdr>
        </w:div>
        <w:div w:id="1940868761">
          <w:marLeft w:val="0"/>
          <w:marRight w:val="0"/>
          <w:marTop w:val="0"/>
          <w:marBottom w:val="0"/>
          <w:divBdr>
            <w:top w:val="none" w:sz="0" w:space="0" w:color="auto"/>
            <w:left w:val="none" w:sz="0" w:space="0" w:color="auto"/>
            <w:bottom w:val="none" w:sz="0" w:space="0" w:color="auto"/>
            <w:right w:val="none" w:sz="0" w:space="0" w:color="auto"/>
          </w:divBdr>
        </w:div>
      </w:divsChild>
    </w:div>
    <w:div w:id="1696148884">
      <w:bodyDiv w:val="1"/>
      <w:marLeft w:val="0"/>
      <w:marRight w:val="0"/>
      <w:marTop w:val="0"/>
      <w:marBottom w:val="0"/>
      <w:divBdr>
        <w:top w:val="none" w:sz="0" w:space="0" w:color="auto"/>
        <w:left w:val="none" w:sz="0" w:space="0" w:color="auto"/>
        <w:bottom w:val="none" w:sz="0" w:space="0" w:color="auto"/>
        <w:right w:val="none" w:sz="0" w:space="0" w:color="auto"/>
      </w:divBdr>
    </w:div>
    <w:div w:id="1887839118">
      <w:bodyDiv w:val="1"/>
      <w:marLeft w:val="0"/>
      <w:marRight w:val="0"/>
      <w:marTop w:val="0"/>
      <w:marBottom w:val="0"/>
      <w:divBdr>
        <w:top w:val="none" w:sz="0" w:space="0" w:color="auto"/>
        <w:left w:val="none" w:sz="0" w:space="0" w:color="auto"/>
        <w:bottom w:val="none" w:sz="0" w:space="0" w:color="auto"/>
        <w:right w:val="none" w:sz="0" w:space="0" w:color="auto"/>
      </w:divBdr>
    </w:div>
    <w:div w:id="2044670306">
      <w:bodyDiv w:val="1"/>
      <w:marLeft w:val="0"/>
      <w:marRight w:val="0"/>
      <w:marTop w:val="0"/>
      <w:marBottom w:val="0"/>
      <w:divBdr>
        <w:top w:val="none" w:sz="0" w:space="0" w:color="auto"/>
        <w:left w:val="none" w:sz="0" w:space="0" w:color="auto"/>
        <w:bottom w:val="none" w:sz="0" w:space="0" w:color="auto"/>
        <w:right w:val="none" w:sz="0" w:space="0" w:color="auto"/>
      </w:divBdr>
      <w:divsChild>
        <w:div w:id="229855564">
          <w:marLeft w:val="0"/>
          <w:marRight w:val="0"/>
          <w:marTop w:val="0"/>
          <w:marBottom w:val="0"/>
          <w:divBdr>
            <w:top w:val="none" w:sz="0" w:space="0" w:color="auto"/>
            <w:left w:val="none" w:sz="0" w:space="0" w:color="auto"/>
            <w:bottom w:val="none" w:sz="0" w:space="0" w:color="auto"/>
            <w:right w:val="none" w:sz="0" w:space="0" w:color="auto"/>
          </w:divBdr>
        </w:div>
        <w:div w:id="1200169783">
          <w:marLeft w:val="0"/>
          <w:marRight w:val="0"/>
          <w:marTop w:val="0"/>
          <w:marBottom w:val="0"/>
          <w:divBdr>
            <w:top w:val="none" w:sz="0" w:space="0" w:color="auto"/>
            <w:left w:val="none" w:sz="0" w:space="0" w:color="auto"/>
            <w:bottom w:val="none" w:sz="0" w:space="0" w:color="auto"/>
            <w:right w:val="none" w:sz="0" w:space="0" w:color="auto"/>
          </w:divBdr>
        </w:div>
        <w:div w:id="2070574550">
          <w:marLeft w:val="0"/>
          <w:marRight w:val="0"/>
          <w:marTop w:val="0"/>
          <w:marBottom w:val="0"/>
          <w:divBdr>
            <w:top w:val="none" w:sz="0" w:space="0" w:color="auto"/>
            <w:left w:val="none" w:sz="0" w:space="0" w:color="auto"/>
            <w:bottom w:val="none" w:sz="0" w:space="0" w:color="auto"/>
            <w:right w:val="none" w:sz="0" w:space="0" w:color="auto"/>
          </w:divBdr>
        </w:div>
      </w:divsChild>
    </w:div>
    <w:div w:id="207696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11/95/oj" TargetMode="External"/><Relationship Id="rId2" Type="http://schemas.openxmlformats.org/officeDocument/2006/relationships/hyperlink" Target="https://www.undrr.org/publication/sendai-framework-disaster-risk-reduction-2015-2030" TargetMode="External"/><Relationship Id="rId1" Type="http://schemas.openxmlformats.org/officeDocument/2006/relationships/hyperlink" Target="https://www.global-council.org/climate-database" TargetMode="External"/><Relationship Id="rId5" Type="http://schemas.openxmlformats.org/officeDocument/2006/relationships/hyperlink" Target="https://sdgs.un.org/partnerships/action-networks/water" TargetMode="External"/><Relationship Id="rId4" Type="http://schemas.openxmlformats.org/officeDocument/2006/relationships/hyperlink" Target="http://data.europa.eu/eli/dir/2001/55/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3AE254540994BBD772E5BCBE11F29" ma:contentTypeVersion="7" ma:contentTypeDescription="Create a new document." ma:contentTypeScope="" ma:versionID="438f1825d4093aa75a1c0fcfa655a8ac">
  <xsd:schema xmlns:xsd="http://www.w3.org/2001/XMLSchema" xmlns:xs="http://www.w3.org/2001/XMLSchema" xmlns:p="http://schemas.microsoft.com/office/2006/metadata/properties" xmlns:ns2="a4c6cd38-953d-409e-8266-a7703513a0a4" xmlns:ns3="64638040-35f6-4905-b21f-4e31af5e1fb5" targetNamespace="http://schemas.microsoft.com/office/2006/metadata/properties" ma:root="true" ma:fieldsID="dab4884958b6788e731b889c524dfe5c" ns2:_="" ns3:_="">
    <xsd:import namespace="a4c6cd38-953d-409e-8266-a7703513a0a4"/>
    <xsd:import namespace="64638040-35f6-4905-b21f-4e31af5e1f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cd38-953d-409e-8266-a7703513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638040-35f6-4905-b21f-4e31af5e1f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4c6cd38-953d-409e-8266-a7703513a0a4" xsi:nil="true"/>
  </documentManagement>
</p:properties>
</file>

<file path=customXml/itemProps1.xml><?xml version="1.0" encoding="utf-8"?>
<ds:datastoreItem xmlns:ds="http://schemas.openxmlformats.org/officeDocument/2006/customXml" ds:itemID="{FE6A467C-6F3E-45F6-B13A-C956E49AC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cd38-953d-409e-8266-a7703513a0a4"/>
    <ds:schemaRef ds:uri="64638040-35f6-4905-b21f-4e31af5e1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4F550-388E-4985-B568-FB2255FF3980}">
  <ds:schemaRefs>
    <ds:schemaRef ds:uri="http://schemas.openxmlformats.org/officeDocument/2006/bibliography"/>
  </ds:schemaRefs>
</ds:datastoreItem>
</file>

<file path=customXml/itemProps3.xml><?xml version="1.0" encoding="utf-8"?>
<ds:datastoreItem xmlns:ds="http://schemas.openxmlformats.org/officeDocument/2006/customXml" ds:itemID="{B098424E-DF4D-4CBF-8E37-BAFE5E9DAACD}">
  <ds:schemaRefs>
    <ds:schemaRef ds:uri="http://schemas.microsoft.com/sharepoint/v3/contenttype/forms"/>
  </ds:schemaRefs>
</ds:datastoreItem>
</file>

<file path=customXml/itemProps4.xml><?xml version="1.0" encoding="utf-8"?>
<ds:datastoreItem xmlns:ds="http://schemas.openxmlformats.org/officeDocument/2006/customXml" ds:itemID="{760CB919-93F9-4D3E-A9C9-78C666D88FB9}">
  <ds:schemaRefs>
    <ds:schemaRef ds:uri="http://schemas.microsoft.com/office/2006/metadata/properties"/>
    <ds:schemaRef ds:uri="http://schemas.microsoft.com/office/infopath/2007/PartnerControls"/>
    <ds:schemaRef ds:uri="a4c6cd38-953d-409e-8266-a7703513a0a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1217</Words>
  <Characters>7248</Characters>
  <Application>Microsoft Office Word</Application>
  <DocSecurity>0</DocSecurity>
  <Lines>102</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3</cp:revision>
  <cp:lastPrinted>2013-02-27T18:02:00Z</cp:lastPrinted>
  <dcterms:created xsi:type="dcterms:W3CDTF">2026-03-04T15:33:00Z</dcterms:created>
  <dcterms:modified xsi:type="dcterms:W3CDTF">2026-03-04T15:35:00Z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0x0101003F53AE254540994BBD772E5BCBE11F29</vt:lpwstr>
  </property>
</Properties>
</file>