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12C1CBDF">
        <w:trPr>
          <w:jc w:val="center"/>
        </w:trPr>
        <w:tc>
          <w:tcPr>
            <w:tcW w:w="10243" w:type="dxa"/>
          </w:tcPr>
          <w:p w14:paraId="3A4EDC3A" w14:textId="2008AC67" w:rsidR="001C4138" w:rsidRPr="004F6117" w:rsidRDefault="5B0D62F3" w:rsidP="00981B77">
            <w:pPr>
              <w:spacing w:before="120" w:after="120"/>
              <w:rPr>
                <w:rFonts w:ascii="Times New Roman" w:hAnsi="Times New Roman"/>
                <w:b/>
                <w:bCs/>
                <w:sz w:val="24"/>
                <w:szCs w:val="24"/>
              </w:rPr>
            </w:pPr>
            <w:r w:rsidRPr="12C1CBDF">
              <w:rPr>
                <w:rFonts w:ascii="Times New Roman" w:eastAsia="Times New Roman" w:hAnsi="Times New Roman"/>
                <w:b/>
                <w:bCs/>
                <w:sz w:val="24"/>
                <w:szCs w:val="24"/>
              </w:rPr>
              <w:t xml:space="preserve">Strengthening European values in candidate </w:t>
            </w:r>
            <w:r w:rsidR="735E123F" w:rsidRPr="12C1CBDF">
              <w:rPr>
                <w:rFonts w:ascii="Times New Roman" w:eastAsia="Times New Roman" w:hAnsi="Times New Roman"/>
                <w:b/>
                <w:bCs/>
                <w:sz w:val="24"/>
                <w:szCs w:val="24"/>
              </w:rPr>
              <w:t>countries</w:t>
            </w:r>
            <w:r w:rsidRPr="12C1CBDF">
              <w:rPr>
                <w:rFonts w:ascii="Times New Roman" w:eastAsia="Times New Roman" w:hAnsi="Times New Roman"/>
                <w:b/>
                <w:bCs/>
                <w:sz w:val="24"/>
                <w:szCs w:val="24"/>
              </w:rPr>
              <w:t xml:space="preserve"> by supporting the public service sector and empowering social partners and civil society organisations</w:t>
            </w:r>
            <w:r w:rsidR="00554137">
              <w:rPr>
                <w:rFonts w:ascii="Times New Roman" w:hAnsi="Times New Roman"/>
                <w:b/>
                <w:sz w:val="24"/>
                <w:szCs w:val="24"/>
              </w:rPr>
              <w:br/>
            </w:r>
            <w:r w:rsidR="00665F9E">
              <w:rPr>
                <w:rFonts w:ascii="Times New Roman" w:hAnsi="Times New Roman"/>
                <w:b/>
                <w:bCs/>
                <w:sz w:val="24"/>
                <w:szCs w:val="24"/>
                <w:lang w:val="en-IE"/>
              </w:rPr>
              <w:t>(</w:t>
            </w:r>
            <w:r w:rsidR="00C37BDD" w:rsidRPr="63DAF771">
              <w:rPr>
                <w:rFonts w:ascii="Times New Roman" w:hAnsi="Times New Roman"/>
                <w:b/>
                <w:bCs/>
                <w:sz w:val="24"/>
                <w:szCs w:val="24"/>
                <w:lang w:val="en-IE"/>
              </w:rPr>
              <w:t>Council Presidency referral</w:t>
            </w:r>
            <w:r w:rsidR="00554137" w:rsidRPr="63DAF771">
              <w:rPr>
                <w:rFonts w:ascii="Times New Roman" w:hAnsi="Times New Roman"/>
                <w:b/>
                <w:bCs/>
                <w:sz w:val="24"/>
                <w:szCs w:val="24"/>
                <w:lang w:val="en-IE"/>
              </w:rPr>
              <w:t>/</w:t>
            </w:r>
            <w:r w:rsidR="00554137" w:rsidRPr="63DAF771">
              <w:rPr>
                <w:rFonts w:ascii="Times New Roman" w:hAnsi="Times New Roman"/>
                <w:b/>
                <w:bCs/>
                <w:sz w:val="24"/>
                <w:szCs w:val="24"/>
              </w:rPr>
              <w:t xml:space="preserve"> exploratory opinion</w:t>
            </w:r>
            <w:r w:rsidR="00665F9E">
              <w:rPr>
                <w:rFonts w:ascii="Times New Roman" w:hAnsi="Times New Roman"/>
                <w:b/>
                <w:bCs/>
                <w:sz w:val="24"/>
                <w:szCs w:val="24"/>
              </w:rPr>
              <w:t>)</w:t>
            </w:r>
            <w:r w:rsidR="001C4138" w:rsidRPr="00554137">
              <w:rPr>
                <w:rFonts w:ascii="Times New Roman" w:hAnsi="Times New Roman"/>
                <w:b/>
                <w:sz w:val="24"/>
                <w:szCs w:val="24"/>
                <w:lang w:val="en-IE"/>
              </w:rPr>
              <w:br/>
            </w:r>
            <w:r w:rsidR="001C4138" w:rsidRPr="63DAF771">
              <w:rPr>
                <w:rFonts w:ascii="Times New Roman" w:hAnsi="Times New Roman"/>
                <w:b/>
                <w:bCs/>
                <w:sz w:val="24"/>
                <w:szCs w:val="24"/>
                <w:lang w:val="en-IE"/>
              </w:rPr>
              <w:t>EESC-202</w:t>
            </w:r>
            <w:r w:rsidR="00554137" w:rsidRPr="00F872B8">
              <w:rPr>
                <w:rFonts w:ascii="Times New Roman" w:hAnsi="Times New Roman"/>
                <w:b/>
                <w:bCs/>
                <w:sz w:val="24"/>
                <w:szCs w:val="24"/>
                <w:lang w:val="en-IE"/>
              </w:rPr>
              <w:t>5</w:t>
            </w:r>
            <w:r w:rsidR="001C4138" w:rsidRPr="63DAF771">
              <w:rPr>
                <w:rFonts w:ascii="Times New Roman" w:hAnsi="Times New Roman"/>
                <w:b/>
                <w:bCs/>
                <w:sz w:val="24"/>
                <w:szCs w:val="24"/>
                <w:lang w:val="en-IE"/>
              </w:rPr>
              <w:t>-</w:t>
            </w:r>
            <w:r w:rsidR="2BA3DF1D" w:rsidRPr="63DAF771">
              <w:rPr>
                <w:rFonts w:ascii="Times New Roman" w:hAnsi="Times New Roman"/>
                <w:b/>
                <w:bCs/>
                <w:sz w:val="24"/>
                <w:szCs w:val="24"/>
                <w:lang w:val="en-IE"/>
              </w:rPr>
              <w:t>01528</w:t>
            </w:r>
            <w:r w:rsidR="004A7932" w:rsidRPr="63DAF771">
              <w:rPr>
                <w:rFonts w:ascii="Times New Roman" w:hAnsi="Times New Roman"/>
                <w:b/>
                <w:bCs/>
                <w:sz w:val="24"/>
                <w:szCs w:val="24"/>
                <w:lang w:val="en-IE"/>
              </w:rPr>
              <w:t xml:space="preserve"> </w:t>
            </w:r>
            <w:r w:rsidR="001C4138" w:rsidRPr="63DAF771">
              <w:rPr>
                <w:rFonts w:ascii="Times New Roman" w:hAnsi="Times New Roman"/>
                <w:b/>
                <w:bCs/>
                <w:sz w:val="24"/>
                <w:szCs w:val="24"/>
              </w:rPr>
              <w:t>‒ REX/</w:t>
            </w:r>
            <w:r w:rsidR="5AE6F08D" w:rsidRPr="63DAF771">
              <w:rPr>
                <w:rFonts w:ascii="Times New Roman" w:hAnsi="Times New Roman"/>
                <w:b/>
                <w:bCs/>
                <w:sz w:val="24"/>
                <w:szCs w:val="24"/>
              </w:rPr>
              <w:t>605</w:t>
            </w:r>
            <w:r w:rsidR="001C4138" w:rsidRPr="00807B48">
              <w:rPr>
                <w:rFonts w:ascii="Times New Roman" w:hAnsi="Times New Roman"/>
                <w:b/>
                <w:sz w:val="24"/>
                <w:szCs w:val="24"/>
              </w:rPr>
              <w:br/>
            </w:r>
            <w:r w:rsidR="40654AD7" w:rsidRPr="00841562">
              <w:rPr>
                <w:rFonts w:ascii="Times New Roman" w:hAnsi="Times New Roman"/>
                <w:b/>
                <w:bCs/>
                <w:sz w:val="24"/>
                <w:szCs w:val="24"/>
              </w:rPr>
              <w:t>600</w:t>
            </w:r>
            <w:proofErr w:type="spellStart"/>
            <w:r w:rsidR="001C4138" w:rsidRPr="00841562">
              <w:rPr>
                <w:rFonts w:ascii="Times New Roman" w:hAnsi="Times New Roman"/>
                <w:b/>
                <w:bCs/>
                <w:sz w:val="24"/>
                <w:szCs w:val="24"/>
                <w:vertAlign w:val="superscript"/>
                <w:lang w:val="en-IE"/>
              </w:rPr>
              <w:t>th</w:t>
            </w:r>
            <w:proofErr w:type="spellEnd"/>
            <w:r w:rsidR="001C4138" w:rsidRPr="00841562">
              <w:rPr>
                <w:rFonts w:ascii="Times New Roman" w:hAnsi="Times New Roman"/>
                <w:b/>
                <w:bCs/>
                <w:sz w:val="24"/>
                <w:szCs w:val="24"/>
                <w:lang w:val="en-IE"/>
              </w:rPr>
              <w:t xml:space="preserve"> </w:t>
            </w:r>
            <w:r w:rsidR="001C4138" w:rsidRPr="63DAF771">
              <w:rPr>
                <w:rFonts w:ascii="Times New Roman" w:hAnsi="Times New Roman"/>
                <w:b/>
                <w:bCs/>
                <w:sz w:val="24"/>
                <w:szCs w:val="24"/>
              </w:rPr>
              <w:t xml:space="preserve">Plenary Session – </w:t>
            </w:r>
            <w:r w:rsidR="4A7FF22F" w:rsidRPr="63DAF771">
              <w:rPr>
                <w:rFonts w:ascii="Times New Roman" w:hAnsi="Times New Roman"/>
                <w:b/>
                <w:bCs/>
                <w:sz w:val="24"/>
                <w:szCs w:val="24"/>
              </w:rPr>
              <w:t>October 2025</w:t>
            </w:r>
            <w:r w:rsidR="00BE01B9">
              <w:rPr>
                <w:rFonts w:ascii="Times New Roman" w:hAnsi="Times New Roman"/>
                <w:b/>
                <w:bCs/>
                <w:sz w:val="24"/>
                <w:szCs w:val="24"/>
              </w:rPr>
              <w:br/>
            </w:r>
            <w:r w:rsidR="001C4138" w:rsidRPr="63DAF771">
              <w:rPr>
                <w:rFonts w:ascii="Times New Roman" w:hAnsi="Times New Roman"/>
                <w:b/>
                <w:bCs/>
                <w:sz w:val="24"/>
                <w:szCs w:val="24"/>
              </w:rPr>
              <w:t>Rapporteur:</w:t>
            </w:r>
            <w:r w:rsidR="132D9476" w:rsidRPr="63DAF771">
              <w:rPr>
                <w:rFonts w:ascii="Times New Roman" w:eastAsia="Times New Roman" w:hAnsi="Times New Roman"/>
                <w:b/>
                <w:bCs/>
                <w:sz w:val="24"/>
                <w:szCs w:val="24"/>
              </w:rPr>
              <w:t xml:space="preserve"> Kristina AALTONEN</w:t>
            </w:r>
            <w:r w:rsidR="00665F9E">
              <w:rPr>
                <w:rFonts w:ascii="Times New Roman" w:eastAsia="Times New Roman" w:hAnsi="Times New Roman"/>
                <w:b/>
                <w:bCs/>
                <w:sz w:val="24"/>
                <w:szCs w:val="24"/>
              </w:rPr>
              <w:t xml:space="preserve"> (DK-II)</w:t>
            </w:r>
            <w:r w:rsidR="001C4138" w:rsidRPr="00807B48">
              <w:rPr>
                <w:rFonts w:ascii="Times New Roman" w:hAnsi="Times New Roman"/>
                <w:b/>
                <w:sz w:val="24"/>
                <w:szCs w:val="24"/>
              </w:rPr>
              <w:br/>
            </w:r>
            <w:r w:rsidR="001C4138" w:rsidRPr="63DAF771">
              <w:rPr>
                <w:rFonts w:ascii="Times New Roman" w:hAnsi="Times New Roman"/>
                <w:b/>
                <w:bCs/>
                <w:sz w:val="24"/>
                <w:szCs w:val="24"/>
              </w:rPr>
              <w:t xml:space="preserve">DG </w:t>
            </w:r>
            <w:r w:rsidR="2B7C4E1B" w:rsidRPr="63DAF771">
              <w:rPr>
                <w:rFonts w:ascii="Times New Roman" w:hAnsi="Times New Roman"/>
                <w:b/>
                <w:bCs/>
                <w:sz w:val="24"/>
                <w:szCs w:val="24"/>
              </w:rPr>
              <w:t>ENEST</w:t>
            </w:r>
            <w:r w:rsidR="001C4138" w:rsidRPr="63DAF771">
              <w:rPr>
                <w:rFonts w:ascii="Times New Roman" w:hAnsi="Times New Roman"/>
                <w:b/>
                <w:bCs/>
                <w:sz w:val="24"/>
                <w:szCs w:val="24"/>
              </w:rPr>
              <w:t xml:space="preserve"> – Commissioner</w:t>
            </w:r>
            <w:r w:rsidR="3A563F66" w:rsidRPr="63DAF771">
              <w:rPr>
                <w:rFonts w:ascii="Times New Roman" w:hAnsi="Times New Roman"/>
                <w:b/>
                <w:bCs/>
                <w:sz w:val="24"/>
                <w:szCs w:val="24"/>
              </w:rPr>
              <w:t xml:space="preserve"> KOS</w:t>
            </w:r>
          </w:p>
        </w:tc>
      </w:tr>
      <w:tr w:rsidR="00734613" w:rsidRPr="00442552" w14:paraId="1937071F" w14:textId="77777777" w:rsidTr="12C1CBDF">
        <w:trPr>
          <w:jc w:val="center"/>
        </w:trPr>
        <w:tc>
          <w:tcPr>
            <w:tcW w:w="10243" w:type="dxa"/>
          </w:tcPr>
          <w:p w14:paraId="1E50B4DB" w14:textId="0015B10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554137">
              <w:rPr>
                <w:rFonts w:ascii="Times New Roman" w:hAnsi="Times New Roman"/>
                <w:b/>
                <w:sz w:val="24"/>
                <w:szCs w:val="24"/>
              </w:rPr>
              <w:t xml:space="preserve"> </w:t>
            </w:r>
            <w:r w:rsidR="00665F9E">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12C1CBDF">
        <w:trPr>
          <w:jc w:val="center"/>
        </w:trPr>
        <w:tc>
          <w:tcPr>
            <w:tcW w:w="10243" w:type="dxa"/>
          </w:tcPr>
          <w:p w14:paraId="7431C70B" w14:textId="0D663587" w:rsidR="004311AC" w:rsidRPr="006D249D" w:rsidRDefault="00925A5D" w:rsidP="5E82EB7E">
            <w:pPr>
              <w:spacing w:before="120" w:after="120"/>
              <w:rPr>
                <w:rFonts w:ascii="Times New Roman" w:hAnsi="Times New Roman"/>
                <w:b/>
                <w:bCs/>
                <w:sz w:val="24"/>
                <w:szCs w:val="24"/>
              </w:rPr>
            </w:pPr>
            <w:r w:rsidRPr="006D249D">
              <w:rPr>
                <w:rFonts w:ascii="Times New Roman" w:hAnsi="Times New Roman"/>
                <w:b/>
                <w:bCs/>
                <w:sz w:val="24"/>
                <w:szCs w:val="24"/>
              </w:rPr>
              <w:t>Introduction</w:t>
            </w:r>
          </w:p>
          <w:p w14:paraId="2A5A0E6E" w14:textId="79DF59AD" w:rsidR="004311AC" w:rsidRPr="006D249D" w:rsidRDefault="466F3D41" w:rsidP="5E82EB7E">
            <w:pPr>
              <w:spacing w:before="240" w:after="240"/>
              <w:jc w:val="both"/>
              <w:rPr>
                <w:sz w:val="24"/>
                <w:szCs w:val="24"/>
              </w:rPr>
            </w:pPr>
            <w:r w:rsidRPr="006D249D">
              <w:rPr>
                <w:rFonts w:ascii="Times New Roman" w:eastAsia="Times New Roman" w:hAnsi="Times New Roman"/>
                <w:sz w:val="24"/>
                <w:szCs w:val="24"/>
              </w:rPr>
              <w:t>The European Commission welcomes the European Economic and Social Committee (EESC) o</w:t>
            </w:r>
            <w:r w:rsidR="4F9AED8E" w:rsidRPr="006D249D">
              <w:rPr>
                <w:rFonts w:ascii="Times New Roman" w:eastAsia="Times New Roman" w:hAnsi="Times New Roman"/>
                <w:sz w:val="24"/>
                <w:szCs w:val="24"/>
              </w:rPr>
              <w:t>pinion</w:t>
            </w:r>
            <w:r w:rsidRPr="006D249D">
              <w:rPr>
                <w:rFonts w:ascii="Times New Roman" w:eastAsia="Times New Roman" w:hAnsi="Times New Roman"/>
                <w:sz w:val="24"/>
                <w:szCs w:val="24"/>
              </w:rPr>
              <w:t xml:space="preserve"> on </w:t>
            </w:r>
            <w:r w:rsidR="00F872B8" w:rsidRPr="006D249D">
              <w:rPr>
                <w:rFonts w:ascii="Times New Roman" w:eastAsia="Times New Roman" w:hAnsi="Times New Roman"/>
                <w:i/>
                <w:iCs/>
                <w:sz w:val="24"/>
                <w:szCs w:val="24"/>
              </w:rPr>
              <w:t>S</w:t>
            </w:r>
            <w:r w:rsidRPr="006D249D">
              <w:rPr>
                <w:rFonts w:ascii="Times New Roman" w:eastAsia="Times New Roman" w:hAnsi="Times New Roman"/>
                <w:i/>
                <w:iCs/>
                <w:sz w:val="24"/>
                <w:szCs w:val="24"/>
              </w:rPr>
              <w:t xml:space="preserve">trengthening European values in candidate </w:t>
            </w:r>
            <w:r w:rsidR="725C9179" w:rsidRPr="006D249D">
              <w:rPr>
                <w:rFonts w:ascii="Times New Roman" w:eastAsia="Times New Roman" w:hAnsi="Times New Roman"/>
                <w:i/>
                <w:iCs/>
                <w:sz w:val="24"/>
                <w:szCs w:val="24"/>
              </w:rPr>
              <w:t>countries</w:t>
            </w:r>
            <w:r w:rsidRPr="006D249D">
              <w:rPr>
                <w:rFonts w:ascii="Times New Roman" w:eastAsia="Times New Roman" w:hAnsi="Times New Roman"/>
                <w:i/>
                <w:iCs/>
                <w:sz w:val="24"/>
                <w:szCs w:val="24"/>
              </w:rPr>
              <w:t xml:space="preserve"> by supporting the public service sector and empowering social partners and civil society organisations</w:t>
            </w:r>
            <w:r w:rsidRPr="006D249D">
              <w:rPr>
                <w:rFonts w:ascii="Times New Roman" w:eastAsia="Times New Roman" w:hAnsi="Times New Roman"/>
                <w:sz w:val="24"/>
                <w:szCs w:val="24"/>
              </w:rPr>
              <w:t>.</w:t>
            </w:r>
          </w:p>
          <w:p w14:paraId="14B06CE1" w14:textId="77777777" w:rsidR="002016E4" w:rsidRPr="006D249D" w:rsidRDefault="466F3D41" w:rsidP="63DAF771">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The Commission stresses that</w:t>
            </w:r>
            <w:r w:rsidR="1540B7E2" w:rsidRPr="006D249D">
              <w:rPr>
                <w:rFonts w:ascii="Times New Roman" w:eastAsia="Times New Roman" w:hAnsi="Times New Roman"/>
                <w:sz w:val="24"/>
                <w:szCs w:val="24"/>
              </w:rPr>
              <w:t xml:space="preserve"> civil society engagement and social dialogue are fundamental pillars of the European model of participatory governance. </w:t>
            </w:r>
            <w:r w:rsidR="1B71FE0C" w:rsidRPr="006D249D">
              <w:rPr>
                <w:rFonts w:ascii="Times New Roman" w:eastAsia="Times New Roman" w:hAnsi="Times New Roman"/>
                <w:sz w:val="24"/>
                <w:szCs w:val="24"/>
              </w:rPr>
              <w:t>A</w:t>
            </w:r>
            <w:r w:rsidRPr="006D249D">
              <w:rPr>
                <w:rFonts w:ascii="Times New Roman" w:eastAsia="Times New Roman" w:hAnsi="Times New Roman"/>
                <w:sz w:val="24"/>
                <w:szCs w:val="24"/>
              </w:rPr>
              <w:t>n independent and vibrant civil society is essential for democracy, the protection of fundamental rights and freedoms</w:t>
            </w:r>
            <w:r w:rsidR="1F4BBCA6" w:rsidRPr="006D249D">
              <w:rPr>
                <w:rFonts w:ascii="Times New Roman" w:eastAsia="Times New Roman" w:hAnsi="Times New Roman"/>
                <w:sz w:val="24"/>
                <w:szCs w:val="24"/>
              </w:rPr>
              <w:t xml:space="preserve"> and holding governments accountable</w:t>
            </w:r>
            <w:r w:rsidR="71385222" w:rsidRPr="006D249D">
              <w:rPr>
                <w:rFonts w:ascii="Times New Roman" w:eastAsia="Times New Roman" w:hAnsi="Times New Roman"/>
                <w:sz w:val="24"/>
                <w:szCs w:val="24"/>
              </w:rPr>
              <w:t xml:space="preserve">. </w:t>
            </w:r>
          </w:p>
          <w:p w14:paraId="44BCCE31" w14:textId="51812B7F" w:rsidR="004311AC" w:rsidRPr="006D249D" w:rsidRDefault="71385222" w:rsidP="63DAF771">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 xml:space="preserve">The Commission underscores the vital contribution of </w:t>
            </w:r>
            <w:r w:rsidR="002016E4" w:rsidRPr="006D249D">
              <w:rPr>
                <w:rFonts w:ascii="Times New Roman" w:eastAsia="Times New Roman" w:hAnsi="Times New Roman"/>
                <w:sz w:val="24"/>
                <w:szCs w:val="24"/>
              </w:rPr>
              <w:t>social dialogue</w:t>
            </w:r>
            <w:r w:rsidR="006717BC" w:rsidRPr="006D249D">
              <w:rPr>
                <w:rFonts w:ascii="Times New Roman" w:eastAsia="Times New Roman" w:hAnsi="Times New Roman"/>
                <w:sz w:val="24"/>
                <w:szCs w:val="24"/>
              </w:rPr>
              <w:t xml:space="preserve"> </w:t>
            </w:r>
            <w:r w:rsidR="002016E4" w:rsidRPr="006D249D">
              <w:rPr>
                <w:rFonts w:ascii="Times New Roman" w:eastAsia="Times New Roman" w:hAnsi="Times New Roman"/>
                <w:sz w:val="24"/>
                <w:szCs w:val="24"/>
              </w:rPr>
              <w:t>as a crucial and beneficial tool for a well-functioning social market economy, driving economic and social resilience, competitiveness, stability and sustainable and inclusive growth and development.</w:t>
            </w:r>
            <w:r w:rsidRPr="006D249D">
              <w:rPr>
                <w:rFonts w:ascii="Times New Roman" w:eastAsia="Times New Roman" w:hAnsi="Times New Roman"/>
                <w:sz w:val="24"/>
                <w:szCs w:val="24"/>
              </w:rPr>
              <w:t xml:space="preserve"> </w:t>
            </w:r>
            <w:r w:rsidR="37199AC8" w:rsidRPr="006D249D">
              <w:rPr>
                <w:rFonts w:ascii="Times New Roman" w:eastAsia="Times New Roman" w:hAnsi="Times New Roman"/>
                <w:sz w:val="24"/>
                <w:szCs w:val="24"/>
              </w:rPr>
              <w:t xml:space="preserve">The Commission </w:t>
            </w:r>
            <w:r w:rsidR="466F3D41" w:rsidRPr="006D249D">
              <w:rPr>
                <w:rFonts w:ascii="Times New Roman" w:eastAsia="Times New Roman" w:hAnsi="Times New Roman"/>
                <w:sz w:val="24"/>
                <w:szCs w:val="24"/>
              </w:rPr>
              <w:t>share</w:t>
            </w:r>
            <w:r w:rsidR="174DECE4" w:rsidRPr="006D249D">
              <w:rPr>
                <w:rFonts w:ascii="Times New Roman" w:eastAsia="Times New Roman" w:hAnsi="Times New Roman"/>
                <w:sz w:val="24"/>
                <w:szCs w:val="24"/>
              </w:rPr>
              <w:t>s the view</w:t>
            </w:r>
            <w:r w:rsidR="466F3D41" w:rsidRPr="006D249D">
              <w:rPr>
                <w:rFonts w:ascii="Times New Roman" w:eastAsia="Times New Roman" w:hAnsi="Times New Roman"/>
                <w:sz w:val="24"/>
                <w:szCs w:val="24"/>
              </w:rPr>
              <w:t xml:space="preserve"> </w:t>
            </w:r>
            <w:r w:rsidR="00BE01B9" w:rsidRPr="006D249D">
              <w:rPr>
                <w:rFonts w:ascii="Times New Roman" w:eastAsia="Times New Roman" w:hAnsi="Times New Roman"/>
                <w:sz w:val="24"/>
                <w:szCs w:val="24"/>
              </w:rPr>
              <w:t xml:space="preserve">of </w:t>
            </w:r>
            <w:r w:rsidR="466F3D41" w:rsidRPr="006D249D">
              <w:rPr>
                <w:rFonts w:ascii="Times New Roman" w:eastAsia="Times New Roman" w:hAnsi="Times New Roman"/>
                <w:sz w:val="24"/>
                <w:szCs w:val="24"/>
              </w:rPr>
              <w:t>the EESC</w:t>
            </w:r>
            <w:r w:rsidR="6E2D4330" w:rsidRPr="006D249D">
              <w:rPr>
                <w:rFonts w:ascii="Times New Roman" w:eastAsia="Times New Roman" w:hAnsi="Times New Roman"/>
                <w:sz w:val="24"/>
                <w:szCs w:val="24"/>
              </w:rPr>
              <w:t xml:space="preserve"> that social partners and civil society organisations</w:t>
            </w:r>
            <w:r w:rsidR="00C06EC5" w:rsidRPr="006D249D">
              <w:rPr>
                <w:rFonts w:ascii="Times New Roman" w:eastAsia="Times New Roman" w:hAnsi="Times New Roman"/>
                <w:sz w:val="24"/>
                <w:szCs w:val="24"/>
              </w:rPr>
              <w:t xml:space="preserve"> </w:t>
            </w:r>
            <w:r w:rsidR="00B81DB0" w:rsidRPr="006D249D">
              <w:rPr>
                <w:rFonts w:ascii="Times New Roman" w:eastAsia="Times New Roman" w:hAnsi="Times New Roman"/>
                <w:sz w:val="24"/>
                <w:szCs w:val="24"/>
              </w:rPr>
              <w:t xml:space="preserve">(CSOs) </w:t>
            </w:r>
            <w:r w:rsidR="00C06EC5" w:rsidRPr="006D249D">
              <w:rPr>
                <w:rFonts w:ascii="Times New Roman" w:eastAsia="Times New Roman" w:hAnsi="Times New Roman"/>
                <w:sz w:val="24"/>
                <w:szCs w:val="24"/>
              </w:rPr>
              <w:t>play a</w:t>
            </w:r>
            <w:r w:rsidR="009747F9" w:rsidRPr="006D249D">
              <w:rPr>
                <w:rFonts w:ascii="Times New Roman" w:eastAsia="Times New Roman" w:hAnsi="Times New Roman"/>
                <w:sz w:val="24"/>
                <w:szCs w:val="24"/>
              </w:rPr>
              <w:t>n important</w:t>
            </w:r>
            <w:r w:rsidR="00C06EC5" w:rsidRPr="006D249D">
              <w:rPr>
                <w:rFonts w:ascii="Times New Roman" w:eastAsia="Times New Roman" w:hAnsi="Times New Roman"/>
                <w:sz w:val="24"/>
                <w:szCs w:val="24"/>
              </w:rPr>
              <w:t xml:space="preserve"> role</w:t>
            </w:r>
            <w:r w:rsidR="6E2D4330" w:rsidRPr="006D249D">
              <w:rPr>
                <w:rFonts w:ascii="Times New Roman" w:eastAsia="Times New Roman" w:hAnsi="Times New Roman"/>
                <w:sz w:val="24"/>
                <w:szCs w:val="24"/>
              </w:rPr>
              <w:t xml:space="preserve"> in </w:t>
            </w:r>
            <w:r w:rsidR="00F872B8" w:rsidRPr="006D249D">
              <w:rPr>
                <w:rFonts w:ascii="Times New Roman" w:eastAsia="Times New Roman" w:hAnsi="Times New Roman"/>
                <w:sz w:val="24"/>
                <w:szCs w:val="24"/>
              </w:rPr>
              <w:t>enlargement</w:t>
            </w:r>
            <w:r w:rsidR="6E2D4330" w:rsidRPr="006D249D">
              <w:rPr>
                <w:rFonts w:ascii="Times New Roman" w:eastAsia="Times New Roman" w:hAnsi="Times New Roman"/>
                <w:sz w:val="24"/>
                <w:szCs w:val="24"/>
              </w:rPr>
              <w:t xml:space="preserve"> </w:t>
            </w:r>
            <w:r w:rsidR="0016236C" w:rsidRPr="006D249D">
              <w:rPr>
                <w:rFonts w:ascii="Times New Roman" w:eastAsia="Times New Roman" w:hAnsi="Times New Roman"/>
                <w:sz w:val="24"/>
                <w:szCs w:val="24"/>
              </w:rPr>
              <w:t>partners</w:t>
            </w:r>
            <w:r w:rsidR="6E2D4330" w:rsidRPr="006D249D">
              <w:rPr>
                <w:rFonts w:ascii="Times New Roman" w:eastAsia="Times New Roman" w:hAnsi="Times New Roman"/>
                <w:sz w:val="24"/>
                <w:szCs w:val="24"/>
              </w:rPr>
              <w:t xml:space="preserve"> and Member States</w:t>
            </w:r>
            <w:r w:rsidR="00C06EC5" w:rsidRPr="006D249D">
              <w:rPr>
                <w:rFonts w:ascii="Times New Roman" w:eastAsia="Times New Roman" w:hAnsi="Times New Roman"/>
                <w:sz w:val="24"/>
                <w:szCs w:val="24"/>
              </w:rPr>
              <w:t xml:space="preserve"> and in </w:t>
            </w:r>
            <w:r w:rsidR="6E2D4330" w:rsidRPr="006D249D">
              <w:rPr>
                <w:rFonts w:ascii="Times New Roman" w:eastAsia="Times New Roman" w:hAnsi="Times New Roman"/>
                <w:sz w:val="24"/>
                <w:szCs w:val="24"/>
              </w:rPr>
              <w:t xml:space="preserve">the process of EU enlargement. </w:t>
            </w:r>
          </w:p>
          <w:p w14:paraId="268B7C23" w14:textId="147D22BC" w:rsidR="004311AC" w:rsidRPr="006D249D" w:rsidRDefault="79745371" w:rsidP="5E82EB7E">
            <w:pPr>
              <w:spacing w:before="240" w:after="240"/>
              <w:jc w:val="both"/>
              <w:rPr>
                <w:rFonts w:ascii="Times New Roman" w:eastAsia="Times New Roman" w:hAnsi="Times New Roman"/>
                <w:b/>
                <w:bCs/>
                <w:sz w:val="24"/>
                <w:szCs w:val="24"/>
              </w:rPr>
            </w:pPr>
            <w:r w:rsidRPr="006D249D">
              <w:rPr>
                <w:rFonts w:ascii="Times New Roman" w:eastAsia="Times New Roman" w:hAnsi="Times New Roman"/>
                <w:b/>
                <w:bCs/>
                <w:sz w:val="24"/>
                <w:szCs w:val="24"/>
              </w:rPr>
              <w:t>General Comments</w:t>
            </w:r>
          </w:p>
          <w:p w14:paraId="59204F98" w14:textId="32A54C84" w:rsidR="00AB4111" w:rsidRPr="006D249D" w:rsidRDefault="7E50D915" w:rsidP="12C1CBDF">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Social dialogue and meaningful consultation with social partners are an important tool to promote</w:t>
            </w:r>
            <w:r w:rsidR="00F872B8" w:rsidRPr="006D249D">
              <w:rPr>
                <w:rFonts w:ascii="Times New Roman" w:eastAsia="Times New Roman" w:hAnsi="Times New Roman"/>
                <w:sz w:val="24"/>
                <w:szCs w:val="24"/>
              </w:rPr>
              <w:t xml:space="preserve"> the</w:t>
            </w:r>
            <w:r w:rsidRPr="006D249D">
              <w:rPr>
                <w:rFonts w:ascii="Times New Roman" w:eastAsia="Times New Roman" w:hAnsi="Times New Roman"/>
                <w:sz w:val="24"/>
                <w:szCs w:val="24"/>
              </w:rPr>
              <w:t xml:space="preserve"> alignment</w:t>
            </w:r>
            <w:r w:rsidR="00F872B8" w:rsidRPr="006D249D">
              <w:rPr>
                <w:rFonts w:ascii="Times New Roman" w:eastAsia="Times New Roman" w:hAnsi="Times New Roman"/>
                <w:sz w:val="24"/>
                <w:szCs w:val="24"/>
              </w:rPr>
              <w:t xml:space="preserve"> of enlargement </w:t>
            </w:r>
            <w:r w:rsidR="0016236C" w:rsidRPr="006D249D">
              <w:rPr>
                <w:rFonts w:ascii="Times New Roman" w:eastAsia="Times New Roman" w:hAnsi="Times New Roman"/>
                <w:sz w:val="24"/>
                <w:szCs w:val="24"/>
              </w:rPr>
              <w:t>partners with</w:t>
            </w:r>
            <w:r w:rsidRPr="006D249D">
              <w:rPr>
                <w:rFonts w:ascii="Times New Roman" w:eastAsia="Times New Roman" w:hAnsi="Times New Roman"/>
                <w:sz w:val="24"/>
                <w:szCs w:val="24"/>
              </w:rPr>
              <w:t xml:space="preserve"> </w:t>
            </w:r>
            <w:r w:rsidR="00450A27" w:rsidRPr="006D249D">
              <w:rPr>
                <w:rFonts w:ascii="Times New Roman" w:eastAsia="Times New Roman" w:hAnsi="Times New Roman"/>
                <w:sz w:val="24"/>
                <w:szCs w:val="24"/>
              </w:rPr>
              <w:t xml:space="preserve">the </w:t>
            </w:r>
            <w:r w:rsidRPr="006D249D">
              <w:rPr>
                <w:rFonts w:ascii="Times New Roman" w:eastAsia="Times New Roman" w:hAnsi="Times New Roman"/>
                <w:sz w:val="24"/>
                <w:szCs w:val="24"/>
              </w:rPr>
              <w:t xml:space="preserve">EU social </w:t>
            </w:r>
            <w:r w:rsidRPr="006D249D">
              <w:rPr>
                <w:rFonts w:ascii="Times New Roman" w:eastAsia="Times New Roman" w:hAnsi="Times New Roman"/>
                <w:i/>
                <w:iCs/>
                <w:sz w:val="24"/>
                <w:szCs w:val="24"/>
              </w:rPr>
              <w:t>acquis</w:t>
            </w:r>
            <w:r w:rsidR="7EB64ED3" w:rsidRPr="006D249D">
              <w:rPr>
                <w:rFonts w:ascii="Times New Roman" w:eastAsia="Times New Roman" w:hAnsi="Times New Roman"/>
                <w:sz w:val="24"/>
                <w:szCs w:val="24"/>
              </w:rPr>
              <w:t>, as s</w:t>
            </w:r>
            <w:r w:rsidR="45B5B916" w:rsidRPr="006D249D">
              <w:rPr>
                <w:rFonts w:ascii="Times New Roman" w:eastAsia="Times New Roman" w:hAnsi="Times New Roman"/>
                <w:sz w:val="24"/>
                <w:szCs w:val="24"/>
              </w:rPr>
              <w:t>ocial dialogue and involvement of workers</w:t>
            </w:r>
            <w:r w:rsidR="444B5F5A" w:rsidRPr="006D249D">
              <w:rPr>
                <w:rFonts w:ascii="Times New Roman" w:eastAsia="Times New Roman" w:hAnsi="Times New Roman"/>
                <w:sz w:val="24"/>
                <w:szCs w:val="24"/>
              </w:rPr>
              <w:t xml:space="preserve"> </w:t>
            </w:r>
            <w:r w:rsidR="1E89A882" w:rsidRPr="006D249D">
              <w:rPr>
                <w:rFonts w:ascii="Times New Roman" w:eastAsia="Times New Roman" w:hAnsi="Times New Roman"/>
                <w:sz w:val="24"/>
                <w:szCs w:val="24"/>
              </w:rPr>
              <w:t xml:space="preserve">are </w:t>
            </w:r>
            <w:r w:rsidR="665E9F8F" w:rsidRPr="006D249D">
              <w:rPr>
                <w:rFonts w:ascii="Times New Roman" w:eastAsia="Times New Roman" w:hAnsi="Times New Roman"/>
                <w:sz w:val="24"/>
                <w:szCs w:val="24"/>
              </w:rPr>
              <w:t>part</w:t>
            </w:r>
            <w:r w:rsidR="70E91D4A" w:rsidRPr="006D249D">
              <w:rPr>
                <w:rFonts w:ascii="Times New Roman" w:eastAsia="Times New Roman" w:hAnsi="Times New Roman"/>
                <w:sz w:val="24"/>
                <w:szCs w:val="24"/>
              </w:rPr>
              <w:t xml:space="preserve"> of the European Pillar of Social Rights under </w:t>
            </w:r>
            <w:proofErr w:type="spellStart"/>
            <w:r w:rsidR="70E91D4A" w:rsidRPr="006D249D">
              <w:rPr>
                <w:rFonts w:ascii="Times New Roman" w:eastAsia="Times New Roman" w:hAnsi="Times New Roman"/>
                <w:sz w:val="24"/>
                <w:szCs w:val="24"/>
              </w:rPr>
              <w:t>p</w:t>
            </w:r>
            <w:r w:rsidR="00450A27" w:rsidRPr="006D249D">
              <w:rPr>
                <w:rFonts w:ascii="Times New Roman" w:eastAsia="Times New Roman" w:hAnsi="Times New Roman"/>
                <w:sz w:val="24"/>
                <w:szCs w:val="24"/>
              </w:rPr>
              <w:t>art</w:t>
            </w:r>
            <w:proofErr w:type="spellEnd"/>
            <w:r w:rsidR="70E91D4A" w:rsidRPr="006D249D">
              <w:rPr>
                <w:rFonts w:ascii="Times New Roman" w:eastAsia="Times New Roman" w:hAnsi="Times New Roman"/>
                <w:sz w:val="24"/>
                <w:szCs w:val="24"/>
              </w:rPr>
              <w:t xml:space="preserve"> 8</w:t>
            </w:r>
            <w:r w:rsidR="008653D7" w:rsidRPr="006D249D">
              <w:rPr>
                <w:rFonts w:ascii="Times New Roman" w:eastAsia="Times New Roman" w:hAnsi="Times New Roman"/>
                <w:sz w:val="24"/>
                <w:szCs w:val="24"/>
              </w:rPr>
              <w:t xml:space="preserve">, </w:t>
            </w:r>
            <w:r w:rsidR="70E91D4A" w:rsidRPr="006D249D">
              <w:rPr>
                <w:rFonts w:ascii="Times New Roman" w:eastAsia="Times New Roman" w:hAnsi="Times New Roman"/>
                <w:sz w:val="24"/>
                <w:szCs w:val="24"/>
              </w:rPr>
              <w:t xml:space="preserve">and </w:t>
            </w:r>
            <w:r w:rsidR="633D0446" w:rsidRPr="006D249D">
              <w:rPr>
                <w:rFonts w:ascii="Times New Roman" w:eastAsia="Times New Roman" w:hAnsi="Times New Roman"/>
                <w:sz w:val="24"/>
                <w:szCs w:val="24"/>
              </w:rPr>
              <w:t xml:space="preserve">fall under Chapter 19 of the EU </w:t>
            </w:r>
            <w:r w:rsidR="633D0446" w:rsidRPr="006D249D">
              <w:rPr>
                <w:rFonts w:ascii="Times New Roman" w:eastAsia="Times New Roman" w:hAnsi="Times New Roman"/>
                <w:i/>
                <w:iCs/>
                <w:sz w:val="24"/>
                <w:szCs w:val="24"/>
              </w:rPr>
              <w:t>acquis</w:t>
            </w:r>
            <w:r w:rsidR="07CD2621" w:rsidRPr="006D249D">
              <w:rPr>
                <w:rFonts w:ascii="Times New Roman" w:eastAsia="Times New Roman" w:hAnsi="Times New Roman"/>
                <w:sz w:val="24"/>
                <w:szCs w:val="24"/>
              </w:rPr>
              <w:t xml:space="preserve">. </w:t>
            </w:r>
            <w:r w:rsidR="4F5C1918" w:rsidRPr="006D249D">
              <w:rPr>
                <w:rFonts w:ascii="Times New Roman" w:eastAsia="Times New Roman" w:hAnsi="Times New Roman"/>
                <w:sz w:val="24"/>
                <w:szCs w:val="24"/>
              </w:rPr>
              <w:t xml:space="preserve">The annual enlargement reports also highlight recommendations for </w:t>
            </w:r>
            <w:r w:rsidR="1BC7EDF9" w:rsidRPr="006D249D">
              <w:rPr>
                <w:rFonts w:ascii="Times New Roman" w:eastAsia="Times New Roman" w:hAnsi="Times New Roman"/>
                <w:sz w:val="24"/>
                <w:szCs w:val="24"/>
              </w:rPr>
              <w:t xml:space="preserve">enlargement </w:t>
            </w:r>
            <w:r w:rsidR="003F623C" w:rsidRPr="006D249D">
              <w:rPr>
                <w:rFonts w:ascii="Times New Roman" w:eastAsia="Times New Roman" w:hAnsi="Times New Roman"/>
                <w:sz w:val="24"/>
                <w:szCs w:val="24"/>
              </w:rPr>
              <w:t>partners</w:t>
            </w:r>
            <w:r w:rsidR="3EEDC222" w:rsidRPr="006D249D">
              <w:rPr>
                <w:rFonts w:ascii="Times New Roman" w:eastAsia="Times New Roman" w:hAnsi="Times New Roman"/>
                <w:sz w:val="24"/>
                <w:szCs w:val="24"/>
              </w:rPr>
              <w:t xml:space="preserve"> </w:t>
            </w:r>
            <w:r w:rsidR="003F623C" w:rsidRPr="006D249D">
              <w:rPr>
                <w:rFonts w:ascii="Times New Roman" w:eastAsia="Times New Roman" w:hAnsi="Times New Roman"/>
                <w:sz w:val="24"/>
                <w:szCs w:val="24"/>
              </w:rPr>
              <w:t>to focus</w:t>
            </w:r>
            <w:r w:rsidR="1B18F2A5" w:rsidRPr="006D249D">
              <w:rPr>
                <w:rFonts w:ascii="Times New Roman" w:eastAsia="Times New Roman" w:hAnsi="Times New Roman"/>
                <w:sz w:val="24"/>
                <w:szCs w:val="24"/>
              </w:rPr>
              <w:t xml:space="preserve"> on </w:t>
            </w:r>
            <w:r w:rsidR="4F5C1918" w:rsidRPr="006D249D">
              <w:rPr>
                <w:rFonts w:ascii="Times New Roman" w:eastAsia="Times New Roman" w:hAnsi="Times New Roman"/>
                <w:sz w:val="24"/>
                <w:szCs w:val="24"/>
              </w:rPr>
              <w:t>ensu</w:t>
            </w:r>
            <w:r w:rsidR="44F3093A" w:rsidRPr="006D249D">
              <w:rPr>
                <w:rFonts w:ascii="Times New Roman" w:eastAsia="Times New Roman" w:hAnsi="Times New Roman"/>
                <w:sz w:val="24"/>
                <w:szCs w:val="24"/>
              </w:rPr>
              <w:t>ring</w:t>
            </w:r>
            <w:r w:rsidR="4F5C1918" w:rsidRPr="006D249D">
              <w:rPr>
                <w:rFonts w:ascii="Times New Roman" w:eastAsia="Times New Roman" w:hAnsi="Times New Roman"/>
                <w:sz w:val="24"/>
                <w:szCs w:val="24"/>
              </w:rPr>
              <w:t xml:space="preserve"> an enabling environment for bipartite and tripartite social dialogue</w:t>
            </w:r>
            <w:r w:rsidR="00C06EC5" w:rsidRPr="006D249D">
              <w:rPr>
                <w:rFonts w:ascii="Times New Roman" w:eastAsia="Times New Roman" w:hAnsi="Times New Roman"/>
                <w:sz w:val="24"/>
                <w:szCs w:val="24"/>
              </w:rPr>
              <w:t xml:space="preserve"> </w:t>
            </w:r>
            <w:r w:rsidR="4F5C1918" w:rsidRPr="006D249D">
              <w:rPr>
                <w:rFonts w:ascii="Times New Roman" w:eastAsia="Times New Roman" w:hAnsi="Times New Roman"/>
                <w:sz w:val="24"/>
                <w:szCs w:val="24"/>
              </w:rPr>
              <w:t>and strengthen</w:t>
            </w:r>
            <w:r w:rsidR="78A0B0F2" w:rsidRPr="006D249D">
              <w:rPr>
                <w:rFonts w:ascii="Times New Roman" w:eastAsia="Times New Roman" w:hAnsi="Times New Roman"/>
                <w:sz w:val="24"/>
                <w:szCs w:val="24"/>
              </w:rPr>
              <w:t>ing</w:t>
            </w:r>
            <w:r w:rsidR="4F5C1918" w:rsidRPr="006D249D">
              <w:rPr>
                <w:rFonts w:ascii="Times New Roman" w:eastAsia="Times New Roman" w:hAnsi="Times New Roman"/>
                <w:sz w:val="24"/>
                <w:szCs w:val="24"/>
              </w:rPr>
              <w:t xml:space="preserve"> the capacities of social partners.</w:t>
            </w:r>
          </w:p>
          <w:p w14:paraId="715FFBDC" w14:textId="43F98C69" w:rsidR="00F872B8" w:rsidRPr="006D249D" w:rsidRDefault="17637264" w:rsidP="12C1CBDF">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 xml:space="preserve">The Commission takes note of the conclusions and recommendations of the EESC opinion. </w:t>
            </w:r>
            <w:r w:rsidR="07CD2621" w:rsidRPr="006D249D">
              <w:rPr>
                <w:rFonts w:ascii="Times New Roman" w:eastAsia="Times New Roman" w:hAnsi="Times New Roman"/>
                <w:sz w:val="24"/>
                <w:szCs w:val="24"/>
              </w:rPr>
              <w:t xml:space="preserve">The Commission promotes social partners consultation </w:t>
            </w:r>
            <w:r w:rsidR="72450011" w:rsidRPr="006D249D">
              <w:rPr>
                <w:rFonts w:ascii="Times New Roman" w:eastAsia="Times New Roman" w:hAnsi="Times New Roman"/>
                <w:sz w:val="24"/>
                <w:szCs w:val="24"/>
              </w:rPr>
              <w:t xml:space="preserve">at EU level and within the </w:t>
            </w:r>
            <w:r w:rsidR="10FBD22D" w:rsidRPr="006D249D">
              <w:rPr>
                <w:rFonts w:ascii="Times New Roman" w:eastAsia="Times New Roman" w:hAnsi="Times New Roman"/>
                <w:sz w:val="24"/>
                <w:szCs w:val="24"/>
              </w:rPr>
              <w:t xml:space="preserve">enlargement partners </w:t>
            </w:r>
            <w:r w:rsidR="5132AF2E" w:rsidRPr="006D249D">
              <w:rPr>
                <w:rFonts w:ascii="Times New Roman" w:eastAsia="Times New Roman" w:hAnsi="Times New Roman"/>
                <w:sz w:val="24"/>
                <w:szCs w:val="24"/>
              </w:rPr>
              <w:t xml:space="preserve">both through regular exchanges in </w:t>
            </w:r>
            <w:r w:rsidR="32FF9774" w:rsidRPr="006D249D">
              <w:rPr>
                <w:rFonts w:ascii="Times New Roman" w:eastAsia="Times New Roman" w:hAnsi="Times New Roman"/>
                <w:sz w:val="24"/>
                <w:szCs w:val="24"/>
              </w:rPr>
              <w:t>c</w:t>
            </w:r>
            <w:r w:rsidR="5132AF2E" w:rsidRPr="006D249D">
              <w:rPr>
                <w:rFonts w:ascii="Times New Roman" w:eastAsia="Times New Roman" w:hAnsi="Times New Roman"/>
                <w:sz w:val="24"/>
                <w:szCs w:val="24"/>
              </w:rPr>
              <w:t xml:space="preserve">onsultative </w:t>
            </w:r>
            <w:r w:rsidR="506EA59D" w:rsidRPr="006D249D">
              <w:rPr>
                <w:rFonts w:ascii="Times New Roman" w:eastAsia="Times New Roman" w:hAnsi="Times New Roman"/>
                <w:sz w:val="24"/>
                <w:szCs w:val="24"/>
              </w:rPr>
              <w:t>c</w:t>
            </w:r>
            <w:r w:rsidR="5132AF2E" w:rsidRPr="006D249D">
              <w:rPr>
                <w:rFonts w:ascii="Times New Roman" w:eastAsia="Times New Roman" w:hAnsi="Times New Roman"/>
                <w:sz w:val="24"/>
                <w:szCs w:val="24"/>
              </w:rPr>
              <w:t>ommittees and</w:t>
            </w:r>
            <w:r w:rsidR="72450011" w:rsidRPr="006D249D">
              <w:rPr>
                <w:rFonts w:ascii="Times New Roman" w:eastAsia="Times New Roman" w:hAnsi="Times New Roman"/>
                <w:sz w:val="24"/>
                <w:szCs w:val="24"/>
              </w:rPr>
              <w:t xml:space="preserve"> through the available financing instruments</w:t>
            </w:r>
            <w:r w:rsidR="67177AFB" w:rsidRPr="006D249D">
              <w:rPr>
                <w:rFonts w:ascii="Times New Roman" w:eastAsia="Times New Roman" w:hAnsi="Times New Roman"/>
                <w:sz w:val="24"/>
                <w:szCs w:val="24"/>
              </w:rPr>
              <w:t xml:space="preserve">, </w:t>
            </w:r>
            <w:r w:rsidR="031B61FA" w:rsidRPr="006D249D">
              <w:rPr>
                <w:rFonts w:ascii="Times New Roman" w:eastAsia="Times New Roman" w:hAnsi="Times New Roman"/>
                <w:sz w:val="24"/>
                <w:szCs w:val="24"/>
              </w:rPr>
              <w:t>supporting bilateral programmes</w:t>
            </w:r>
            <w:r w:rsidR="007D1D61" w:rsidRPr="006D249D">
              <w:rPr>
                <w:rFonts w:ascii="Times New Roman" w:eastAsia="Times New Roman" w:hAnsi="Times New Roman"/>
                <w:sz w:val="24"/>
                <w:szCs w:val="24"/>
              </w:rPr>
              <w:t>,</w:t>
            </w:r>
            <w:r w:rsidR="007D4020" w:rsidRPr="006D249D">
              <w:rPr>
                <w:rFonts w:ascii="Times New Roman" w:eastAsia="Times New Roman" w:hAnsi="Times New Roman"/>
                <w:sz w:val="24"/>
                <w:szCs w:val="24"/>
              </w:rPr>
              <w:t xml:space="preserve"> </w:t>
            </w:r>
            <w:r w:rsidR="12027947" w:rsidRPr="006D249D">
              <w:rPr>
                <w:rFonts w:ascii="Times New Roman" w:eastAsia="Times New Roman" w:hAnsi="Times New Roman"/>
                <w:sz w:val="24"/>
                <w:szCs w:val="24"/>
              </w:rPr>
              <w:t xml:space="preserve">These </w:t>
            </w:r>
            <w:r w:rsidR="14B029F6" w:rsidRPr="006D249D">
              <w:rPr>
                <w:rFonts w:ascii="Times New Roman" w:eastAsia="Times New Roman" w:hAnsi="Times New Roman"/>
                <w:sz w:val="24"/>
                <w:szCs w:val="24"/>
              </w:rPr>
              <w:t>includ</w:t>
            </w:r>
            <w:r w:rsidR="42B7A6CF" w:rsidRPr="006D249D">
              <w:rPr>
                <w:rFonts w:ascii="Times New Roman" w:eastAsia="Times New Roman" w:hAnsi="Times New Roman"/>
                <w:sz w:val="24"/>
                <w:szCs w:val="24"/>
              </w:rPr>
              <w:t>e</w:t>
            </w:r>
            <w:r w:rsidR="14B029F6" w:rsidRPr="006D249D">
              <w:rPr>
                <w:rFonts w:ascii="Times New Roman" w:eastAsia="Times New Roman" w:hAnsi="Times New Roman"/>
                <w:sz w:val="24"/>
                <w:szCs w:val="24"/>
              </w:rPr>
              <w:t xml:space="preserve"> the Operational Programmes under the Instrument of Pre-Accession Assistance</w:t>
            </w:r>
            <w:r w:rsidR="00ED7618" w:rsidRPr="006D249D">
              <w:rPr>
                <w:rFonts w:ascii="Times New Roman" w:eastAsia="Times New Roman" w:hAnsi="Times New Roman"/>
                <w:sz w:val="24"/>
                <w:szCs w:val="24"/>
              </w:rPr>
              <w:t xml:space="preserve"> (IPA)</w:t>
            </w:r>
            <w:r w:rsidR="031B61FA" w:rsidRPr="006D249D">
              <w:rPr>
                <w:rFonts w:ascii="Times New Roman" w:eastAsia="Times New Roman" w:hAnsi="Times New Roman"/>
                <w:sz w:val="24"/>
                <w:szCs w:val="24"/>
              </w:rPr>
              <w:t xml:space="preserve"> </w:t>
            </w:r>
            <w:r w:rsidR="0A4D8547" w:rsidRPr="006D249D">
              <w:rPr>
                <w:rFonts w:ascii="Times New Roman" w:eastAsia="Times New Roman" w:hAnsi="Times New Roman"/>
                <w:sz w:val="24"/>
                <w:szCs w:val="24"/>
              </w:rPr>
              <w:t>enhancing employment, social inclusion</w:t>
            </w:r>
            <w:r w:rsidR="4B4B3B70" w:rsidRPr="006D249D">
              <w:rPr>
                <w:rFonts w:ascii="Times New Roman" w:eastAsia="Times New Roman" w:hAnsi="Times New Roman"/>
                <w:sz w:val="24"/>
                <w:szCs w:val="24"/>
              </w:rPr>
              <w:t xml:space="preserve">, </w:t>
            </w:r>
            <w:r w:rsidR="0A4D8547" w:rsidRPr="006D249D">
              <w:rPr>
                <w:rFonts w:ascii="Times New Roman" w:eastAsia="Times New Roman" w:hAnsi="Times New Roman"/>
                <w:sz w:val="24"/>
                <w:szCs w:val="24"/>
              </w:rPr>
              <w:t>transparency in public consultation</w:t>
            </w:r>
            <w:r w:rsidR="0E30EC67" w:rsidRPr="006D249D">
              <w:rPr>
                <w:rFonts w:ascii="Times New Roman" w:eastAsia="Times New Roman" w:hAnsi="Times New Roman"/>
                <w:sz w:val="24"/>
                <w:szCs w:val="24"/>
              </w:rPr>
              <w:t xml:space="preserve"> and </w:t>
            </w:r>
            <w:r w:rsidR="003F623C" w:rsidRPr="006D249D">
              <w:rPr>
                <w:rFonts w:ascii="Times New Roman" w:eastAsia="Times New Roman" w:hAnsi="Times New Roman"/>
                <w:sz w:val="24"/>
                <w:szCs w:val="24"/>
              </w:rPr>
              <w:t>improving</w:t>
            </w:r>
            <w:r w:rsidR="0E30EC67" w:rsidRPr="006D249D">
              <w:rPr>
                <w:rFonts w:ascii="Times New Roman" w:eastAsia="Times New Roman" w:hAnsi="Times New Roman"/>
                <w:sz w:val="24"/>
                <w:szCs w:val="24"/>
              </w:rPr>
              <w:t xml:space="preserve"> the capacity of social partners</w:t>
            </w:r>
            <w:r w:rsidR="13C0FA28" w:rsidRPr="006D249D">
              <w:rPr>
                <w:rFonts w:ascii="Times New Roman" w:eastAsia="Times New Roman" w:hAnsi="Times New Roman"/>
                <w:sz w:val="24"/>
                <w:szCs w:val="24"/>
              </w:rPr>
              <w:t>.</w:t>
            </w:r>
            <w:r w:rsidR="4A0EDD18" w:rsidRPr="006D249D">
              <w:rPr>
                <w:rFonts w:ascii="Times New Roman" w:eastAsia="Times New Roman" w:hAnsi="Times New Roman"/>
                <w:sz w:val="24"/>
                <w:szCs w:val="24"/>
              </w:rPr>
              <w:t xml:space="preserve"> </w:t>
            </w:r>
            <w:r w:rsidR="00BD48AE" w:rsidRPr="006D249D">
              <w:rPr>
                <w:rFonts w:ascii="Times New Roman" w:eastAsia="Times New Roman" w:hAnsi="Times New Roman"/>
                <w:sz w:val="24"/>
                <w:szCs w:val="24"/>
              </w:rPr>
              <w:t xml:space="preserve">The recognised European social partners can already include representatives of their member organisations from </w:t>
            </w:r>
            <w:r w:rsidR="00DB170B" w:rsidRPr="006D249D">
              <w:rPr>
                <w:rFonts w:ascii="Times New Roman" w:eastAsia="Times New Roman" w:hAnsi="Times New Roman"/>
                <w:sz w:val="24"/>
                <w:szCs w:val="24"/>
              </w:rPr>
              <w:t>enlargement partners</w:t>
            </w:r>
            <w:r w:rsidR="00BD48AE" w:rsidRPr="006D249D">
              <w:rPr>
                <w:rFonts w:ascii="Times New Roman" w:eastAsia="Times New Roman" w:hAnsi="Times New Roman"/>
                <w:sz w:val="24"/>
                <w:szCs w:val="24"/>
              </w:rPr>
              <w:t xml:space="preserve"> in their </w:t>
            </w:r>
            <w:r w:rsidR="00BD48AE" w:rsidRPr="006D249D">
              <w:rPr>
                <w:rFonts w:ascii="Times New Roman" w:eastAsia="Times New Roman" w:hAnsi="Times New Roman"/>
                <w:sz w:val="24"/>
                <w:szCs w:val="24"/>
              </w:rPr>
              <w:lastRenderedPageBreak/>
              <w:t xml:space="preserve">delegations for meetings of the cross-industry and sectoral Social Dialogue Committees. </w:t>
            </w:r>
          </w:p>
          <w:p w14:paraId="371BAEA1" w14:textId="09181572" w:rsidR="00AB4111" w:rsidRPr="006D249D" w:rsidRDefault="4A0EDD18" w:rsidP="12C1CBDF">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 xml:space="preserve">Reform Agendas under the Growth Plans </w:t>
            </w:r>
            <w:r w:rsidR="68CA06C4" w:rsidRPr="006D249D">
              <w:rPr>
                <w:rFonts w:ascii="Times New Roman" w:eastAsia="Times New Roman" w:hAnsi="Times New Roman"/>
                <w:sz w:val="24"/>
                <w:szCs w:val="24"/>
              </w:rPr>
              <w:t>(covering Western Balkans and Moldova</w:t>
            </w:r>
            <w:r w:rsidR="00ED5CE9" w:rsidRPr="006D249D">
              <w:rPr>
                <w:rFonts w:ascii="Times New Roman" w:eastAsia="Times New Roman" w:hAnsi="Times New Roman"/>
                <w:sz w:val="24"/>
                <w:szCs w:val="24"/>
              </w:rPr>
              <w:t>)</w:t>
            </w:r>
            <w:r w:rsidR="00DB170B" w:rsidRPr="006D249D">
              <w:rPr>
                <w:rFonts w:ascii="Times New Roman" w:eastAsia="Times New Roman" w:hAnsi="Times New Roman"/>
                <w:sz w:val="24"/>
                <w:szCs w:val="24"/>
              </w:rPr>
              <w:t xml:space="preserve"> and the Ukraine Facility</w:t>
            </w:r>
            <w:r w:rsidR="68CA06C4" w:rsidRPr="006D249D">
              <w:rPr>
                <w:rFonts w:ascii="Times New Roman" w:eastAsia="Times New Roman" w:hAnsi="Times New Roman"/>
                <w:sz w:val="24"/>
                <w:szCs w:val="24"/>
              </w:rPr>
              <w:t xml:space="preserve"> </w:t>
            </w:r>
            <w:r w:rsidRPr="006D249D">
              <w:rPr>
                <w:rFonts w:ascii="Times New Roman" w:eastAsia="Times New Roman" w:hAnsi="Times New Roman"/>
                <w:sz w:val="24"/>
                <w:szCs w:val="24"/>
              </w:rPr>
              <w:t xml:space="preserve">also </w:t>
            </w:r>
            <w:r w:rsidR="03A227BD" w:rsidRPr="006D249D">
              <w:rPr>
                <w:rFonts w:ascii="Times New Roman" w:eastAsia="Times New Roman" w:hAnsi="Times New Roman"/>
                <w:sz w:val="24"/>
                <w:szCs w:val="24"/>
              </w:rPr>
              <w:t xml:space="preserve">link the disbursement of EU funds to the achievement of reform steps linked to human capital, including education, </w:t>
            </w:r>
            <w:r w:rsidR="02173C56" w:rsidRPr="006D249D">
              <w:rPr>
                <w:rFonts w:ascii="Times New Roman" w:eastAsia="Times New Roman" w:hAnsi="Times New Roman"/>
                <w:sz w:val="24"/>
                <w:szCs w:val="24"/>
              </w:rPr>
              <w:t>Technical and Vocational Education and Training (</w:t>
            </w:r>
            <w:r w:rsidR="1F406004" w:rsidRPr="006D249D">
              <w:rPr>
                <w:rFonts w:ascii="Times New Roman" w:eastAsia="Times New Roman" w:hAnsi="Times New Roman"/>
                <w:sz w:val="24"/>
                <w:szCs w:val="24"/>
              </w:rPr>
              <w:t>T</w:t>
            </w:r>
            <w:r w:rsidR="03A227BD" w:rsidRPr="006D249D">
              <w:rPr>
                <w:rFonts w:ascii="Times New Roman" w:eastAsia="Times New Roman" w:hAnsi="Times New Roman"/>
                <w:sz w:val="24"/>
                <w:szCs w:val="24"/>
              </w:rPr>
              <w:t>VET</w:t>
            </w:r>
            <w:r w:rsidR="380EF5B9" w:rsidRPr="006D249D">
              <w:rPr>
                <w:rFonts w:ascii="Times New Roman" w:eastAsia="Times New Roman" w:hAnsi="Times New Roman"/>
                <w:sz w:val="24"/>
                <w:szCs w:val="24"/>
              </w:rPr>
              <w:t>)</w:t>
            </w:r>
            <w:r w:rsidR="03A227BD" w:rsidRPr="006D249D">
              <w:rPr>
                <w:rFonts w:ascii="Times New Roman" w:eastAsia="Times New Roman" w:hAnsi="Times New Roman"/>
                <w:sz w:val="24"/>
                <w:szCs w:val="24"/>
              </w:rPr>
              <w:t xml:space="preserve"> programmes </w:t>
            </w:r>
            <w:r w:rsidR="680C8B5A" w:rsidRPr="006D249D">
              <w:rPr>
                <w:rFonts w:ascii="Times New Roman" w:eastAsia="Times New Roman" w:hAnsi="Times New Roman"/>
                <w:sz w:val="24"/>
                <w:szCs w:val="24"/>
              </w:rPr>
              <w:t xml:space="preserve">and measures to strengthen the efficiency of the </w:t>
            </w:r>
            <w:r w:rsidR="00B37E7C" w:rsidRPr="006D249D">
              <w:rPr>
                <w:rFonts w:ascii="Times New Roman" w:eastAsia="Times New Roman" w:hAnsi="Times New Roman"/>
                <w:sz w:val="24"/>
                <w:szCs w:val="24"/>
              </w:rPr>
              <w:t>u</w:t>
            </w:r>
            <w:r w:rsidR="680C8B5A" w:rsidRPr="006D249D">
              <w:rPr>
                <w:rFonts w:ascii="Times New Roman" w:eastAsia="Times New Roman" w:hAnsi="Times New Roman"/>
                <w:sz w:val="24"/>
                <w:szCs w:val="24"/>
              </w:rPr>
              <w:t>nemployment</w:t>
            </w:r>
            <w:r w:rsidR="0F43934E" w:rsidRPr="006D249D">
              <w:rPr>
                <w:rFonts w:ascii="Times New Roman" w:eastAsia="Times New Roman" w:hAnsi="Times New Roman"/>
                <w:sz w:val="24"/>
                <w:szCs w:val="24"/>
              </w:rPr>
              <w:t xml:space="preserve"> </w:t>
            </w:r>
            <w:r w:rsidR="00B37E7C" w:rsidRPr="006D249D">
              <w:rPr>
                <w:rFonts w:ascii="Times New Roman" w:eastAsia="Times New Roman" w:hAnsi="Times New Roman"/>
                <w:sz w:val="24"/>
                <w:szCs w:val="24"/>
              </w:rPr>
              <w:t>s</w:t>
            </w:r>
            <w:r w:rsidR="680C8B5A" w:rsidRPr="006D249D">
              <w:rPr>
                <w:rFonts w:ascii="Times New Roman" w:eastAsia="Times New Roman" w:hAnsi="Times New Roman"/>
                <w:sz w:val="24"/>
                <w:szCs w:val="24"/>
              </w:rPr>
              <w:t>cheme</w:t>
            </w:r>
            <w:r w:rsidR="11D361EB" w:rsidRPr="006D249D">
              <w:rPr>
                <w:rFonts w:ascii="Times New Roman" w:eastAsia="Times New Roman" w:hAnsi="Times New Roman"/>
                <w:sz w:val="24"/>
                <w:szCs w:val="24"/>
              </w:rPr>
              <w:t>s</w:t>
            </w:r>
            <w:r w:rsidR="2B24512A" w:rsidRPr="006D249D">
              <w:rPr>
                <w:rFonts w:ascii="Times New Roman" w:eastAsia="Times New Roman" w:hAnsi="Times New Roman"/>
                <w:sz w:val="24"/>
                <w:szCs w:val="24"/>
              </w:rPr>
              <w:t>.</w:t>
            </w:r>
            <w:r w:rsidR="7CBB3FBC" w:rsidRPr="006D249D">
              <w:rPr>
                <w:rFonts w:ascii="Times New Roman" w:eastAsia="Times New Roman" w:hAnsi="Times New Roman"/>
                <w:sz w:val="24"/>
                <w:szCs w:val="24"/>
              </w:rPr>
              <w:t xml:space="preserve"> </w:t>
            </w:r>
            <w:r w:rsidR="09A0D329" w:rsidRPr="006D249D">
              <w:rPr>
                <w:rFonts w:ascii="Times New Roman" w:eastAsia="Times New Roman" w:hAnsi="Times New Roman"/>
                <w:sz w:val="24"/>
                <w:szCs w:val="24"/>
              </w:rPr>
              <w:t>Furthermore, t</w:t>
            </w:r>
            <w:r w:rsidR="5FCDBC19" w:rsidRPr="006D249D">
              <w:rPr>
                <w:rFonts w:ascii="Times New Roman" w:eastAsia="Times New Roman" w:hAnsi="Times New Roman"/>
                <w:sz w:val="24"/>
                <w:szCs w:val="24"/>
              </w:rPr>
              <w:t>he Commission holds annual social dialogue call for proposals (</w:t>
            </w:r>
            <w:r w:rsidR="2EFA2666" w:rsidRPr="006D249D">
              <w:rPr>
                <w:rFonts w:ascii="Times New Roman" w:eastAsia="Times New Roman" w:hAnsi="Times New Roman"/>
                <w:sz w:val="24"/>
                <w:szCs w:val="24"/>
              </w:rPr>
              <w:t>under the Social Prerogatives and Specific Competencies Lines</w:t>
            </w:r>
            <w:r w:rsidR="5FCDBC19" w:rsidRPr="006D249D">
              <w:rPr>
                <w:rFonts w:ascii="Times New Roman" w:eastAsia="Times New Roman" w:hAnsi="Times New Roman"/>
                <w:sz w:val="24"/>
                <w:szCs w:val="24"/>
              </w:rPr>
              <w:t>),</w:t>
            </w:r>
            <w:r w:rsidR="59F8AC59" w:rsidRPr="006D249D">
              <w:rPr>
                <w:rFonts w:ascii="Times New Roman" w:eastAsia="Times New Roman" w:hAnsi="Times New Roman"/>
                <w:sz w:val="24"/>
                <w:szCs w:val="24"/>
              </w:rPr>
              <w:t xml:space="preserve"> which fund initiatives that strengthen EU social dialogue, improve workers' organi</w:t>
            </w:r>
            <w:r w:rsidR="58C431AD" w:rsidRPr="006D249D">
              <w:rPr>
                <w:rFonts w:ascii="Times New Roman" w:eastAsia="Times New Roman" w:hAnsi="Times New Roman"/>
                <w:sz w:val="24"/>
                <w:szCs w:val="24"/>
              </w:rPr>
              <w:t>s</w:t>
            </w:r>
            <w:r w:rsidR="59F8AC59" w:rsidRPr="006D249D">
              <w:rPr>
                <w:rFonts w:ascii="Times New Roman" w:eastAsia="Times New Roman" w:hAnsi="Times New Roman"/>
                <w:sz w:val="24"/>
                <w:szCs w:val="24"/>
              </w:rPr>
              <w:t>ations, or provide information and training for worker representatives</w:t>
            </w:r>
            <w:r w:rsidR="6E4C6924" w:rsidRPr="006D249D">
              <w:rPr>
                <w:rFonts w:ascii="Times New Roman" w:eastAsia="Times New Roman" w:hAnsi="Times New Roman"/>
                <w:sz w:val="24"/>
                <w:szCs w:val="24"/>
              </w:rPr>
              <w:t>. Social partners</w:t>
            </w:r>
            <w:r w:rsidR="5FCDBC19" w:rsidRPr="006D249D">
              <w:rPr>
                <w:rFonts w:ascii="Times New Roman" w:eastAsia="Times New Roman" w:hAnsi="Times New Roman"/>
                <w:sz w:val="24"/>
                <w:szCs w:val="24"/>
              </w:rPr>
              <w:t xml:space="preserve"> from </w:t>
            </w:r>
            <w:r w:rsidR="007D4020" w:rsidRPr="006D249D">
              <w:rPr>
                <w:rFonts w:ascii="Times New Roman" w:eastAsia="Times New Roman" w:hAnsi="Times New Roman"/>
                <w:sz w:val="24"/>
                <w:szCs w:val="24"/>
              </w:rPr>
              <w:t xml:space="preserve">candidate </w:t>
            </w:r>
            <w:r w:rsidR="003A6748" w:rsidRPr="006D249D">
              <w:rPr>
                <w:rFonts w:ascii="Times New Roman" w:eastAsia="Times New Roman" w:hAnsi="Times New Roman"/>
                <w:sz w:val="24"/>
                <w:szCs w:val="24"/>
              </w:rPr>
              <w:t>countries may</w:t>
            </w:r>
            <w:r w:rsidR="0597BB31" w:rsidRPr="006D249D">
              <w:rPr>
                <w:rFonts w:ascii="Times New Roman" w:eastAsia="Times New Roman" w:hAnsi="Times New Roman"/>
                <w:sz w:val="24"/>
                <w:szCs w:val="24"/>
              </w:rPr>
              <w:t xml:space="preserve"> also </w:t>
            </w:r>
            <w:r w:rsidR="73AC9167" w:rsidRPr="006D249D">
              <w:rPr>
                <w:rFonts w:ascii="Times New Roman" w:eastAsia="Times New Roman" w:hAnsi="Times New Roman"/>
                <w:sz w:val="24"/>
                <w:szCs w:val="24"/>
              </w:rPr>
              <w:t xml:space="preserve">participate </w:t>
            </w:r>
            <w:r w:rsidR="00450A27" w:rsidRPr="006D249D">
              <w:rPr>
                <w:rFonts w:ascii="Times New Roman" w:eastAsia="Times New Roman" w:hAnsi="Times New Roman"/>
                <w:sz w:val="24"/>
                <w:szCs w:val="24"/>
              </w:rPr>
              <w:t>in</w:t>
            </w:r>
            <w:r w:rsidR="0597BB31" w:rsidRPr="006D249D">
              <w:rPr>
                <w:rFonts w:ascii="Times New Roman" w:eastAsia="Times New Roman" w:hAnsi="Times New Roman"/>
                <w:sz w:val="24"/>
                <w:szCs w:val="24"/>
              </w:rPr>
              <w:t xml:space="preserve"> these calls.</w:t>
            </w:r>
            <w:r w:rsidR="072FE8F5" w:rsidRPr="006D249D">
              <w:rPr>
                <w:rFonts w:ascii="Times New Roman" w:eastAsia="Times New Roman" w:hAnsi="Times New Roman"/>
                <w:sz w:val="24"/>
                <w:szCs w:val="24"/>
              </w:rPr>
              <w:t xml:space="preserve"> The Commission attaches great importance to peer-learning </w:t>
            </w:r>
            <w:r w:rsidR="0CB401B5" w:rsidRPr="006D249D">
              <w:rPr>
                <w:rFonts w:ascii="Times New Roman" w:eastAsia="Times New Roman" w:hAnsi="Times New Roman"/>
                <w:sz w:val="24"/>
                <w:szCs w:val="24"/>
              </w:rPr>
              <w:t>initiatives</w:t>
            </w:r>
            <w:r w:rsidR="072FE8F5" w:rsidRPr="006D249D">
              <w:rPr>
                <w:rFonts w:ascii="Times New Roman" w:eastAsia="Times New Roman" w:hAnsi="Times New Roman"/>
                <w:sz w:val="24"/>
                <w:szCs w:val="24"/>
              </w:rPr>
              <w:t xml:space="preserve"> be</w:t>
            </w:r>
            <w:r w:rsidR="5A43868B" w:rsidRPr="006D249D">
              <w:rPr>
                <w:rFonts w:ascii="Times New Roman" w:eastAsia="Times New Roman" w:hAnsi="Times New Roman"/>
                <w:sz w:val="24"/>
                <w:szCs w:val="24"/>
              </w:rPr>
              <w:t xml:space="preserve">tween Member States and </w:t>
            </w:r>
            <w:r w:rsidR="25FE4975" w:rsidRPr="006D249D">
              <w:rPr>
                <w:rFonts w:ascii="Times New Roman" w:eastAsia="Times New Roman" w:hAnsi="Times New Roman"/>
                <w:sz w:val="24"/>
                <w:szCs w:val="24"/>
              </w:rPr>
              <w:t xml:space="preserve">enlargement </w:t>
            </w:r>
            <w:r w:rsidR="0016236C" w:rsidRPr="006D249D">
              <w:rPr>
                <w:rFonts w:ascii="Times New Roman" w:eastAsia="Times New Roman" w:hAnsi="Times New Roman"/>
                <w:sz w:val="24"/>
                <w:szCs w:val="24"/>
              </w:rPr>
              <w:t>partners and</w:t>
            </w:r>
            <w:r w:rsidR="6420A036" w:rsidRPr="006D249D">
              <w:rPr>
                <w:rFonts w:ascii="Times New Roman" w:eastAsia="Times New Roman" w:hAnsi="Times New Roman"/>
                <w:sz w:val="24"/>
                <w:szCs w:val="24"/>
              </w:rPr>
              <w:t xml:space="preserve"> has useful tools in place, such as</w:t>
            </w:r>
            <w:r w:rsidR="6A670054" w:rsidRPr="006D249D">
              <w:rPr>
                <w:rFonts w:ascii="Times New Roman" w:eastAsia="Times New Roman" w:hAnsi="Times New Roman"/>
                <w:sz w:val="24"/>
                <w:szCs w:val="24"/>
              </w:rPr>
              <w:t xml:space="preserve"> the technical assistance provided under</w:t>
            </w:r>
            <w:r w:rsidR="6420A036" w:rsidRPr="006D249D">
              <w:rPr>
                <w:rFonts w:ascii="Times New Roman" w:eastAsia="Times New Roman" w:hAnsi="Times New Roman"/>
                <w:sz w:val="24"/>
                <w:szCs w:val="24"/>
              </w:rPr>
              <w:t xml:space="preserve"> SOCIEUX+</w:t>
            </w:r>
            <w:r w:rsidR="00C547AF" w:rsidRPr="006D249D">
              <w:rPr>
                <w:rFonts w:ascii="Times New Roman" w:eastAsia="Times New Roman" w:hAnsi="Times New Roman"/>
                <w:sz w:val="24"/>
                <w:szCs w:val="24"/>
              </w:rPr>
              <w:t xml:space="preserve"> </w:t>
            </w:r>
            <w:r w:rsidR="006D2464" w:rsidRPr="006D249D">
              <w:rPr>
                <w:rFonts w:ascii="Times New Roman" w:eastAsia="Times New Roman" w:hAnsi="Times New Roman"/>
                <w:sz w:val="24"/>
                <w:szCs w:val="24"/>
              </w:rPr>
              <w:t>(EU Expertise on Social Protection, Labour and Employment)</w:t>
            </w:r>
            <w:r w:rsidR="002A6161" w:rsidRPr="006D249D">
              <w:rPr>
                <w:rStyle w:val="FootnoteReference"/>
                <w:rFonts w:ascii="Times New Roman" w:eastAsia="Times New Roman" w:hAnsi="Times New Roman"/>
                <w:sz w:val="24"/>
                <w:szCs w:val="24"/>
              </w:rPr>
              <w:footnoteReference w:id="2"/>
            </w:r>
            <w:r w:rsidR="6420A036" w:rsidRPr="006D249D">
              <w:rPr>
                <w:rFonts w:ascii="Times New Roman" w:eastAsia="Times New Roman" w:hAnsi="Times New Roman"/>
                <w:sz w:val="24"/>
                <w:szCs w:val="24"/>
              </w:rPr>
              <w:t xml:space="preserve"> and TAIEX</w:t>
            </w:r>
            <w:r w:rsidR="00B36887" w:rsidRPr="006D249D">
              <w:rPr>
                <w:rFonts w:ascii="Times New Roman" w:eastAsia="Times New Roman" w:hAnsi="Times New Roman"/>
                <w:sz w:val="24"/>
                <w:szCs w:val="24"/>
              </w:rPr>
              <w:t xml:space="preserve"> (Technical Assistance and Information Exchange</w:t>
            </w:r>
            <w:r w:rsidR="001C4ED0" w:rsidRPr="006D249D">
              <w:rPr>
                <w:rFonts w:ascii="Times New Roman" w:eastAsia="Times New Roman" w:hAnsi="Times New Roman"/>
                <w:sz w:val="24"/>
                <w:szCs w:val="24"/>
              </w:rPr>
              <w:t>)</w:t>
            </w:r>
            <w:r w:rsidR="002A6161" w:rsidRPr="006D249D">
              <w:rPr>
                <w:rStyle w:val="FootnoteReference"/>
                <w:rFonts w:ascii="Times New Roman" w:eastAsia="Times New Roman" w:hAnsi="Times New Roman"/>
                <w:sz w:val="24"/>
                <w:szCs w:val="24"/>
              </w:rPr>
              <w:footnoteReference w:id="3"/>
            </w:r>
            <w:r w:rsidR="6420A036" w:rsidRPr="006D249D">
              <w:rPr>
                <w:rFonts w:ascii="Times New Roman" w:eastAsia="Times New Roman" w:hAnsi="Times New Roman"/>
                <w:sz w:val="24"/>
                <w:szCs w:val="24"/>
              </w:rPr>
              <w:t>, to support institutions and social partners.</w:t>
            </w:r>
          </w:p>
          <w:p w14:paraId="761457A5" w14:textId="27D08F2C" w:rsidR="004311AC" w:rsidRPr="006D249D" w:rsidRDefault="389C0BAB" w:rsidP="12C1CBDF">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The Commission acknowledges the importance of ensuring synergies and coherence with the action of relevant stakeholders</w:t>
            </w:r>
            <w:r w:rsidR="10D4BDAD" w:rsidRPr="006D249D">
              <w:rPr>
                <w:rFonts w:ascii="Times New Roman" w:eastAsia="Times New Roman" w:hAnsi="Times New Roman"/>
                <w:sz w:val="24"/>
                <w:szCs w:val="24"/>
              </w:rPr>
              <w:t>, such as the International Labour Organisation</w:t>
            </w:r>
            <w:r w:rsidR="3B145445" w:rsidRPr="006D249D">
              <w:rPr>
                <w:rFonts w:ascii="Times New Roman" w:eastAsia="Times New Roman" w:hAnsi="Times New Roman"/>
                <w:sz w:val="24"/>
                <w:szCs w:val="24"/>
              </w:rPr>
              <w:t xml:space="preserve"> (ILO)</w:t>
            </w:r>
            <w:r w:rsidR="10D4BDAD" w:rsidRPr="006D249D">
              <w:rPr>
                <w:rFonts w:ascii="Times New Roman" w:eastAsia="Times New Roman" w:hAnsi="Times New Roman"/>
                <w:sz w:val="24"/>
                <w:szCs w:val="24"/>
              </w:rPr>
              <w:t>, wh</w:t>
            </w:r>
            <w:r w:rsidR="00C06EC5" w:rsidRPr="006D249D">
              <w:rPr>
                <w:rFonts w:ascii="Times New Roman" w:eastAsia="Times New Roman" w:hAnsi="Times New Roman"/>
                <w:sz w:val="24"/>
                <w:szCs w:val="24"/>
              </w:rPr>
              <w:t>ose</w:t>
            </w:r>
            <w:r w:rsidR="10D4BDAD" w:rsidRPr="006D249D">
              <w:rPr>
                <w:rFonts w:ascii="Times New Roman" w:eastAsia="Times New Roman" w:hAnsi="Times New Roman"/>
                <w:sz w:val="24"/>
                <w:szCs w:val="24"/>
              </w:rPr>
              <w:t xml:space="preserve"> expertise is highly valued in accelerating the alignment of </w:t>
            </w:r>
            <w:r w:rsidR="00F872B8" w:rsidRPr="006D249D">
              <w:rPr>
                <w:rFonts w:ascii="Times New Roman" w:eastAsia="Times New Roman" w:hAnsi="Times New Roman"/>
                <w:sz w:val="24"/>
                <w:szCs w:val="24"/>
              </w:rPr>
              <w:t xml:space="preserve">enlargement </w:t>
            </w:r>
            <w:r w:rsidR="003F623C" w:rsidRPr="006D249D">
              <w:rPr>
                <w:rFonts w:ascii="Times New Roman" w:eastAsia="Times New Roman" w:hAnsi="Times New Roman"/>
                <w:sz w:val="24"/>
                <w:szCs w:val="24"/>
              </w:rPr>
              <w:t>partners</w:t>
            </w:r>
            <w:r w:rsidR="10D4BDAD" w:rsidRPr="006D249D">
              <w:rPr>
                <w:rFonts w:ascii="Times New Roman" w:eastAsia="Times New Roman" w:hAnsi="Times New Roman"/>
                <w:sz w:val="24"/>
                <w:szCs w:val="24"/>
              </w:rPr>
              <w:t xml:space="preserve">. </w:t>
            </w:r>
            <w:r w:rsidR="2E2E6B6A" w:rsidRPr="006D249D">
              <w:rPr>
                <w:rFonts w:ascii="Times New Roman" w:eastAsia="Times New Roman" w:hAnsi="Times New Roman"/>
                <w:sz w:val="24"/>
                <w:szCs w:val="24"/>
              </w:rPr>
              <w:t xml:space="preserve">Cooperation with </w:t>
            </w:r>
            <w:r w:rsidR="00450A27" w:rsidRPr="006D249D">
              <w:rPr>
                <w:rFonts w:ascii="Times New Roman" w:eastAsia="Times New Roman" w:hAnsi="Times New Roman"/>
                <w:sz w:val="24"/>
                <w:szCs w:val="24"/>
              </w:rPr>
              <w:t xml:space="preserve">the </w:t>
            </w:r>
            <w:r w:rsidR="2E2E6B6A" w:rsidRPr="006D249D">
              <w:rPr>
                <w:rFonts w:ascii="Times New Roman" w:eastAsia="Times New Roman" w:hAnsi="Times New Roman"/>
                <w:sz w:val="24"/>
                <w:szCs w:val="24"/>
              </w:rPr>
              <w:t>ILO is especially important when providing technical assistance expertise to</w:t>
            </w:r>
            <w:r w:rsidR="00F872B8" w:rsidRPr="006D249D">
              <w:rPr>
                <w:rFonts w:ascii="Times New Roman" w:eastAsia="Times New Roman" w:hAnsi="Times New Roman"/>
                <w:sz w:val="24"/>
                <w:szCs w:val="24"/>
              </w:rPr>
              <w:t xml:space="preserve"> enlargement </w:t>
            </w:r>
            <w:r w:rsidR="003F623C" w:rsidRPr="006D249D">
              <w:rPr>
                <w:rFonts w:ascii="Times New Roman" w:eastAsia="Times New Roman" w:hAnsi="Times New Roman"/>
                <w:sz w:val="24"/>
                <w:szCs w:val="24"/>
              </w:rPr>
              <w:t>partners</w:t>
            </w:r>
            <w:r w:rsidR="09A4A9F1" w:rsidRPr="006D249D">
              <w:rPr>
                <w:rFonts w:ascii="Times New Roman" w:eastAsia="Times New Roman" w:hAnsi="Times New Roman"/>
                <w:sz w:val="24"/>
                <w:szCs w:val="24"/>
              </w:rPr>
              <w:t xml:space="preserve"> adopting or implementing legislation</w:t>
            </w:r>
            <w:r w:rsidR="003F623C" w:rsidRPr="006D249D">
              <w:rPr>
                <w:rFonts w:ascii="Times New Roman" w:eastAsia="Times New Roman" w:hAnsi="Times New Roman"/>
                <w:sz w:val="24"/>
                <w:szCs w:val="24"/>
              </w:rPr>
              <w:t>. Close cooperation with</w:t>
            </w:r>
            <w:r w:rsidR="00450A27" w:rsidRPr="006D249D">
              <w:rPr>
                <w:rFonts w:ascii="Times New Roman" w:eastAsia="Times New Roman" w:hAnsi="Times New Roman"/>
                <w:sz w:val="24"/>
                <w:szCs w:val="24"/>
              </w:rPr>
              <w:t xml:space="preserve"> the</w:t>
            </w:r>
            <w:r w:rsidR="003F623C" w:rsidRPr="006D249D">
              <w:rPr>
                <w:rFonts w:ascii="Times New Roman" w:eastAsia="Times New Roman" w:hAnsi="Times New Roman"/>
                <w:sz w:val="24"/>
                <w:szCs w:val="24"/>
              </w:rPr>
              <w:t xml:space="preserve"> ILO is also taking place in</w:t>
            </w:r>
            <w:r w:rsidR="7B4A86C3" w:rsidRPr="006D249D">
              <w:rPr>
                <w:rFonts w:ascii="Times New Roman" w:eastAsia="Times New Roman" w:hAnsi="Times New Roman"/>
                <w:sz w:val="24"/>
                <w:szCs w:val="24"/>
              </w:rPr>
              <w:t xml:space="preserve"> the roll-out of the Youth Guarantee in the Western Balkans.</w:t>
            </w:r>
          </w:p>
          <w:p w14:paraId="4C79A5A3" w14:textId="2EA15A74" w:rsidR="00C06EC5" w:rsidRPr="006D249D" w:rsidRDefault="00C06EC5" w:rsidP="00C06EC5">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Since the adoption of the revised enlargement methodology in 2020</w:t>
            </w:r>
            <w:r w:rsidR="00A004A7" w:rsidRPr="006D249D">
              <w:rPr>
                <w:rStyle w:val="FootnoteReference"/>
                <w:rFonts w:ascii="Times New Roman" w:eastAsia="Times New Roman" w:hAnsi="Times New Roman"/>
                <w:sz w:val="24"/>
                <w:szCs w:val="24"/>
              </w:rPr>
              <w:footnoteReference w:id="4"/>
            </w:r>
            <w:r w:rsidRPr="006D249D">
              <w:rPr>
                <w:rFonts w:ascii="Times New Roman" w:eastAsia="Times New Roman" w:hAnsi="Times New Roman"/>
                <w:sz w:val="24"/>
                <w:szCs w:val="24"/>
              </w:rPr>
              <w:t>, evaluating civil society's operational conditions as essential components of democratic institutions has become a fundamental aspect of the enlargement process. As part of the fundamentals cluster, these matters</w:t>
            </w:r>
            <w:r w:rsidR="00982928" w:rsidRPr="006D249D">
              <w:rPr>
                <w:rFonts w:ascii="Times New Roman" w:eastAsia="Times New Roman" w:hAnsi="Times New Roman"/>
                <w:sz w:val="24"/>
                <w:szCs w:val="24"/>
              </w:rPr>
              <w:t xml:space="preserve"> are</w:t>
            </w:r>
            <w:r w:rsidRPr="006D249D">
              <w:rPr>
                <w:rFonts w:ascii="Times New Roman" w:eastAsia="Times New Roman" w:hAnsi="Times New Roman"/>
                <w:sz w:val="24"/>
                <w:szCs w:val="24"/>
              </w:rPr>
              <w:t xml:space="preserve"> </w:t>
            </w:r>
            <w:r w:rsidR="00982928" w:rsidRPr="006D249D">
              <w:rPr>
                <w:rFonts w:ascii="Times New Roman" w:eastAsia="Times New Roman" w:hAnsi="Times New Roman"/>
                <w:sz w:val="24"/>
                <w:szCs w:val="24"/>
              </w:rPr>
              <w:t xml:space="preserve">at the core of the accession process and </w:t>
            </w:r>
            <w:r w:rsidRPr="006D249D">
              <w:rPr>
                <w:rFonts w:ascii="Times New Roman" w:eastAsia="Times New Roman" w:hAnsi="Times New Roman"/>
                <w:sz w:val="24"/>
                <w:szCs w:val="24"/>
              </w:rPr>
              <w:t>significantly influence the overall pace of accession negotiations.</w:t>
            </w:r>
          </w:p>
          <w:p w14:paraId="79D07085" w14:textId="173FBC0F" w:rsidR="00C06EC5" w:rsidRPr="006D249D" w:rsidRDefault="00C06EC5" w:rsidP="12C1CBDF">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 xml:space="preserve">Monitoring key elements of an enabling environment includes assessing legal and policy frameworks for exercising freedoms of </w:t>
            </w:r>
            <w:r w:rsidR="003A6748" w:rsidRPr="006D249D">
              <w:rPr>
                <w:rFonts w:ascii="Times New Roman" w:eastAsia="Times New Roman" w:hAnsi="Times New Roman"/>
                <w:sz w:val="24"/>
                <w:szCs w:val="24"/>
              </w:rPr>
              <w:t xml:space="preserve">expression, </w:t>
            </w:r>
            <w:r w:rsidRPr="006D249D">
              <w:rPr>
                <w:rFonts w:ascii="Times New Roman" w:eastAsia="Times New Roman" w:hAnsi="Times New Roman"/>
                <w:sz w:val="24"/>
                <w:szCs w:val="24"/>
              </w:rPr>
              <w:t xml:space="preserve">assembly, </w:t>
            </w:r>
            <w:r w:rsidR="003A6748" w:rsidRPr="006D249D">
              <w:rPr>
                <w:rFonts w:ascii="Times New Roman" w:eastAsia="Times New Roman" w:hAnsi="Times New Roman"/>
                <w:sz w:val="24"/>
                <w:szCs w:val="24"/>
              </w:rPr>
              <w:t xml:space="preserve">and </w:t>
            </w:r>
            <w:r w:rsidRPr="006D249D">
              <w:rPr>
                <w:rFonts w:ascii="Times New Roman" w:eastAsia="Times New Roman" w:hAnsi="Times New Roman"/>
                <w:sz w:val="24"/>
                <w:szCs w:val="24"/>
              </w:rPr>
              <w:t xml:space="preserve">association. This entails the protection of individuals and </w:t>
            </w:r>
            <w:r w:rsidR="007E2B18" w:rsidRPr="006D249D">
              <w:rPr>
                <w:rFonts w:ascii="Times New Roman" w:eastAsia="Times New Roman" w:hAnsi="Times New Roman"/>
                <w:sz w:val="24"/>
                <w:szCs w:val="24"/>
              </w:rPr>
              <w:t xml:space="preserve">CSOs </w:t>
            </w:r>
            <w:r w:rsidRPr="006D249D">
              <w:rPr>
                <w:rFonts w:ascii="Times New Roman" w:eastAsia="Times New Roman" w:hAnsi="Times New Roman"/>
                <w:sz w:val="24"/>
                <w:szCs w:val="24"/>
              </w:rPr>
              <w:t>by public authorities against interference and threats, respecting privacy rights, removing unnecessary restrictions on civic space, and ensuring CSOs' freedom to obtain and use resources. Sufficient administrative capacity, funding, and open rules for CSO participation are essential components of an enabling environment for civil society.</w:t>
            </w:r>
          </w:p>
          <w:p w14:paraId="4E2758D9" w14:textId="0AD3B1A9" w:rsidR="00F872B8" w:rsidRPr="006D249D" w:rsidRDefault="79745371" w:rsidP="00F872B8">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Ensuring effective participation in decision-making through public consultations is critical</w:t>
            </w:r>
            <w:r w:rsidR="28EFF88E" w:rsidRPr="006D249D">
              <w:rPr>
                <w:rFonts w:ascii="Times New Roman" w:eastAsia="Times New Roman" w:hAnsi="Times New Roman"/>
                <w:sz w:val="24"/>
                <w:szCs w:val="24"/>
              </w:rPr>
              <w:t xml:space="preserve"> for an</w:t>
            </w:r>
            <w:r w:rsidR="00D45E88">
              <w:rPr>
                <w:rFonts w:ascii="Times New Roman" w:eastAsia="Times New Roman" w:hAnsi="Times New Roman"/>
                <w:sz w:val="24"/>
                <w:szCs w:val="24"/>
              </w:rPr>
              <w:t> </w:t>
            </w:r>
            <w:r w:rsidR="28EFF88E" w:rsidRPr="006D249D">
              <w:rPr>
                <w:rFonts w:ascii="Times New Roman" w:eastAsia="Times New Roman" w:hAnsi="Times New Roman"/>
                <w:sz w:val="24"/>
                <w:szCs w:val="24"/>
              </w:rPr>
              <w:t>effective accession process</w:t>
            </w:r>
            <w:r w:rsidRPr="006D249D">
              <w:rPr>
                <w:rFonts w:ascii="Times New Roman" w:eastAsia="Times New Roman" w:hAnsi="Times New Roman"/>
                <w:sz w:val="24"/>
                <w:szCs w:val="24"/>
              </w:rPr>
              <w:t xml:space="preserve">. Enlargement </w:t>
            </w:r>
            <w:r w:rsidR="001E67F7" w:rsidRPr="006D249D">
              <w:rPr>
                <w:rFonts w:ascii="Times New Roman" w:eastAsia="Times New Roman" w:hAnsi="Times New Roman"/>
                <w:sz w:val="24"/>
                <w:szCs w:val="24"/>
              </w:rPr>
              <w:t>partners</w:t>
            </w:r>
            <w:r w:rsidRPr="006D249D">
              <w:rPr>
                <w:rFonts w:ascii="Times New Roman" w:eastAsia="Times New Roman" w:hAnsi="Times New Roman"/>
                <w:sz w:val="24"/>
                <w:szCs w:val="24"/>
              </w:rPr>
              <w:t xml:space="preserve"> are expected to establish mechanisms for dialogue and cooperation between </w:t>
            </w:r>
            <w:r w:rsidR="007E2B18" w:rsidRPr="006D249D">
              <w:rPr>
                <w:rFonts w:ascii="Times New Roman" w:eastAsia="Times New Roman" w:hAnsi="Times New Roman"/>
                <w:sz w:val="24"/>
                <w:szCs w:val="24"/>
              </w:rPr>
              <w:t>CSOs</w:t>
            </w:r>
            <w:r w:rsidRPr="006D249D">
              <w:rPr>
                <w:rFonts w:ascii="Times New Roman" w:eastAsia="Times New Roman" w:hAnsi="Times New Roman"/>
                <w:sz w:val="24"/>
                <w:szCs w:val="24"/>
              </w:rPr>
              <w:t xml:space="preserve"> and public authorities at all levels, including government, parliament, and local levels. These mechanisms must facilitate</w:t>
            </w:r>
            <w:r w:rsidR="00450A27" w:rsidRPr="006D249D">
              <w:rPr>
                <w:rFonts w:ascii="Times New Roman" w:eastAsia="Times New Roman" w:hAnsi="Times New Roman"/>
                <w:sz w:val="24"/>
                <w:szCs w:val="24"/>
              </w:rPr>
              <w:t xml:space="preserve"> a</w:t>
            </w:r>
            <w:r w:rsidRPr="006D249D">
              <w:rPr>
                <w:rFonts w:ascii="Times New Roman" w:eastAsia="Times New Roman" w:hAnsi="Times New Roman"/>
                <w:sz w:val="24"/>
                <w:szCs w:val="24"/>
              </w:rPr>
              <w:t xml:space="preserve"> meaningful inclusion of </w:t>
            </w:r>
            <w:r w:rsidR="007E2B18" w:rsidRPr="006D249D">
              <w:rPr>
                <w:rFonts w:ascii="Times New Roman" w:eastAsia="Times New Roman" w:hAnsi="Times New Roman"/>
                <w:sz w:val="24"/>
                <w:szCs w:val="24"/>
              </w:rPr>
              <w:t>CSOs</w:t>
            </w:r>
            <w:r w:rsidRPr="006D249D">
              <w:rPr>
                <w:rFonts w:ascii="Times New Roman" w:eastAsia="Times New Roman" w:hAnsi="Times New Roman"/>
                <w:sz w:val="24"/>
                <w:szCs w:val="24"/>
              </w:rPr>
              <w:t xml:space="preserve"> by providing agreed work program</w:t>
            </w:r>
            <w:r w:rsidR="00B37E7C" w:rsidRPr="006D249D">
              <w:rPr>
                <w:rFonts w:ascii="Times New Roman" w:eastAsia="Times New Roman" w:hAnsi="Times New Roman"/>
                <w:sz w:val="24"/>
                <w:szCs w:val="24"/>
              </w:rPr>
              <w:t>me</w:t>
            </w:r>
            <w:r w:rsidRPr="006D249D">
              <w:rPr>
                <w:rFonts w:ascii="Times New Roman" w:eastAsia="Times New Roman" w:hAnsi="Times New Roman"/>
                <w:sz w:val="24"/>
                <w:szCs w:val="24"/>
              </w:rPr>
              <w:t xml:space="preserve">s and regular meetings that allow for agenda setting and follow-up on conclusions and </w:t>
            </w:r>
            <w:r w:rsidRPr="006D249D">
              <w:rPr>
                <w:rFonts w:ascii="Times New Roman" w:eastAsia="Times New Roman" w:hAnsi="Times New Roman"/>
                <w:sz w:val="24"/>
                <w:szCs w:val="24"/>
              </w:rPr>
              <w:lastRenderedPageBreak/>
              <w:t xml:space="preserve">recommendations. </w:t>
            </w:r>
            <w:r w:rsidR="1A15FACE" w:rsidRPr="006D249D">
              <w:rPr>
                <w:rFonts w:ascii="Times New Roman" w:eastAsia="Times New Roman" w:hAnsi="Times New Roman"/>
                <w:sz w:val="24"/>
                <w:szCs w:val="24"/>
              </w:rPr>
              <w:t>The most recent negotiating frameworks with the countries also emphasise the consultative role of</w:t>
            </w:r>
            <w:r w:rsidR="00A80A91" w:rsidRPr="006D249D">
              <w:rPr>
                <w:rFonts w:ascii="Times New Roman" w:eastAsia="Times New Roman" w:hAnsi="Times New Roman"/>
                <w:sz w:val="24"/>
                <w:szCs w:val="24"/>
              </w:rPr>
              <w:t xml:space="preserve"> </w:t>
            </w:r>
            <w:r w:rsidR="007B7705" w:rsidRPr="006D249D">
              <w:rPr>
                <w:rFonts w:ascii="Times New Roman" w:eastAsia="Times New Roman" w:hAnsi="Times New Roman"/>
                <w:sz w:val="24"/>
                <w:szCs w:val="24"/>
              </w:rPr>
              <w:t>CSOs</w:t>
            </w:r>
            <w:r w:rsidR="1A15FACE" w:rsidRPr="006D249D">
              <w:rPr>
                <w:rFonts w:ascii="Times New Roman" w:eastAsia="Times New Roman" w:hAnsi="Times New Roman"/>
                <w:sz w:val="24"/>
                <w:szCs w:val="24"/>
              </w:rPr>
              <w:t>, but the Commission recognises that the dialogue remains fragmented and lacks</w:t>
            </w:r>
            <w:r w:rsidR="752FBD39" w:rsidRPr="006D249D">
              <w:rPr>
                <w:rFonts w:ascii="Times New Roman" w:eastAsia="Times New Roman" w:hAnsi="Times New Roman"/>
                <w:sz w:val="24"/>
                <w:szCs w:val="24"/>
              </w:rPr>
              <w:t xml:space="preserve"> an</w:t>
            </w:r>
            <w:r w:rsidR="1A15FACE" w:rsidRPr="006D249D">
              <w:rPr>
                <w:rFonts w:ascii="Times New Roman" w:eastAsia="Times New Roman" w:hAnsi="Times New Roman"/>
                <w:sz w:val="24"/>
                <w:szCs w:val="24"/>
              </w:rPr>
              <w:t xml:space="preserve"> institutional approach.</w:t>
            </w:r>
          </w:p>
          <w:p w14:paraId="457682B6" w14:textId="242921CD" w:rsidR="00C06EC5" w:rsidRPr="006D249D" w:rsidRDefault="00F83E42" w:rsidP="00F872B8">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IPA</w:t>
            </w:r>
            <w:r w:rsidR="00C06EC5" w:rsidRPr="006D249D">
              <w:rPr>
                <w:rFonts w:ascii="Times New Roman" w:eastAsia="Times New Roman" w:hAnsi="Times New Roman"/>
                <w:sz w:val="24"/>
                <w:szCs w:val="24"/>
              </w:rPr>
              <w:t xml:space="preserve"> and the </w:t>
            </w:r>
            <w:r w:rsidR="001A419B" w:rsidRPr="006D249D">
              <w:rPr>
                <w:rFonts w:ascii="Times New Roman" w:eastAsia="Times New Roman" w:hAnsi="Times New Roman"/>
                <w:sz w:val="24"/>
                <w:szCs w:val="24"/>
              </w:rPr>
              <w:t>Neighbourhood, Development and International Cooperation Instrument – Global Europe (</w:t>
            </w:r>
            <w:r w:rsidR="00C06EC5" w:rsidRPr="006D249D">
              <w:rPr>
                <w:rFonts w:ascii="Times New Roman" w:eastAsia="Times New Roman" w:hAnsi="Times New Roman"/>
                <w:sz w:val="24"/>
                <w:szCs w:val="24"/>
              </w:rPr>
              <w:t>NDICI-G</w:t>
            </w:r>
            <w:r w:rsidR="00E048C8" w:rsidRPr="006D249D">
              <w:rPr>
                <w:rFonts w:ascii="Times New Roman" w:eastAsia="Times New Roman" w:hAnsi="Times New Roman"/>
                <w:sz w:val="24"/>
                <w:szCs w:val="24"/>
              </w:rPr>
              <w:t>E)</w:t>
            </w:r>
            <w:r w:rsidR="00C06EC5" w:rsidRPr="006D249D">
              <w:rPr>
                <w:rFonts w:ascii="Times New Roman" w:eastAsia="Times New Roman" w:hAnsi="Times New Roman"/>
                <w:sz w:val="24"/>
                <w:szCs w:val="24"/>
              </w:rPr>
              <w:t xml:space="preserve"> support the creation of a conducive environment for </w:t>
            </w:r>
            <w:r w:rsidR="007B7705" w:rsidRPr="006D249D">
              <w:rPr>
                <w:rFonts w:ascii="Times New Roman" w:eastAsia="Times New Roman" w:hAnsi="Times New Roman"/>
                <w:sz w:val="24"/>
                <w:szCs w:val="24"/>
              </w:rPr>
              <w:t xml:space="preserve">CSOs </w:t>
            </w:r>
            <w:r w:rsidR="00C06EC5" w:rsidRPr="006D249D">
              <w:rPr>
                <w:rFonts w:ascii="Times New Roman" w:eastAsia="Times New Roman" w:hAnsi="Times New Roman"/>
                <w:sz w:val="24"/>
                <w:szCs w:val="24"/>
              </w:rPr>
              <w:t xml:space="preserve">in the enlargement </w:t>
            </w:r>
            <w:r w:rsidR="001E67F7" w:rsidRPr="006D249D">
              <w:rPr>
                <w:rFonts w:ascii="Times New Roman" w:eastAsia="Times New Roman" w:hAnsi="Times New Roman"/>
                <w:sz w:val="24"/>
                <w:szCs w:val="24"/>
              </w:rPr>
              <w:t>partners</w:t>
            </w:r>
            <w:r w:rsidR="00C06EC5" w:rsidRPr="006D249D">
              <w:rPr>
                <w:rFonts w:ascii="Times New Roman" w:eastAsia="Times New Roman" w:hAnsi="Times New Roman"/>
                <w:sz w:val="24"/>
                <w:szCs w:val="24"/>
              </w:rPr>
              <w:t>; promote the establishment of a dialogue between civil society and public authorities; and build capacity of</w:t>
            </w:r>
            <w:r w:rsidR="007B7705" w:rsidRPr="006D249D">
              <w:rPr>
                <w:rFonts w:ascii="Times New Roman" w:eastAsia="Times New Roman" w:hAnsi="Times New Roman"/>
                <w:sz w:val="24"/>
                <w:szCs w:val="24"/>
              </w:rPr>
              <w:t xml:space="preserve"> CSOs</w:t>
            </w:r>
            <w:r w:rsidR="00C06EC5" w:rsidRPr="006D249D">
              <w:rPr>
                <w:rFonts w:ascii="Times New Roman" w:eastAsia="Times New Roman" w:hAnsi="Times New Roman"/>
                <w:sz w:val="24"/>
                <w:szCs w:val="24"/>
              </w:rPr>
              <w:t xml:space="preserve"> towards their sustainability and expert contribution to policy and reforms.</w:t>
            </w:r>
          </w:p>
          <w:p w14:paraId="458798A3" w14:textId="6EDD7B4F" w:rsidR="00C06EC5" w:rsidRPr="006D249D" w:rsidRDefault="00F872B8" w:rsidP="00F872B8">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 xml:space="preserve">As part of the EU’s </w:t>
            </w:r>
            <w:r w:rsidR="00563B8E" w:rsidRPr="006D249D">
              <w:rPr>
                <w:rFonts w:ascii="Times New Roman" w:eastAsia="Times New Roman" w:hAnsi="Times New Roman"/>
                <w:sz w:val="24"/>
                <w:szCs w:val="24"/>
              </w:rPr>
              <w:t>“</w:t>
            </w:r>
            <w:r w:rsidRPr="006D249D">
              <w:rPr>
                <w:rFonts w:ascii="Times New Roman" w:eastAsia="Times New Roman" w:hAnsi="Times New Roman"/>
                <w:sz w:val="24"/>
                <w:szCs w:val="24"/>
              </w:rPr>
              <w:t>fundamentals first</w:t>
            </w:r>
            <w:r w:rsidR="00563B8E" w:rsidRPr="006D249D">
              <w:rPr>
                <w:rFonts w:ascii="Times New Roman" w:eastAsia="Times New Roman" w:hAnsi="Times New Roman"/>
                <w:sz w:val="24"/>
                <w:szCs w:val="24"/>
              </w:rPr>
              <w:t>”</w:t>
            </w:r>
            <w:r w:rsidRPr="006D249D">
              <w:rPr>
                <w:rFonts w:ascii="Times New Roman" w:eastAsia="Times New Roman" w:hAnsi="Times New Roman"/>
                <w:sz w:val="24"/>
                <w:szCs w:val="24"/>
              </w:rPr>
              <w:t xml:space="preserve"> approach </w:t>
            </w:r>
            <w:r w:rsidR="00563B8E" w:rsidRPr="006D249D">
              <w:rPr>
                <w:rFonts w:ascii="Times New Roman" w:eastAsia="Times New Roman" w:hAnsi="Times New Roman"/>
                <w:sz w:val="24"/>
                <w:szCs w:val="24"/>
              </w:rPr>
              <w:t>to enlargement</w:t>
            </w:r>
            <w:r w:rsidRPr="006D249D">
              <w:rPr>
                <w:rFonts w:ascii="Times New Roman" w:eastAsia="Times New Roman" w:hAnsi="Times New Roman"/>
                <w:sz w:val="24"/>
                <w:szCs w:val="24"/>
              </w:rPr>
              <w:t xml:space="preserve">, Public Administration Reform (PAR) stands alongside the rule of law and economic governance as a core pillar of EU accession. In this context, civil society plays a crucial role in advancing the PAR agenda by promoting transparency, participation, and inclusiveness in policymaking, while fostering accountable and efficient public institutions. In more concrete terms, the Commission has been conducting regular consultations with civil society, including in the context of the preparation of the PAR Special Group meetings, as well as the formal Public Finance Management (PFM) policy dialogues with EU enlargement </w:t>
            </w:r>
            <w:r w:rsidR="001E67F7" w:rsidRPr="006D249D">
              <w:rPr>
                <w:rFonts w:ascii="Times New Roman" w:eastAsia="Times New Roman" w:hAnsi="Times New Roman"/>
                <w:sz w:val="24"/>
                <w:szCs w:val="24"/>
              </w:rPr>
              <w:t>partners</w:t>
            </w:r>
            <w:r w:rsidRPr="006D249D">
              <w:rPr>
                <w:rFonts w:ascii="Times New Roman" w:eastAsia="Times New Roman" w:hAnsi="Times New Roman"/>
                <w:sz w:val="24"/>
                <w:szCs w:val="24"/>
              </w:rPr>
              <w:t>. These consultations have provided a valuable platform for exchanging views and gathering insights from a</w:t>
            </w:r>
            <w:r w:rsidR="0001720B">
              <w:rPr>
                <w:rFonts w:ascii="Times New Roman" w:eastAsia="Times New Roman" w:hAnsi="Times New Roman"/>
                <w:sz w:val="24"/>
                <w:szCs w:val="24"/>
              </w:rPr>
              <w:t> </w:t>
            </w:r>
            <w:r w:rsidRPr="006D249D">
              <w:rPr>
                <w:rFonts w:ascii="Times New Roman" w:eastAsia="Times New Roman" w:hAnsi="Times New Roman"/>
                <w:sz w:val="24"/>
                <w:szCs w:val="24"/>
              </w:rPr>
              <w:t>wide range of stakeholders actively engaged in governance and reform processes.</w:t>
            </w:r>
          </w:p>
          <w:p w14:paraId="5E06824A" w14:textId="4125A5CF" w:rsidR="004311AC" w:rsidRPr="006D249D" w:rsidRDefault="2641EA84" w:rsidP="00F872B8">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 xml:space="preserve">The Commission draws the attention of the EESC to the </w:t>
            </w:r>
            <w:r w:rsidR="00563B8E" w:rsidRPr="006D249D">
              <w:rPr>
                <w:rFonts w:ascii="Times New Roman" w:eastAsia="Times New Roman" w:hAnsi="Times New Roman"/>
                <w:sz w:val="24"/>
                <w:szCs w:val="24"/>
              </w:rPr>
              <w:t xml:space="preserve">fact that the </w:t>
            </w:r>
            <w:r w:rsidRPr="006D249D">
              <w:rPr>
                <w:rFonts w:ascii="Times New Roman" w:eastAsia="Times New Roman" w:hAnsi="Times New Roman"/>
                <w:sz w:val="24"/>
                <w:szCs w:val="24"/>
              </w:rPr>
              <w:t>recently adopted EU Civil Society Strategy</w:t>
            </w:r>
            <w:r w:rsidR="00A06B28" w:rsidRPr="006D249D">
              <w:rPr>
                <w:rStyle w:val="FootnoteReference"/>
                <w:rFonts w:ascii="Times New Roman" w:eastAsia="Times New Roman" w:hAnsi="Times New Roman"/>
                <w:sz w:val="24"/>
                <w:szCs w:val="24"/>
              </w:rPr>
              <w:footnoteReference w:id="5"/>
            </w:r>
            <w:r w:rsidRPr="006D249D">
              <w:rPr>
                <w:rFonts w:ascii="Times New Roman" w:eastAsia="Times New Roman" w:hAnsi="Times New Roman"/>
                <w:sz w:val="24"/>
                <w:szCs w:val="24"/>
              </w:rPr>
              <w:t xml:space="preserve"> </w:t>
            </w:r>
            <w:r w:rsidR="00563B8E" w:rsidRPr="006D249D">
              <w:rPr>
                <w:rFonts w:ascii="Times New Roman" w:eastAsia="Times New Roman" w:hAnsi="Times New Roman"/>
                <w:sz w:val="24"/>
                <w:szCs w:val="24"/>
              </w:rPr>
              <w:t>explicitly</w:t>
            </w:r>
            <w:r w:rsidR="6E1F6FF7" w:rsidRPr="006D249D">
              <w:rPr>
                <w:rFonts w:ascii="Times New Roman" w:eastAsia="Times New Roman" w:hAnsi="Times New Roman"/>
                <w:sz w:val="24"/>
                <w:szCs w:val="24"/>
              </w:rPr>
              <w:t xml:space="preserve"> </w:t>
            </w:r>
            <w:r w:rsidR="00563B8E" w:rsidRPr="006D249D">
              <w:rPr>
                <w:rFonts w:ascii="Times New Roman" w:eastAsia="Times New Roman" w:hAnsi="Times New Roman"/>
                <w:sz w:val="24"/>
                <w:szCs w:val="24"/>
              </w:rPr>
              <w:t>recognises the civic space in Member States and enlargement countries as a</w:t>
            </w:r>
            <w:r w:rsidR="00D45E88">
              <w:rPr>
                <w:rFonts w:ascii="Times New Roman" w:eastAsia="Times New Roman" w:hAnsi="Times New Roman"/>
                <w:sz w:val="24"/>
                <w:szCs w:val="24"/>
              </w:rPr>
              <w:t> </w:t>
            </w:r>
            <w:r w:rsidR="00563B8E" w:rsidRPr="006D249D">
              <w:rPr>
                <w:rFonts w:ascii="Times New Roman" w:eastAsia="Times New Roman" w:hAnsi="Times New Roman"/>
                <w:sz w:val="24"/>
                <w:szCs w:val="24"/>
              </w:rPr>
              <w:t>continuum and shared space</w:t>
            </w:r>
            <w:r w:rsidRPr="006D249D">
              <w:rPr>
                <w:rFonts w:ascii="Times New Roman" w:eastAsia="Times New Roman" w:hAnsi="Times New Roman"/>
                <w:sz w:val="24"/>
                <w:szCs w:val="24"/>
              </w:rPr>
              <w:t xml:space="preserve">. </w:t>
            </w:r>
            <w:r w:rsidR="00563B8E" w:rsidRPr="006D249D">
              <w:rPr>
                <w:rFonts w:ascii="Times New Roman" w:eastAsia="Times New Roman" w:hAnsi="Times New Roman"/>
                <w:sz w:val="24"/>
                <w:szCs w:val="24"/>
              </w:rPr>
              <w:t>Candidate countries and potential candidates will be integrated and/or associated in actions under the Strategy as relevant, and</w:t>
            </w:r>
            <w:r w:rsidRPr="006D249D">
              <w:rPr>
                <w:rFonts w:ascii="Times New Roman" w:eastAsia="Times New Roman" w:hAnsi="Times New Roman"/>
                <w:sz w:val="24"/>
                <w:szCs w:val="24"/>
              </w:rPr>
              <w:t xml:space="preserve"> the enlargement dimension</w:t>
            </w:r>
            <w:r w:rsidR="00563B8E" w:rsidRPr="006D249D">
              <w:rPr>
                <w:rFonts w:ascii="Times New Roman" w:eastAsia="Times New Roman" w:hAnsi="Times New Roman"/>
                <w:sz w:val="24"/>
                <w:szCs w:val="24"/>
              </w:rPr>
              <w:t xml:space="preserve"> is mainstreamed throughout the Strategy. This will</w:t>
            </w:r>
            <w:r w:rsidRPr="006D249D">
              <w:rPr>
                <w:rFonts w:ascii="Times New Roman" w:eastAsia="Times New Roman" w:hAnsi="Times New Roman"/>
                <w:sz w:val="24"/>
                <w:szCs w:val="24"/>
              </w:rPr>
              <w:t xml:space="preserve"> foster gradual integration by enabling civil society from enlargement </w:t>
            </w:r>
            <w:r w:rsidR="001E67F7" w:rsidRPr="006D249D">
              <w:rPr>
                <w:rFonts w:ascii="Times New Roman" w:eastAsia="Times New Roman" w:hAnsi="Times New Roman"/>
                <w:sz w:val="24"/>
                <w:szCs w:val="24"/>
              </w:rPr>
              <w:t>partners</w:t>
            </w:r>
            <w:r w:rsidRPr="006D249D">
              <w:rPr>
                <w:rFonts w:ascii="Times New Roman" w:eastAsia="Times New Roman" w:hAnsi="Times New Roman"/>
                <w:sz w:val="24"/>
                <w:szCs w:val="24"/>
              </w:rPr>
              <w:t xml:space="preserve"> to participate in an equal footing as th</w:t>
            </w:r>
            <w:r w:rsidR="00563B8E" w:rsidRPr="006D249D">
              <w:rPr>
                <w:rFonts w:ascii="Times New Roman" w:eastAsia="Times New Roman" w:hAnsi="Times New Roman"/>
                <w:sz w:val="24"/>
                <w:szCs w:val="24"/>
              </w:rPr>
              <w:t>eir</w:t>
            </w:r>
            <w:r w:rsidRPr="006D249D">
              <w:rPr>
                <w:rFonts w:ascii="Times New Roman" w:eastAsia="Times New Roman" w:hAnsi="Times New Roman"/>
                <w:sz w:val="24"/>
                <w:szCs w:val="24"/>
              </w:rPr>
              <w:t xml:space="preserve"> </w:t>
            </w:r>
            <w:r w:rsidR="00563B8E" w:rsidRPr="006D249D">
              <w:rPr>
                <w:rFonts w:ascii="Times New Roman" w:eastAsia="Times New Roman" w:hAnsi="Times New Roman"/>
                <w:sz w:val="24"/>
                <w:szCs w:val="24"/>
              </w:rPr>
              <w:t xml:space="preserve">counterparts in the </w:t>
            </w:r>
            <w:r w:rsidRPr="006D249D">
              <w:rPr>
                <w:rFonts w:ascii="Times New Roman" w:eastAsia="Times New Roman" w:hAnsi="Times New Roman"/>
                <w:sz w:val="24"/>
                <w:szCs w:val="24"/>
              </w:rPr>
              <w:t>Member States.</w:t>
            </w:r>
            <w:r w:rsidR="6A96D6F9" w:rsidRPr="006D249D">
              <w:rPr>
                <w:rFonts w:ascii="Times New Roman" w:eastAsia="Times New Roman" w:hAnsi="Times New Roman"/>
                <w:sz w:val="24"/>
                <w:szCs w:val="24"/>
              </w:rPr>
              <w:t xml:space="preserve"> </w:t>
            </w:r>
            <w:r w:rsidR="2DE6F1F2" w:rsidRPr="006D249D">
              <w:rPr>
                <w:rFonts w:ascii="Times New Roman" w:eastAsia="Times New Roman" w:hAnsi="Times New Roman"/>
                <w:sz w:val="24"/>
                <w:szCs w:val="24"/>
              </w:rPr>
              <w:t>This approach partly draws inspiration from the EESC’s Enlargement Candidate Members' Initiative.</w:t>
            </w:r>
            <w:r w:rsidR="23BA3DAE" w:rsidRPr="006D249D">
              <w:rPr>
                <w:rFonts w:ascii="Times New Roman" w:eastAsia="Times New Roman" w:hAnsi="Times New Roman"/>
                <w:sz w:val="24"/>
                <w:szCs w:val="24"/>
              </w:rPr>
              <w:t xml:space="preserve"> </w:t>
            </w:r>
            <w:r w:rsidR="00A13B10" w:rsidRPr="006D249D">
              <w:rPr>
                <w:rFonts w:ascii="Times New Roman" w:eastAsia="Times New Roman" w:hAnsi="Times New Roman"/>
                <w:sz w:val="24"/>
                <w:szCs w:val="24"/>
              </w:rPr>
              <w:t xml:space="preserve"> </w:t>
            </w:r>
          </w:p>
          <w:p w14:paraId="30D14481" w14:textId="43C2173D" w:rsidR="00925A5D" w:rsidRPr="006D249D" w:rsidRDefault="74B0C39B" w:rsidP="5E82EB7E">
            <w:pPr>
              <w:spacing w:before="240" w:after="240"/>
              <w:jc w:val="both"/>
              <w:rPr>
                <w:rFonts w:ascii="Times New Roman" w:eastAsia="Times New Roman" w:hAnsi="Times New Roman"/>
                <w:sz w:val="24"/>
                <w:szCs w:val="24"/>
              </w:rPr>
            </w:pPr>
            <w:r w:rsidRPr="006D249D">
              <w:rPr>
                <w:rFonts w:ascii="Times New Roman" w:eastAsia="Times New Roman" w:hAnsi="Times New Roman"/>
                <w:sz w:val="24"/>
                <w:szCs w:val="24"/>
              </w:rPr>
              <w:t>T</w:t>
            </w:r>
            <w:r w:rsidR="58BA0D0D" w:rsidRPr="006D249D">
              <w:rPr>
                <w:rFonts w:ascii="Times New Roman" w:eastAsia="Times New Roman" w:hAnsi="Times New Roman"/>
                <w:sz w:val="24"/>
                <w:szCs w:val="24"/>
              </w:rPr>
              <w:t xml:space="preserve">he Commission will continue to encourage the enlargement </w:t>
            </w:r>
            <w:r w:rsidR="001E67F7" w:rsidRPr="006D249D">
              <w:rPr>
                <w:rFonts w:ascii="Times New Roman" w:eastAsia="Times New Roman" w:hAnsi="Times New Roman"/>
                <w:sz w:val="24"/>
                <w:szCs w:val="24"/>
              </w:rPr>
              <w:t>partners</w:t>
            </w:r>
            <w:r w:rsidR="58BA0D0D" w:rsidRPr="006D249D">
              <w:rPr>
                <w:rFonts w:ascii="Times New Roman" w:eastAsia="Times New Roman" w:hAnsi="Times New Roman"/>
                <w:sz w:val="24"/>
                <w:szCs w:val="24"/>
              </w:rPr>
              <w:t xml:space="preserve"> to include social partners and </w:t>
            </w:r>
            <w:r w:rsidR="009928AD" w:rsidRPr="006D249D">
              <w:rPr>
                <w:rFonts w:ascii="Times New Roman" w:eastAsia="Times New Roman" w:hAnsi="Times New Roman"/>
                <w:sz w:val="24"/>
                <w:szCs w:val="24"/>
              </w:rPr>
              <w:t>CSOs</w:t>
            </w:r>
            <w:r w:rsidR="58BA0D0D" w:rsidRPr="006D249D">
              <w:rPr>
                <w:rFonts w:ascii="Times New Roman" w:eastAsia="Times New Roman" w:hAnsi="Times New Roman"/>
                <w:sz w:val="24"/>
                <w:szCs w:val="24"/>
              </w:rPr>
              <w:t xml:space="preserve"> in their monitoring committees </w:t>
            </w:r>
            <w:r w:rsidR="00563B8E" w:rsidRPr="006D249D">
              <w:rPr>
                <w:rFonts w:ascii="Times New Roman" w:eastAsia="Times New Roman" w:hAnsi="Times New Roman"/>
                <w:sz w:val="24"/>
                <w:szCs w:val="24"/>
              </w:rPr>
              <w:t xml:space="preserve">as part of </w:t>
            </w:r>
            <w:r w:rsidR="58BA0D0D" w:rsidRPr="006D249D">
              <w:rPr>
                <w:rFonts w:ascii="Times New Roman" w:eastAsia="Times New Roman" w:hAnsi="Times New Roman"/>
                <w:sz w:val="24"/>
                <w:szCs w:val="24"/>
              </w:rPr>
              <w:t>the accession process.</w:t>
            </w:r>
            <w:r w:rsidR="091185E4" w:rsidRPr="006D249D">
              <w:rPr>
                <w:rFonts w:ascii="Times New Roman" w:eastAsia="Times New Roman" w:hAnsi="Times New Roman"/>
                <w:sz w:val="24"/>
                <w:szCs w:val="24"/>
              </w:rPr>
              <w:t xml:space="preserve"> </w:t>
            </w:r>
          </w:p>
        </w:tc>
      </w:tr>
    </w:tbl>
    <w:p w14:paraId="41D86A3C" w14:textId="77777777" w:rsidR="00554137" w:rsidRPr="00554137" w:rsidRDefault="00554137" w:rsidP="00554137">
      <w:pPr>
        <w:ind w:left="-426"/>
        <w:rPr>
          <w:rFonts w:ascii="Times New Roman" w:hAnsi="Times New Roman"/>
          <w:b/>
          <w:sz w:val="16"/>
          <w:szCs w:val="16"/>
          <w:u w:val="single"/>
        </w:rPr>
      </w:pPr>
    </w:p>
    <w:sectPr w:rsidR="00554137" w:rsidRPr="00554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2195" w14:textId="77777777" w:rsidR="007A5772" w:rsidRDefault="007A5772" w:rsidP="00FF63EA">
      <w:pPr>
        <w:spacing w:after="0" w:line="240" w:lineRule="auto"/>
      </w:pPr>
      <w:r>
        <w:separator/>
      </w:r>
    </w:p>
  </w:endnote>
  <w:endnote w:type="continuationSeparator" w:id="0">
    <w:p w14:paraId="7F95A478" w14:textId="77777777" w:rsidR="007A5772" w:rsidRDefault="007A5772" w:rsidP="00FF63EA">
      <w:pPr>
        <w:spacing w:after="0" w:line="240" w:lineRule="auto"/>
      </w:pPr>
      <w:r>
        <w:continuationSeparator/>
      </w:r>
    </w:p>
  </w:endnote>
  <w:endnote w:type="continuationNotice" w:id="1">
    <w:p w14:paraId="138D9C46" w14:textId="77777777" w:rsidR="007A5772" w:rsidRDefault="007A5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259C" w14:textId="77777777" w:rsidR="007A5772" w:rsidRDefault="007A5772" w:rsidP="00FF63EA">
      <w:pPr>
        <w:spacing w:after="0" w:line="240" w:lineRule="auto"/>
      </w:pPr>
      <w:r>
        <w:separator/>
      </w:r>
    </w:p>
  </w:footnote>
  <w:footnote w:type="continuationSeparator" w:id="0">
    <w:p w14:paraId="3AAEF0D8" w14:textId="77777777" w:rsidR="007A5772" w:rsidRDefault="007A5772" w:rsidP="00FF63EA">
      <w:pPr>
        <w:spacing w:after="0" w:line="240" w:lineRule="auto"/>
      </w:pPr>
      <w:r>
        <w:continuationSeparator/>
      </w:r>
    </w:p>
  </w:footnote>
  <w:footnote w:type="continuationNotice" w:id="1">
    <w:p w14:paraId="7ABC97BD" w14:textId="77777777" w:rsidR="007A5772" w:rsidRDefault="007A5772">
      <w:pPr>
        <w:spacing w:after="0" w:line="240" w:lineRule="auto"/>
      </w:pPr>
    </w:p>
  </w:footnote>
  <w:footnote w:id="2">
    <w:p w14:paraId="665ADCD8" w14:textId="0BF03C34" w:rsidR="002A6161" w:rsidRPr="006D249D" w:rsidRDefault="002A6161" w:rsidP="00D45E88">
      <w:pPr>
        <w:pStyle w:val="FootnoteText"/>
        <w:widowControl w:val="0"/>
        <w:spacing w:after="0" w:line="240" w:lineRule="auto"/>
        <w:ind w:left="-142" w:right="-426" w:hanging="284"/>
        <w:jc w:val="both"/>
        <w:rPr>
          <w:rFonts w:ascii="Times New Roman" w:hAnsi="Times New Roman"/>
          <w:lang w:val="en-IE"/>
        </w:rPr>
      </w:pPr>
      <w:r w:rsidRPr="006D249D">
        <w:rPr>
          <w:rStyle w:val="FootnoteReference"/>
          <w:rFonts w:ascii="Times New Roman" w:hAnsi="Times New Roman"/>
        </w:rPr>
        <w:footnoteRef/>
      </w:r>
      <w:r w:rsidRPr="006D249D">
        <w:rPr>
          <w:rFonts w:ascii="Times New Roman" w:hAnsi="Times New Roman"/>
        </w:rPr>
        <w:t xml:space="preserve"> </w:t>
      </w:r>
      <w:r w:rsidR="00BE01B9">
        <w:rPr>
          <w:rFonts w:ascii="Times New Roman" w:hAnsi="Times New Roman"/>
        </w:rPr>
        <w:tab/>
      </w:r>
      <w:r w:rsidRPr="006D249D">
        <w:rPr>
          <w:rFonts w:ascii="Times New Roman" w:hAnsi="Times New Roman"/>
        </w:rPr>
        <w:t>SOCIEUX+ is a demand-driven technical cooperation facility established by the European Union (EU) to support the creation of inclusive employment policies and social protection systems.</w:t>
      </w:r>
    </w:p>
  </w:footnote>
  <w:footnote w:id="3">
    <w:p w14:paraId="640E81DF" w14:textId="5124CBA3" w:rsidR="002A6161" w:rsidRPr="006D249D" w:rsidRDefault="002A6161" w:rsidP="00D45E88">
      <w:pPr>
        <w:pStyle w:val="FootnoteText"/>
        <w:widowControl w:val="0"/>
        <w:spacing w:after="0" w:line="240" w:lineRule="auto"/>
        <w:ind w:left="-142" w:right="-426" w:hanging="284"/>
        <w:jc w:val="both"/>
        <w:rPr>
          <w:rFonts w:ascii="Times New Roman" w:hAnsi="Times New Roman"/>
          <w:lang w:val="en-IE"/>
        </w:rPr>
      </w:pPr>
      <w:r w:rsidRPr="006D249D">
        <w:rPr>
          <w:rStyle w:val="FootnoteReference"/>
          <w:rFonts w:ascii="Times New Roman" w:hAnsi="Times New Roman"/>
        </w:rPr>
        <w:footnoteRef/>
      </w:r>
      <w:r w:rsidRPr="006D249D">
        <w:rPr>
          <w:rFonts w:ascii="Times New Roman" w:hAnsi="Times New Roman"/>
        </w:rPr>
        <w:t xml:space="preserve"> </w:t>
      </w:r>
      <w:r w:rsidR="00BE01B9">
        <w:rPr>
          <w:rFonts w:ascii="Times New Roman" w:hAnsi="Times New Roman"/>
        </w:rPr>
        <w:tab/>
      </w:r>
      <w:r w:rsidR="00E72548" w:rsidRPr="006D249D">
        <w:rPr>
          <w:rFonts w:ascii="Times New Roman" w:hAnsi="Times New Roman"/>
        </w:rPr>
        <w:t>TAIEX is a key European Union instrument for institutional capacity-building worldwide, providing targeted and rapid support to public administrations in EU candidate countries and beyond</w:t>
      </w:r>
      <w:r w:rsidR="00BE01B9">
        <w:rPr>
          <w:rFonts w:ascii="Times New Roman" w:hAnsi="Times New Roman"/>
        </w:rPr>
        <w:t>.</w:t>
      </w:r>
    </w:p>
  </w:footnote>
  <w:footnote w:id="4">
    <w:p w14:paraId="4AC52474" w14:textId="31D95FCA" w:rsidR="00A004A7" w:rsidRPr="00C9285E" w:rsidRDefault="00A004A7" w:rsidP="00D45E88">
      <w:pPr>
        <w:pStyle w:val="FootnoteText"/>
        <w:widowControl w:val="0"/>
        <w:spacing w:after="0" w:line="240" w:lineRule="auto"/>
        <w:ind w:left="-142" w:right="-426" w:hanging="284"/>
        <w:jc w:val="both"/>
        <w:rPr>
          <w:lang w:val="pt-PT"/>
        </w:rPr>
      </w:pPr>
      <w:r w:rsidRPr="006D249D">
        <w:rPr>
          <w:rStyle w:val="FootnoteReference"/>
          <w:rFonts w:ascii="Times New Roman" w:hAnsi="Times New Roman"/>
        </w:rPr>
        <w:footnoteRef/>
      </w:r>
      <w:r w:rsidRPr="006D249D">
        <w:rPr>
          <w:rFonts w:ascii="Times New Roman" w:hAnsi="Times New Roman"/>
          <w:lang w:val="pt-PT"/>
        </w:rPr>
        <w:t xml:space="preserve"> </w:t>
      </w:r>
      <w:r w:rsidR="00BE01B9">
        <w:rPr>
          <w:rFonts w:ascii="Times New Roman" w:hAnsi="Times New Roman"/>
          <w:lang w:val="pt-PT"/>
        </w:rPr>
        <w:tab/>
      </w:r>
      <w:r w:rsidR="00814200" w:rsidRPr="006D249D">
        <w:rPr>
          <w:rFonts w:ascii="Times New Roman" w:hAnsi="Times New Roman"/>
          <w:lang w:val="pt-PT"/>
        </w:rPr>
        <w:t>COM(2020) 57 final</w:t>
      </w:r>
      <w:r w:rsidR="00505E6B" w:rsidRPr="006D249D">
        <w:rPr>
          <w:rFonts w:ascii="Times New Roman" w:hAnsi="Times New Roman"/>
          <w:lang w:val="pt-PT"/>
        </w:rPr>
        <w:t xml:space="preserve"> </w:t>
      </w:r>
      <w:r w:rsidR="00505E6B" w:rsidRPr="00BE01B9">
        <w:rPr>
          <w:rFonts w:ascii="Times New Roman" w:hAnsi="Times New Roman"/>
          <w:lang w:val="pt-PT"/>
        </w:rPr>
        <w:t>(</w:t>
      </w:r>
      <w:hyperlink r:id="rId1" w:history="1">
        <w:r w:rsidR="00BE01B9" w:rsidRPr="00F82F8C">
          <w:rPr>
            <w:rStyle w:val="Hyperlink"/>
            <w:rFonts w:ascii="Times New Roman" w:hAnsi="Times New Roman"/>
            <w:lang w:val="pt-PT"/>
          </w:rPr>
          <w:t>https://eur-lex.europa.eu/legal-content/EN/TXT/?uri=celex:52020DC0057</w:t>
        </w:r>
      </w:hyperlink>
      <w:r w:rsidR="00BE01B9">
        <w:rPr>
          <w:rFonts w:ascii="Times New Roman" w:hAnsi="Times New Roman"/>
          <w:lang w:val="pt-PT"/>
        </w:rPr>
        <w:t xml:space="preserve"> </w:t>
      </w:r>
      <w:r w:rsidR="00505E6B" w:rsidRPr="00BE01B9">
        <w:rPr>
          <w:rFonts w:ascii="Times New Roman" w:hAnsi="Times New Roman"/>
          <w:lang w:val="pt-PT"/>
        </w:rPr>
        <w:t>).</w:t>
      </w:r>
    </w:p>
  </w:footnote>
  <w:footnote w:id="5">
    <w:p w14:paraId="241180DC" w14:textId="1F2F9913" w:rsidR="00A06B28" w:rsidRPr="006D249D" w:rsidRDefault="00A06B28" w:rsidP="006D249D">
      <w:pPr>
        <w:pStyle w:val="FootnoteText"/>
        <w:widowControl w:val="0"/>
        <w:spacing w:after="0" w:line="240" w:lineRule="auto"/>
        <w:jc w:val="both"/>
        <w:rPr>
          <w:rFonts w:ascii="Times New Roman" w:hAnsi="Times New Roman"/>
          <w:lang w:val="pt-PT"/>
        </w:rPr>
      </w:pPr>
      <w:r w:rsidRPr="006D249D">
        <w:rPr>
          <w:rStyle w:val="FootnoteReference"/>
          <w:rFonts w:ascii="Times New Roman" w:hAnsi="Times New Roman"/>
        </w:rPr>
        <w:footnoteRef/>
      </w:r>
      <w:r w:rsidRPr="006D249D">
        <w:rPr>
          <w:rFonts w:ascii="Times New Roman" w:hAnsi="Times New Roman"/>
          <w:lang w:val="pt-PT"/>
        </w:rPr>
        <w:t xml:space="preserve"> </w:t>
      </w:r>
      <w:r w:rsidR="00BE01B9" w:rsidRPr="006D249D">
        <w:rPr>
          <w:rFonts w:ascii="Times New Roman" w:hAnsi="Times New Roman"/>
          <w:lang w:val="pt-PT"/>
        </w:rPr>
        <w:tab/>
      </w:r>
      <w:hyperlink r:id="rId2" w:history="1">
        <w:r w:rsidR="00BE01B9" w:rsidRPr="006D249D">
          <w:rPr>
            <w:rStyle w:val="Hyperlink"/>
            <w:rFonts w:ascii="Times New Roman" w:hAnsi="Times New Roman"/>
            <w:lang w:val="pt-PT"/>
          </w:rPr>
          <w:t>https://commission.europa.eu/document/8c30975d-bc1c-4415-8dcd-a71cb28f3662_en</w:t>
        </w:r>
      </w:hyperlink>
      <w:r w:rsidR="00BE01B9" w:rsidRPr="006D249D">
        <w:rPr>
          <w:rFonts w:ascii="Times New Roman" w:hAnsi="Times New Roman"/>
          <w:lang w:val="pt-PT"/>
        </w:rPr>
        <w:t>.</w:t>
      </w:r>
    </w:p>
    <w:p w14:paraId="18141275" w14:textId="77777777" w:rsidR="00521ABE" w:rsidRPr="00C9285E" w:rsidRDefault="00521ABE">
      <w:pPr>
        <w:pStyle w:val="FootnoteText"/>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17B8"/>
    <w:multiLevelType w:val="hybridMultilevel"/>
    <w:tmpl w:val="FFFFFFFF"/>
    <w:lvl w:ilvl="0" w:tplc="7A00E6C4">
      <w:start w:val="1"/>
      <w:numFmt w:val="bullet"/>
      <w:lvlText w:val=""/>
      <w:lvlJc w:val="left"/>
      <w:pPr>
        <w:ind w:left="720" w:hanging="360"/>
      </w:pPr>
      <w:rPr>
        <w:rFonts w:ascii="Symbol" w:hAnsi="Symbol" w:hint="default"/>
      </w:rPr>
    </w:lvl>
    <w:lvl w:ilvl="1" w:tplc="A9025896">
      <w:start w:val="1"/>
      <w:numFmt w:val="bullet"/>
      <w:lvlText w:val="o"/>
      <w:lvlJc w:val="left"/>
      <w:pPr>
        <w:ind w:left="1440" w:hanging="360"/>
      </w:pPr>
      <w:rPr>
        <w:rFonts w:ascii="Courier New" w:hAnsi="Courier New" w:hint="default"/>
      </w:rPr>
    </w:lvl>
    <w:lvl w:ilvl="2" w:tplc="E376CEE4">
      <w:start w:val="1"/>
      <w:numFmt w:val="bullet"/>
      <w:lvlText w:val=""/>
      <w:lvlJc w:val="left"/>
      <w:pPr>
        <w:ind w:left="2160" w:hanging="360"/>
      </w:pPr>
      <w:rPr>
        <w:rFonts w:ascii="Wingdings" w:hAnsi="Wingdings" w:hint="default"/>
      </w:rPr>
    </w:lvl>
    <w:lvl w:ilvl="3" w:tplc="BF5001E0">
      <w:start w:val="1"/>
      <w:numFmt w:val="bullet"/>
      <w:lvlText w:val=""/>
      <w:lvlJc w:val="left"/>
      <w:pPr>
        <w:ind w:left="2880" w:hanging="360"/>
      </w:pPr>
      <w:rPr>
        <w:rFonts w:ascii="Symbol" w:hAnsi="Symbol" w:hint="default"/>
      </w:rPr>
    </w:lvl>
    <w:lvl w:ilvl="4" w:tplc="36DCE142">
      <w:start w:val="1"/>
      <w:numFmt w:val="bullet"/>
      <w:lvlText w:val="o"/>
      <w:lvlJc w:val="left"/>
      <w:pPr>
        <w:ind w:left="3600" w:hanging="360"/>
      </w:pPr>
      <w:rPr>
        <w:rFonts w:ascii="Courier New" w:hAnsi="Courier New" w:hint="default"/>
      </w:rPr>
    </w:lvl>
    <w:lvl w:ilvl="5" w:tplc="40080280">
      <w:start w:val="1"/>
      <w:numFmt w:val="bullet"/>
      <w:lvlText w:val=""/>
      <w:lvlJc w:val="left"/>
      <w:pPr>
        <w:ind w:left="4320" w:hanging="360"/>
      </w:pPr>
      <w:rPr>
        <w:rFonts w:ascii="Wingdings" w:hAnsi="Wingdings" w:hint="default"/>
      </w:rPr>
    </w:lvl>
    <w:lvl w:ilvl="6" w:tplc="2976E436">
      <w:start w:val="1"/>
      <w:numFmt w:val="bullet"/>
      <w:lvlText w:val=""/>
      <w:lvlJc w:val="left"/>
      <w:pPr>
        <w:ind w:left="5040" w:hanging="360"/>
      </w:pPr>
      <w:rPr>
        <w:rFonts w:ascii="Symbol" w:hAnsi="Symbol" w:hint="default"/>
      </w:rPr>
    </w:lvl>
    <w:lvl w:ilvl="7" w:tplc="A90A6718">
      <w:start w:val="1"/>
      <w:numFmt w:val="bullet"/>
      <w:lvlText w:val="o"/>
      <w:lvlJc w:val="left"/>
      <w:pPr>
        <w:ind w:left="5760" w:hanging="360"/>
      </w:pPr>
      <w:rPr>
        <w:rFonts w:ascii="Courier New" w:hAnsi="Courier New" w:hint="default"/>
      </w:rPr>
    </w:lvl>
    <w:lvl w:ilvl="8" w:tplc="7C66B082">
      <w:start w:val="1"/>
      <w:numFmt w:val="bullet"/>
      <w:lvlText w:val=""/>
      <w:lvlJc w:val="left"/>
      <w:pPr>
        <w:ind w:left="6480" w:hanging="360"/>
      </w:pPr>
      <w:rPr>
        <w:rFonts w:ascii="Wingdings" w:hAnsi="Wingdings" w:hint="default"/>
      </w:rPr>
    </w:lvl>
  </w:abstractNum>
  <w:abstractNum w:abstractNumId="1" w15:restartNumberingAfterBreak="0">
    <w:nsid w:val="63FB0AD8"/>
    <w:multiLevelType w:val="hybridMultilevel"/>
    <w:tmpl w:val="FFFFFFFF"/>
    <w:lvl w:ilvl="0" w:tplc="A116504A">
      <w:start w:val="1"/>
      <w:numFmt w:val="bullet"/>
      <w:lvlText w:val=""/>
      <w:lvlJc w:val="left"/>
      <w:pPr>
        <w:ind w:left="720" w:hanging="360"/>
      </w:pPr>
      <w:rPr>
        <w:rFonts w:ascii="Symbol" w:hAnsi="Symbol" w:hint="default"/>
      </w:rPr>
    </w:lvl>
    <w:lvl w:ilvl="1" w:tplc="A52E695C">
      <w:start w:val="1"/>
      <w:numFmt w:val="bullet"/>
      <w:lvlText w:val="o"/>
      <w:lvlJc w:val="left"/>
      <w:pPr>
        <w:ind w:left="1440" w:hanging="360"/>
      </w:pPr>
      <w:rPr>
        <w:rFonts w:ascii="Courier New" w:hAnsi="Courier New" w:hint="default"/>
      </w:rPr>
    </w:lvl>
    <w:lvl w:ilvl="2" w:tplc="5B0C3D10">
      <w:start w:val="1"/>
      <w:numFmt w:val="bullet"/>
      <w:lvlText w:val=""/>
      <w:lvlJc w:val="left"/>
      <w:pPr>
        <w:ind w:left="2160" w:hanging="360"/>
      </w:pPr>
      <w:rPr>
        <w:rFonts w:ascii="Wingdings" w:hAnsi="Wingdings" w:hint="default"/>
      </w:rPr>
    </w:lvl>
    <w:lvl w:ilvl="3" w:tplc="0130E922">
      <w:start w:val="1"/>
      <w:numFmt w:val="bullet"/>
      <w:lvlText w:val=""/>
      <w:lvlJc w:val="left"/>
      <w:pPr>
        <w:ind w:left="2880" w:hanging="360"/>
      </w:pPr>
      <w:rPr>
        <w:rFonts w:ascii="Symbol" w:hAnsi="Symbol" w:hint="default"/>
      </w:rPr>
    </w:lvl>
    <w:lvl w:ilvl="4" w:tplc="5BD8C646">
      <w:start w:val="1"/>
      <w:numFmt w:val="bullet"/>
      <w:lvlText w:val="o"/>
      <w:lvlJc w:val="left"/>
      <w:pPr>
        <w:ind w:left="3600" w:hanging="360"/>
      </w:pPr>
      <w:rPr>
        <w:rFonts w:ascii="Courier New" w:hAnsi="Courier New" w:hint="default"/>
      </w:rPr>
    </w:lvl>
    <w:lvl w:ilvl="5" w:tplc="14D210F0">
      <w:start w:val="1"/>
      <w:numFmt w:val="bullet"/>
      <w:lvlText w:val=""/>
      <w:lvlJc w:val="left"/>
      <w:pPr>
        <w:ind w:left="4320" w:hanging="360"/>
      </w:pPr>
      <w:rPr>
        <w:rFonts w:ascii="Wingdings" w:hAnsi="Wingdings" w:hint="default"/>
      </w:rPr>
    </w:lvl>
    <w:lvl w:ilvl="6" w:tplc="135E57A6">
      <w:start w:val="1"/>
      <w:numFmt w:val="bullet"/>
      <w:lvlText w:val=""/>
      <w:lvlJc w:val="left"/>
      <w:pPr>
        <w:ind w:left="5040" w:hanging="360"/>
      </w:pPr>
      <w:rPr>
        <w:rFonts w:ascii="Symbol" w:hAnsi="Symbol" w:hint="default"/>
      </w:rPr>
    </w:lvl>
    <w:lvl w:ilvl="7" w:tplc="EB6AF5DA">
      <w:start w:val="1"/>
      <w:numFmt w:val="bullet"/>
      <w:lvlText w:val="o"/>
      <w:lvlJc w:val="left"/>
      <w:pPr>
        <w:ind w:left="5760" w:hanging="360"/>
      </w:pPr>
      <w:rPr>
        <w:rFonts w:ascii="Courier New" w:hAnsi="Courier New" w:hint="default"/>
      </w:rPr>
    </w:lvl>
    <w:lvl w:ilvl="8" w:tplc="5F8CFBDA">
      <w:start w:val="1"/>
      <w:numFmt w:val="bullet"/>
      <w:lvlText w:val=""/>
      <w:lvlJc w:val="left"/>
      <w:pPr>
        <w:ind w:left="6480" w:hanging="360"/>
      </w:pPr>
      <w:rPr>
        <w:rFonts w:ascii="Wingdings" w:hAnsi="Wingdings" w:hint="default"/>
      </w:rPr>
    </w:lvl>
  </w:abstractNum>
  <w:num w:numId="1" w16cid:durableId="1797408314">
    <w:abstractNumId w:val="1"/>
  </w:num>
  <w:num w:numId="2" w16cid:durableId="116366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15CA"/>
    <w:rsid w:val="00004A65"/>
    <w:rsid w:val="0000538A"/>
    <w:rsid w:val="00012A37"/>
    <w:rsid w:val="0001720B"/>
    <w:rsid w:val="00046B15"/>
    <w:rsid w:val="00050DC7"/>
    <w:rsid w:val="000549D5"/>
    <w:rsid w:val="00055BBF"/>
    <w:rsid w:val="00063FE1"/>
    <w:rsid w:val="00065EF9"/>
    <w:rsid w:val="00067103"/>
    <w:rsid w:val="00076109"/>
    <w:rsid w:val="00077C4F"/>
    <w:rsid w:val="000833A7"/>
    <w:rsid w:val="00087801"/>
    <w:rsid w:val="000C6DF2"/>
    <w:rsid w:val="000D7619"/>
    <w:rsid w:val="000F0274"/>
    <w:rsid w:val="000F5FD8"/>
    <w:rsid w:val="00100BB3"/>
    <w:rsid w:val="001167C0"/>
    <w:rsid w:val="00117BD1"/>
    <w:rsid w:val="00135C2A"/>
    <w:rsid w:val="001503FE"/>
    <w:rsid w:val="0016236C"/>
    <w:rsid w:val="00164582"/>
    <w:rsid w:val="00173117"/>
    <w:rsid w:val="001769D3"/>
    <w:rsid w:val="001A419B"/>
    <w:rsid w:val="001B0181"/>
    <w:rsid w:val="001B0E0B"/>
    <w:rsid w:val="001C4138"/>
    <w:rsid w:val="001C4ED0"/>
    <w:rsid w:val="001D5B91"/>
    <w:rsid w:val="001D79E3"/>
    <w:rsid w:val="001E67F7"/>
    <w:rsid w:val="001E6EB3"/>
    <w:rsid w:val="001E7C6F"/>
    <w:rsid w:val="001F2EC6"/>
    <w:rsid w:val="001F65D0"/>
    <w:rsid w:val="002016E4"/>
    <w:rsid w:val="00212F0C"/>
    <w:rsid w:val="00217E59"/>
    <w:rsid w:val="00242116"/>
    <w:rsid w:val="00255B27"/>
    <w:rsid w:val="0026050F"/>
    <w:rsid w:val="00281CB6"/>
    <w:rsid w:val="00286764"/>
    <w:rsid w:val="002A6161"/>
    <w:rsid w:val="002B29C2"/>
    <w:rsid w:val="002C1180"/>
    <w:rsid w:val="002C50A3"/>
    <w:rsid w:val="002E7A46"/>
    <w:rsid w:val="002F03FA"/>
    <w:rsid w:val="003004D2"/>
    <w:rsid w:val="00321F17"/>
    <w:rsid w:val="003220E7"/>
    <w:rsid w:val="00332E4F"/>
    <w:rsid w:val="003349A3"/>
    <w:rsid w:val="00343421"/>
    <w:rsid w:val="00354B06"/>
    <w:rsid w:val="00357960"/>
    <w:rsid w:val="00365D40"/>
    <w:rsid w:val="00377967"/>
    <w:rsid w:val="00386143"/>
    <w:rsid w:val="00391B9B"/>
    <w:rsid w:val="0039221C"/>
    <w:rsid w:val="003A6748"/>
    <w:rsid w:val="003A7C03"/>
    <w:rsid w:val="003B58DC"/>
    <w:rsid w:val="003C608B"/>
    <w:rsid w:val="003F623C"/>
    <w:rsid w:val="003F686E"/>
    <w:rsid w:val="003F7EB2"/>
    <w:rsid w:val="004311AC"/>
    <w:rsid w:val="00442552"/>
    <w:rsid w:val="00450A27"/>
    <w:rsid w:val="004515B2"/>
    <w:rsid w:val="00452A36"/>
    <w:rsid w:val="00455A1C"/>
    <w:rsid w:val="00460F29"/>
    <w:rsid w:val="004616A1"/>
    <w:rsid w:val="004675B5"/>
    <w:rsid w:val="00476792"/>
    <w:rsid w:val="004770D6"/>
    <w:rsid w:val="0048399E"/>
    <w:rsid w:val="0049246C"/>
    <w:rsid w:val="004A7932"/>
    <w:rsid w:val="004C7604"/>
    <w:rsid w:val="004D2BC5"/>
    <w:rsid w:val="004F6117"/>
    <w:rsid w:val="004F63F1"/>
    <w:rsid w:val="004F651E"/>
    <w:rsid w:val="00505E6B"/>
    <w:rsid w:val="0051344F"/>
    <w:rsid w:val="00521ABE"/>
    <w:rsid w:val="0052596B"/>
    <w:rsid w:val="00527EFF"/>
    <w:rsid w:val="00536911"/>
    <w:rsid w:val="00554137"/>
    <w:rsid w:val="00554D8D"/>
    <w:rsid w:val="00561479"/>
    <w:rsid w:val="00563B8E"/>
    <w:rsid w:val="00573835"/>
    <w:rsid w:val="005751CA"/>
    <w:rsid w:val="00581306"/>
    <w:rsid w:val="005871D3"/>
    <w:rsid w:val="00587431"/>
    <w:rsid w:val="00587ED4"/>
    <w:rsid w:val="005A52AB"/>
    <w:rsid w:val="005C3105"/>
    <w:rsid w:val="005E72C7"/>
    <w:rsid w:val="005F2481"/>
    <w:rsid w:val="00662053"/>
    <w:rsid w:val="00665F9E"/>
    <w:rsid w:val="006675B0"/>
    <w:rsid w:val="006717BC"/>
    <w:rsid w:val="006753C2"/>
    <w:rsid w:val="00692C2F"/>
    <w:rsid w:val="00693C86"/>
    <w:rsid w:val="00695797"/>
    <w:rsid w:val="00696A5E"/>
    <w:rsid w:val="006A24E7"/>
    <w:rsid w:val="006B3B69"/>
    <w:rsid w:val="006D2464"/>
    <w:rsid w:val="006D249D"/>
    <w:rsid w:val="00734613"/>
    <w:rsid w:val="00751910"/>
    <w:rsid w:val="00751E60"/>
    <w:rsid w:val="007547B5"/>
    <w:rsid w:val="00784BAB"/>
    <w:rsid w:val="00784CFF"/>
    <w:rsid w:val="00795A9E"/>
    <w:rsid w:val="007A1069"/>
    <w:rsid w:val="007A5772"/>
    <w:rsid w:val="007A606D"/>
    <w:rsid w:val="007A7BB7"/>
    <w:rsid w:val="007B7705"/>
    <w:rsid w:val="007C082E"/>
    <w:rsid w:val="007C2214"/>
    <w:rsid w:val="007C37E5"/>
    <w:rsid w:val="007D1D61"/>
    <w:rsid w:val="007D4020"/>
    <w:rsid w:val="007E2B18"/>
    <w:rsid w:val="008013D5"/>
    <w:rsid w:val="00807B48"/>
    <w:rsid w:val="008135CA"/>
    <w:rsid w:val="00814200"/>
    <w:rsid w:val="0081584F"/>
    <w:rsid w:val="0083331F"/>
    <w:rsid w:val="00841562"/>
    <w:rsid w:val="008646B0"/>
    <w:rsid w:val="008653D7"/>
    <w:rsid w:val="008700AC"/>
    <w:rsid w:val="008703BF"/>
    <w:rsid w:val="008750B3"/>
    <w:rsid w:val="008925CE"/>
    <w:rsid w:val="0089430F"/>
    <w:rsid w:val="008A0D68"/>
    <w:rsid w:val="008C4D41"/>
    <w:rsid w:val="008D5AE0"/>
    <w:rsid w:val="008F3F5F"/>
    <w:rsid w:val="009175C1"/>
    <w:rsid w:val="009249E1"/>
    <w:rsid w:val="00925A5D"/>
    <w:rsid w:val="00927D27"/>
    <w:rsid w:val="009445CE"/>
    <w:rsid w:val="00971A53"/>
    <w:rsid w:val="009747F9"/>
    <w:rsid w:val="00981B77"/>
    <w:rsid w:val="00981F45"/>
    <w:rsid w:val="00982928"/>
    <w:rsid w:val="0098790E"/>
    <w:rsid w:val="009928AD"/>
    <w:rsid w:val="00994D12"/>
    <w:rsid w:val="009A3524"/>
    <w:rsid w:val="009B128B"/>
    <w:rsid w:val="009E2542"/>
    <w:rsid w:val="009F6DE8"/>
    <w:rsid w:val="00A004A7"/>
    <w:rsid w:val="00A06B28"/>
    <w:rsid w:val="00A13B10"/>
    <w:rsid w:val="00A16F07"/>
    <w:rsid w:val="00A22ADE"/>
    <w:rsid w:val="00A301B8"/>
    <w:rsid w:val="00A608EA"/>
    <w:rsid w:val="00A62C7B"/>
    <w:rsid w:val="00A758BF"/>
    <w:rsid w:val="00A7709A"/>
    <w:rsid w:val="00A80A91"/>
    <w:rsid w:val="00AA0D0B"/>
    <w:rsid w:val="00AB0ACE"/>
    <w:rsid w:val="00AB4111"/>
    <w:rsid w:val="00AC05A5"/>
    <w:rsid w:val="00AC10FA"/>
    <w:rsid w:val="00AD5CB6"/>
    <w:rsid w:val="00AE1842"/>
    <w:rsid w:val="00AE3C7C"/>
    <w:rsid w:val="00AF016F"/>
    <w:rsid w:val="00AF1BAA"/>
    <w:rsid w:val="00B25AE4"/>
    <w:rsid w:val="00B31306"/>
    <w:rsid w:val="00B36887"/>
    <w:rsid w:val="00B37E7C"/>
    <w:rsid w:val="00B42814"/>
    <w:rsid w:val="00B81DB0"/>
    <w:rsid w:val="00B83936"/>
    <w:rsid w:val="00BA1065"/>
    <w:rsid w:val="00BB1CDD"/>
    <w:rsid w:val="00BC16AB"/>
    <w:rsid w:val="00BD48AE"/>
    <w:rsid w:val="00BD6EB7"/>
    <w:rsid w:val="00BE01B9"/>
    <w:rsid w:val="00BE129C"/>
    <w:rsid w:val="00BF3C74"/>
    <w:rsid w:val="00C0527C"/>
    <w:rsid w:val="00C06EC5"/>
    <w:rsid w:val="00C109FB"/>
    <w:rsid w:val="00C10DF1"/>
    <w:rsid w:val="00C2081C"/>
    <w:rsid w:val="00C3278D"/>
    <w:rsid w:val="00C32F17"/>
    <w:rsid w:val="00C37BDD"/>
    <w:rsid w:val="00C547AF"/>
    <w:rsid w:val="00C54D27"/>
    <w:rsid w:val="00C60B91"/>
    <w:rsid w:val="00C6223E"/>
    <w:rsid w:val="00C76EEB"/>
    <w:rsid w:val="00C81440"/>
    <w:rsid w:val="00C906C3"/>
    <w:rsid w:val="00C917B6"/>
    <w:rsid w:val="00C9285E"/>
    <w:rsid w:val="00CA523B"/>
    <w:rsid w:val="00CB2C09"/>
    <w:rsid w:val="00CC183B"/>
    <w:rsid w:val="00CD2FE3"/>
    <w:rsid w:val="00CE3DA4"/>
    <w:rsid w:val="00CE76B3"/>
    <w:rsid w:val="00D01F5A"/>
    <w:rsid w:val="00D10A51"/>
    <w:rsid w:val="00D1323B"/>
    <w:rsid w:val="00D1716E"/>
    <w:rsid w:val="00D42A7F"/>
    <w:rsid w:val="00D45E88"/>
    <w:rsid w:val="00D64E05"/>
    <w:rsid w:val="00D73248"/>
    <w:rsid w:val="00D80F37"/>
    <w:rsid w:val="00D84AD0"/>
    <w:rsid w:val="00D92FD3"/>
    <w:rsid w:val="00D96C29"/>
    <w:rsid w:val="00DA059F"/>
    <w:rsid w:val="00DA318E"/>
    <w:rsid w:val="00DA3B6E"/>
    <w:rsid w:val="00DB170B"/>
    <w:rsid w:val="00DB7581"/>
    <w:rsid w:val="00DC70C1"/>
    <w:rsid w:val="00DD0D9E"/>
    <w:rsid w:val="00DD6774"/>
    <w:rsid w:val="00DE07C9"/>
    <w:rsid w:val="00DF446C"/>
    <w:rsid w:val="00DF5974"/>
    <w:rsid w:val="00E04190"/>
    <w:rsid w:val="00E048C8"/>
    <w:rsid w:val="00E138C4"/>
    <w:rsid w:val="00E473A5"/>
    <w:rsid w:val="00E55507"/>
    <w:rsid w:val="00E72548"/>
    <w:rsid w:val="00E755D8"/>
    <w:rsid w:val="00E83C12"/>
    <w:rsid w:val="00E904C8"/>
    <w:rsid w:val="00EA1BBF"/>
    <w:rsid w:val="00EA3A38"/>
    <w:rsid w:val="00EB29A9"/>
    <w:rsid w:val="00EB2F4C"/>
    <w:rsid w:val="00EB49C2"/>
    <w:rsid w:val="00EB6E19"/>
    <w:rsid w:val="00EB77D2"/>
    <w:rsid w:val="00ED2DF3"/>
    <w:rsid w:val="00ED47D0"/>
    <w:rsid w:val="00ED5CE9"/>
    <w:rsid w:val="00ED7618"/>
    <w:rsid w:val="00EE04A4"/>
    <w:rsid w:val="00EE237F"/>
    <w:rsid w:val="00F01468"/>
    <w:rsid w:val="00F06CF0"/>
    <w:rsid w:val="00F16400"/>
    <w:rsid w:val="00F235B4"/>
    <w:rsid w:val="00F316C8"/>
    <w:rsid w:val="00F573DC"/>
    <w:rsid w:val="00F632DE"/>
    <w:rsid w:val="00F735E4"/>
    <w:rsid w:val="00F83E42"/>
    <w:rsid w:val="00F858E3"/>
    <w:rsid w:val="00F872B8"/>
    <w:rsid w:val="00FB3937"/>
    <w:rsid w:val="00FB7834"/>
    <w:rsid w:val="00FC503A"/>
    <w:rsid w:val="00FC6551"/>
    <w:rsid w:val="00FD4B6A"/>
    <w:rsid w:val="00FF03A8"/>
    <w:rsid w:val="00FF63EA"/>
    <w:rsid w:val="017C6D0C"/>
    <w:rsid w:val="02173C56"/>
    <w:rsid w:val="025B77F5"/>
    <w:rsid w:val="02B1DD5A"/>
    <w:rsid w:val="02FCBABC"/>
    <w:rsid w:val="031B61FA"/>
    <w:rsid w:val="033444F5"/>
    <w:rsid w:val="03A227BD"/>
    <w:rsid w:val="03EAB254"/>
    <w:rsid w:val="04233FEF"/>
    <w:rsid w:val="04F3EF7F"/>
    <w:rsid w:val="0520F932"/>
    <w:rsid w:val="052C8677"/>
    <w:rsid w:val="052E8279"/>
    <w:rsid w:val="0531755F"/>
    <w:rsid w:val="05484B63"/>
    <w:rsid w:val="057AC425"/>
    <w:rsid w:val="0597BB31"/>
    <w:rsid w:val="05D74D64"/>
    <w:rsid w:val="05E1B9BC"/>
    <w:rsid w:val="06973563"/>
    <w:rsid w:val="06DC517C"/>
    <w:rsid w:val="06E5F50A"/>
    <w:rsid w:val="072FE8F5"/>
    <w:rsid w:val="075D6F60"/>
    <w:rsid w:val="07A208CE"/>
    <w:rsid w:val="07BDF498"/>
    <w:rsid w:val="07CD2621"/>
    <w:rsid w:val="091185E4"/>
    <w:rsid w:val="09A0D329"/>
    <w:rsid w:val="09A4A9F1"/>
    <w:rsid w:val="09C35783"/>
    <w:rsid w:val="09D1BFFC"/>
    <w:rsid w:val="09E487E0"/>
    <w:rsid w:val="0A4D8547"/>
    <w:rsid w:val="0A9C8CCD"/>
    <w:rsid w:val="0AF5CE5A"/>
    <w:rsid w:val="0B4EE758"/>
    <w:rsid w:val="0BD9BFF5"/>
    <w:rsid w:val="0BDB15E5"/>
    <w:rsid w:val="0CB401B5"/>
    <w:rsid w:val="0D256085"/>
    <w:rsid w:val="0D70AD03"/>
    <w:rsid w:val="0E188586"/>
    <w:rsid w:val="0E30EC67"/>
    <w:rsid w:val="0E7AFA5E"/>
    <w:rsid w:val="0EEE8B94"/>
    <w:rsid w:val="0F43934E"/>
    <w:rsid w:val="102B8C36"/>
    <w:rsid w:val="10CA90FA"/>
    <w:rsid w:val="10D4BDAD"/>
    <w:rsid w:val="10FBD22D"/>
    <w:rsid w:val="111C6F65"/>
    <w:rsid w:val="1155C35C"/>
    <w:rsid w:val="11D361EB"/>
    <w:rsid w:val="12027947"/>
    <w:rsid w:val="128D246A"/>
    <w:rsid w:val="12C1CBDF"/>
    <w:rsid w:val="132D9476"/>
    <w:rsid w:val="137696DA"/>
    <w:rsid w:val="13C0FA28"/>
    <w:rsid w:val="13FFB7D9"/>
    <w:rsid w:val="14B029F6"/>
    <w:rsid w:val="15283FA6"/>
    <w:rsid w:val="1531CA72"/>
    <w:rsid w:val="1540B7E2"/>
    <w:rsid w:val="15F4D78D"/>
    <w:rsid w:val="16D45AF6"/>
    <w:rsid w:val="16DBE6CA"/>
    <w:rsid w:val="174DECE4"/>
    <w:rsid w:val="17637264"/>
    <w:rsid w:val="17AB7C7A"/>
    <w:rsid w:val="17AC2505"/>
    <w:rsid w:val="18F4E651"/>
    <w:rsid w:val="190BC33A"/>
    <w:rsid w:val="19C27DEA"/>
    <w:rsid w:val="1A03F713"/>
    <w:rsid w:val="1A15FACE"/>
    <w:rsid w:val="1A5371CA"/>
    <w:rsid w:val="1A744069"/>
    <w:rsid w:val="1AD177A1"/>
    <w:rsid w:val="1B18F2A5"/>
    <w:rsid w:val="1B71FE0C"/>
    <w:rsid w:val="1BC7EDF9"/>
    <w:rsid w:val="1C4F2876"/>
    <w:rsid w:val="1DA78DCB"/>
    <w:rsid w:val="1E18A1BA"/>
    <w:rsid w:val="1E47B196"/>
    <w:rsid w:val="1E89A882"/>
    <w:rsid w:val="1EDE1C8B"/>
    <w:rsid w:val="1EFFC8D7"/>
    <w:rsid w:val="1F028087"/>
    <w:rsid w:val="1F26D1A2"/>
    <w:rsid w:val="1F406004"/>
    <w:rsid w:val="1F4BBCA6"/>
    <w:rsid w:val="1F9888FD"/>
    <w:rsid w:val="2045D05B"/>
    <w:rsid w:val="209B02D4"/>
    <w:rsid w:val="20B8D842"/>
    <w:rsid w:val="23BA3DAE"/>
    <w:rsid w:val="2457BC93"/>
    <w:rsid w:val="24D5E9E8"/>
    <w:rsid w:val="25FE4975"/>
    <w:rsid w:val="25FF5CB0"/>
    <w:rsid w:val="262F10B2"/>
    <w:rsid w:val="2641EA84"/>
    <w:rsid w:val="268FA1CB"/>
    <w:rsid w:val="286F2BCD"/>
    <w:rsid w:val="28941C08"/>
    <w:rsid w:val="28EFF88E"/>
    <w:rsid w:val="29956CDF"/>
    <w:rsid w:val="29AC7F23"/>
    <w:rsid w:val="2A1525ED"/>
    <w:rsid w:val="2A266085"/>
    <w:rsid w:val="2A3AB3EE"/>
    <w:rsid w:val="2B24512A"/>
    <w:rsid w:val="2B7C4E1B"/>
    <w:rsid w:val="2B9A035B"/>
    <w:rsid w:val="2BA3DF1D"/>
    <w:rsid w:val="2BCDB013"/>
    <w:rsid w:val="2C416DED"/>
    <w:rsid w:val="2DE6F1F2"/>
    <w:rsid w:val="2E2E6B6A"/>
    <w:rsid w:val="2EC886ED"/>
    <w:rsid w:val="2EFA2666"/>
    <w:rsid w:val="30FDECC1"/>
    <w:rsid w:val="31A20BC9"/>
    <w:rsid w:val="31C5F035"/>
    <w:rsid w:val="32D39217"/>
    <w:rsid w:val="32FF9774"/>
    <w:rsid w:val="330F6EFF"/>
    <w:rsid w:val="33B9F861"/>
    <w:rsid w:val="3457BA38"/>
    <w:rsid w:val="34FEECC6"/>
    <w:rsid w:val="3518482B"/>
    <w:rsid w:val="36AFB0BE"/>
    <w:rsid w:val="37199AC8"/>
    <w:rsid w:val="374F2D06"/>
    <w:rsid w:val="37AC6E90"/>
    <w:rsid w:val="380EF5B9"/>
    <w:rsid w:val="389C0BAB"/>
    <w:rsid w:val="38D50924"/>
    <w:rsid w:val="390AAF35"/>
    <w:rsid w:val="3A563F66"/>
    <w:rsid w:val="3A7ABFD2"/>
    <w:rsid w:val="3AF696C4"/>
    <w:rsid w:val="3B145445"/>
    <w:rsid w:val="3B4DBEDE"/>
    <w:rsid w:val="3BBFE823"/>
    <w:rsid w:val="3D0C5FCC"/>
    <w:rsid w:val="3D36B9E4"/>
    <w:rsid w:val="3E35146A"/>
    <w:rsid w:val="3EEDC222"/>
    <w:rsid w:val="3F0718B8"/>
    <w:rsid w:val="3F28ACF0"/>
    <w:rsid w:val="3F42EDFE"/>
    <w:rsid w:val="3F5B3D9C"/>
    <w:rsid w:val="4064615E"/>
    <w:rsid w:val="40654AD7"/>
    <w:rsid w:val="42B7A6CF"/>
    <w:rsid w:val="437A8777"/>
    <w:rsid w:val="43A184DF"/>
    <w:rsid w:val="43A35820"/>
    <w:rsid w:val="43ED5D49"/>
    <w:rsid w:val="4422E146"/>
    <w:rsid w:val="444B5F5A"/>
    <w:rsid w:val="44DEF029"/>
    <w:rsid w:val="44F3093A"/>
    <w:rsid w:val="451A7BA9"/>
    <w:rsid w:val="4559EC6C"/>
    <w:rsid w:val="45B5B916"/>
    <w:rsid w:val="462E7234"/>
    <w:rsid w:val="466F3D41"/>
    <w:rsid w:val="47620D42"/>
    <w:rsid w:val="476A4214"/>
    <w:rsid w:val="47846C44"/>
    <w:rsid w:val="4808C73C"/>
    <w:rsid w:val="48513C58"/>
    <w:rsid w:val="49A13ECD"/>
    <w:rsid w:val="4A0EDD18"/>
    <w:rsid w:val="4A7FF22F"/>
    <w:rsid w:val="4B4B3B70"/>
    <w:rsid w:val="4B5CF1FB"/>
    <w:rsid w:val="4D054FFF"/>
    <w:rsid w:val="4DCCB82C"/>
    <w:rsid w:val="4ED76BB1"/>
    <w:rsid w:val="4F122E53"/>
    <w:rsid w:val="4F5C1918"/>
    <w:rsid w:val="4F9AED8E"/>
    <w:rsid w:val="506EA59D"/>
    <w:rsid w:val="507C995C"/>
    <w:rsid w:val="50ACFD06"/>
    <w:rsid w:val="5132AF2E"/>
    <w:rsid w:val="518A0E52"/>
    <w:rsid w:val="51EE31AB"/>
    <w:rsid w:val="53111A5F"/>
    <w:rsid w:val="536FD75E"/>
    <w:rsid w:val="5372FAD8"/>
    <w:rsid w:val="540E10ED"/>
    <w:rsid w:val="5432BDD8"/>
    <w:rsid w:val="5461B99A"/>
    <w:rsid w:val="54EF136E"/>
    <w:rsid w:val="54F1A223"/>
    <w:rsid w:val="55A4E4A9"/>
    <w:rsid w:val="57D0409E"/>
    <w:rsid w:val="57F36D13"/>
    <w:rsid w:val="580E3CAF"/>
    <w:rsid w:val="58BA0D0D"/>
    <w:rsid w:val="58C431AD"/>
    <w:rsid w:val="59F8AC59"/>
    <w:rsid w:val="5A43868B"/>
    <w:rsid w:val="5A4A3625"/>
    <w:rsid w:val="5AE6F08D"/>
    <w:rsid w:val="5B040C71"/>
    <w:rsid w:val="5B0D62F3"/>
    <w:rsid w:val="5B1BC9FC"/>
    <w:rsid w:val="5B7C58CF"/>
    <w:rsid w:val="5BF24F5D"/>
    <w:rsid w:val="5C607F9C"/>
    <w:rsid w:val="5C790F63"/>
    <w:rsid w:val="5D85E0DD"/>
    <w:rsid w:val="5E82EB7E"/>
    <w:rsid w:val="5F050F22"/>
    <w:rsid w:val="5FCDBC19"/>
    <w:rsid w:val="60F94EF6"/>
    <w:rsid w:val="6193B110"/>
    <w:rsid w:val="61AB5E33"/>
    <w:rsid w:val="62BF555F"/>
    <w:rsid w:val="633D0446"/>
    <w:rsid w:val="6353C32F"/>
    <w:rsid w:val="63DAF771"/>
    <w:rsid w:val="6406ED8D"/>
    <w:rsid w:val="6420A036"/>
    <w:rsid w:val="64B14FA6"/>
    <w:rsid w:val="64EBFE75"/>
    <w:rsid w:val="65DF1FA5"/>
    <w:rsid w:val="665E9F8F"/>
    <w:rsid w:val="667AE09F"/>
    <w:rsid w:val="67177AFB"/>
    <w:rsid w:val="67FB5B9A"/>
    <w:rsid w:val="680C8B5A"/>
    <w:rsid w:val="68CA06C4"/>
    <w:rsid w:val="68D2BAE1"/>
    <w:rsid w:val="68F1949F"/>
    <w:rsid w:val="6917421D"/>
    <w:rsid w:val="6981C154"/>
    <w:rsid w:val="699B947A"/>
    <w:rsid w:val="69B49AF4"/>
    <w:rsid w:val="69B9A420"/>
    <w:rsid w:val="6A670054"/>
    <w:rsid w:val="6A96D6F9"/>
    <w:rsid w:val="6B3516F2"/>
    <w:rsid w:val="6B77311A"/>
    <w:rsid w:val="6BF6B2A2"/>
    <w:rsid w:val="6C2ADE2B"/>
    <w:rsid w:val="6CB74E0E"/>
    <w:rsid w:val="6E1F6FF7"/>
    <w:rsid w:val="6E2D4330"/>
    <w:rsid w:val="6E4C6924"/>
    <w:rsid w:val="6EA33BDA"/>
    <w:rsid w:val="6EA79316"/>
    <w:rsid w:val="6EE5A21C"/>
    <w:rsid w:val="70E91D4A"/>
    <w:rsid w:val="70F33062"/>
    <w:rsid w:val="71385222"/>
    <w:rsid w:val="71BB75E8"/>
    <w:rsid w:val="72450011"/>
    <w:rsid w:val="725C9179"/>
    <w:rsid w:val="726BB681"/>
    <w:rsid w:val="72E38B94"/>
    <w:rsid w:val="734ADD3F"/>
    <w:rsid w:val="735E123F"/>
    <w:rsid w:val="73AC9167"/>
    <w:rsid w:val="73EB2CA5"/>
    <w:rsid w:val="73F0CF39"/>
    <w:rsid w:val="74B0C39B"/>
    <w:rsid w:val="752FBD39"/>
    <w:rsid w:val="75325E43"/>
    <w:rsid w:val="75435EDE"/>
    <w:rsid w:val="755FB5D7"/>
    <w:rsid w:val="7605F878"/>
    <w:rsid w:val="76FD7186"/>
    <w:rsid w:val="76FE4BEE"/>
    <w:rsid w:val="7762F571"/>
    <w:rsid w:val="77A0B1CC"/>
    <w:rsid w:val="77DA3670"/>
    <w:rsid w:val="785D3A14"/>
    <w:rsid w:val="78A0B0F2"/>
    <w:rsid w:val="78ECC045"/>
    <w:rsid w:val="78F86B61"/>
    <w:rsid w:val="796BFB90"/>
    <w:rsid w:val="79745371"/>
    <w:rsid w:val="79A1B251"/>
    <w:rsid w:val="79B3AC21"/>
    <w:rsid w:val="7A6622A2"/>
    <w:rsid w:val="7B4A86C3"/>
    <w:rsid w:val="7C4FD242"/>
    <w:rsid w:val="7C6E0432"/>
    <w:rsid w:val="7C848CE4"/>
    <w:rsid w:val="7CBB3FBC"/>
    <w:rsid w:val="7DAA4F5C"/>
    <w:rsid w:val="7E3C5132"/>
    <w:rsid w:val="7E50D915"/>
    <w:rsid w:val="7E73437C"/>
    <w:rsid w:val="7EB64ED3"/>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DF794D0A-2F88-4800-B02C-F1BF0668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C37E5"/>
    <w:rPr>
      <w:sz w:val="22"/>
      <w:szCs w:val="22"/>
      <w:lang w:val="en-GB" w:eastAsia="en-US"/>
    </w:rPr>
  </w:style>
  <w:style w:type="paragraph" w:styleId="Header">
    <w:name w:val="header"/>
    <w:basedOn w:val="Normal"/>
    <w:link w:val="HeaderChar"/>
    <w:uiPriority w:val="99"/>
    <w:semiHidden/>
    <w:unhideWhenUsed/>
    <w:rsid w:val="007C37E5"/>
    <w:pPr>
      <w:tabs>
        <w:tab w:val="center" w:pos="4513"/>
        <w:tab w:val="right" w:pos="9026"/>
      </w:tabs>
    </w:pPr>
  </w:style>
  <w:style w:type="character" w:customStyle="1" w:styleId="HeaderChar">
    <w:name w:val="Header Char"/>
    <w:link w:val="Header"/>
    <w:uiPriority w:val="99"/>
    <w:semiHidden/>
    <w:rsid w:val="007C37E5"/>
    <w:rPr>
      <w:sz w:val="22"/>
      <w:szCs w:val="22"/>
      <w:lang w:val="en-GB" w:eastAsia="en-US"/>
    </w:rPr>
  </w:style>
  <w:style w:type="paragraph" w:styleId="Footer">
    <w:name w:val="footer"/>
    <w:basedOn w:val="Normal"/>
    <w:link w:val="FooterChar"/>
    <w:uiPriority w:val="99"/>
    <w:semiHidden/>
    <w:unhideWhenUsed/>
    <w:rsid w:val="007C37E5"/>
    <w:pPr>
      <w:tabs>
        <w:tab w:val="center" w:pos="4513"/>
        <w:tab w:val="right" w:pos="9026"/>
      </w:tabs>
    </w:pPr>
  </w:style>
  <w:style w:type="character" w:customStyle="1" w:styleId="FooterChar">
    <w:name w:val="Footer Char"/>
    <w:link w:val="Footer"/>
    <w:uiPriority w:val="99"/>
    <w:semiHidden/>
    <w:rsid w:val="007C37E5"/>
    <w:rPr>
      <w:sz w:val="22"/>
      <w:szCs w:val="22"/>
      <w:lang w:val="en-GB" w:eastAsia="en-US"/>
    </w:rPr>
  </w:style>
  <w:style w:type="paragraph" w:styleId="FootnoteText">
    <w:name w:val="footnote text"/>
    <w:basedOn w:val="Normal"/>
    <w:link w:val="FootnoteTextChar"/>
    <w:uiPriority w:val="99"/>
    <w:semiHidden/>
    <w:unhideWhenUsed/>
    <w:rsid w:val="006A24E7"/>
    <w:rPr>
      <w:sz w:val="20"/>
      <w:szCs w:val="20"/>
    </w:rPr>
  </w:style>
  <w:style w:type="character" w:customStyle="1" w:styleId="FootnoteTextChar">
    <w:name w:val="Footnote Text Char"/>
    <w:link w:val="FootnoteText"/>
    <w:uiPriority w:val="99"/>
    <w:semiHidden/>
    <w:rsid w:val="006A24E7"/>
    <w:rPr>
      <w:lang w:val="en-GB" w:eastAsia="en-US"/>
    </w:rPr>
  </w:style>
  <w:style w:type="character" w:styleId="FootnoteReference">
    <w:name w:val="footnote reference"/>
    <w:uiPriority w:val="99"/>
    <w:semiHidden/>
    <w:unhideWhenUsed/>
    <w:rsid w:val="006A24E7"/>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7E7C"/>
    <w:rPr>
      <w:b/>
      <w:bCs/>
    </w:rPr>
  </w:style>
  <w:style w:type="character" w:customStyle="1" w:styleId="CommentSubjectChar">
    <w:name w:val="Comment Subject Char"/>
    <w:link w:val="CommentSubject"/>
    <w:uiPriority w:val="99"/>
    <w:semiHidden/>
    <w:rsid w:val="00B37E7C"/>
    <w:rPr>
      <w:b/>
      <w:bCs/>
      <w:lang w:val="en-GB" w:eastAsia="en-US"/>
    </w:rPr>
  </w:style>
  <w:style w:type="character" w:styleId="Hyperlink">
    <w:name w:val="Hyperlink"/>
    <w:uiPriority w:val="99"/>
    <w:unhideWhenUsed/>
    <w:rsid w:val="00521ABE"/>
    <w:rPr>
      <w:color w:val="0563C1"/>
      <w:u w:val="single"/>
    </w:rPr>
  </w:style>
  <w:style w:type="character" w:styleId="UnresolvedMention">
    <w:name w:val="Unresolved Mention"/>
    <w:uiPriority w:val="99"/>
    <w:semiHidden/>
    <w:unhideWhenUsed/>
    <w:rsid w:val="0052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8c30975d-bc1c-4415-8dcd-a71cb28f3662_en" TargetMode="External"/><Relationship Id="rId1" Type="http://schemas.openxmlformats.org/officeDocument/2006/relationships/hyperlink" Target="https://eur-lex.europa.eu/legal-content/EN/TXT/?uri=celex:52020DC0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1A39-B4BC-4B51-8B1E-AE002E61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1141</Words>
  <Characters>7145</Characters>
  <Application>Microsoft Office Word</Application>
  <DocSecurity>0</DocSecurity>
  <Lines>96</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dc:description/>
  <cp:lastModifiedBy>ROSSI Simona (SG-EXT)</cp:lastModifiedBy>
  <cp:revision>3</cp:revision>
  <cp:lastPrinted>2013-02-28T03:02:00Z</cp:lastPrinted>
  <dcterms:created xsi:type="dcterms:W3CDTF">2026-03-13T10:55:00Z</dcterms:created>
  <dcterms:modified xsi:type="dcterms:W3CDTF">2026-03-13T10:56:00Z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