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456"/>
      </w:tblGrid>
      <w:tr w:rsidR="003243F5" w:rsidRPr="003243F5" w14:paraId="233AC37F" w14:textId="77777777" w:rsidTr="00CC1D80">
        <w:trPr>
          <w:jc w:val="center"/>
        </w:trPr>
        <w:tc>
          <w:tcPr>
            <w:tcW w:w="10456" w:type="dxa"/>
          </w:tcPr>
          <w:p w14:paraId="756E4ADC" w14:textId="0ADB2F2B" w:rsidR="003243F5" w:rsidRPr="003243F5" w:rsidRDefault="003243F5" w:rsidP="00C3161F">
            <w:pPr>
              <w:spacing w:before="120" w:after="120"/>
              <w:rPr>
                <w:rFonts w:ascii="Times New Roman" w:hAnsi="Times New Roman"/>
                <w:sz w:val="24"/>
                <w:szCs w:val="24"/>
                <w:lang w:val="en-IE"/>
              </w:rPr>
            </w:pPr>
            <w:r w:rsidRPr="003243F5">
              <w:rPr>
                <w:rFonts w:ascii="Times New Roman" w:hAnsi="Times New Roman"/>
                <w:b/>
                <w:sz w:val="24"/>
                <w:szCs w:val="24"/>
              </w:rPr>
              <w:t>Tackling inequalities in people’s access to healthcare</w:t>
            </w:r>
            <w:r w:rsidR="003742B1">
              <w:rPr>
                <w:rFonts w:ascii="Times New Roman" w:hAnsi="Times New Roman"/>
                <w:b/>
                <w:sz w:val="24"/>
                <w:szCs w:val="24"/>
              </w:rPr>
              <w:br/>
            </w:r>
            <w:r w:rsidR="003742B1" w:rsidRPr="00CC1D80">
              <w:rPr>
                <w:rFonts w:ascii="Times New Roman" w:hAnsi="Times New Roman"/>
                <w:b/>
                <w:sz w:val="24"/>
                <w:szCs w:val="24"/>
              </w:rPr>
              <w:t>(own-initiative opinion)</w:t>
            </w:r>
            <w:r w:rsidRPr="003243F5">
              <w:rPr>
                <w:rFonts w:ascii="Times New Roman" w:hAnsi="Times New Roman"/>
                <w:b/>
                <w:sz w:val="24"/>
                <w:szCs w:val="24"/>
              </w:rPr>
              <w:br/>
              <w:t>EESC</w:t>
            </w:r>
            <w:r w:rsidR="003742B1">
              <w:rPr>
                <w:rFonts w:ascii="Times New Roman" w:hAnsi="Times New Roman"/>
                <w:b/>
                <w:sz w:val="24"/>
                <w:szCs w:val="24"/>
              </w:rPr>
              <w:t>-</w:t>
            </w:r>
            <w:r w:rsidRPr="003243F5">
              <w:rPr>
                <w:rFonts w:ascii="Times New Roman" w:hAnsi="Times New Roman"/>
                <w:b/>
                <w:sz w:val="24"/>
                <w:szCs w:val="24"/>
              </w:rPr>
              <w:t xml:space="preserve">2025-00854 </w:t>
            </w:r>
            <w:r w:rsidR="003742B1" w:rsidRPr="003742B1">
              <w:rPr>
                <w:rFonts w:ascii="Times New Roman" w:hAnsi="Times New Roman"/>
                <w:b/>
                <w:sz w:val="24"/>
                <w:szCs w:val="24"/>
              </w:rPr>
              <w:t xml:space="preserve">– </w:t>
            </w:r>
            <w:r w:rsidRPr="003243F5">
              <w:rPr>
                <w:rFonts w:ascii="Times New Roman" w:hAnsi="Times New Roman"/>
                <w:b/>
                <w:sz w:val="24"/>
                <w:szCs w:val="24"/>
              </w:rPr>
              <w:t>SOC</w:t>
            </w:r>
            <w:r w:rsidR="003742B1">
              <w:rPr>
                <w:rFonts w:ascii="Times New Roman" w:hAnsi="Times New Roman"/>
                <w:b/>
                <w:sz w:val="24"/>
                <w:szCs w:val="24"/>
              </w:rPr>
              <w:t>/</w:t>
            </w:r>
            <w:r w:rsidRPr="003243F5">
              <w:rPr>
                <w:rFonts w:ascii="Times New Roman" w:hAnsi="Times New Roman"/>
                <w:b/>
                <w:sz w:val="24"/>
                <w:szCs w:val="24"/>
              </w:rPr>
              <w:t>825</w:t>
            </w:r>
            <w:r w:rsidRPr="003243F5">
              <w:rPr>
                <w:rFonts w:ascii="Times New Roman" w:hAnsi="Times New Roman"/>
                <w:b/>
                <w:sz w:val="24"/>
                <w:szCs w:val="24"/>
              </w:rPr>
              <w:br/>
              <w:t>59</w:t>
            </w:r>
            <w:r w:rsidR="00346AE6">
              <w:rPr>
                <w:rFonts w:ascii="Times New Roman" w:hAnsi="Times New Roman"/>
                <w:b/>
                <w:sz w:val="24"/>
                <w:szCs w:val="24"/>
              </w:rPr>
              <w:t>8</w:t>
            </w:r>
            <w:r w:rsidRPr="00CC1D80">
              <w:rPr>
                <w:rFonts w:ascii="Times New Roman" w:hAnsi="Times New Roman"/>
                <w:b/>
                <w:sz w:val="24"/>
                <w:szCs w:val="24"/>
                <w:vertAlign w:val="superscript"/>
              </w:rPr>
              <w:t>th</w:t>
            </w:r>
            <w:r w:rsidRPr="003243F5">
              <w:rPr>
                <w:rFonts w:ascii="Times New Roman" w:hAnsi="Times New Roman"/>
                <w:b/>
                <w:sz w:val="24"/>
                <w:szCs w:val="24"/>
              </w:rPr>
              <w:t xml:space="preserve"> Plenary Session – July 2025</w:t>
            </w:r>
            <w:r w:rsidRPr="003243F5">
              <w:rPr>
                <w:rFonts w:ascii="Times New Roman" w:hAnsi="Times New Roman"/>
                <w:b/>
                <w:sz w:val="24"/>
                <w:szCs w:val="24"/>
              </w:rPr>
              <w:br/>
              <w:t>Rapporteur: Pietro Vittorio BARBIERI (IT</w:t>
            </w:r>
            <w:r w:rsidR="003742B1">
              <w:rPr>
                <w:rFonts w:ascii="Times New Roman" w:hAnsi="Times New Roman"/>
                <w:b/>
                <w:sz w:val="24"/>
                <w:szCs w:val="24"/>
              </w:rPr>
              <w:t>-</w:t>
            </w:r>
            <w:r w:rsidR="003742B1" w:rsidRPr="003243F5">
              <w:rPr>
                <w:rFonts w:ascii="Times New Roman" w:hAnsi="Times New Roman"/>
                <w:b/>
                <w:sz w:val="24"/>
                <w:szCs w:val="24"/>
              </w:rPr>
              <w:t>III</w:t>
            </w:r>
            <w:r w:rsidRPr="003243F5">
              <w:rPr>
                <w:rFonts w:ascii="Times New Roman" w:hAnsi="Times New Roman"/>
                <w:b/>
                <w:sz w:val="24"/>
                <w:szCs w:val="24"/>
              </w:rPr>
              <w:t>)</w:t>
            </w:r>
            <w:r w:rsidRPr="003243F5">
              <w:rPr>
                <w:rFonts w:ascii="Times New Roman" w:hAnsi="Times New Roman"/>
                <w:b/>
                <w:sz w:val="24"/>
                <w:szCs w:val="24"/>
              </w:rPr>
              <w:br/>
              <w:t xml:space="preserve">DG EMPL – Executive Vice-President </w:t>
            </w:r>
            <w:r w:rsidRPr="003742B1">
              <w:rPr>
                <w:rFonts w:ascii="Times New Roman" w:hAnsi="Times New Roman"/>
                <w:b/>
                <w:sz w:val="24"/>
                <w:szCs w:val="24"/>
              </w:rPr>
              <w:t>MÎNZATU</w:t>
            </w:r>
            <w:r w:rsidRPr="003742B1">
              <w:rPr>
                <w:rFonts w:ascii="Times New Roman" w:hAnsi="Times New Roman"/>
                <w:b/>
                <w:sz w:val="24"/>
                <w:szCs w:val="24"/>
              </w:rPr>
              <w:br/>
              <w:t xml:space="preserve">DG SANTE – Commissioner </w:t>
            </w:r>
            <w:r w:rsidRPr="00CC1D80">
              <w:rPr>
                <w:rFonts w:ascii="Times New Roman" w:hAnsi="Times New Roman"/>
                <w:b/>
                <w:sz w:val="24"/>
                <w:szCs w:val="24"/>
              </w:rPr>
              <w:t>VÁRHELYI</w:t>
            </w:r>
          </w:p>
        </w:tc>
      </w:tr>
      <w:tr w:rsidR="00694EEF" w:rsidRPr="003243F5" w14:paraId="535C4AE1" w14:textId="77777777" w:rsidTr="00CC1D80">
        <w:trPr>
          <w:jc w:val="center"/>
        </w:trPr>
        <w:tc>
          <w:tcPr>
            <w:tcW w:w="10456" w:type="dxa"/>
          </w:tcPr>
          <w:p w14:paraId="38E564E4" w14:textId="15AD4C55" w:rsidR="00694EEF" w:rsidRPr="003243F5" w:rsidRDefault="006B49EC" w:rsidP="00012A37">
            <w:pPr>
              <w:spacing w:before="120" w:after="120"/>
              <w:jc w:val="center"/>
              <w:rPr>
                <w:rFonts w:ascii="Times New Roman" w:hAnsi="Times New Roman"/>
                <w:b/>
                <w:sz w:val="24"/>
                <w:szCs w:val="24"/>
              </w:rPr>
            </w:pPr>
            <w:r w:rsidRPr="003243F5">
              <w:rPr>
                <w:rFonts w:ascii="Times New Roman" w:hAnsi="Times New Roman"/>
                <w:b/>
                <w:bCs/>
                <w:sz w:val="24"/>
                <w:szCs w:val="24"/>
              </w:rPr>
              <w:t>European Commission position on points</w:t>
            </w:r>
            <w:r w:rsidR="003742B1">
              <w:rPr>
                <w:rFonts w:ascii="Times New Roman" w:hAnsi="Times New Roman"/>
                <w:b/>
                <w:bCs/>
                <w:sz w:val="24"/>
                <w:szCs w:val="24"/>
              </w:rPr>
              <w:br/>
            </w:r>
            <w:r w:rsidRPr="003243F5">
              <w:rPr>
                <w:rFonts w:ascii="Times New Roman" w:hAnsi="Times New Roman"/>
                <w:b/>
                <w:bCs/>
                <w:sz w:val="24"/>
                <w:szCs w:val="24"/>
              </w:rPr>
              <w:t>of the European</w:t>
            </w:r>
            <w:r w:rsidR="00965856" w:rsidRPr="003243F5">
              <w:rPr>
                <w:rFonts w:ascii="Times New Roman" w:hAnsi="Times New Roman"/>
                <w:b/>
                <w:bCs/>
                <w:sz w:val="24"/>
                <w:szCs w:val="24"/>
              </w:rPr>
              <w:t xml:space="preserve"> Economic and Social</w:t>
            </w:r>
            <w:r w:rsidRPr="003243F5">
              <w:rPr>
                <w:rFonts w:ascii="Times New Roman" w:hAnsi="Times New Roman"/>
                <w:b/>
                <w:bCs/>
                <w:sz w:val="24"/>
                <w:szCs w:val="24"/>
              </w:rPr>
              <w:t xml:space="preserve"> Committee </w:t>
            </w:r>
            <w:r w:rsidR="003742B1">
              <w:rPr>
                <w:rFonts w:ascii="Times New Roman" w:hAnsi="Times New Roman"/>
                <w:b/>
                <w:bCs/>
                <w:sz w:val="24"/>
                <w:szCs w:val="24"/>
              </w:rPr>
              <w:t xml:space="preserve">(EESC) </w:t>
            </w:r>
            <w:r w:rsidRPr="003243F5">
              <w:rPr>
                <w:rFonts w:ascii="Times New Roman" w:hAnsi="Times New Roman"/>
                <w:b/>
                <w:bCs/>
                <w:sz w:val="24"/>
                <w:szCs w:val="24"/>
              </w:rPr>
              <w:t>opinion considered as essential</w:t>
            </w:r>
          </w:p>
        </w:tc>
      </w:tr>
      <w:tr w:rsidR="00694EEF" w:rsidRPr="00442552" w14:paraId="5657E9A1" w14:textId="77777777" w:rsidTr="00CC1D80">
        <w:trPr>
          <w:jc w:val="center"/>
        </w:trPr>
        <w:tc>
          <w:tcPr>
            <w:tcW w:w="10456" w:type="dxa"/>
          </w:tcPr>
          <w:p w14:paraId="465D6089" w14:textId="345605D6" w:rsidR="005134A2" w:rsidRPr="00600E58" w:rsidRDefault="05368EE4" w:rsidP="00600E58">
            <w:pPr>
              <w:widowControl w:val="0"/>
              <w:spacing w:before="120" w:after="120"/>
              <w:jc w:val="both"/>
              <w:rPr>
                <w:rFonts w:ascii="Times New Roman" w:hAnsi="Times New Roman"/>
                <w:sz w:val="24"/>
                <w:szCs w:val="24"/>
              </w:rPr>
            </w:pPr>
            <w:r w:rsidRPr="00600E58">
              <w:rPr>
                <w:rFonts w:ascii="Times New Roman" w:hAnsi="Times New Roman"/>
                <w:sz w:val="24"/>
                <w:szCs w:val="24"/>
                <w:u w:val="single"/>
              </w:rPr>
              <w:t>Point</w:t>
            </w:r>
            <w:r w:rsidR="0BCA7AA4" w:rsidRPr="00600E58">
              <w:rPr>
                <w:rFonts w:ascii="Times New Roman" w:hAnsi="Times New Roman"/>
                <w:sz w:val="24"/>
                <w:szCs w:val="24"/>
                <w:u w:val="single"/>
              </w:rPr>
              <w:t>s</w:t>
            </w:r>
            <w:r w:rsidR="4E42AC3D" w:rsidRPr="00600E58">
              <w:rPr>
                <w:rFonts w:ascii="Times New Roman" w:hAnsi="Times New Roman"/>
                <w:sz w:val="24"/>
                <w:szCs w:val="24"/>
                <w:u w:val="single"/>
              </w:rPr>
              <w:t xml:space="preserve"> </w:t>
            </w:r>
            <w:r w:rsidR="15BD67AE" w:rsidRPr="00600E58">
              <w:rPr>
                <w:rFonts w:ascii="Times New Roman" w:hAnsi="Times New Roman"/>
                <w:sz w:val="24"/>
                <w:szCs w:val="24"/>
                <w:u w:val="single"/>
              </w:rPr>
              <w:t>1</w:t>
            </w:r>
            <w:r w:rsidR="562AF9EC" w:rsidRPr="00600E58">
              <w:rPr>
                <w:rFonts w:ascii="Times New Roman" w:hAnsi="Times New Roman"/>
                <w:sz w:val="24"/>
                <w:szCs w:val="24"/>
                <w:u w:val="single"/>
              </w:rPr>
              <w:t>.</w:t>
            </w:r>
            <w:r w:rsidR="15BD67AE" w:rsidRPr="00600E58">
              <w:rPr>
                <w:rFonts w:ascii="Times New Roman" w:hAnsi="Times New Roman"/>
                <w:sz w:val="24"/>
                <w:szCs w:val="24"/>
                <w:u w:val="single"/>
              </w:rPr>
              <w:t>3</w:t>
            </w:r>
            <w:r w:rsidR="0BCA7AA4" w:rsidRPr="00600E58">
              <w:rPr>
                <w:rFonts w:ascii="Times New Roman" w:hAnsi="Times New Roman"/>
                <w:sz w:val="24"/>
                <w:szCs w:val="24"/>
                <w:u w:val="single"/>
              </w:rPr>
              <w:t xml:space="preserve"> and 4.1</w:t>
            </w:r>
            <w:r w:rsidRPr="00600E58">
              <w:rPr>
                <w:rFonts w:ascii="Times New Roman" w:hAnsi="Times New Roman"/>
                <w:sz w:val="24"/>
                <w:szCs w:val="24"/>
                <w:u w:val="single"/>
              </w:rPr>
              <w:t xml:space="preserve"> of the opinion</w:t>
            </w:r>
            <w:r w:rsidRPr="00600E58">
              <w:rPr>
                <w:rFonts w:ascii="Times New Roman" w:hAnsi="Times New Roman"/>
                <w:sz w:val="24"/>
                <w:szCs w:val="24"/>
              </w:rPr>
              <w:t>:</w:t>
            </w:r>
            <w:r w:rsidR="7BD51CFA" w:rsidRPr="00600E58">
              <w:rPr>
                <w:rFonts w:ascii="Times New Roman" w:hAnsi="Times New Roman"/>
                <w:sz w:val="24"/>
                <w:szCs w:val="24"/>
              </w:rPr>
              <w:t xml:space="preserve"> </w:t>
            </w:r>
            <w:r w:rsidR="1C9D8C91" w:rsidRPr="00600E58">
              <w:rPr>
                <w:rFonts w:ascii="Times New Roman" w:hAnsi="Times New Roman"/>
                <w:sz w:val="24"/>
                <w:szCs w:val="24"/>
                <w:lang w:val="en-IE"/>
              </w:rPr>
              <w:t>The European Care Strategy</w:t>
            </w:r>
            <w:r w:rsidR="003F6426" w:rsidRPr="00600E58">
              <w:rPr>
                <w:rStyle w:val="FootnoteReference"/>
                <w:rFonts w:ascii="Times New Roman" w:hAnsi="Times New Roman" w:cs="Times New Roman"/>
                <w:sz w:val="24"/>
                <w:szCs w:val="24"/>
                <w:lang w:val="en-IE"/>
              </w:rPr>
              <w:footnoteReference w:id="2"/>
            </w:r>
            <w:r w:rsidR="1C9D8C91" w:rsidRPr="00600E58">
              <w:rPr>
                <w:rFonts w:ascii="Times New Roman" w:hAnsi="Times New Roman"/>
                <w:sz w:val="24"/>
                <w:szCs w:val="24"/>
                <w:lang w:val="en-IE"/>
              </w:rPr>
              <w:t xml:space="preserve"> and the Council Recommendation on access to high-quality long-term care</w:t>
            </w:r>
            <w:r w:rsidR="003F6426" w:rsidRPr="00600E58">
              <w:rPr>
                <w:rStyle w:val="FootnoteReference"/>
                <w:rFonts w:ascii="Times New Roman" w:hAnsi="Times New Roman" w:cs="Times New Roman"/>
                <w:sz w:val="24"/>
                <w:szCs w:val="24"/>
                <w:lang w:val="en-IE"/>
              </w:rPr>
              <w:footnoteReference w:id="3"/>
            </w:r>
            <w:r w:rsidR="1C9D8C91" w:rsidRPr="00600E58">
              <w:rPr>
                <w:rFonts w:ascii="Times New Roman" w:hAnsi="Times New Roman"/>
                <w:sz w:val="24"/>
                <w:szCs w:val="24"/>
                <w:lang w:val="en-IE"/>
              </w:rPr>
              <w:t xml:space="preserve"> provide a framework for reforms and investments to improve care services, address workforce challenges, and support informal carers.</w:t>
            </w:r>
            <w:r w:rsidR="42AC8213" w:rsidRPr="00600E58">
              <w:rPr>
                <w:rFonts w:ascii="Times New Roman" w:hAnsi="Times New Roman"/>
                <w:sz w:val="24"/>
                <w:szCs w:val="24"/>
                <w:lang w:val="en-IE"/>
              </w:rPr>
              <w:t xml:space="preserve"> </w:t>
            </w:r>
            <w:r w:rsidR="1C9D8C91" w:rsidRPr="00600E58">
              <w:rPr>
                <w:rFonts w:ascii="Times New Roman" w:hAnsi="Times New Roman"/>
                <w:sz w:val="24"/>
                <w:szCs w:val="24"/>
                <w:lang w:val="en-IE"/>
              </w:rPr>
              <w:t>Implementation at EU and national levels is progressing swiftly</w:t>
            </w:r>
            <w:r w:rsidR="137CE9F8" w:rsidRPr="00600E58">
              <w:rPr>
                <w:rFonts w:ascii="Times New Roman" w:hAnsi="Times New Roman"/>
                <w:sz w:val="24"/>
                <w:szCs w:val="24"/>
                <w:lang w:val="en-IE"/>
              </w:rPr>
              <w:t xml:space="preserve">, </w:t>
            </w:r>
            <w:r w:rsidR="19A5A5C4" w:rsidRPr="00600E58">
              <w:rPr>
                <w:rFonts w:ascii="Times New Roman" w:hAnsi="Times New Roman"/>
                <w:sz w:val="24"/>
                <w:szCs w:val="24"/>
                <w:lang w:val="en-IE"/>
              </w:rPr>
              <w:t>thus t</w:t>
            </w:r>
            <w:r w:rsidR="56F49ED4" w:rsidRPr="00600E58">
              <w:rPr>
                <w:rFonts w:ascii="Times New Roman" w:hAnsi="Times New Roman"/>
                <w:sz w:val="24"/>
                <w:szCs w:val="24"/>
                <w:lang w:val="en-IE"/>
              </w:rPr>
              <w:t>urning principle</w:t>
            </w:r>
            <w:r w:rsidR="00F11CF9" w:rsidRPr="00600E58">
              <w:rPr>
                <w:rFonts w:ascii="Times New Roman" w:hAnsi="Times New Roman"/>
                <w:sz w:val="24"/>
                <w:szCs w:val="24"/>
                <w:lang w:val="en-IE"/>
              </w:rPr>
              <w:t>s</w:t>
            </w:r>
            <w:r w:rsidR="56F49ED4" w:rsidRPr="00600E58">
              <w:rPr>
                <w:rFonts w:ascii="Times New Roman" w:hAnsi="Times New Roman"/>
                <w:sz w:val="24"/>
                <w:szCs w:val="24"/>
                <w:lang w:val="en-IE"/>
              </w:rPr>
              <w:t xml:space="preserve"> </w:t>
            </w:r>
            <w:r w:rsidR="7503A5E1" w:rsidRPr="00600E58">
              <w:rPr>
                <w:rFonts w:ascii="Times New Roman" w:hAnsi="Times New Roman"/>
                <w:sz w:val="24"/>
                <w:szCs w:val="24"/>
                <w:lang w:val="en-IE"/>
              </w:rPr>
              <w:t>18</w:t>
            </w:r>
            <w:r w:rsidR="00F11CF9" w:rsidRPr="00600E58">
              <w:rPr>
                <w:rFonts w:ascii="Times New Roman" w:hAnsi="Times New Roman"/>
                <w:sz w:val="24"/>
                <w:szCs w:val="24"/>
                <w:lang w:val="en-IE"/>
              </w:rPr>
              <w:t xml:space="preserve"> and 9 </w:t>
            </w:r>
            <w:r w:rsidR="7503A5E1" w:rsidRPr="00600E58">
              <w:rPr>
                <w:rFonts w:ascii="Times New Roman" w:hAnsi="Times New Roman"/>
                <w:sz w:val="24"/>
                <w:szCs w:val="24"/>
                <w:lang w:val="en-IE"/>
              </w:rPr>
              <w:t>of the Europea</w:t>
            </w:r>
            <w:r w:rsidR="0FA3B8E4" w:rsidRPr="00600E58">
              <w:rPr>
                <w:rFonts w:ascii="Times New Roman" w:hAnsi="Times New Roman"/>
                <w:sz w:val="24"/>
                <w:szCs w:val="24"/>
                <w:lang w:val="en-IE"/>
              </w:rPr>
              <w:t>n Pillar of Social Rights</w:t>
            </w:r>
            <w:r w:rsidR="003F6426" w:rsidRPr="00600E58">
              <w:rPr>
                <w:rStyle w:val="FootnoteReference"/>
                <w:rFonts w:ascii="Times New Roman" w:hAnsi="Times New Roman" w:cs="Times New Roman"/>
                <w:sz w:val="24"/>
                <w:szCs w:val="24"/>
                <w:lang w:val="en-IE"/>
              </w:rPr>
              <w:footnoteReference w:id="4"/>
            </w:r>
            <w:r w:rsidR="0FA3B8E4" w:rsidRPr="00600E58">
              <w:rPr>
                <w:rFonts w:ascii="Times New Roman" w:hAnsi="Times New Roman"/>
                <w:sz w:val="24"/>
                <w:szCs w:val="24"/>
                <w:lang w:val="en-IE"/>
              </w:rPr>
              <w:t xml:space="preserve"> into concrete improvements </w:t>
            </w:r>
            <w:r w:rsidR="1F86B57B" w:rsidRPr="00600E58">
              <w:rPr>
                <w:rFonts w:ascii="Times New Roman" w:hAnsi="Times New Roman"/>
                <w:sz w:val="24"/>
                <w:szCs w:val="24"/>
                <w:lang w:val="en-IE"/>
              </w:rPr>
              <w:t>in the lives of</w:t>
            </w:r>
            <w:r w:rsidR="0FA3B8E4" w:rsidRPr="00600E58">
              <w:rPr>
                <w:rFonts w:ascii="Times New Roman" w:hAnsi="Times New Roman"/>
                <w:sz w:val="24"/>
                <w:szCs w:val="24"/>
                <w:lang w:val="en-IE"/>
              </w:rPr>
              <w:t xml:space="preserve"> persons with long-term care needs and caregivers</w:t>
            </w:r>
            <w:r w:rsidR="703CB3DA" w:rsidRPr="00600E58">
              <w:rPr>
                <w:rFonts w:ascii="Times New Roman" w:hAnsi="Times New Roman"/>
                <w:sz w:val="24"/>
                <w:szCs w:val="24"/>
                <w:lang w:val="en-IE"/>
              </w:rPr>
              <w:t>, the majority of which are women,</w:t>
            </w:r>
            <w:r w:rsidR="0FA3B8E4" w:rsidRPr="00600E58">
              <w:rPr>
                <w:rFonts w:ascii="Times New Roman" w:hAnsi="Times New Roman"/>
                <w:sz w:val="24"/>
                <w:szCs w:val="24"/>
                <w:lang w:val="en-IE"/>
              </w:rPr>
              <w:t xml:space="preserve"> alike</w:t>
            </w:r>
            <w:r w:rsidR="1C9D8C91" w:rsidRPr="00600E58">
              <w:rPr>
                <w:rFonts w:ascii="Times New Roman" w:hAnsi="Times New Roman"/>
                <w:sz w:val="24"/>
                <w:szCs w:val="24"/>
                <w:lang w:val="en-IE"/>
              </w:rPr>
              <w:t xml:space="preserve">. </w:t>
            </w:r>
            <w:r w:rsidR="6E4A495D" w:rsidRPr="00600E58">
              <w:rPr>
                <w:rFonts w:ascii="Times New Roman" w:hAnsi="Times New Roman"/>
                <w:sz w:val="24"/>
                <w:szCs w:val="24"/>
                <w:lang w:val="en-IE"/>
              </w:rPr>
              <w:t xml:space="preserve">Implementation is monitored through the European Semester, </w:t>
            </w:r>
            <w:r w:rsidR="16993DA8" w:rsidRPr="00600E58">
              <w:rPr>
                <w:rFonts w:ascii="Times New Roman" w:hAnsi="Times New Roman"/>
                <w:sz w:val="24"/>
                <w:szCs w:val="24"/>
                <w:lang w:val="en-IE"/>
              </w:rPr>
              <w:t xml:space="preserve">the social Open Method of Coordination, </w:t>
            </w:r>
            <w:r w:rsidR="6C87B3CB" w:rsidRPr="00600E58">
              <w:rPr>
                <w:rFonts w:ascii="Times New Roman" w:hAnsi="Times New Roman"/>
                <w:sz w:val="24"/>
                <w:szCs w:val="24"/>
                <w:lang w:val="en-IE"/>
              </w:rPr>
              <w:t xml:space="preserve">using inter alia the recently adopted </w:t>
            </w:r>
            <w:r w:rsidR="0A8F3CDD" w:rsidRPr="00600E58">
              <w:rPr>
                <w:rFonts w:ascii="Times New Roman" w:hAnsi="Times New Roman"/>
                <w:sz w:val="24"/>
                <w:szCs w:val="24"/>
                <w:lang w:val="en-IE"/>
              </w:rPr>
              <w:t xml:space="preserve">indicator-based monitoring framework. </w:t>
            </w:r>
            <w:r w:rsidR="1C9D8C91" w:rsidRPr="00600E58">
              <w:rPr>
                <w:rFonts w:ascii="Times New Roman" w:hAnsi="Times New Roman"/>
                <w:sz w:val="24"/>
                <w:szCs w:val="24"/>
                <w:lang w:val="en-IE"/>
              </w:rPr>
              <w:t>Building on this, the Commission is reflecting on further avenues to</w:t>
            </w:r>
            <w:r w:rsidR="00F11CF9" w:rsidRPr="00600E58">
              <w:rPr>
                <w:rFonts w:ascii="Times New Roman" w:hAnsi="Times New Roman"/>
                <w:sz w:val="24"/>
                <w:szCs w:val="24"/>
                <w:lang w:val="en-IE"/>
              </w:rPr>
              <w:t xml:space="preserve"> strengthen the</w:t>
            </w:r>
            <w:r w:rsidR="1C9D8C91" w:rsidRPr="00600E58">
              <w:rPr>
                <w:rFonts w:ascii="Times New Roman" w:hAnsi="Times New Roman"/>
                <w:sz w:val="24"/>
                <w:szCs w:val="24"/>
                <w:lang w:val="en-IE"/>
              </w:rPr>
              <w:t xml:space="preserve"> framework for addressing long-term care workforce challenges</w:t>
            </w:r>
            <w:r w:rsidR="1C9D8C91" w:rsidRPr="00600E58">
              <w:rPr>
                <w:rFonts w:ascii="Times New Roman" w:hAnsi="Times New Roman"/>
                <w:sz w:val="24"/>
                <w:szCs w:val="24"/>
              </w:rPr>
              <w:t>, including facilitating the recognition of skills and qualifications, supporting skilling and career progression, and improving working conditions</w:t>
            </w:r>
            <w:r w:rsidR="3D178ACE" w:rsidRPr="00600E58">
              <w:rPr>
                <w:rFonts w:ascii="Times New Roman" w:hAnsi="Times New Roman"/>
                <w:sz w:val="24"/>
                <w:szCs w:val="24"/>
                <w:lang w:val="en-IE"/>
              </w:rPr>
              <w:t xml:space="preserve"> and the quality of jobs.</w:t>
            </w:r>
          </w:p>
          <w:p w14:paraId="4AA14059" w14:textId="632ABBFB" w:rsidR="00943946" w:rsidRPr="00600E58" w:rsidRDefault="00943946" w:rsidP="00600E58">
            <w:pPr>
              <w:widowControl w:val="0"/>
              <w:tabs>
                <w:tab w:val="left" w:pos="0"/>
                <w:tab w:val="left" w:pos="720"/>
              </w:tabs>
              <w:spacing w:before="120" w:after="120"/>
              <w:jc w:val="both"/>
              <w:rPr>
                <w:rFonts w:ascii="Times New Roman" w:eastAsia="Times New Roman" w:hAnsi="Times New Roman"/>
                <w:color w:val="000000"/>
                <w:sz w:val="24"/>
                <w:szCs w:val="24"/>
              </w:rPr>
            </w:pPr>
            <w:r w:rsidRPr="00600E58">
              <w:rPr>
                <w:rFonts w:ascii="Times New Roman" w:eastAsia="Times New Roman" w:hAnsi="Times New Roman"/>
                <w:color w:val="000000"/>
                <w:sz w:val="24"/>
                <w:szCs w:val="24"/>
              </w:rPr>
              <w:t>According to Article 168(7) of the Treaty on the Functioning of the European Union</w:t>
            </w:r>
            <w:r w:rsidR="003F6426" w:rsidRPr="00600E58">
              <w:rPr>
                <w:rFonts w:ascii="Times New Roman" w:eastAsia="Times New Roman" w:hAnsi="Times New Roman"/>
                <w:color w:val="000000"/>
                <w:sz w:val="24"/>
                <w:szCs w:val="24"/>
              </w:rPr>
              <w:t xml:space="preserve"> (TFEU)</w:t>
            </w:r>
            <w:r w:rsidRPr="00600E58">
              <w:rPr>
                <w:rFonts w:ascii="Times New Roman" w:eastAsia="Times New Roman" w:hAnsi="Times New Roman"/>
                <w:color w:val="000000"/>
                <w:sz w:val="24"/>
                <w:szCs w:val="24"/>
              </w:rPr>
              <w:t>, Member States are responsible for the organisation and delivery of their health services and medical care</w:t>
            </w:r>
            <w:r w:rsidRPr="00600E58">
              <w:rPr>
                <w:rFonts w:ascii="Times New Roman" w:eastAsia="Times New Roman" w:hAnsi="Times New Roman"/>
                <w:sz w:val="24"/>
                <w:szCs w:val="24"/>
              </w:rPr>
              <w:t xml:space="preserve">. The Commission supports Member States in upholding </w:t>
            </w:r>
            <w:r w:rsidR="003F6426" w:rsidRPr="00600E58">
              <w:rPr>
                <w:rFonts w:ascii="Times New Roman" w:eastAsia="Times New Roman" w:hAnsi="Times New Roman"/>
                <w:sz w:val="24"/>
                <w:szCs w:val="24"/>
              </w:rPr>
              <w:t>p</w:t>
            </w:r>
            <w:r w:rsidRPr="00600E58">
              <w:rPr>
                <w:rFonts w:ascii="Times New Roman" w:eastAsia="Times New Roman" w:hAnsi="Times New Roman"/>
                <w:sz w:val="24"/>
                <w:szCs w:val="24"/>
              </w:rPr>
              <w:t>rinciple 16 on access to healthcare of the European Pillar of Social Rights through funding projects, which provide support to address barriers in access to healthcare for persons with disabilities</w:t>
            </w:r>
            <w:r w:rsidRPr="00600E58">
              <w:rPr>
                <w:rStyle w:val="FootnoteReference"/>
                <w:rFonts w:ascii="Times New Roman" w:eastAsia="Times New Roman" w:hAnsi="Times New Roman" w:cs="Times New Roman"/>
                <w:sz w:val="24"/>
                <w:szCs w:val="24"/>
              </w:rPr>
              <w:footnoteReference w:id="5"/>
            </w:r>
            <w:r w:rsidRPr="00600E58">
              <w:rPr>
                <w:rFonts w:ascii="Times New Roman" w:eastAsia="Times New Roman" w:hAnsi="Times New Roman"/>
                <w:sz w:val="24"/>
                <w:szCs w:val="24"/>
              </w:rPr>
              <w:t>, improve affordability of healthcare</w:t>
            </w:r>
            <w:r w:rsidRPr="00600E58">
              <w:rPr>
                <w:rStyle w:val="FootnoteReference"/>
                <w:rFonts w:ascii="Times New Roman" w:eastAsia="Times New Roman" w:hAnsi="Times New Roman" w:cs="Times New Roman"/>
                <w:sz w:val="24"/>
                <w:szCs w:val="24"/>
              </w:rPr>
              <w:footnoteReference w:id="6"/>
            </w:r>
            <w:r w:rsidRPr="00600E58">
              <w:rPr>
                <w:rFonts w:ascii="Times New Roman" w:eastAsia="Times New Roman" w:hAnsi="Times New Roman"/>
                <w:sz w:val="24"/>
                <w:szCs w:val="24"/>
              </w:rPr>
              <w:t xml:space="preserve">, and ensure fairer </w:t>
            </w:r>
            <w:r w:rsidRPr="00600E58">
              <w:rPr>
                <w:rFonts w:ascii="Times New Roman" w:eastAsia="Times New Roman" w:hAnsi="Times New Roman"/>
                <w:sz w:val="24"/>
                <w:szCs w:val="24"/>
              </w:rPr>
              <w:lastRenderedPageBreak/>
              <w:t>distribution of health benefits</w:t>
            </w:r>
            <w:r w:rsidRPr="00600E58">
              <w:rPr>
                <w:rStyle w:val="FootnoteReference"/>
                <w:rFonts w:ascii="Times New Roman" w:eastAsia="Times New Roman" w:hAnsi="Times New Roman" w:cs="Times New Roman"/>
                <w:sz w:val="24"/>
                <w:szCs w:val="24"/>
              </w:rPr>
              <w:footnoteReference w:id="7"/>
            </w:r>
            <w:r w:rsidRPr="00600E58">
              <w:rPr>
                <w:rFonts w:ascii="Times New Roman" w:eastAsia="Times New Roman" w:hAnsi="Times New Roman"/>
                <w:sz w:val="24"/>
                <w:szCs w:val="24"/>
              </w:rPr>
              <w:t xml:space="preserve">. </w:t>
            </w:r>
            <w:r w:rsidRPr="00600E58">
              <w:rPr>
                <w:rFonts w:ascii="Times New Roman" w:eastAsia="Times New Roman" w:hAnsi="Times New Roman"/>
                <w:color w:val="000000"/>
                <w:sz w:val="24"/>
                <w:szCs w:val="24"/>
              </w:rPr>
              <w:t>Several EU4Health actions support also Member States in addressing shortages of health workers.</w:t>
            </w:r>
          </w:p>
          <w:p w14:paraId="3ACDC8DA" w14:textId="7EF30CC5" w:rsidR="00943946" w:rsidRPr="00600E58" w:rsidRDefault="05368EE4" w:rsidP="00600E58">
            <w:pPr>
              <w:widowControl w:val="0"/>
              <w:spacing w:before="120" w:after="120"/>
              <w:jc w:val="both"/>
              <w:rPr>
                <w:rFonts w:ascii="Times New Roman" w:hAnsi="Times New Roman"/>
                <w:sz w:val="24"/>
                <w:szCs w:val="24"/>
              </w:rPr>
            </w:pPr>
            <w:r w:rsidRPr="00600E58">
              <w:rPr>
                <w:rFonts w:ascii="Times New Roman" w:hAnsi="Times New Roman"/>
                <w:sz w:val="24"/>
                <w:szCs w:val="24"/>
                <w:u w:val="single"/>
              </w:rPr>
              <w:t xml:space="preserve">Point </w:t>
            </w:r>
            <w:r w:rsidR="15BD67AE" w:rsidRPr="00600E58">
              <w:rPr>
                <w:rFonts w:ascii="Times New Roman" w:hAnsi="Times New Roman"/>
                <w:sz w:val="24"/>
                <w:szCs w:val="24"/>
                <w:u w:val="single"/>
              </w:rPr>
              <w:t>1</w:t>
            </w:r>
            <w:r w:rsidR="562AF9EC" w:rsidRPr="00600E58">
              <w:rPr>
                <w:rFonts w:ascii="Times New Roman" w:hAnsi="Times New Roman"/>
                <w:sz w:val="24"/>
                <w:szCs w:val="24"/>
                <w:u w:val="single"/>
              </w:rPr>
              <w:t>.</w:t>
            </w:r>
            <w:r w:rsidR="15BD67AE" w:rsidRPr="00600E58">
              <w:rPr>
                <w:rFonts w:ascii="Times New Roman" w:hAnsi="Times New Roman"/>
                <w:sz w:val="24"/>
                <w:szCs w:val="24"/>
                <w:u w:val="single"/>
              </w:rPr>
              <w:t>9</w:t>
            </w:r>
            <w:r w:rsidRPr="00600E58">
              <w:rPr>
                <w:rFonts w:ascii="Times New Roman" w:hAnsi="Times New Roman"/>
                <w:sz w:val="24"/>
                <w:szCs w:val="24"/>
                <w:u w:val="single"/>
              </w:rPr>
              <w:t xml:space="preserve"> of the opinion</w:t>
            </w:r>
            <w:r w:rsidRPr="00600E58">
              <w:rPr>
                <w:rFonts w:ascii="Times New Roman" w:hAnsi="Times New Roman"/>
                <w:sz w:val="24"/>
                <w:szCs w:val="24"/>
              </w:rPr>
              <w:t>:</w:t>
            </w:r>
            <w:r w:rsidR="0BCA7AA4" w:rsidRPr="00600E58">
              <w:rPr>
                <w:rFonts w:ascii="Times New Roman" w:hAnsi="Times New Roman"/>
                <w:sz w:val="24"/>
                <w:szCs w:val="24"/>
              </w:rPr>
              <w:t xml:space="preserve"> </w:t>
            </w:r>
            <w:r w:rsidR="5B43616C" w:rsidRPr="00600E58">
              <w:rPr>
                <w:rFonts w:ascii="Times New Roman" w:eastAsia="Times New Roman" w:hAnsi="Times New Roman"/>
                <w:sz w:val="24"/>
                <w:szCs w:val="24"/>
              </w:rPr>
              <w:t>The State of Health in the EU cycle</w:t>
            </w:r>
            <w:r w:rsidR="00943946" w:rsidRPr="00600E58">
              <w:rPr>
                <w:rStyle w:val="FootnoteReference"/>
                <w:rFonts w:ascii="Times New Roman" w:eastAsia="Times New Roman" w:hAnsi="Times New Roman" w:cs="Times New Roman"/>
                <w:sz w:val="24"/>
                <w:szCs w:val="24"/>
              </w:rPr>
              <w:footnoteReference w:id="8"/>
            </w:r>
            <w:r w:rsidR="5B43616C" w:rsidRPr="00600E58">
              <w:rPr>
                <w:rFonts w:ascii="Times New Roman" w:eastAsia="Times New Roman" w:hAnsi="Times New Roman"/>
                <w:sz w:val="24"/>
                <w:szCs w:val="24"/>
              </w:rPr>
              <w:t xml:space="preserve"> provides annual updates of data on performance of health systems, including on access to healthcare. The Commission monitors progress of reforms aimed at strengthening health systems, including through improving access to healthcare, through the European Semester. The Commission also provides country-specific support to strengthen health systems through the Recovery and Resilience Facility</w:t>
            </w:r>
            <w:r w:rsidR="00943946" w:rsidRPr="00600E58">
              <w:rPr>
                <w:rStyle w:val="FootnoteReference"/>
                <w:rFonts w:ascii="Times New Roman" w:eastAsia="Times New Roman" w:hAnsi="Times New Roman" w:cs="Times New Roman"/>
                <w:sz w:val="24"/>
                <w:szCs w:val="24"/>
              </w:rPr>
              <w:footnoteReference w:id="9"/>
            </w:r>
            <w:r w:rsidR="5B43616C" w:rsidRPr="00600E58">
              <w:rPr>
                <w:rFonts w:ascii="Times New Roman" w:hAnsi="Times New Roman"/>
                <w:sz w:val="24"/>
                <w:szCs w:val="24"/>
              </w:rPr>
              <w:t xml:space="preserve"> </w:t>
            </w:r>
            <w:r w:rsidR="5B43616C" w:rsidRPr="00600E58">
              <w:rPr>
                <w:rFonts w:ascii="Times New Roman" w:eastAsia="Times New Roman" w:hAnsi="Times New Roman"/>
                <w:sz w:val="24"/>
                <w:szCs w:val="24"/>
              </w:rPr>
              <w:t>the Technical Support Instrument</w:t>
            </w:r>
            <w:r w:rsidR="00943946" w:rsidRPr="00600E58">
              <w:rPr>
                <w:rStyle w:val="FootnoteReference"/>
                <w:rFonts w:ascii="Times New Roman" w:eastAsia="Times New Roman" w:hAnsi="Times New Roman" w:cs="Times New Roman"/>
                <w:sz w:val="24"/>
                <w:szCs w:val="24"/>
              </w:rPr>
              <w:footnoteReference w:id="10"/>
            </w:r>
            <w:r w:rsidR="5B43616C" w:rsidRPr="00600E58">
              <w:rPr>
                <w:rFonts w:ascii="Times New Roman" w:eastAsia="Times New Roman" w:hAnsi="Times New Roman"/>
                <w:sz w:val="24"/>
                <w:szCs w:val="24"/>
              </w:rPr>
              <w:t>, and the Cohesion Policy</w:t>
            </w:r>
            <w:r w:rsidR="00943946" w:rsidRPr="00600E58">
              <w:rPr>
                <w:rStyle w:val="FootnoteReference"/>
                <w:rFonts w:ascii="Times New Roman" w:eastAsia="Times New Roman" w:hAnsi="Times New Roman" w:cs="Times New Roman"/>
                <w:sz w:val="24"/>
                <w:szCs w:val="24"/>
              </w:rPr>
              <w:footnoteReference w:id="11"/>
            </w:r>
            <w:r w:rsidR="5B43616C" w:rsidRPr="00600E58">
              <w:rPr>
                <w:rFonts w:ascii="Times New Roman" w:eastAsia="Times New Roman" w:hAnsi="Times New Roman"/>
                <w:sz w:val="24"/>
                <w:szCs w:val="24"/>
              </w:rPr>
              <w:t xml:space="preserve">. EU4Health actions on access to healthcare (see replies to points 1.3 and 4.1) focus on vulnerable groups. </w:t>
            </w:r>
            <w:r w:rsidR="3D178ACE" w:rsidRPr="00600E58">
              <w:rPr>
                <w:rFonts w:ascii="Times New Roman" w:eastAsia="Times New Roman" w:hAnsi="Times New Roman"/>
                <w:sz w:val="24"/>
                <w:szCs w:val="24"/>
              </w:rPr>
              <w:t>By the end of 2025, t</w:t>
            </w:r>
            <w:r w:rsidR="5B43616C" w:rsidRPr="00600E58">
              <w:rPr>
                <w:rFonts w:ascii="Times New Roman" w:eastAsia="Times New Roman" w:hAnsi="Times New Roman"/>
                <w:sz w:val="24"/>
                <w:szCs w:val="24"/>
              </w:rPr>
              <w:t>hey will provide by the end of 2025 tools and evidence to improve</w:t>
            </w:r>
            <w:r w:rsidR="3D178ACE" w:rsidRPr="00600E58">
              <w:rPr>
                <w:rFonts w:ascii="Times New Roman" w:eastAsia="Times New Roman" w:hAnsi="Times New Roman"/>
                <w:sz w:val="24"/>
                <w:szCs w:val="24"/>
              </w:rPr>
              <w:t xml:space="preserve"> the</w:t>
            </w:r>
            <w:r w:rsidR="5B43616C" w:rsidRPr="00600E58">
              <w:rPr>
                <w:rFonts w:ascii="Times New Roman" w:eastAsia="Times New Roman" w:hAnsi="Times New Roman"/>
                <w:sz w:val="24"/>
                <w:szCs w:val="24"/>
              </w:rPr>
              <w:t xml:space="preserve"> affordability of healthcare, fairer distribution of health benefits across income groups and guidelines on access to healthcare for persons with disabilities.</w:t>
            </w:r>
          </w:p>
          <w:p w14:paraId="4A5CE247" w14:textId="04934CE5" w:rsidR="75DA1C80" w:rsidRPr="00600E58" w:rsidRDefault="34DD9125" w:rsidP="00600E58">
            <w:pPr>
              <w:widowControl w:val="0"/>
              <w:spacing w:before="120" w:after="120"/>
              <w:jc w:val="both"/>
              <w:rPr>
                <w:rFonts w:ascii="Times New Roman" w:eastAsia="Times New Roman" w:hAnsi="Times New Roman"/>
                <w:sz w:val="24"/>
                <w:szCs w:val="24"/>
              </w:rPr>
            </w:pPr>
            <w:r w:rsidRPr="00600E58">
              <w:rPr>
                <w:rFonts w:ascii="Times New Roman" w:eastAsia="Times New Roman" w:hAnsi="Times New Roman"/>
                <w:sz w:val="24"/>
                <w:szCs w:val="24"/>
                <w:u w:val="single"/>
              </w:rPr>
              <w:t xml:space="preserve">Point 3.10 of the opinion: </w:t>
            </w:r>
            <w:r w:rsidRPr="00600E58">
              <w:rPr>
                <w:rFonts w:ascii="Times New Roman" w:eastAsia="Times New Roman" w:hAnsi="Times New Roman"/>
                <w:sz w:val="24"/>
                <w:szCs w:val="24"/>
              </w:rPr>
              <w:t>Directive 2024/2841</w:t>
            </w:r>
            <w:r w:rsidRPr="00CC1D80">
              <w:rPr>
                <w:rFonts w:ascii="Times New Roman" w:eastAsia="Times New Roman" w:hAnsi="Times New Roman"/>
                <w:sz w:val="24"/>
                <w:szCs w:val="24"/>
                <w:vertAlign w:val="superscript"/>
              </w:rPr>
              <w:footnoteReference w:id="12"/>
            </w:r>
            <w:r w:rsidRPr="00CC1D80">
              <w:rPr>
                <w:rFonts w:ascii="Times New Roman" w:eastAsia="Times New Roman" w:hAnsi="Times New Roman"/>
                <w:sz w:val="24"/>
                <w:szCs w:val="24"/>
                <w:vertAlign w:val="superscript"/>
              </w:rPr>
              <w:t xml:space="preserve"> </w:t>
            </w:r>
            <w:r w:rsidRPr="00600E58">
              <w:rPr>
                <w:rFonts w:ascii="Times New Roman" w:eastAsia="Times New Roman" w:hAnsi="Times New Roman"/>
                <w:sz w:val="24"/>
                <w:szCs w:val="24"/>
              </w:rPr>
              <w:t>establishes the European Disability Card (EDC) and the European Parking Card for persons with disabilities (EPC) to promote the freedom of movement of persons with disabilities and facilitating short stays in a Member State other than that of which they are a</w:t>
            </w:r>
            <w:r w:rsidR="00CC1D80">
              <w:rPr>
                <w:rFonts w:ascii="Times New Roman" w:eastAsia="Times New Roman" w:hAnsi="Times New Roman"/>
                <w:sz w:val="24"/>
                <w:szCs w:val="24"/>
              </w:rPr>
              <w:t> </w:t>
            </w:r>
            <w:r w:rsidRPr="00600E58">
              <w:rPr>
                <w:rFonts w:ascii="Times New Roman" w:eastAsia="Times New Roman" w:hAnsi="Times New Roman"/>
                <w:sz w:val="24"/>
                <w:szCs w:val="24"/>
              </w:rPr>
              <w:t>resident. The EDC serves as proof of disability status or entitlement to specific services based on a</w:t>
            </w:r>
            <w:r w:rsidR="00CC1D80">
              <w:rPr>
                <w:rFonts w:ascii="Times New Roman" w:eastAsia="Times New Roman" w:hAnsi="Times New Roman"/>
                <w:sz w:val="24"/>
                <w:szCs w:val="24"/>
              </w:rPr>
              <w:t> </w:t>
            </w:r>
            <w:r w:rsidRPr="00600E58">
              <w:rPr>
                <w:rFonts w:ascii="Times New Roman" w:eastAsia="Times New Roman" w:hAnsi="Times New Roman"/>
                <w:sz w:val="24"/>
                <w:szCs w:val="24"/>
              </w:rPr>
              <w:t>disability (in Member States that do not have a definition of disability status), while the EPC serves as proof of the right to parking conditions and facilities reserved for persons with disabilities. The cards grant equal access to any special conditions or preferential treatment with respect to services, activities or facilities including where not provided for remuneration, including parking conditions and facilities, offered to or reserved for persons with disabilities in the visited Member State. Recital 20 of the Directive provides examples of preferential treatment, which include personal assistance, as well as others, such as priority access and the possibility to bypass queues.</w:t>
            </w:r>
          </w:p>
          <w:p w14:paraId="69D1FE2C" w14:textId="1A4FB582" w:rsidR="00943946" w:rsidRPr="00600E58" w:rsidRDefault="00965856" w:rsidP="00600E58">
            <w:pPr>
              <w:widowControl w:val="0"/>
              <w:spacing w:before="120" w:after="120"/>
              <w:jc w:val="both"/>
              <w:rPr>
                <w:rFonts w:ascii="Times New Roman" w:hAnsi="Times New Roman"/>
                <w:sz w:val="24"/>
                <w:szCs w:val="24"/>
              </w:rPr>
            </w:pPr>
            <w:r w:rsidRPr="00600E58">
              <w:rPr>
                <w:rFonts w:ascii="Times New Roman" w:hAnsi="Times New Roman"/>
                <w:sz w:val="24"/>
                <w:szCs w:val="24"/>
                <w:u w:val="single"/>
              </w:rPr>
              <w:t>Point 4.5 of the opinion</w:t>
            </w:r>
            <w:r w:rsidRPr="00600E58">
              <w:rPr>
                <w:rFonts w:ascii="Times New Roman" w:hAnsi="Times New Roman"/>
                <w:sz w:val="24"/>
                <w:szCs w:val="24"/>
              </w:rPr>
              <w:t>:</w:t>
            </w:r>
            <w:r w:rsidR="00D179F6" w:rsidRPr="00600E58">
              <w:rPr>
                <w:rFonts w:ascii="Times New Roman" w:hAnsi="Times New Roman"/>
                <w:sz w:val="24"/>
                <w:szCs w:val="24"/>
              </w:rPr>
              <w:t xml:space="preserve"> </w:t>
            </w:r>
            <w:r w:rsidR="00943946" w:rsidRPr="00600E58">
              <w:rPr>
                <w:rFonts w:ascii="Times New Roman" w:hAnsi="Times New Roman"/>
                <w:sz w:val="24"/>
                <w:szCs w:val="24"/>
              </w:rPr>
              <w:t>There is no one</w:t>
            </w:r>
            <w:r w:rsidR="003F6426" w:rsidRPr="00600E58">
              <w:rPr>
                <w:rFonts w:ascii="Times New Roman" w:hAnsi="Times New Roman"/>
                <w:sz w:val="24"/>
                <w:szCs w:val="24"/>
              </w:rPr>
              <w:t>-</w:t>
            </w:r>
            <w:r w:rsidR="00943946" w:rsidRPr="00600E58">
              <w:rPr>
                <w:rFonts w:ascii="Times New Roman" w:hAnsi="Times New Roman"/>
                <w:sz w:val="24"/>
                <w:szCs w:val="24"/>
              </w:rPr>
              <w:t>size</w:t>
            </w:r>
            <w:r w:rsidR="003F6426" w:rsidRPr="00600E58">
              <w:rPr>
                <w:rFonts w:ascii="Times New Roman" w:hAnsi="Times New Roman"/>
                <w:sz w:val="24"/>
                <w:szCs w:val="24"/>
              </w:rPr>
              <w:t>-</w:t>
            </w:r>
            <w:r w:rsidR="00943946" w:rsidRPr="00600E58">
              <w:rPr>
                <w:rFonts w:ascii="Times New Roman" w:hAnsi="Times New Roman"/>
                <w:sz w:val="24"/>
                <w:szCs w:val="24"/>
              </w:rPr>
              <w:t>fits</w:t>
            </w:r>
            <w:r w:rsidR="003F6426" w:rsidRPr="00600E58">
              <w:rPr>
                <w:rFonts w:ascii="Times New Roman" w:hAnsi="Times New Roman"/>
                <w:sz w:val="24"/>
                <w:szCs w:val="24"/>
              </w:rPr>
              <w:t>-</w:t>
            </w:r>
            <w:r w:rsidR="00943946" w:rsidRPr="00600E58">
              <w:rPr>
                <w:rFonts w:ascii="Times New Roman" w:hAnsi="Times New Roman"/>
                <w:sz w:val="24"/>
                <w:szCs w:val="24"/>
              </w:rPr>
              <w:t>all approach to close gaps in access to healthcare. Challenges, healthcare delivery solutions and healthcare coverage policies vary across Member States and at subnational level. It would therefore not be possible to establish a common classification of health and social services or guidelines at EU level. The existing EU4Health actions (see point 1.3 and 4.1)</w:t>
            </w:r>
            <w:r w:rsidR="00991B00" w:rsidRPr="00600E58">
              <w:rPr>
                <w:rFonts w:ascii="Times New Roman" w:hAnsi="Times New Roman"/>
                <w:sz w:val="24"/>
                <w:szCs w:val="24"/>
              </w:rPr>
              <w:t xml:space="preserve"> are</w:t>
            </w:r>
            <w:r w:rsidR="00943946" w:rsidRPr="00600E58">
              <w:rPr>
                <w:rFonts w:ascii="Times New Roman" w:hAnsi="Times New Roman"/>
                <w:sz w:val="24"/>
                <w:szCs w:val="24"/>
              </w:rPr>
              <w:t xml:space="preserve"> designed as cross-country initiatives</w:t>
            </w:r>
            <w:r w:rsidR="00991B00" w:rsidRPr="00600E58">
              <w:rPr>
                <w:rFonts w:ascii="Times New Roman" w:hAnsi="Times New Roman"/>
                <w:sz w:val="24"/>
                <w:szCs w:val="24"/>
              </w:rPr>
              <w:t xml:space="preserve"> and</w:t>
            </w:r>
            <w:r w:rsidR="00943946" w:rsidRPr="00600E58">
              <w:rPr>
                <w:rFonts w:ascii="Times New Roman" w:hAnsi="Times New Roman"/>
                <w:sz w:val="24"/>
                <w:szCs w:val="24"/>
              </w:rPr>
              <w:t xml:space="preserve"> are an opportunity for Member States to learn from each other. For example, the action on affordability of healthcare organised EU level policy dialogues on equitable financing of health systems and on policies to improve financial protection, or the action focused on persons with disabilities organised several workshops for Member States to share practices on for example use of telemedicine, informed consent in access to healthcare, access to rehabilitation services for persons </w:t>
            </w:r>
            <w:r w:rsidR="00943946" w:rsidRPr="00600E58">
              <w:rPr>
                <w:rFonts w:ascii="Times New Roman" w:hAnsi="Times New Roman"/>
                <w:sz w:val="24"/>
                <w:szCs w:val="24"/>
              </w:rPr>
              <w:lastRenderedPageBreak/>
              <w:t>with disabilities.</w:t>
            </w:r>
          </w:p>
          <w:p w14:paraId="7D83A7ED" w14:textId="7574BBA6" w:rsidR="006B49EC" w:rsidRPr="00600E58" w:rsidRDefault="006B49EC" w:rsidP="00600E58">
            <w:pPr>
              <w:widowControl w:val="0"/>
              <w:spacing w:before="120" w:after="120"/>
              <w:jc w:val="both"/>
              <w:rPr>
                <w:rFonts w:ascii="Times New Roman" w:hAnsi="Times New Roman"/>
                <w:sz w:val="24"/>
                <w:szCs w:val="24"/>
              </w:rPr>
            </w:pPr>
            <w:r w:rsidRPr="00600E58">
              <w:rPr>
                <w:rFonts w:ascii="Times New Roman" w:hAnsi="Times New Roman"/>
                <w:sz w:val="24"/>
                <w:szCs w:val="24"/>
                <w:u w:val="single"/>
              </w:rPr>
              <w:t xml:space="preserve">Point </w:t>
            </w:r>
            <w:r w:rsidR="00965856" w:rsidRPr="00600E58">
              <w:rPr>
                <w:rFonts w:ascii="Times New Roman" w:hAnsi="Times New Roman"/>
                <w:sz w:val="24"/>
                <w:szCs w:val="24"/>
                <w:u w:val="single"/>
              </w:rPr>
              <w:t>4</w:t>
            </w:r>
            <w:r w:rsidR="00C84314" w:rsidRPr="00600E58">
              <w:rPr>
                <w:rFonts w:ascii="Times New Roman" w:hAnsi="Times New Roman"/>
                <w:sz w:val="24"/>
                <w:szCs w:val="24"/>
                <w:u w:val="single"/>
              </w:rPr>
              <w:t>.</w:t>
            </w:r>
            <w:r w:rsidR="00965856" w:rsidRPr="00600E58">
              <w:rPr>
                <w:rFonts w:ascii="Times New Roman" w:hAnsi="Times New Roman"/>
                <w:sz w:val="24"/>
                <w:szCs w:val="24"/>
                <w:u w:val="single"/>
              </w:rPr>
              <w:t>7</w:t>
            </w:r>
            <w:r w:rsidRPr="00600E58">
              <w:rPr>
                <w:rFonts w:ascii="Times New Roman" w:hAnsi="Times New Roman"/>
                <w:sz w:val="24"/>
                <w:szCs w:val="24"/>
                <w:u w:val="single"/>
              </w:rPr>
              <w:t xml:space="preserve"> of the opinion</w:t>
            </w:r>
            <w:r w:rsidRPr="00600E58">
              <w:rPr>
                <w:rFonts w:ascii="Times New Roman" w:hAnsi="Times New Roman"/>
                <w:sz w:val="24"/>
                <w:szCs w:val="24"/>
              </w:rPr>
              <w:t>:</w:t>
            </w:r>
          </w:p>
          <w:p w14:paraId="6D56260D" w14:textId="1055E853" w:rsidR="0092402A" w:rsidRPr="00600E58" w:rsidRDefault="00D179F6" w:rsidP="00600E58">
            <w:pPr>
              <w:widowControl w:val="0"/>
              <w:spacing w:before="120" w:after="120"/>
              <w:jc w:val="both"/>
              <w:rPr>
                <w:rFonts w:ascii="Times New Roman" w:hAnsi="Times New Roman"/>
                <w:i/>
                <w:iCs/>
                <w:sz w:val="24"/>
                <w:szCs w:val="24"/>
              </w:rPr>
            </w:pPr>
            <w:r w:rsidRPr="00600E58">
              <w:rPr>
                <w:rFonts w:ascii="Times New Roman" w:hAnsi="Times New Roman"/>
                <w:i/>
                <w:iCs/>
                <w:sz w:val="24"/>
                <w:szCs w:val="24"/>
                <w:u w:val="single"/>
              </w:rPr>
              <w:t>Social services, housing support and services for families with children</w:t>
            </w:r>
            <w:r w:rsidRPr="00600E58">
              <w:rPr>
                <w:rFonts w:ascii="Times New Roman" w:hAnsi="Times New Roman"/>
                <w:i/>
                <w:iCs/>
                <w:sz w:val="24"/>
                <w:szCs w:val="24"/>
              </w:rPr>
              <w:t>:</w:t>
            </w:r>
            <w:r w:rsidR="00D17B4A" w:rsidRPr="00600E58">
              <w:rPr>
                <w:rFonts w:ascii="Times New Roman" w:hAnsi="Times New Roman"/>
                <w:i/>
                <w:iCs/>
                <w:sz w:val="24"/>
                <w:szCs w:val="24"/>
              </w:rPr>
              <w:t xml:space="preserve"> </w:t>
            </w:r>
            <w:r w:rsidR="0092402A" w:rsidRPr="00600E58">
              <w:rPr>
                <w:rFonts w:ascii="Times New Roman" w:hAnsi="Times New Roman"/>
                <w:sz w:val="24"/>
                <w:szCs w:val="24"/>
              </w:rPr>
              <w:t>The Commission notes that it intends to put forward the European Affordable Housing Plan (EAHP) in 2026. This Plan will support EU countries, regions and cities in increasing the supply of affordable and sustainable housing and improve access to housing for people in need. Through the Plan, the Commission aims to help Member States, regions and local authorities secure more funding for affordable housing. In these efforts, the Plan will identify areas on which the EU can add value in full respect of subsidiarity.</w:t>
            </w:r>
          </w:p>
          <w:p w14:paraId="1CFEC14E" w14:textId="6A2DADE3" w:rsidR="0092402A" w:rsidRPr="00600E58" w:rsidRDefault="5730947C" w:rsidP="00600E58">
            <w:pPr>
              <w:widowControl w:val="0"/>
              <w:spacing w:before="120" w:after="120"/>
              <w:jc w:val="both"/>
              <w:rPr>
                <w:rFonts w:ascii="Times New Roman" w:hAnsi="Times New Roman"/>
                <w:sz w:val="24"/>
                <w:szCs w:val="24"/>
              </w:rPr>
            </w:pPr>
            <w:r w:rsidRPr="00600E58">
              <w:rPr>
                <w:rFonts w:ascii="Times New Roman" w:hAnsi="Times New Roman"/>
                <w:sz w:val="24"/>
                <w:szCs w:val="24"/>
              </w:rPr>
              <w:t>The Council Recommendation on adequate minimum income ensuring active inclusion</w:t>
            </w:r>
            <w:r w:rsidR="0092402A" w:rsidRPr="00600E58">
              <w:rPr>
                <w:rStyle w:val="FootnoteReference"/>
                <w:rFonts w:ascii="Times New Roman" w:hAnsi="Times New Roman" w:cs="Times New Roman"/>
                <w:sz w:val="24"/>
                <w:szCs w:val="24"/>
              </w:rPr>
              <w:footnoteReference w:id="13"/>
            </w:r>
            <w:r w:rsidRPr="00600E58">
              <w:rPr>
                <w:rFonts w:ascii="Times New Roman" w:hAnsi="Times New Roman"/>
                <w:sz w:val="24"/>
                <w:szCs w:val="24"/>
              </w:rPr>
              <w:t xml:space="preserve"> identifies healthcare as one of the general enabling services to be ensured by Member States to persons lacking sufficient resources, with a view to ensure a life in dignity at all stages of life, combatting poverty and social exclusion in line with the active inclusion approach, to complement adequate income support and integration into the labour market of people who can work. Access should be effective and equal, including in accordance with quality principles defined in the Voluntary European Quality Framework for Social Services.</w:t>
            </w:r>
          </w:p>
          <w:p w14:paraId="557C6C8B" w14:textId="44617761" w:rsidR="0092402A" w:rsidRPr="00600E58" w:rsidRDefault="5730947C" w:rsidP="00600E58">
            <w:pPr>
              <w:widowControl w:val="0"/>
              <w:spacing w:before="120" w:after="120"/>
              <w:jc w:val="both"/>
              <w:rPr>
                <w:rFonts w:ascii="Times New Roman" w:hAnsi="Times New Roman"/>
                <w:sz w:val="24"/>
                <w:szCs w:val="24"/>
              </w:rPr>
            </w:pPr>
            <w:r w:rsidRPr="00600E58">
              <w:rPr>
                <w:rFonts w:ascii="Times New Roman" w:hAnsi="Times New Roman"/>
                <w:sz w:val="24"/>
                <w:szCs w:val="24"/>
              </w:rPr>
              <w:t>Effective and free access to quality healthcare is one of the key requirements of the European Child Guarantee</w:t>
            </w:r>
            <w:r w:rsidR="0092402A" w:rsidRPr="00600E58">
              <w:rPr>
                <w:rStyle w:val="FootnoteReference"/>
                <w:rFonts w:ascii="Times New Roman" w:hAnsi="Times New Roman" w:cs="Times New Roman"/>
                <w:sz w:val="24"/>
                <w:szCs w:val="24"/>
              </w:rPr>
              <w:footnoteReference w:id="14"/>
            </w:r>
            <w:r w:rsidRPr="00600E58">
              <w:rPr>
                <w:rFonts w:ascii="Times New Roman" w:hAnsi="Times New Roman"/>
                <w:sz w:val="24"/>
                <w:szCs w:val="24"/>
              </w:rPr>
              <w:t>.</w:t>
            </w:r>
            <w:r w:rsidR="77522309" w:rsidRPr="00600E58">
              <w:rPr>
                <w:rFonts w:ascii="Times New Roman" w:hAnsi="Times New Roman"/>
                <w:sz w:val="24"/>
                <w:szCs w:val="24"/>
              </w:rPr>
              <w:t xml:space="preserve"> </w:t>
            </w:r>
            <w:r w:rsidR="77522309" w:rsidRPr="00600E58">
              <w:rPr>
                <w:rFonts w:ascii="Times New Roman" w:eastAsia="Times New Roman" w:hAnsi="Times New Roman"/>
                <w:sz w:val="24"/>
                <w:szCs w:val="24"/>
              </w:rPr>
              <w:t>In line with the EU Strategy on the Rights of the Child</w:t>
            </w:r>
            <w:r w:rsidR="0092402A" w:rsidRPr="00600E58">
              <w:rPr>
                <w:rFonts w:ascii="Times New Roman" w:eastAsia="Times New Roman" w:hAnsi="Times New Roman"/>
                <w:sz w:val="24"/>
                <w:szCs w:val="24"/>
                <w:vertAlign w:val="superscript"/>
              </w:rPr>
              <w:footnoteReference w:id="15"/>
            </w:r>
            <w:r w:rsidR="77522309" w:rsidRPr="00600E58">
              <w:rPr>
                <w:rFonts w:ascii="Times New Roman" w:eastAsia="Times New Roman" w:hAnsi="Times New Roman"/>
                <w:sz w:val="24"/>
                <w:szCs w:val="24"/>
              </w:rPr>
              <w:t xml:space="preserve"> and the Commission Recommendation on developing and strengthening integrated child protection systems,</w:t>
            </w:r>
            <w:r w:rsidR="0092402A" w:rsidRPr="00600E58">
              <w:rPr>
                <w:rFonts w:ascii="Times New Roman" w:eastAsia="Times New Roman" w:hAnsi="Times New Roman"/>
                <w:sz w:val="24"/>
                <w:szCs w:val="24"/>
                <w:vertAlign w:val="superscript"/>
              </w:rPr>
              <w:footnoteReference w:id="16"/>
            </w:r>
            <w:r w:rsidR="77522309" w:rsidRPr="00600E58">
              <w:rPr>
                <w:rFonts w:ascii="Times New Roman" w:eastAsia="Times New Roman" w:hAnsi="Times New Roman"/>
                <w:sz w:val="24"/>
                <w:szCs w:val="24"/>
              </w:rPr>
              <w:t xml:space="preserve"> the Commission emphasises the importance of ensuring effective, free, and inclusive access to healthcare services for all children, particularly those in vulnerable situations.</w:t>
            </w:r>
          </w:p>
          <w:p w14:paraId="2235F02F" w14:textId="797A72D5" w:rsidR="0092402A" w:rsidRPr="00600E58" w:rsidRDefault="0E1524F6" w:rsidP="00600E58">
            <w:pPr>
              <w:widowControl w:val="0"/>
              <w:spacing w:before="120" w:after="120"/>
              <w:jc w:val="both"/>
              <w:rPr>
                <w:rStyle w:val="CommentReference"/>
                <w:rFonts w:ascii="Times New Roman" w:hAnsi="Times New Roman"/>
                <w:sz w:val="24"/>
                <w:szCs w:val="24"/>
              </w:rPr>
            </w:pPr>
            <w:r w:rsidRPr="00600E58">
              <w:rPr>
                <w:rFonts w:ascii="Times New Roman" w:eastAsia="Times New Roman" w:hAnsi="Times New Roman"/>
                <w:sz w:val="24"/>
                <w:szCs w:val="24"/>
              </w:rPr>
              <w:t xml:space="preserve">Member </w:t>
            </w:r>
            <w:r w:rsidR="5F49E289" w:rsidRPr="00600E58">
              <w:rPr>
                <w:rFonts w:ascii="Times New Roman" w:eastAsia="Times New Roman" w:hAnsi="Times New Roman"/>
                <w:sz w:val="24"/>
                <w:szCs w:val="24"/>
              </w:rPr>
              <w:t>S</w:t>
            </w:r>
            <w:r w:rsidRPr="00600E58">
              <w:rPr>
                <w:rFonts w:ascii="Times New Roman" w:eastAsia="Times New Roman" w:hAnsi="Times New Roman"/>
                <w:sz w:val="24"/>
                <w:szCs w:val="24"/>
              </w:rPr>
              <w:t xml:space="preserve">tates </w:t>
            </w:r>
            <w:r w:rsidR="658A7A11" w:rsidRPr="00600E58">
              <w:rPr>
                <w:rFonts w:ascii="Times New Roman" w:eastAsia="Times New Roman" w:hAnsi="Times New Roman"/>
                <w:sz w:val="24"/>
                <w:szCs w:val="24"/>
              </w:rPr>
              <w:t xml:space="preserve">are also recommended to </w:t>
            </w:r>
            <w:r w:rsidRPr="00600E58">
              <w:rPr>
                <w:rFonts w:ascii="Times New Roman" w:eastAsia="Times New Roman" w:hAnsi="Times New Roman"/>
                <w:sz w:val="24"/>
                <w:szCs w:val="24"/>
              </w:rPr>
              <w:t xml:space="preserve">safeguard or, if necessary, increase investments in health and social protection systems to better address the needs of children and families, particularly those at risk of social exclusion. This includes ensuring free access to quality healthcare by facilitating early disease detection, regular medical checkups, and timely follow-up care, as well as providing targeted rehabilitation for children with disabilities. Additionally, </w:t>
            </w:r>
            <w:r w:rsidR="6CEE9AB2" w:rsidRPr="00600E58">
              <w:rPr>
                <w:rFonts w:ascii="Times New Roman" w:eastAsia="Times New Roman" w:hAnsi="Times New Roman"/>
                <w:sz w:val="24"/>
                <w:szCs w:val="24"/>
              </w:rPr>
              <w:t>Member S</w:t>
            </w:r>
            <w:r w:rsidRPr="00600E58">
              <w:rPr>
                <w:rFonts w:ascii="Times New Roman" w:eastAsia="Times New Roman" w:hAnsi="Times New Roman"/>
                <w:sz w:val="24"/>
                <w:szCs w:val="24"/>
              </w:rPr>
              <w:t>tates should implement accessible health promotion and disease prevention programs for children, their families, and professionals working with them.</w:t>
            </w:r>
            <w:r w:rsidR="0092402A" w:rsidRPr="00600E58">
              <w:rPr>
                <w:rStyle w:val="FootnoteReference"/>
                <w:rFonts w:ascii="Times New Roman" w:hAnsi="Times New Roman" w:cs="Times New Roman"/>
                <w:sz w:val="24"/>
                <w:szCs w:val="24"/>
              </w:rPr>
              <w:footnoteReference w:id="17"/>
            </w:r>
            <w:r w:rsidR="003742B1">
              <w:rPr>
                <w:rFonts w:ascii="Times New Roman" w:eastAsia="Times New Roman" w:hAnsi="Times New Roman"/>
                <w:sz w:val="24"/>
                <w:szCs w:val="24"/>
              </w:rPr>
              <w:t xml:space="preserve"> </w:t>
            </w:r>
            <w:r w:rsidR="00F11CF9" w:rsidRPr="00600E58">
              <w:rPr>
                <w:rStyle w:val="CommentReference"/>
                <w:rFonts w:ascii="Times New Roman" w:hAnsi="Times New Roman"/>
                <w:sz w:val="24"/>
                <w:szCs w:val="24"/>
              </w:rPr>
              <w:t>I</w:t>
            </w:r>
            <w:r w:rsidR="57A8361F" w:rsidRPr="00600E58">
              <w:rPr>
                <w:rStyle w:val="CommentReference"/>
                <w:rFonts w:ascii="Times New Roman" w:hAnsi="Times New Roman"/>
                <w:sz w:val="24"/>
                <w:szCs w:val="24"/>
              </w:rPr>
              <w:t>mproving</w:t>
            </w:r>
            <w:r w:rsidR="1EBBC60C" w:rsidRPr="00600E58">
              <w:rPr>
                <w:rStyle w:val="CommentReference"/>
                <w:rFonts w:ascii="Times New Roman" w:hAnsi="Times New Roman"/>
                <w:sz w:val="24"/>
                <w:szCs w:val="24"/>
              </w:rPr>
              <w:t xml:space="preserve"> access to services will also be </w:t>
            </w:r>
            <w:r w:rsidR="7DF19760" w:rsidRPr="00600E58">
              <w:rPr>
                <w:rStyle w:val="CommentReference"/>
                <w:rFonts w:ascii="Times New Roman" w:hAnsi="Times New Roman"/>
                <w:sz w:val="24"/>
                <w:szCs w:val="24"/>
              </w:rPr>
              <w:t>one of the objectives</w:t>
            </w:r>
            <w:r w:rsidR="1EBBC60C" w:rsidRPr="00600E58">
              <w:rPr>
                <w:rStyle w:val="CommentReference"/>
                <w:rFonts w:ascii="Times New Roman" w:hAnsi="Times New Roman"/>
                <w:sz w:val="24"/>
                <w:szCs w:val="24"/>
              </w:rPr>
              <w:t xml:space="preserve"> of the upcoming</w:t>
            </w:r>
            <w:r w:rsidR="7DF19760" w:rsidRPr="00600E58">
              <w:rPr>
                <w:rStyle w:val="CommentReference"/>
                <w:rFonts w:ascii="Times New Roman" w:hAnsi="Times New Roman"/>
                <w:sz w:val="24"/>
                <w:szCs w:val="24"/>
              </w:rPr>
              <w:t xml:space="preserve"> Anti-Poverty Strategy, </w:t>
            </w:r>
            <w:r w:rsidR="00F11CF9" w:rsidRPr="00600E58">
              <w:rPr>
                <w:rFonts w:ascii="Times New Roman" w:hAnsi="Times New Roman"/>
                <w:sz w:val="24"/>
                <w:szCs w:val="24"/>
              </w:rPr>
              <w:t xml:space="preserve">the first of its kind at EU level, </w:t>
            </w:r>
            <w:r w:rsidR="7DF19760" w:rsidRPr="00600E58">
              <w:rPr>
                <w:rStyle w:val="CommentReference"/>
                <w:rFonts w:ascii="Times New Roman" w:hAnsi="Times New Roman"/>
                <w:sz w:val="24"/>
                <w:szCs w:val="24"/>
              </w:rPr>
              <w:t xml:space="preserve">expected to be put forward in </w:t>
            </w:r>
            <w:r w:rsidR="00F11CF9" w:rsidRPr="00600E58">
              <w:rPr>
                <w:rStyle w:val="CommentReference"/>
                <w:rFonts w:ascii="Times New Roman" w:hAnsi="Times New Roman"/>
                <w:sz w:val="24"/>
                <w:szCs w:val="24"/>
              </w:rPr>
              <w:t xml:space="preserve">early </w:t>
            </w:r>
            <w:r w:rsidR="7DF19760" w:rsidRPr="00600E58">
              <w:rPr>
                <w:rStyle w:val="CommentReference"/>
                <w:rFonts w:ascii="Times New Roman" w:hAnsi="Times New Roman"/>
                <w:sz w:val="24"/>
                <w:szCs w:val="24"/>
              </w:rPr>
              <w:t xml:space="preserve">2026. </w:t>
            </w:r>
            <w:r w:rsidR="00F11CF9" w:rsidRPr="00600E58">
              <w:rPr>
                <w:rFonts w:ascii="Times New Roman" w:hAnsi="Times New Roman"/>
                <w:sz w:val="24"/>
                <w:szCs w:val="24"/>
              </w:rPr>
              <w:t xml:space="preserve">The Strategy’s overall aim is to provide essential protection to people that need it the </w:t>
            </w:r>
            <w:proofErr w:type="gramStart"/>
            <w:r w:rsidR="00F11CF9" w:rsidRPr="00600E58">
              <w:rPr>
                <w:rFonts w:ascii="Times New Roman" w:hAnsi="Times New Roman"/>
                <w:sz w:val="24"/>
                <w:szCs w:val="24"/>
              </w:rPr>
              <w:t>most, and</w:t>
            </w:r>
            <w:proofErr w:type="gramEnd"/>
            <w:r w:rsidR="00F11CF9" w:rsidRPr="00600E58">
              <w:rPr>
                <w:rFonts w:ascii="Times New Roman" w:hAnsi="Times New Roman"/>
                <w:sz w:val="24"/>
                <w:szCs w:val="24"/>
              </w:rPr>
              <w:t xml:space="preserve"> tackle the root causes of poverty.</w:t>
            </w:r>
          </w:p>
          <w:p w14:paraId="5CEEDAFD" w14:textId="751BC5BC" w:rsidR="0080F2F7" w:rsidRPr="00600E58" w:rsidRDefault="0080F2F7" w:rsidP="00600E58">
            <w:pPr>
              <w:widowControl w:val="0"/>
              <w:spacing w:before="120" w:after="120"/>
              <w:jc w:val="both"/>
              <w:rPr>
                <w:rFonts w:ascii="Times New Roman" w:hAnsi="Times New Roman"/>
                <w:sz w:val="24"/>
                <w:szCs w:val="24"/>
              </w:rPr>
            </w:pPr>
            <w:r w:rsidRPr="00600E58">
              <w:rPr>
                <w:rFonts w:ascii="Times New Roman" w:eastAsia="Times New Roman" w:hAnsi="Times New Roman"/>
                <w:sz w:val="24"/>
                <w:szCs w:val="24"/>
              </w:rPr>
              <w:t xml:space="preserve">Finally, the Strategy on the Rights of Persons with Disabilities notes the persistent inequalities and discrimination in access to healthcare and calls on Member States to improve access for persons with disabilities to the entire healthcare portfolio, including e.g. sexual and reproductive healthcare, and to raise awareness and develop support strategies for patients with disabilities related to rare diseases. The </w:t>
            </w:r>
            <w:r w:rsidRPr="00600E58">
              <w:rPr>
                <w:rFonts w:ascii="Times New Roman" w:eastAsia="Times New Roman" w:hAnsi="Times New Roman"/>
                <w:sz w:val="24"/>
                <w:szCs w:val="24"/>
              </w:rPr>
              <w:lastRenderedPageBreak/>
              <w:t>Commission supports the exchange of validated health-related good practices and addresses cancer disparities through Europe’s Beating Cancer Plan. This includes the integration of data and information on inequalities in access to cancer prevention, early detection and care for people with disabilities in the European Cancer Inequalities Registry.</w:t>
            </w:r>
          </w:p>
          <w:p w14:paraId="0D5B6122" w14:textId="3BC44996" w:rsidR="003619F0" w:rsidRPr="00600E58" w:rsidRDefault="0BCA7AA4" w:rsidP="00600E58">
            <w:pPr>
              <w:widowControl w:val="0"/>
              <w:spacing w:before="120" w:after="120"/>
              <w:jc w:val="both"/>
              <w:rPr>
                <w:rFonts w:ascii="Times New Roman" w:hAnsi="Times New Roman"/>
                <w:sz w:val="24"/>
                <w:szCs w:val="24"/>
              </w:rPr>
            </w:pPr>
            <w:r w:rsidRPr="00600E58">
              <w:rPr>
                <w:rFonts w:ascii="Times New Roman" w:hAnsi="Times New Roman"/>
                <w:i/>
                <w:iCs/>
                <w:sz w:val="24"/>
                <w:szCs w:val="24"/>
                <w:u w:val="single"/>
              </w:rPr>
              <w:t>Labour shortages</w:t>
            </w:r>
            <w:r w:rsidRPr="00600E58">
              <w:rPr>
                <w:rFonts w:ascii="Times New Roman" w:hAnsi="Times New Roman"/>
                <w:i/>
                <w:iCs/>
                <w:sz w:val="24"/>
                <w:szCs w:val="24"/>
              </w:rPr>
              <w:t>:</w:t>
            </w:r>
            <w:r w:rsidRPr="00600E58">
              <w:rPr>
                <w:rFonts w:ascii="Times New Roman" w:hAnsi="Times New Roman"/>
                <w:sz w:val="24"/>
                <w:szCs w:val="24"/>
              </w:rPr>
              <w:t xml:space="preserve"> </w:t>
            </w:r>
            <w:r w:rsidR="4674BD7C" w:rsidRPr="00600E58">
              <w:rPr>
                <w:rFonts w:ascii="Times New Roman" w:hAnsi="Times New Roman"/>
                <w:sz w:val="24"/>
                <w:szCs w:val="24"/>
              </w:rPr>
              <w:t xml:space="preserve">The Action Plan on </w:t>
            </w:r>
            <w:r w:rsidR="162A6066" w:rsidRPr="00600E58">
              <w:rPr>
                <w:rFonts w:ascii="Times New Roman" w:hAnsi="Times New Roman"/>
                <w:sz w:val="24"/>
                <w:szCs w:val="24"/>
              </w:rPr>
              <w:t>L</w:t>
            </w:r>
            <w:r w:rsidR="4674BD7C" w:rsidRPr="00600E58">
              <w:rPr>
                <w:rFonts w:ascii="Times New Roman" w:hAnsi="Times New Roman"/>
                <w:sz w:val="24"/>
                <w:szCs w:val="24"/>
              </w:rPr>
              <w:t xml:space="preserve">abour and </w:t>
            </w:r>
            <w:r w:rsidR="162A6066" w:rsidRPr="00600E58">
              <w:rPr>
                <w:rFonts w:ascii="Times New Roman" w:hAnsi="Times New Roman"/>
                <w:sz w:val="24"/>
                <w:szCs w:val="24"/>
              </w:rPr>
              <w:t>S</w:t>
            </w:r>
            <w:r w:rsidR="4674BD7C" w:rsidRPr="00600E58">
              <w:rPr>
                <w:rFonts w:ascii="Times New Roman" w:hAnsi="Times New Roman"/>
                <w:sz w:val="24"/>
                <w:szCs w:val="24"/>
              </w:rPr>
              <w:t xml:space="preserve">kills </w:t>
            </w:r>
            <w:r w:rsidR="162A6066" w:rsidRPr="00600E58">
              <w:rPr>
                <w:rFonts w:ascii="Times New Roman" w:hAnsi="Times New Roman"/>
                <w:sz w:val="24"/>
                <w:szCs w:val="24"/>
              </w:rPr>
              <w:t>S</w:t>
            </w:r>
            <w:r w:rsidR="4674BD7C" w:rsidRPr="00600E58">
              <w:rPr>
                <w:rFonts w:ascii="Times New Roman" w:hAnsi="Times New Roman"/>
                <w:sz w:val="24"/>
                <w:szCs w:val="24"/>
              </w:rPr>
              <w:t>hortages in the EU</w:t>
            </w:r>
            <w:r w:rsidR="003619F0" w:rsidRPr="00600E58">
              <w:rPr>
                <w:rStyle w:val="FootnoteReference"/>
                <w:rFonts w:ascii="Times New Roman" w:hAnsi="Times New Roman" w:cs="Times New Roman"/>
                <w:sz w:val="24"/>
                <w:szCs w:val="24"/>
              </w:rPr>
              <w:footnoteReference w:id="18"/>
            </w:r>
            <w:r w:rsidR="4674BD7C" w:rsidRPr="00600E58">
              <w:rPr>
                <w:rFonts w:ascii="Times New Roman" w:hAnsi="Times New Roman"/>
                <w:sz w:val="24"/>
                <w:szCs w:val="24"/>
              </w:rPr>
              <w:t xml:space="preserve"> provides a</w:t>
            </w:r>
            <w:r w:rsidR="003742B1">
              <w:rPr>
                <w:rFonts w:ascii="Times New Roman" w:hAnsi="Times New Roman"/>
                <w:sz w:val="24"/>
                <w:szCs w:val="24"/>
              </w:rPr>
              <w:t> </w:t>
            </w:r>
            <w:r w:rsidR="4674BD7C" w:rsidRPr="00600E58">
              <w:rPr>
                <w:rFonts w:ascii="Times New Roman" w:hAnsi="Times New Roman"/>
                <w:sz w:val="24"/>
                <w:szCs w:val="24"/>
              </w:rPr>
              <w:t xml:space="preserve">comprehensive policy framework to address these shortages. It includes, among others, 23 calls on Member States to implement different measures to tackle this challenge, including in the healthcare sector. In the latter, it calls on Member States, for instance, to </w:t>
            </w:r>
            <w:proofErr w:type="spellStart"/>
            <w:r w:rsidR="003742B1">
              <w:rPr>
                <w:rFonts w:ascii="Times New Roman" w:hAnsi="Times New Roman"/>
                <w:sz w:val="24"/>
                <w:szCs w:val="24"/>
              </w:rPr>
              <w:t>ʻ</w:t>
            </w:r>
            <w:r w:rsidR="4674BD7C" w:rsidRPr="00600E58">
              <w:rPr>
                <w:rFonts w:ascii="Times New Roman" w:hAnsi="Times New Roman"/>
                <w:i/>
                <w:iCs/>
                <w:sz w:val="24"/>
                <w:szCs w:val="24"/>
              </w:rPr>
              <w:t>develop</w:t>
            </w:r>
            <w:proofErr w:type="spellEnd"/>
            <w:r w:rsidR="4674BD7C" w:rsidRPr="00600E58">
              <w:rPr>
                <w:rFonts w:ascii="Times New Roman" w:hAnsi="Times New Roman"/>
                <w:i/>
                <w:iCs/>
                <w:sz w:val="24"/>
                <w:szCs w:val="24"/>
              </w:rPr>
              <w:t xml:space="preserve"> policies to attract and retain nurses through improving working conditions and mentoring young professionals, with the support of the EU4Health Programme</w:t>
            </w:r>
            <w:r w:rsidR="003742B1">
              <w:rPr>
                <w:rFonts w:ascii="Times New Roman" w:hAnsi="Times New Roman"/>
                <w:i/>
                <w:iCs/>
                <w:sz w:val="24"/>
                <w:szCs w:val="24"/>
              </w:rPr>
              <w:t>’</w:t>
            </w:r>
            <w:r w:rsidR="4674BD7C" w:rsidRPr="00600E58">
              <w:rPr>
                <w:rFonts w:ascii="Times New Roman" w:hAnsi="Times New Roman"/>
                <w:sz w:val="24"/>
                <w:szCs w:val="24"/>
              </w:rPr>
              <w:t>.</w:t>
            </w:r>
          </w:p>
          <w:p w14:paraId="32C54E41" w14:textId="6389F9A2" w:rsidR="00AA232D" w:rsidRPr="003F6426" w:rsidRDefault="4674BD7C" w:rsidP="00600E58">
            <w:pPr>
              <w:widowControl w:val="0"/>
              <w:spacing w:before="120" w:after="120"/>
              <w:jc w:val="both"/>
              <w:rPr>
                <w:rFonts w:ascii="Times New Roman" w:hAnsi="Times New Roman"/>
                <w:sz w:val="24"/>
                <w:szCs w:val="24"/>
              </w:rPr>
            </w:pPr>
            <w:r w:rsidRPr="00600E58">
              <w:rPr>
                <w:rFonts w:ascii="Times New Roman" w:hAnsi="Times New Roman"/>
                <w:sz w:val="24"/>
                <w:szCs w:val="24"/>
              </w:rPr>
              <w:t xml:space="preserve">Furthermore, the Action Plan includes 30 Commission’s commitments, including some related to healthcare. In particular, the Commission committed to conduct a survey on mental health of health workforce and present some guidelines to protect their mental health, under the EU4 Health programme. </w:t>
            </w:r>
            <w:r w:rsidR="34AB0D87" w:rsidRPr="00600E58">
              <w:rPr>
                <w:rFonts w:ascii="Times New Roman" w:hAnsi="Times New Roman"/>
                <w:sz w:val="24"/>
                <w:szCs w:val="24"/>
              </w:rPr>
              <w:t>The results of the survey</w:t>
            </w:r>
            <w:r w:rsidR="74BE659E" w:rsidRPr="00600E58">
              <w:rPr>
                <w:rFonts w:ascii="Times New Roman" w:hAnsi="Times New Roman"/>
                <w:sz w:val="24"/>
                <w:szCs w:val="24"/>
              </w:rPr>
              <w:t xml:space="preserve"> (publication planned for October 2025)</w:t>
            </w:r>
            <w:r w:rsidR="34AB0D87" w:rsidRPr="00600E58">
              <w:rPr>
                <w:rFonts w:ascii="Times New Roman" w:hAnsi="Times New Roman"/>
                <w:sz w:val="24"/>
                <w:szCs w:val="24"/>
              </w:rPr>
              <w:t xml:space="preserve"> will allow for the </w:t>
            </w:r>
            <w:r w:rsidR="74E4C9A4" w:rsidRPr="00600E58">
              <w:rPr>
                <w:rFonts w:ascii="Times New Roman" w:hAnsi="Times New Roman"/>
                <w:sz w:val="24"/>
                <w:szCs w:val="24"/>
              </w:rPr>
              <w:t xml:space="preserve">identification </w:t>
            </w:r>
            <w:r w:rsidR="34AB0D87" w:rsidRPr="00600E58">
              <w:rPr>
                <w:rFonts w:ascii="Times New Roman" w:hAnsi="Times New Roman"/>
                <w:sz w:val="24"/>
                <w:szCs w:val="24"/>
              </w:rPr>
              <w:t>of appropriate strategies</w:t>
            </w:r>
            <w:r w:rsidR="0EEB0725" w:rsidRPr="00600E58">
              <w:rPr>
                <w:rFonts w:ascii="Times New Roman" w:hAnsi="Times New Roman"/>
                <w:sz w:val="24"/>
                <w:szCs w:val="24"/>
              </w:rPr>
              <w:t xml:space="preserve"> (by the end of 2025)</w:t>
            </w:r>
            <w:r w:rsidR="34AB0D87" w:rsidRPr="00600E58">
              <w:rPr>
                <w:rFonts w:ascii="Times New Roman" w:hAnsi="Times New Roman"/>
                <w:sz w:val="24"/>
                <w:szCs w:val="24"/>
              </w:rPr>
              <w:t xml:space="preserve"> to </w:t>
            </w:r>
            <w:r w:rsidR="4D232599" w:rsidRPr="00600E58">
              <w:rPr>
                <w:rFonts w:ascii="Times New Roman" w:hAnsi="Times New Roman"/>
                <w:sz w:val="24"/>
                <w:szCs w:val="24"/>
              </w:rPr>
              <w:t xml:space="preserve">support </w:t>
            </w:r>
            <w:r w:rsidR="4D232599" w:rsidRPr="00600E58">
              <w:rPr>
                <w:rFonts w:ascii="Times New Roman" w:hAnsi="Times New Roman"/>
                <w:sz w:val="24"/>
                <w:szCs w:val="24"/>
                <w:lang w:val="en-US"/>
              </w:rPr>
              <w:t xml:space="preserve">the mental health of the health workforce and increase </w:t>
            </w:r>
            <w:r w:rsidR="34AB0D87" w:rsidRPr="00600E58">
              <w:rPr>
                <w:rFonts w:ascii="Times New Roman" w:hAnsi="Times New Roman"/>
                <w:sz w:val="24"/>
                <w:szCs w:val="24"/>
              </w:rPr>
              <w:t>the retention of our doctor and nurse workforce.</w:t>
            </w:r>
          </w:p>
        </w:tc>
      </w:tr>
    </w:tbl>
    <w:p w14:paraId="0561D580" w14:textId="77777777" w:rsidR="00751910" w:rsidRPr="00CC1D80" w:rsidRDefault="00751910" w:rsidP="00CC1D80">
      <w:pPr>
        <w:spacing w:after="0" w:line="240" w:lineRule="auto"/>
        <w:ind w:left="-567"/>
        <w:rPr>
          <w:rFonts w:ascii="Times New Roman" w:hAnsi="Times New Roman"/>
          <w:bCs/>
          <w:sz w:val="16"/>
          <w:szCs w:val="16"/>
        </w:rPr>
      </w:pPr>
    </w:p>
    <w:sectPr w:rsidR="00751910" w:rsidRPr="00CC1D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5AAA" w14:textId="77777777" w:rsidR="00242964" w:rsidRDefault="00242964" w:rsidP="00A844DF">
      <w:pPr>
        <w:spacing w:after="0" w:line="240" w:lineRule="auto"/>
      </w:pPr>
      <w:r>
        <w:separator/>
      </w:r>
    </w:p>
  </w:endnote>
  <w:endnote w:type="continuationSeparator" w:id="0">
    <w:p w14:paraId="587B502F" w14:textId="77777777" w:rsidR="00242964" w:rsidRDefault="00242964" w:rsidP="00A844DF">
      <w:pPr>
        <w:spacing w:after="0" w:line="240" w:lineRule="auto"/>
      </w:pPr>
      <w:r>
        <w:continuationSeparator/>
      </w:r>
    </w:p>
  </w:endnote>
  <w:endnote w:type="continuationNotice" w:id="1">
    <w:p w14:paraId="177FAE0E" w14:textId="77777777" w:rsidR="00242964" w:rsidRDefault="00242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D8694" w14:textId="77777777" w:rsidR="00242964" w:rsidRDefault="00242964" w:rsidP="00A844DF">
      <w:pPr>
        <w:spacing w:after="0" w:line="240" w:lineRule="auto"/>
      </w:pPr>
      <w:r>
        <w:separator/>
      </w:r>
    </w:p>
  </w:footnote>
  <w:footnote w:type="continuationSeparator" w:id="0">
    <w:p w14:paraId="30005BED" w14:textId="77777777" w:rsidR="00242964" w:rsidRDefault="00242964" w:rsidP="00A844DF">
      <w:pPr>
        <w:spacing w:after="0" w:line="240" w:lineRule="auto"/>
      </w:pPr>
      <w:r>
        <w:continuationSeparator/>
      </w:r>
    </w:p>
  </w:footnote>
  <w:footnote w:type="continuationNotice" w:id="1">
    <w:p w14:paraId="01F005E6" w14:textId="77777777" w:rsidR="00242964" w:rsidRDefault="00242964">
      <w:pPr>
        <w:spacing w:after="0" w:line="240" w:lineRule="auto"/>
      </w:pPr>
    </w:p>
  </w:footnote>
  <w:footnote w:id="2">
    <w:p w14:paraId="3C251DEF" w14:textId="13B93DE6" w:rsidR="003F6426" w:rsidRPr="003742B1" w:rsidRDefault="003F6426" w:rsidP="00CC1D80">
      <w:pPr>
        <w:pStyle w:val="FootnoteText"/>
        <w:spacing w:after="0" w:line="240" w:lineRule="auto"/>
        <w:ind w:left="-284" w:right="-709" w:hanging="284"/>
        <w:jc w:val="both"/>
        <w:rPr>
          <w:rFonts w:ascii="Times New Roman" w:hAnsi="Times New Roman"/>
          <w:lang w:val="en-IE"/>
        </w:rPr>
      </w:pPr>
      <w:r w:rsidRPr="003742B1">
        <w:rPr>
          <w:rStyle w:val="FootnoteReference"/>
          <w:rFonts w:ascii="Times New Roman" w:hAnsi="Times New Roman" w:cs="Times New Roman"/>
          <w:sz w:val="20"/>
        </w:rPr>
        <w:footnoteRef/>
      </w:r>
      <w:r w:rsidRPr="003742B1">
        <w:rPr>
          <w:rFonts w:ascii="Times New Roman" w:hAnsi="Times New Roman"/>
        </w:rPr>
        <w:t xml:space="preserve"> </w:t>
      </w:r>
      <w:r w:rsidR="003742B1" w:rsidRPr="003742B1">
        <w:rPr>
          <w:rFonts w:ascii="Times New Roman" w:hAnsi="Times New Roman"/>
        </w:rPr>
        <w:tab/>
      </w:r>
      <w:r w:rsidR="00D17B4A" w:rsidRPr="003742B1">
        <w:rPr>
          <w:rFonts w:ascii="Times New Roman" w:hAnsi="Times New Roman"/>
        </w:rPr>
        <w:t>Communication from the Commission to the European Parliament, the Council, the European Economic and Social Committee and the Committee of the Regions on the European Care Strategy COM(2022) 440 final (</w:t>
      </w:r>
      <w:hyperlink r:id="rId1" w:history="1">
        <w:r w:rsidR="00D17B4A" w:rsidRPr="003742B1">
          <w:rPr>
            <w:rStyle w:val="Hyperlink"/>
            <w:rFonts w:ascii="Times New Roman" w:hAnsi="Times New Roman"/>
          </w:rPr>
          <w:t>https://eur-lex.europa.eu/legal-content/EN/TXT/?uri=celex:52022DC0440</w:t>
        </w:r>
      </w:hyperlink>
      <w:r w:rsidR="00D17B4A" w:rsidRPr="003742B1">
        <w:rPr>
          <w:rFonts w:ascii="Times New Roman" w:hAnsi="Times New Roman"/>
        </w:rPr>
        <w:t>).</w:t>
      </w:r>
    </w:p>
  </w:footnote>
  <w:footnote w:id="3">
    <w:p w14:paraId="71C74032" w14:textId="7447D1C3" w:rsidR="003F6426" w:rsidRPr="003742B1" w:rsidRDefault="003F6426" w:rsidP="00CC1D80">
      <w:pPr>
        <w:pStyle w:val="FootnoteText"/>
        <w:spacing w:after="0" w:line="240" w:lineRule="auto"/>
        <w:ind w:left="-284" w:right="-709" w:hanging="284"/>
        <w:jc w:val="both"/>
        <w:rPr>
          <w:rFonts w:ascii="Times New Roman" w:hAnsi="Times New Roman"/>
          <w:lang w:val="en-IE"/>
        </w:rPr>
      </w:pPr>
      <w:r w:rsidRPr="003742B1">
        <w:rPr>
          <w:rStyle w:val="FootnoteReference"/>
          <w:rFonts w:ascii="Times New Roman" w:hAnsi="Times New Roman" w:cs="Times New Roman"/>
          <w:sz w:val="20"/>
        </w:rPr>
        <w:footnoteRef/>
      </w:r>
      <w:r w:rsidRPr="003742B1">
        <w:rPr>
          <w:rFonts w:ascii="Times New Roman" w:hAnsi="Times New Roman"/>
        </w:rPr>
        <w:t xml:space="preserve"> </w:t>
      </w:r>
      <w:r w:rsidR="003742B1" w:rsidRPr="003742B1">
        <w:rPr>
          <w:rFonts w:ascii="Times New Roman" w:hAnsi="Times New Roman"/>
        </w:rPr>
        <w:tab/>
      </w:r>
      <w:r w:rsidR="00D17B4A" w:rsidRPr="003742B1">
        <w:rPr>
          <w:rFonts w:ascii="Times New Roman" w:hAnsi="Times New Roman"/>
        </w:rPr>
        <w:t>Council Recommendation of 8 December 2022 on access to affordable high-quality long-term care (2022/C 476/01) (</w:t>
      </w:r>
      <w:hyperlink r:id="rId2" w:history="1">
        <w:r w:rsidR="00D17B4A" w:rsidRPr="003742B1">
          <w:rPr>
            <w:rStyle w:val="Hyperlink"/>
            <w:rFonts w:ascii="Times New Roman" w:hAnsi="Times New Roman"/>
          </w:rPr>
          <w:t>https://eur-lex.europa.eu/legal-content/EN/TXT/?uri=oj:JOC_2022_476_R_0001</w:t>
        </w:r>
      </w:hyperlink>
      <w:r w:rsidR="00D17B4A" w:rsidRPr="003742B1">
        <w:rPr>
          <w:rFonts w:ascii="Times New Roman" w:hAnsi="Times New Roman"/>
        </w:rPr>
        <w:t>).</w:t>
      </w:r>
    </w:p>
  </w:footnote>
  <w:footnote w:id="4">
    <w:p w14:paraId="0BF5668D" w14:textId="49420EE1" w:rsidR="003F6426" w:rsidRPr="003742B1" w:rsidRDefault="003F6426" w:rsidP="00CC1D80">
      <w:pPr>
        <w:pStyle w:val="FootnoteText"/>
        <w:spacing w:after="0" w:line="240" w:lineRule="auto"/>
        <w:ind w:left="-284" w:right="-709" w:hanging="284"/>
        <w:jc w:val="both"/>
        <w:rPr>
          <w:rFonts w:ascii="Times New Roman" w:hAnsi="Times New Roman"/>
          <w:lang w:val="en-IE"/>
        </w:rPr>
      </w:pPr>
      <w:r w:rsidRPr="003742B1">
        <w:rPr>
          <w:rStyle w:val="FootnoteReference"/>
          <w:rFonts w:ascii="Times New Roman" w:hAnsi="Times New Roman" w:cs="Times New Roman"/>
          <w:sz w:val="20"/>
        </w:rPr>
        <w:footnoteRef/>
      </w:r>
      <w:r w:rsidRPr="003742B1">
        <w:rPr>
          <w:rFonts w:ascii="Times New Roman" w:hAnsi="Times New Roman"/>
        </w:rPr>
        <w:t xml:space="preserve"> </w:t>
      </w:r>
      <w:r w:rsidR="003742B1" w:rsidRPr="003742B1">
        <w:rPr>
          <w:rFonts w:ascii="Times New Roman" w:hAnsi="Times New Roman"/>
        </w:rPr>
        <w:tab/>
      </w:r>
      <w:hyperlink r:id="rId3" w:history="1">
        <w:r w:rsidR="003742B1" w:rsidRPr="003742B1">
          <w:rPr>
            <w:rStyle w:val="Hyperlink"/>
            <w:rFonts w:ascii="Times New Roman" w:hAnsi="Times New Roman"/>
          </w:rPr>
          <w:t>https://employment-social-affairs.ec.europa.eu/policies-and-activities/european-pillar-social-rights-building-fairer-and-more-inclusive-european-union_en</w:t>
        </w:r>
      </w:hyperlink>
      <w:r w:rsidR="003742B1">
        <w:rPr>
          <w:rFonts w:ascii="Times New Roman" w:hAnsi="Times New Roman"/>
        </w:rPr>
        <w:t>.</w:t>
      </w:r>
    </w:p>
  </w:footnote>
  <w:footnote w:id="5">
    <w:p w14:paraId="637AECD3" w14:textId="0D551DA8" w:rsidR="00943946" w:rsidRPr="003742B1" w:rsidRDefault="00943946" w:rsidP="00CC1D80">
      <w:pPr>
        <w:pStyle w:val="FootnoteText"/>
        <w:spacing w:after="0" w:line="240" w:lineRule="auto"/>
        <w:ind w:left="-284" w:right="-709" w:hanging="284"/>
        <w:jc w:val="both"/>
        <w:rPr>
          <w:rFonts w:ascii="Times New Roman" w:hAnsi="Times New Roman"/>
          <w:lang w:val="en-US"/>
        </w:rPr>
      </w:pPr>
      <w:r w:rsidRPr="003742B1">
        <w:rPr>
          <w:rStyle w:val="FootnoteReference"/>
          <w:rFonts w:ascii="Times New Roman" w:hAnsi="Times New Roman" w:cs="Times New Roman"/>
          <w:sz w:val="20"/>
        </w:rPr>
        <w:footnoteRef/>
      </w:r>
      <w:r w:rsidRPr="003742B1">
        <w:rPr>
          <w:rFonts w:ascii="Times New Roman" w:hAnsi="Times New Roman"/>
          <w:lang w:val="en-US"/>
        </w:rPr>
        <w:t xml:space="preserve"> </w:t>
      </w:r>
      <w:r w:rsidR="003742B1" w:rsidRPr="003742B1">
        <w:rPr>
          <w:rFonts w:ascii="Times New Roman" w:hAnsi="Times New Roman"/>
          <w:lang w:val="en-US"/>
        </w:rPr>
        <w:tab/>
      </w:r>
      <w:r w:rsidR="00D85EB8" w:rsidRPr="003742B1">
        <w:rPr>
          <w:rFonts w:ascii="Times New Roman" w:hAnsi="Times New Roman"/>
        </w:rPr>
        <w:t>Annex  to the Commission Implementing Decision amending Implementing Decision C(2022) 5436 final of 25 July 2022 on the financing of the Programme for the Union’s action in the field of health (‘EU4Health Programme’) and the adoption of the work programme for 2022,</w:t>
      </w:r>
      <w:r w:rsidR="00D85EB8" w:rsidRPr="003742B1">
        <w:rPr>
          <w:rFonts w:ascii="Times New Roman" w:hAnsi="Times New Roman"/>
          <w:lang w:val="en-US"/>
        </w:rPr>
        <w:t xml:space="preserve"> </w:t>
      </w:r>
      <w:r w:rsidRPr="003742B1">
        <w:rPr>
          <w:rFonts w:ascii="Times New Roman" w:hAnsi="Times New Roman"/>
          <w:lang w:val="en-US"/>
        </w:rPr>
        <w:t xml:space="preserve">HS-p-22-14.02 Guidelines on access to healthcare for people with disabilities </w:t>
      </w:r>
      <w:r w:rsidR="003742B1">
        <w:rPr>
          <w:rFonts w:ascii="Times New Roman" w:hAnsi="Times New Roman"/>
        </w:rPr>
        <w:t xml:space="preserve"> (</w:t>
      </w:r>
      <w:hyperlink r:id="rId4" w:history="1">
        <w:r w:rsidR="003742B1" w:rsidRPr="003742B1">
          <w:rPr>
            <w:rStyle w:val="Hyperlink"/>
            <w:rFonts w:ascii="Times New Roman" w:hAnsi="Times New Roman"/>
            <w:lang w:val="en-US"/>
          </w:rPr>
          <w:t>https://health.ec.europa.eu/document/download/331c4ac5-492d-4359-a708-c0a7e2cfa363_en?filename=c_2023_5052_1_annex_en.pdf</w:t>
        </w:r>
      </w:hyperlink>
      <w:r w:rsidR="003742B1">
        <w:rPr>
          <w:rFonts w:ascii="Times New Roman" w:hAnsi="Times New Roman"/>
          <w:lang w:val="en-US"/>
        </w:rPr>
        <w:t>).</w:t>
      </w:r>
    </w:p>
  </w:footnote>
  <w:footnote w:id="6">
    <w:p w14:paraId="7DDC590E" w14:textId="7286AFEF" w:rsidR="00943946" w:rsidRPr="003742B1" w:rsidRDefault="00943946" w:rsidP="00CC1D80">
      <w:pPr>
        <w:pStyle w:val="FootnoteText"/>
        <w:spacing w:after="0" w:line="240" w:lineRule="auto"/>
        <w:ind w:left="-284" w:right="-709" w:hanging="284"/>
        <w:jc w:val="both"/>
        <w:rPr>
          <w:rFonts w:ascii="Times New Roman" w:hAnsi="Times New Roman"/>
        </w:rPr>
      </w:pPr>
      <w:r w:rsidRPr="003742B1">
        <w:rPr>
          <w:rStyle w:val="FootnoteReference"/>
          <w:rFonts w:ascii="Times New Roman" w:hAnsi="Times New Roman" w:cs="Times New Roman"/>
          <w:sz w:val="20"/>
        </w:rPr>
        <w:footnoteRef/>
      </w:r>
      <w:r w:rsidRPr="003742B1">
        <w:rPr>
          <w:rFonts w:ascii="Times New Roman" w:hAnsi="Times New Roman"/>
        </w:rPr>
        <w:t xml:space="preserve"> </w:t>
      </w:r>
      <w:r w:rsidR="003742B1" w:rsidRPr="003742B1">
        <w:rPr>
          <w:rFonts w:ascii="Times New Roman" w:hAnsi="Times New Roman"/>
        </w:rPr>
        <w:tab/>
      </w:r>
      <w:r w:rsidRPr="003742B1">
        <w:rPr>
          <w:rFonts w:ascii="Times New Roman" w:hAnsi="Times New Roman"/>
        </w:rPr>
        <w:t xml:space="preserve">HS-g-14.1.1 Supporting Member States in improving access to healthcare and effectiveness of health coverage, taking into account vulnerabilities of specific groups and targeted intervention </w:t>
      </w:r>
      <w:r w:rsidR="00CC1D80">
        <w:rPr>
          <w:rFonts w:ascii="Times New Roman" w:hAnsi="Times New Roman"/>
        </w:rPr>
        <w:t>(</w:t>
      </w:r>
      <w:hyperlink r:id="rId5" w:history="1">
        <w:r w:rsidR="00CC1D80" w:rsidRPr="000F1FFE">
          <w:rPr>
            <w:rStyle w:val="Hyperlink"/>
            <w:rFonts w:ascii="Times New Roman" w:hAnsi="Times New Roman"/>
          </w:rPr>
          <w:t>https://health.ec.europa.eu/document/download/024cb1cb-44ab-44be-a21e-56757550eb05_en?filename=com_2022-5436_annex1_en.pdf</w:t>
        </w:r>
      </w:hyperlink>
      <w:r w:rsidR="00CC1D80">
        <w:rPr>
          <w:rFonts w:ascii="Times New Roman" w:hAnsi="Times New Roman"/>
        </w:rPr>
        <w:t>)</w:t>
      </w:r>
      <w:r w:rsidR="003742B1">
        <w:rPr>
          <w:rFonts w:ascii="Times New Roman" w:hAnsi="Times New Roman"/>
        </w:rPr>
        <w:t>.</w:t>
      </w:r>
    </w:p>
  </w:footnote>
  <w:footnote w:id="7">
    <w:p w14:paraId="09515857" w14:textId="38616ADC" w:rsidR="00943946" w:rsidRPr="003742B1" w:rsidRDefault="00943946" w:rsidP="00CC1D80">
      <w:pPr>
        <w:pStyle w:val="FootnoteText"/>
        <w:keepNext/>
        <w:keepLines/>
        <w:spacing w:after="0" w:line="240" w:lineRule="auto"/>
        <w:ind w:left="-284" w:right="-567" w:hanging="284"/>
        <w:jc w:val="both"/>
        <w:rPr>
          <w:rFonts w:ascii="Times New Roman" w:hAnsi="Times New Roman"/>
        </w:rPr>
      </w:pPr>
      <w:r w:rsidRPr="003742B1">
        <w:rPr>
          <w:rStyle w:val="FootnoteReference"/>
          <w:rFonts w:ascii="Times New Roman" w:hAnsi="Times New Roman" w:cs="Times New Roman"/>
          <w:sz w:val="20"/>
        </w:rPr>
        <w:footnoteRef/>
      </w:r>
      <w:r w:rsidRPr="003742B1">
        <w:rPr>
          <w:rFonts w:ascii="Times New Roman" w:hAnsi="Times New Roman"/>
        </w:rPr>
        <w:t xml:space="preserve"> </w:t>
      </w:r>
      <w:r w:rsidR="003742B1" w:rsidRPr="003742B1">
        <w:rPr>
          <w:rFonts w:ascii="Times New Roman" w:hAnsi="Times New Roman"/>
        </w:rPr>
        <w:tab/>
      </w:r>
      <w:r w:rsidR="00B60A2C" w:rsidRPr="003742B1">
        <w:rPr>
          <w:rFonts w:ascii="Times New Roman" w:hAnsi="Times New Roman"/>
        </w:rPr>
        <w:t xml:space="preserve">Annex </w:t>
      </w:r>
      <w:r w:rsidR="00BC6938" w:rsidRPr="003742B1">
        <w:rPr>
          <w:rFonts w:ascii="Times New Roman" w:hAnsi="Times New Roman"/>
        </w:rPr>
        <w:t xml:space="preserve">to the Commission Implementing Decision on the financing of the Programme for the Union’s action in the field of health (‘EU4Health Programme’) and the adoption of the work programme for 2023, </w:t>
      </w:r>
      <w:r w:rsidRPr="003742B1">
        <w:rPr>
          <w:rFonts w:ascii="Times New Roman" w:hAnsi="Times New Roman"/>
        </w:rPr>
        <w:t>HS-p-</w:t>
      </w:r>
      <w:r w:rsidRPr="003F6426">
        <w:rPr>
          <w:rFonts w:ascii="Times New Roman" w:hAnsi="Times New Roman"/>
        </w:rPr>
        <w:t xml:space="preserve">23-46 The role of </w:t>
      </w:r>
      <w:r w:rsidRPr="003742B1">
        <w:rPr>
          <w:rFonts w:ascii="Times New Roman" w:hAnsi="Times New Roman"/>
        </w:rPr>
        <w:t xml:space="preserve">healthcare in reducing poverty </w:t>
      </w:r>
      <w:r w:rsidR="00CC1D80">
        <w:rPr>
          <w:rFonts w:ascii="Times New Roman" w:hAnsi="Times New Roman"/>
        </w:rPr>
        <w:t>(</w:t>
      </w:r>
      <w:hyperlink r:id="rId6" w:history="1">
        <w:r w:rsidR="00CC1D80" w:rsidRPr="000F1FFE">
          <w:rPr>
            <w:rStyle w:val="Hyperlink"/>
            <w:rFonts w:ascii="Times New Roman" w:hAnsi="Times New Roman"/>
          </w:rPr>
          <w:t>https://health.ec.europa.eu/document/download/ff17bd26-4cdd-4351-a4e3-e2ca85aa3e84_en?filename=wp2023_annex_en.pdf</w:t>
        </w:r>
      </w:hyperlink>
      <w:r w:rsidR="00CC1D80">
        <w:rPr>
          <w:rFonts w:ascii="Times New Roman" w:hAnsi="Times New Roman"/>
        </w:rPr>
        <w:t>).</w:t>
      </w:r>
    </w:p>
  </w:footnote>
  <w:footnote w:id="8">
    <w:p w14:paraId="0A03014D" w14:textId="30BDBFA4" w:rsidR="00943946" w:rsidRPr="003742B1" w:rsidRDefault="00943946" w:rsidP="00CC1D80">
      <w:pPr>
        <w:pStyle w:val="FootnoteText"/>
        <w:spacing w:after="0" w:line="240" w:lineRule="auto"/>
        <w:ind w:left="-284" w:right="-567" w:hanging="284"/>
        <w:jc w:val="both"/>
        <w:rPr>
          <w:rFonts w:ascii="Times New Roman" w:hAnsi="Times New Roman"/>
          <w:lang w:val="en-US"/>
        </w:rPr>
      </w:pPr>
      <w:r w:rsidRPr="003742B1">
        <w:rPr>
          <w:rStyle w:val="FootnoteReference"/>
          <w:rFonts w:ascii="Times New Roman" w:hAnsi="Times New Roman" w:cs="Times New Roman"/>
          <w:sz w:val="20"/>
        </w:rPr>
        <w:footnoteRef/>
      </w:r>
      <w:r w:rsidRPr="003742B1">
        <w:rPr>
          <w:rFonts w:ascii="Times New Roman" w:hAnsi="Times New Roman"/>
          <w:lang w:val="en-US"/>
        </w:rPr>
        <w:t xml:space="preserve"> </w:t>
      </w:r>
      <w:r w:rsidR="003742B1">
        <w:rPr>
          <w:rFonts w:ascii="Times New Roman" w:hAnsi="Times New Roman"/>
          <w:lang w:val="en-US"/>
        </w:rPr>
        <w:tab/>
      </w:r>
      <w:hyperlink r:id="rId7" w:history="1">
        <w:r w:rsidR="003742B1" w:rsidRPr="003742B1">
          <w:rPr>
            <w:rStyle w:val="Hyperlink"/>
            <w:rFonts w:ascii="Times New Roman" w:hAnsi="Times New Roman"/>
            <w:lang w:val="en-US"/>
          </w:rPr>
          <w:t>https://health.ec.europa.eu/state-health-eu_en</w:t>
        </w:r>
      </w:hyperlink>
      <w:r w:rsidR="003742B1" w:rsidRPr="003742B1">
        <w:rPr>
          <w:rFonts w:ascii="Times New Roman" w:hAnsi="Times New Roman"/>
          <w:lang w:val="en-US"/>
        </w:rPr>
        <w:t>.</w:t>
      </w:r>
    </w:p>
  </w:footnote>
  <w:footnote w:id="9">
    <w:p w14:paraId="3055A8C3" w14:textId="7A6DC480" w:rsidR="00943946" w:rsidRPr="003742B1" w:rsidRDefault="00943946" w:rsidP="00CC1D80">
      <w:pPr>
        <w:pStyle w:val="FootnoteText"/>
        <w:spacing w:after="0" w:line="240" w:lineRule="auto"/>
        <w:ind w:left="-284" w:right="-567" w:hanging="284"/>
        <w:jc w:val="both"/>
        <w:rPr>
          <w:rFonts w:ascii="Times New Roman" w:hAnsi="Times New Roman"/>
          <w:lang w:val="en-US"/>
        </w:rPr>
      </w:pPr>
      <w:r w:rsidRPr="003742B1">
        <w:rPr>
          <w:rStyle w:val="FootnoteReference"/>
          <w:rFonts w:ascii="Times New Roman" w:hAnsi="Times New Roman" w:cs="Times New Roman"/>
          <w:sz w:val="20"/>
        </w:rPr>
        <w:footnoteRef/>
      </w:r>
      <w:r w:rsidRPr="003742B1">
        <w:rPr>
          <w:rFonts w:ascii="Times New Roman" w:hAnsi="Times New Roman"/>
        </w:rPr>
        <w:t xml:space="preserve"> </w:t>
      </w:r>
      <w:r w:rsidR="003742B1" w:rsidRPr="003742B1">
        <w:rPr>
          <w:rFonts w:ascii="Times New Roman" w:hAnsi="Times New Roman"/>
        </w:rPr>
        <w:tab/>
      </w:r>
      <w:r w:rsidRPr="003742B1">
        <w:rPr>
          <w:rFonts w:ascii="Times New Roman" w:hAnsi="Times New Roman"/>
        </w:rPr>
        <w:t xml:space="preserve">Recovery and Resilience Facility: </w:t>
      </w:r>
      <w:hyperlink r:id="rId8" w:history="1">
        <w:r w:rsidRPr="003742B1">
          <w:rPr>
            <w:rStyle w:val="Hyperlink"/>
            <w:rFonts w:ascii="Times New Roman" w:hAnsi="Times New Roman"/>
          </w:rPr>
          <w:t>https://commission.europa.eu/business-economy-euro/economic-recovery/recovery-and-resilience-facility_en</w:t>
        </w:r>
      </w:hyperlink>
      <w:r w:rsidR="003742B1" w:rsidRPr="003742B1">
        <w:rPr>
          <w:rFonts w:ascii="Times New Roman" w:hAnsi="Times New Roman"/>
        </w:rPr>
        <w:t>.</w:t>
      </w:r>
    </w:p>
  </w:footnote>
  <w:footnote w:id="10">
    <w:p w14:paraId="613806BF" w14:textId="60185F1B" w:rsidR="00943946" w:rsidRPr="003742B1" w:rsidRDefault="00943946" w:rsidP="00CC1D80">
      <w:pPr>
        <w:pStyle w:val="FootnoteText"/>
        <w:spacing w:after="0" w:line="240" w:lineRule="auto"/>
        <w:ind w:left="-284" w:right="-567" w:hanging="284"/>
        <w:jc w:val="both"/>
        <w:rPr>
          <w:rFonts w:ascii="Times New Roman" w:hAnsi="Times New Roman"/>
          <w:lang w:val="en-US"/>
        </w:rPr>
      </w:pPr>
      <w:r w:rsidRPr="003742B1">
        <w:rPr>
          <w:rStyle w:val="FootnoteReference"/>
          <w:rFonts w:ascii="Times New Roman" w:hAnsi="Times New Roman" w:cs="Times New Roman"/>
          <w:sz w:val="20"/>
        </w:rPr>
        <w:footnoteRef/>
      </w:r>
      <w:r w:rsidRPr="003742B1">
        <w:rPr>
          <w:rFonts w:ascii="Times New Roman" w:hAnsi="Times New Roman"/>
        </w:rPr>
        <w:t xml:space="preserve"> </w:t>
      </w:r>
      <w:r w:rsidR="003742B1" w:rsidRPr="003742B1">
        <w:rPr>
          <w:rFonts w:ascii="Times New Roman" w:hAnsi="Times New Roman"/>
        </w:rPr>
        <w:tab/>
      </w:r>
      <w:r w:rsidRPr="003742B1">
        <w:rPr>
          <w:rFonts w:ascii="Times New Roman" w:hAnsi="Times New Roman"/>
        </w:rPr>
        <w:t xml:space="preserve">Technical Support Instrument (TSI): </w:t>
      </w:r>
      <w:hyperlink r:id="rId9" w:history="1">
        <w:r w:rsidRPr="003742B1">
          <w:rPr>
            <w:rStyle w:val="Hyperlink"/>
            <w:rFonts w:ascii="Times New Roman" w:hAnsi="Times New Roman"/>
          </w:rPr>
          <w:t>https://commission.europa.eu/funding-tenders/find-funding/eu-funding-programmes/technical-support-instrument/technical-support-instrument-tsi_en</w:t>
        </w:r>
      </w:hyperlink>
      <w:r w:rsidR="003742B1">
        <w:rPr>
          <w:rFonts w:ascii="Times New Roman" w:hAnsi="Times New Roman"/>
        </w:rPr>
        <w:t>.</w:t>
      </w:r>
    </w:p>
  </w:footnote>
  <w:footnote w:id="11">
    <w:p w14:paraId="3D67B949" w14:textId="22056B59" w:rsidR="00943946" w:rsidRPr="003742B1" w:rsidRDefault="00943946" w:rsidP="00CC1D80">
      <w:pPr>
        <w:pStyle w:val="FootnoteText"/>
        <w:spacing w:after="0" w:line="240" w:lineRule="auto"/>
        <w:ind w:left="-284" w:right="-567" w:hanging="284"/>
        <w:jc w:val="both"/>
        <w:rPr>
          <w:rFonts w:ascii="Times New Roman" w:hAnsi="Times New Roman"/>
          <w:lang w:val="en-US"/>
        </w:rPr>
      </w:pPr>
      <w:r w:rsidRPr="003742B1">
        <w:rPr>
          <w:rStyle w:val="FootnoteReference"/>
          <w:rFonts w:ascii="Times New Roman" w:hAnsi="Times New Roman" w:cs="Times New Roman"/>
          <w:sz w:val="20"/>
        </w:rPr>
        <w:footnoteRef/>
      </w:r>
      <w:r w:rsidRPr="003742B1">
        <w:rPr>
          <w:rFonts w:ascii="Times New Roman" w:hAnsi="Times New Roman"/>
        </w:rPr>
        <w:t xml:space="preserve"> </w:t>
      </w:r>
      <w:r w:rsidR="003742B1" w:rsidRPr="003742B1">
        <w:rPr>
          <w:rFonts w:ascii="Times New Roman" w:hAnsi="Times New Roman"/>
        </w:rPr>
        <w:tab/>
      </w:r>
      <w:r w:rsidRPr="003742B1">
        <w:rPr>
          <w:rFonts w:ascii="Times New Roman" w:hAnsi="Times New Roman"/>
        </w:rPr>
        <w:t xml:space="preserve">Cohesion Policy: </w:t>
      </w:r>
      <w:hyperlink r:id="rId10" w:history="1">
        <w:r w:rsidRPr="003742B1">
          <w:rPr>
            <w:rStyle w:val="Hyperlink"/>
            <w:rFonts w:ascii="Times New Roman" w:hAnsi="Times New Roman"/>
          </w:rPr>
          <w:t>https://ec.europa.eu/regional_policy/2021-2027_en</w:t>
        </w:r>
      </w:hyperlink>
      <w:r w:rsidR="003742B1" w:rsidRPr="003742B1">
        <w:rPr>
          <w:rFonts w:ascii="Times New Roman" w:hAnsi="Times New Roman"/>
        </w:rPr>
        <w:t>.</w:t>
      </w:r>
    </w:p>
  </w:footnote>
  <w:footnote w:id="12">
    <w:p w14:paraId="07AA5635" w14:textId="5E172946" w:rsidR="75DA1C80" w:rsidRPr="00CC1D80" w:rsidRDefault="75DA1C80" w:rsidP="00CC1D80">
      <w:pPr>
        <w:pStyle w:val="FootnoteText"/>
        <w:spacing w:after="0" w:line="240" w:lineRule="auto"/>
        <w:ind w:left="-284" w:right="-567" w:hanging="284"/>
        <w:jc w:val="both"/>
        <w:rPr>
          <w:rFonts w:ascii="Times New Roman" w:hAnsi="Times New Roman"/>
        </w:rPr>
      </w:pPr>
      <w:r w:rsidRPr="003742B1">
        <w:rPr>
          <w:rStyle w:val="FootnoteReference"/>
          <w:rFonts w:ascii="Times New Roman" w:hAnsi="Times New Roman" w:cs="Times New Roman"/>
          <w:sz w:val="20"/>
        </w:rPr>
        <w:footnoteRef/>
      </w:r>
      <w:r w:rsidRPr="003742B1">
        <w:rPr>
          <w:rStyle w:val="FootnoteReference"/>
          <w:rFonts w:ascii="Times New Roman" w:hAnsi="Times New Roman" w:cs="Times New Roman"/>
          <w:sz w:val="20"/>
        </w:rPr>
        <w:t xml:space="preserve"> </w:t>
      </w:r>
      <w:r w:rsidR="003742B1" w:rsidRPr="003742B1">
        <w:rPr>
          <w:rFonts w:ascii="Times New Roman" w:hAnsi="Times New Roman"/>
        </w:rPr>
        <w:tab/>
      </w:r>
      <w:r w:rsidRPr="003742B1">
        <w:rPr>
          <w:rFonts w:ascii="Times New Roman" w:eastAsia="Times New Roman" w:hAnsi="Times New Roman"/>
        </w:rPr>
        <w:t xml:space="preserve">Directive (EU) 2024/2841 of the European Parliament and of the Council of 23 October 2024 establishing the European Disability Card and the European Parking Card for persons with disabilities </w:t>
      </w:r>
      <w:r w:rsidR="003742B1">
        <w:rPr>
          <w:rFonts w:ascii="Times New Roman" w:eastAsia="Times New Roman" w:hAnsi="Times New Roman"/>
        </w:rPr>
        <w:t>(</w:t>
      </w:r>
      <w:hyperlink r:id="rId11" w:history="1">
        <w:r w:rsidR="003742B1" w:rsidRPr="003742B1">
          <w:rPr>
            <w:rStyle w:val="Hyperlink"/>
            <w:rFonts w:ascii="Times New Roman" w:eastAsia="Times New Roman" w:hAnsi="Times New Roman"/>
          </w:rPr>
          <w:t>https://eur-lex.europa.eu/eli/dir/2024/2841/oj/eng</w:t>
        </w:r>
      </w:hyperlink>
      <w:r w:rsidR="003742B1">
        <w:rPr>
          <w:rFonts w:ascii="Times New Roman" w:hAnsi="Times New Roman"/>
        </w:rPr>
        <w:t>)</w:t>
      </w:r>
      <w:r w:rsidR="003742B1" w:rsidRPr="003742B1">
        <w:rPr>
          <w:rFonts w:ascii="Times New Roman" w:eastAsia="Times New Roman" w:hAnsi="Times New Roman"/>
        </w:rPr>
        <w:t>.</w:t>
      </w:r>
    </w:p>
  </w:footnote>
  <w:footnote w:id="13">
    <w:p w14:paraId="4794BB30" w14:textId="14AEE82C" w:rsidR="0092402A" w:rsidRPr="00CC1D80" w:rsidRDefault="0092402A" w:rsidP="00CC1D80">
      <w:pPr>
        <w:pStyle w:val="FootnoteText"/>
        <w:spacing w:after="0" w:line="240" w:lineRule="auto"/>
        <w:ind w:left="-284" w:right="-567" w:hanging="284"/>
        <w:jc w:val="both"/>
        <w:rPr>
          <w:rFonts w:ascii="Times New Roman" w:hAnsi="Times New Roman"/>
        </w:rPr>
      </w:pPr>
      <w:r w:rsidRPr="00CC1D80">
        <w:rPr>
          <w:rStyle w:val="FootnoteReference"/>
          <w:rFonts w:ascii="Times New Roman" w:hAnsi="Times New Roman" w:cs="Times New Roman"/>
          <w:sz w:val="20"/>
        </w:rPr>
        <w:footnoteRef/>
      </w:r>
      <w:r w:rsidRPr="00CC1D80">
        <w:rPr>
          <w:rFonts w:ascii="Times New Roman" w:hAnsi="Times New Roman"/>
        </w:rPr>
        <w:t xml:space="preserve"> </w:t>
      </w:r>
      <w:r w:rsidR="003742B1" w:rsidRPr="00CC1D80">
        <w:rPr>
          <w:rFonts w:ascii="Times New Roman" w:hAnsi="Times New Roman"/>
        </w:rPr>
        <w:tab/>
      </w:r>
      <w:r w:rsidRPr="003742B1">
        <w:rPr>
          <w:rFonts w:ascii="Times New Roman" w:hAnsi="Times New Roman"/>
        </w:rPr>
        <w:t>Council Recommendation of 30 January 2023 on adequate minimum income ensuring active inclusion 2023/C 41/01</w:t>
      </w:r>
      <w:r w:rsidR="001B1664" w:rsidRPr="003742B1">
        <w:rPr>
          <w:rFonts w:ascii="Times New Roman" w:hAnsi="Times New Roman"/>
        </w:rPr>
        <w:t xml:space="preserve"> </w:t>
      </w:r>
      <w:r w:rsidRPr="003742B1">
        <w:rPr>
          <w:rFonts w:ascii="Times New Roman" w:hAnsi="Times New Roman"/>
        </w:rPr>
        <w:t>(</w:t>
      </w:r>
      <w:hyperlink r:id="rId12" w:history="1">
        <w:r w:rsidRPr="003742B1">
          <w:rPr>
            <w:rStyle w:val="Hyperlink"/>
            <w:rFonts w:ascii="Times New Roman" w:hAnsi="Times New Roman"/>
          </w:rPr>
          <w:t>https://eur-lex.europa.eu/legal-content/EN/TXT/?uri=oj:JOC_2023_041_R_0001</w:t>
        </w:r>
      </w:hyperlink>
      <w:r w:rsidRPr="003742B1">
        <w:rPr>
          <w:rFonts w:ascii="Times New Roman" w:hAnsi="Times New Roman"/>
        </w:rPr>
        <w:t>)</w:t>
      </w:r>
      <w:r w:rsidR="003742B1">
        <w:rPr>
          <w:rFonts w:ascii="Times New Roman" w:hAnsi="Times New Roman"/>
        </w:rPr>
        <w:t>.</w:t>
      </w:r>
    </w:p>
  </w:footnote>
  <w:footnote w:id="14">
    <w:p w14:paraId="4A93A28B" w14:textId="7A37D180" w:rsidR="0092402A" w:rsidRPr="00CC1D80" w:rsidRDefault="0092402A" w:rsidP="00CC1D80">
      <w:pPr>
        <w:pStyle w:val="FootnoteText"/>
        <w:spacing w:after="0" w:line="240" w:lineRule="auto"/>
        <w:ind w:left="-284" w:right="-567" w:hanging="284"/>
        <w:jc w:val="both"/>
        <w:rPr>
          <w:rFonts w:ascii="Times New Roman" w:hAnsi="Times New Roman"/>
        </w:rPr>
      </w:pPr>
      <w:r w:rsidRPr="00CC1D80">
        <w:rPr>
          <w:rStyle w:val="FootnoteReference"/>
          <w:rFonts w:ascii="Times New Roman" w:hAnsi="Times New Roman" w:cs="Times New Roman"/>
          <w:sz w:val="20"/>
        </w:rPr>
        <w:footnoteRef/>
      </w:r>
      <w:r w:rsidRPr="00CC1D80">
        <w:rPr>
          <w:rFonts w:ascii="Times New Roman" w:hAnsi="Times New Roman"/>
        </w:rPr>
        <w:t xml:space="preserve"> </w:t>
      </w:r>
      <w:r w:rsidR="003742B1" w:rsidRPr="00CC1D80">
        <w:rPr>
          <w:rFonts w:ascii="Times New Roman" w:hAnsi="Times New Roman"/>
        </w:rPr>
        <w:tab/>
      </w:r>
      <w:r w:rsidRPr="003742B1">
        <w:rPr>
          <w:rFonts w:ascii="Times New Roman" w:hAnsi="Times New Roman"/>
        </w:rPr>
        <w:t>Council Recommendation (EU) 2021/1004 of 14 June 2021 establishing a European Child Guarantee.</w:t>
      </w:r>
      <w:r w:rsidR="003742B1" w:rsidRPr="003742B1" w:rsidDel="003742B1">
        <w:rPr>
          <w:rFonts w:ascii="Times New Roman" w:hAnsi="Times New Roman"/>
        </w:rPr>
        <w:t xml:space="preserve"> </w:t>
      </w:r>
      <w:r w:rsidRPr="003742B1">
        <w:rPr>
          <w:rFonts w:ascii="Times New Roman" w:hAnsi="Times New Roman"/>
        </w:rPr>
        <w:t>(</w:t>
      </w:r>
      <w:hyperlink r:id="rId13" w:history="1">
        <w:r w:rsidRPr="003742B1">
          <w:rPr>
            <w:rStyle w:val="Hyperlink"/>
            <w:rFonts w:ascii="Times New Roman" w:hAnsi="Times New Roman"/>
          </w:rPr>
          <w:t>https://eur-lex.europa.eu/eli/reco/2021/1004/oj/eng</w:t>
        </w:r>
      </w:hyperlink>
      <w:r w:rsidRPr="003742B1">
        <w:rPr>
          <w:rFonts w:ascii="Times New Roman" w:hAnsi="Times New Roman"/>
        </w:rPr>
        <w:t>)</w:t>
      </w:r>
      <w:r w:rsidR="003742B1">
        <w:rPr>
          <w:rFonts w:ascii="Times New Roman" w:hAnsi="Times New Roman"/>
        </w:rPr>
        <w:t>.</w:t>
      </w:r>
    </w:p>
  </w:footnote>
  <w:footnote w:id="15">
    <w:p w14:paraId="1B29BF63" w14:textId="1B60D7B1" w:rsidR="75DA1C80" w:rsidRPr="003742B1" w:rsidRDefault="75DA1C80" w:rsidP="00CC1D80">
      <w:pPr>
        <w:pStyle w:val="FootnoteText"/>
        <w:spacing w:after="0" w:line="240" w:lineRule="auto"/>
        <w:ind w:left="-284" w:right="-567" w:hanging="284"/>
        <w:jc w:val="both"/>
        <w:rPr>
          <w:rFonts w:ascii="Times New Roman" w:hAnsi="Times New Roman"/>
        </w:rPr>
      </w:pPr>
      <w:r w:rsidRPr="003742B1">
        <w:rPr>
          <w:rStyle w:val="FootnoteReference"/>
          <w:rFonts w:ascii="Times New Roman" w:hAnsi="Times New Roman" w:cs="Times New Roman"/>
          <w:sz w:val="20"/>
        </w:rPr>
        <w:footnoteRef/>
      </w:r>
      <w:r w:rsidRPr="003742B1">
        <w:rPr>
          <w:rStyle w:val="FootnoteReference"/>
          <w:rFonts w:ascii="Times New Roman" w:hAnsi="Times New Roman" w:cs="Times New Roman"/>
          <w:sz w:val="20"/>
        </w:rPr>
        <w:t xml:space="preserve"> </w:t>
      </w:r>
      <w:r w:rsidR="003742B1" w:rsidRPr="003742B1">
        <w:rPr>
          <w:rFonts w:ascii="Times New Roman" w:hAnsi="Times New Roman"/>
        </w:rPr>
        <w:tab/>
      </w:r>
      <w:r w:rsidRPr="003742B1">
        <w:rPr>
          <w:rFonts w:ascii="Times New Roman" w:hAnsi="Times New Roman"/>
          <w:color w:val="0000FF"/>
          <w:u w:val="single"/>
        </w:rPr>
        <w:t>The EU Strategy on the Rights of the Child and the European Child Guarantee - European Commission</w:t>
      </w:r>
      <w:r w:rsidR="003742B1">
        <w:rPr>
          <w:rFonts w:ascii="Times New Roman" w:hAnsi="Times New Roman"/>
          <w:color w:val="0000FF"/>
          <w:u w:val="single"/>
        </w:rPr>
        <w:t>.</w:t>
      </w:r>
    </w:p>
  </w:footnote>
  <w:footnote w:id="16">
    <w:p w14:paraId="2EC8D1D8" w14:textId="4A6D2751" w:rsidR="75DA1C80" w:rsidRPr="00CC1D80" w:rsidRDefault="75DA1C80" w:rsidP="00CC1D80">
      <w:pPr>
        <w:pStyle w:val="FootnoteText"/>
        <w:spacing w:after="0" w:line="240" w:lineRule="auto"/>
        <w:ind w:left="-284" w:right="-567" w:hanging="284"/>
        <w:jc w:val="both"/>
        <w:rPr>
          <w:rFonts w:ascii="Times New Roman" w:hAnsi="Times New Roman"/>
          <w:lang w:val="en-IE"/>
        </w:rPr>
      </w:pPr>
      <w:r w:rsidRPr="003742B1">
        <w:rPr>
          <w:rStyle w:val="FootnoteReference"/>
          <w:rFonts w:ascii="Times New Roman" w:hAnsi="Times New Roman" w:cs="Times New Roman"/>
          <w:sz w:val="20"/>
        </w:rPr>
        <w:footnoteRef/>
      </w:r>
      <w:r w:rsidRPr="00CC1D80">
        <w:rPr>
          <w:rStyle w:val="FootnoteReference"/>
          <w:rFonts w:ascii="Times New Roman" w:hAnsi="Times New Roman" w:cs="Times New Roman"/>
          <w:sz w:val="20"/>
          <w:lang w:val="en-IE"/>
        </w:rPr>
        <w:t xml:space="preserve"> </w:t>
      </w:r>
      <w:r w:rsidR="003742B1" w:rsidRPr="00CC1D80">
        <w:rPr>
          <w:rFonts w:ascii="Times New Roman" w:hAnsi="Times New Roman"/>
          <w:lang w:val="en-IE"/>
        </w:rPr>
        <w:tab/>
      </w:r>
      <w:r w:rsidR="003742B1" w:rsidRPr="00CC1D80">
        <w:rPr>
          <w:rFonts w:ascii="Times New Roman" w:hAnsi="Times New Roman"/>
        </w:rPr>
        <w:t>Commission Recommendation (EU) 2024/1238 of 23 April 2024 on developing and strengthening integrated child protection systems in the best interests of the child</w:t>
      </w:r>
      <w:r w:rsidR="003742B1" w:rsidRPr="00CC1D80">
        <w:rPr>
          <w:rFonts w:ascii="Times New Roman" w:hAnsi="Times New Roman"/>
          <w:u w:val="single"/>
          <w:lang w:val="en-IE"/>
        </w:rPr>
        <w:t xml:space="preserve"> (</w:t>
      </w:r>
      <w:hyperlink r:id="rId14" w:tooltip="Gives access to this document through its ELI URI." w:history="1">
        <w:r w:rsidR="003742B1" w:rsidRPr="003742B1">
          <w:rPr>
            <w:rStyle w:val="Hyperlink"/>
            <w:rFonts w:ascii="Times New Roman" w:hAnsi="Times New Roman"/>
          </w:rPr>
          <w:t>http://data.europa.eu/eli/reco/2024/1238/oj</w:t>
        </w:r>
      </w:hyperlink>
      <w:r w:rsidR="003742B1">
        <w:rPr>
          <w:rFonts w:ascii="Times New Roman" w:hAnsi="Times New Roman"/>
          <w:color w:val="0000FF"/>
          <w:u w:val="single"/>
          <w:lang w:val="en-IE"/>
        </w:rPr>
        <w:t>)</w:t>
      </w:r>
      <w:r w:rsidR="003742B1" w:rsidRPr="00CC1D80">
        <w:rPr>
          <w:rFonts w:ascii="Times New Roman" w:hAnsi="Times New Roman"/>
          <w:color w:val="0000FF"/>
          <w:u w:val="single"/>
          <w:lang w:val="en-IE"/>
        </w:rPr>
        <w:t>.</w:t>
      </w:r>
    </w:p>
  </w:footnote>
  <w:footnote w:id="17">
    <w:p w14:paraId="306BCA8F" w14:textId="70D9374E" w:rsidR="00427EED" w:rsidRPr="00CC1D80" w:rsidRDefault="00427EED" w:rsidP="00CC1D80">
      <w:pPr>
        <w:pStyle w:val="FootnoteText"/>
        <w:spacing w:after="0" w:line="240" w:lineRule="auto"/>
        <w:ind w:left="-284" w:right="-567" w:hanging="284"/>
        <w:jc w:val="both"/>
        <w:rPr>
          <w:rFonts w:ascii="Times New Roman" w:hAnsi="Times New Roman"/>
        </w:rPr>
      </w:pPr>
      <w:r w:rsidRPr="003742B1">
        <w:rPr>
          <w:rStyle w:val="FootnoteReference"/>
          <w:rFonts w:ascii="Times New Roman" w:hAnsi="Times New Roman" w:cs="Times New Roman"/>
          <w:sz w:val="20"/>
        </w:rPr>
        <w:footnoteRef/>
      </w:r>
      <w:r w:rsidR="40709337" w:rsidRPr="003742B1">
        <w:rPr>
          <w:rStyle w:val="FootnoteReference"/>
          <w:rFonts w:ascii="Times New Roman" w:hAnsi="Times New Roman" w:cs="Times New Roman"/>
          <w:sz w:val="20"/>
        </w:rPr>
        <w:t xml:space="preserve"> </w:t>
      </w:r>
      <w:r w:rsidR="003742B1" w:rsidRPr="003742B1">
        <w:rPr>
          <w:rFonts w:ascii="Times New Roman" w:hAnsi="Times New Roman"/>
        </w:rPr>
        <w:tab/>
      </w:r>
      <w:r w:rsidR="40709337" w:rsidRPr="003742B1">
        <w:rPr>
          <w:rFonts w:ascii="Times New Roman" w:hAnsi="Times New Roman"/>
        </w:rPr>
        <w:t>Council Recommendation (EU) 2021/1004</w:t>
      </w:r>
      <w:r w:rsidR="003742B1">
        <w:rPr>
          <w:rFonts w:ascii="Times New Roman" w:hAnsi="Times New Roman"/>
        </w:rPr>
        <w:t xml:space="preserve"> </w:t>
      </w:r>
      <w:r w:rsidR="003742B1" w:rsidRPr="00CC1D80">
        <w:rPr>
          <w:rFonts w:ascii="Times New Roman" w:hAnsi="Times New Roman"/>
        </w:rPr>
        <w:t>of 14 June 2021 establishing a European Child Guarantee</w:t>
      </w:r>
      <w:r w:rsidR="40709337" w:rsidRPr="003742B1">
        <w:rPr>
          <w:rFonts w:ascii="Times New Roman" w:hAnsi="Times New Roman"/>
        </w:rPr>
        <w:t>, art. 8</w:t>
      </w:r>
      <w:r w:rsidR="003742B1">
        <w:rPr>
          <w:rFonts w:ascii="Times New Roman" w:hAnsi="Times New Roman"/>
        </w:rPr>
        <w:t xml:space="preserve"> (</w:t>
      </w:r>
      <w:hyperlink r:id="rId15" w:tooltip="Gives access to this document through its ELI URI." w:history="1">
        <w:r w:rsidR="003742B1" w:rsidRPr="003742B1">
          <w:rPr>
            <w:rStyle w:val="Hyperlink"/>
            <w:rFonts w:ascii="Times New Roman" w:hAnsi="Times New Roman"/>
          </w:rPr>
          <w:t>http://data.europa.eu/eli/reco/2021/1004/oj</w:t>
        </w:r>
      </w:hyperlink>
      <w:r w:rsidR="003742B1">
        <w:rPr>
          <w:rFonts w:ascii="Times New Roman" w:hAnsi="Times New Roman"/>
        </w:rPr>
        <w:t>)</w:t>
      </w:r>
      <w:r w:rsidR="40709337" w:rsidRPr="003742B1">
        <w:rPr>
          <w:rFonts w:ascii="Times New Roman" w:hAnsi="Times New Roman"/>
        </w:rPr>
        <w:t>.</w:t>
      </w:r>
    </w:p>
  </w:footnote>
  <w:footnote w:id="18">
    <w:p w14:paraId="690D0892" w14:textId="6318BC33" w:rsidR="003619F0" w:rsidRPr="003742B1" w:rsidRDefault="003619F0" w:rsidP="00CC1D80">
      <w:pPr>
        <w:spacing w:after="0" w:line="240" w:lineRule="auto"/>
        <w:ind w:right="-426" w:hanging="284"/>
        <w:jc w:val="both"/>
        <w:rPr>
          <w:rFonts w:ascii="Times New Roman" w:hAnsi="Times New Roman"/>
          <w:sz w:val="20"/>
          <w:szCs w:val="20"/>
        </w:rPr>
      </w:pPr>
      <w:r w:rsidRPr="003742B1">
        <w:rPr>
          <w:rStyle w:val="FootnoteReference"/>
          <w:rFonts w:ascii="Times New Roman" w:hAnsi="Times New Roman" w:cs="Times New Roman"/>
          <w:sz w:val="20"/>
          <w:szCs w:val="20"/>
        </w:rPr>
        <w:footnoteRef/>
      </w:r>
      <w:r w:rsidRPr="003742B1">
        <w:rPr>
          <w:rFonts w:ascii="Times New Roman" w:hAnsi="Times New Roman"/>
          <w:sz w:val="20"/>
          <w:szCs w:val="20"/>
        </w:rPr>
        <w:t xml:space="preserve"> </w:t>
      </w:r>
      <w:r w:rsidR="003742B1" w:rsidRPr="003742B1">
        <w:rPr>
          <w:rFonts w:ascii="Times New Roman" w:hAnsi="Times New Roman"/>
          <w:sz w:val="20"/>
          <w:szCs w:val="20"/>
        </w:rPr>
        <w:tab/>
      </w:r>
      <w:r w:rsidRPr="003742B1">
        <w:rPr>
          <w:rFonts w:ascii="Times New Roman" w:hAnsi="Times New Roman"/>
          <w:sz w:val="20"/>
          <w:szCs w:val="20"/>
        </w:rPr>
        <w:t>Commission Communication on Labour and skills shortages in the EU: an action plan, COM(2024) 131</w:t>
      </w:r>
      <w:r w:rsidR="003742B1">
        <w:rPr>
          <w:rFonts w:ascii="Times New Roman" w:hAnsi="Times New Roman"/>
          <w:sz w:val="20"/>
          <w:szCs w:val="20"/>
        </w:rPr>
        <w:t xml:space="preserve"> final</w:t>
      </w:r>
      <w:r w:rsidRPr="003742B1">
        <w:rPr>
          <w:rFonts w:ascii="Times New Roman" w:hAnsi="Times New Roman"/>
          <w:sz w:val="20"/>
          <w:szCs w:val="20"/>
        </w:rPr>
        <w:t xml:space="preserve"> (</w:t>
      </w:r>
      <w:hyperlink r:id="rId16" w:history="1">
        <w:r w:rsidRPr="003742B1">
          <w:rPr>
            <w:rStyle w:val="Hyperlink"/>
            <w:rFonts w:ascii="Times New Roman" w:hAnsi="Times New Roman"/>
            <w:sz w:val="20"/>
            <w:szCs w:val="20"/>
          </w:rPr>
          <w:t>https://eur-lex.europa.eu/legal-content/EN/TXT/?uri=CELEX:52024DC0131</w:t>
        </w:r>
      </w:hyperlink>
      <w:r w:rsidRPr="003742B1">
        <w:rPr>
          <w:rFonts w:ascii="Times New Roman" w:hAnsi="Times New Roman"/>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NORMAL"/>
  </w:docVars>
  <w:rsids>
    <w:rsidRoot w:val="00077C4F"/>
    <w:rsid w:val="00011FAE"/>
    <w:rsid w:val="00012A37"/>
    <w:rsid w:val="000169F0"/>
    <w:rsid w:val="00035C06"/>
    <w:rsid w:val="00046B15"/>
    <w:rsid w:val="00050DC7"/>
    <w:rsid w:val="00055B13"/>
    <w:rsid w:val="00076109"/>
    <w:rsid w:val="00077293"/>
    <w:rsid w:val="00077C4F"/>
    <w:rsid w:val="000B10BE"/>
    <w:rsid w:val="000B514B"/>
    <w:rsid w:val="000C3F69"/>
    <w:rsid w:val="000D5DB5"/>
    <w:rsid w:val="000E4507"/>
    <w:rsid w:val="0010323F"/>
    <w:rsid w:val="00115CE7"/>
    <w:rsid w:val="00115F8B"/>
    <w:rsid w:val="001167C0"/>
    <w:rsid w:val="001200B3"/>
    <w:rsid w:val="00135C2A"/>
    <w:rsid w:val="00143585"/>
    <w:rsid w:val="0014373A"/>
    <w:rsid w:val="00162E9F"/>
    <w:rsid w:val="00165356"/>
    <w:rsid w:val="00183606"/>
    <w:rsid w:val="00192071"/>
    <w:rsid w:val="00196E58"/>
    <w:rsid w:val="001B0E0B"/>
    <w:rsid w:val="001B1664"/>
    <w:rsid w:val="001C1FB9"/>
    <w:rsid w:val="001D017F"/>
    <w:rsid w:val="001E755A"/>
    <w:rsid w:val="001F2EC6"/>
    <w:rsid w:val="001F65D0"/>
    <w:rsid w:val="00204D94"/>
    <w:rsid w:val="00220E29"/>
    <w:rsid w:val="00225144"/>
    <w:rsid w:val="00242964"/>
    <w:rsid w:val="00263A54"/>
    <w:rsid w:val="00272402"/>
    <w:rsid w:val="00273524"/>
    <w:rsid w:val="00287867"/>
    <w:rsid w:val="002939D5"/>
    <w:rsid w:val="002A22A8"/>
    <w:rsid w:val="002A7794"/>
    <w:rsid w:val="002B14DF"/>
    <w:rsid w:val="002D44E4"/>
    <w:rsid w:val="002D62E0"/>
    <w:rsid w:val="002E39B1"/>
    <w:rsid w:val="002E53C0"/>
    <w:rsid w:val="002F03FA"/>
    <w:rsid w:val="003004D2"/>
    <w:rsid w:val="00304042"/>
    <w:rsid w:val="00314CBA"/>
    <w:rsid w:val="00316C41"/>
    <w:rsid w:val="003243F5"/>
    <w:rsid w:val="003349A3"/>
    <w:rsid w:val="00346AE6"/>
    <w:rsid w:val="003619F0"/>
    <w:rsid w:val="003635DC"/>
    <w:rsid w:val="003742B1"/>
    <w:rsid w:val="00377967"/>
    <w:rsid w:val="00377B71"/>
    <w:rsid w:val="00386143"/>
    <w:rsid w:val="0039158B"/>
    <w:rsid w:val="003963C1"/>
    <w:rsid w:val="003B46DE"/>
    <w:rsid w:val="003B58DC"/>
    <w:rsid w:val="003C2D60"/>
    <w:rsid w:val="003C4553"/>
    <w:rsid w:val="003D645F"/>
    <w:rsid w:val="003E5855"/>
    <w:rsid w:val="003E7F1F"/>
    <w:rsid w:val="003F6426"/>
    <w:rsid w:val="003F686E"/>
    <w:rsid w:val="00406A4C"/>
    <w:rsid w:val="00427EED"/>
    <w:rsid w:val="00442552"/>
    <w:rsid w:val="00452760"/>
    <w:rsid w:val="00452E3F"/>
    <w:rsid w:val="00460E0C"/>
    <w:rsid w:val="004675B5"/>
    <w:rsid w:val="00474680"/>
    <w:rsid w:val="004770D6"/>
    <w:rsid w:val="004867ED"/>
    <w:rsid w:val="004927F1"/>
    <w:rsid w:val="004A53F3"/>
    <w:rsid w:val="004B1C1F"/>
    <w:rsid w:val="004E17FB"/>
    <w:rsid w:val="004E54DD"/>
    <w:rsid w:val="004F0BED"/>
    <w:rsid w:val="004F3114"/>
    <w:rsid w:val="004F63F1"/>
    <w:rsid w:val="004F651E"/>
    <w:rsid w:val="005005E6"/>
    <w:rsid w:val="00505AFB"/>
    <w:rsid w:val="005134A2"/>
    <w:rsid w:val="00523095"/>
    <w:rsid w:val="0052510C"/>
    <w:rsid w:val="0052596B"/>
    <w:rsid w:val="00544CF5"/>
    <w:rsid w:val="00546854"/>
    <w:rsid w:val="00554104"/>
    <w:rsid w:val="00554D8D"/>
    <w:rsid w:val="00572E83"/>
    <w:rsid w:val="00581306"/>
    <w:rsid w:val="00586744"/>
    <w:rsid w:val="00590CF1"/>
    <w:rsid w:val="005C3105"/>
    <w:rsid w:val="005E28BD"/>
    <w:rsid w:val="005E41AB"/>
    <w:rsid w:val="005E5944"/>
    <w:rsid w:val="005F27B8"/>
    <w:rsid w:val="00600E58"/>
    <w:rsid w:val="00603C56"/>
    <w:rsid w:val="00610E96"/>
    <w:rsid w:val="00620468"/>
    <w:rsid w:val="00623A0C"/>
    <w:rsid w:val="006269D8"/>
    <w:rsid w:val="00627CD0"/>
    <w:rsid w:val="00634A67"/>
    <w:rsid w:val="006410E7"/>
    <w:rsid w:val="00641C23"/>
    <w:rsid w:val="006616FB"/>
    <w:rsid w:val="006635A6"/>
    <w:rsid w:val="006639A8"/>
    <w:rsid w:val="00694EEF"/>
    <w:rsid w:val="00696A5E"/>
    <w:rsid w:val="006A0DE4"/>
    <w:rsid w:val="006B3B69"/>
    <w:rsid w:val="006B49EC"/>
    <w:rsid w:val="006C4E1B"/>
    <w:rsid w:val="0071567E"/>
    <w:rsid w:val="00715809"/>
    <w:rsid w:val="00717D36"/>
    <w:rsid w:val="0072783C"/>
    <w:rsid w:val="007417E2"/>
    <w:rsid w:val="00751910"/>
    <w:rsid w:val="00751E60"/>
    <w:rsid w:val="007547B5"/>
    <w:rsid w:val="00755C50"/>
    <w:rsid w:val="00767ACA"/>
    <w:rsid w:val="00795A9E"/>
    <w:rsid w:val="007A606D"/>
    <w:rsid w:val="007A6B22"/>
    <w:rsid w:val="007B09B1"/>
    <w:rsid w:val="007C2214"/>
    <w:rsid w:val="007C3DF4"/>
    <w:rsid w:val="007C6AE3"/>
    <w:rsid w:val="007F1620"/>
    <w:rsid w:val="007F4BAD"/>
    <w:rsid w:val="007F54CC"/>
    <w:rsid w:val="0080F2F7"/>
    <w:rsid w:val="008116A6"/>
    <w:rsid w:val="00812EA7"/>
    <w:rsid w:val="008135CA"/>
    <w:rsid w:val="0081584F"/>
    <w:rsid w:val="00824CB8"/>
    <w:rsid w:val="0085736C"/>
    <w:rsid w:val="008703BF"/>
    <w:rsid w:val="0087451C"/>
    <w:rsid w:val="008925CE"/>
    <w:rsid w:val="008B1BDC"/>
    <w:rsid w:val="008B242B"/>
    <w:rsid w:val="008C4D41"/>
    <w:rsid w:val="008C6EA5"/>
    <w:rsid w:val="008D0A9D"/>
    <w:rsid w:val="008D793B"/>
    <w:rsid w:val="008E1AD3"/>
    <w:rsid w:val="009129B9"/>
    <w:rsid w:val="00915473"/>
    <w:rsid w:val="0092316A"/>
    <w:rsid w:val="0092402A"/>
    <w:rsid w:val="009370F1"/>
    <w:rsid w:val="00943946"/>
    <w:rsid w:val="009567F2"/>
    <w:rsid w:val="00965856"/>
    <w:rsid w:val="0097333A"/>
    <w:rsid w:val="00973A75"/>
    <w:rsid w:val="009763E9"/>
    <w:rsid w:val="00981F45"/>
    <w:rsid w:val="00991B00"/>
    <w:rsid w:val="00994D12"/>
    <w:rsid w:val="00995738"/>
    <w:rsid w:val="009B128B"/>
    <w:rsid w:val="009B5974"/>
    <w:rsid w:val="009D3CE7"/>
    <w:rsid w:val="00A16F07"/>
    <w:rsid w:val="00A325CC"/>
    <w:rsid w:val="00A4415B"/>
    <w:rsid w:val="00A46094"/>
    <w:rsid w:val="00A5427C"/>
    <w:rsid w:val="00A62C7B"/>
    <w:rsid w:val="00A844DF"/>
    <w:rsid w:val="00A85387"/>
    <w:rsid w:val="00A85632"/>
    <w:rsid w:val="00A91725"/>
    <w:rsid w:val="00A96330"/>
    <w:rsid w:val="00A97AC3"/>
    <w:rsid w:val="00AA232D"/>
    <w:rsid w:val="00AB14BE"/>
    <w:rsid w:val="00AB3239"/>
    <w:rsid w:val="00AC080B"/>
    <w:rsid w:val="00AC30FE"/>
    <w:rsid w:val="00AD5246"/>
    <w:rsid w:val="00AE0A62"/>
    <w:rsid w:val="00AF3B6C"/>
    <w:rsid w:val="00B011C5"/>
    <w:rsid w:val="00B27CA0"/>
    <w:rsid w:val="00B31306"/>
    <w:rsid w:val="00B3435E"/>
    <w:rsid w:val="00B42814"/>
    <w:rsid w:val="00B469C5"/>
    <w:rsid w:val="00B60A2C"/>
    <w:rsid w:val="00B63CFC"/>
    <w:rsid w:val="00B76612"/>
    <w:rsid w:val="00B83936"/>
    <w:rsid w:val="00BA7D18"/>
    <w:rsid w:val="00BB06C4"/>
    <w:rsid w:val="00BB2A8C"/>
    <w:rsid w:val="00BC6938"/>
    <w:rsid w:val="00BD6EB7"/>
    <w:rsid w:val="00BE5823"/>
    <w:rsid w:val="00BE70A1"/>
    <w:rsid w:val="00BF330E"/>
    <w:rsid w:val="00BF3BB0"/>
    <w:rsid w:val="00C310CC"/>
    <w:rsid w:val="00C3161F"/>
    <w:rsid w:val="00C32372"/>
    <w:rsid w:val="00C32FD5"/>
    <w:rsid w:val="00C53124"/>
    <w:rsid w:val="00C54D27"/>
    <w:rsid w:val="00C65E0A"/>
    <w:rsid w:val="00C672A7"/>
    <w:rsid w:val="00C723DE"/>
    <w:rsid w:val="00C76EEB"/>
    <w:rsid w:val="00C84314"/>
    <w:rsid w:val="00C85E15"/>
    <w:rsid w:val="00C93154"/>
    <w:rsid w:val="00CA02A7"/>
    <w:rsid w:val="00CA2B82"/>
    <w:rsid w:val="00CA4C88"/>
    <w:rsid w:val="00CB0C43"/>
    <w:rsid w:val="00CB2750"/>
    <w:rsid w:val="00CC192E"/>
    <w:rsid w:val="00CC1D80"/>
    <w:rsid w:val="00CC2992"/>
    <w:rsid w:val="00CC38CC"/>
    <w:rsid w:val="00CD514B"/>
    <w:rsid w:val="00CE3879"/>
    <w:rsid w:val="00CE66F8"/>
    <w:rsid w:val="00D01F5A"/>
    <w:rsid w:val="00D1716E"/>
    <w:rsid w:val="00D17977"/>
    <w:rsid w:val="00D179F6"/>
    <w:rsid w:val="00D17B4A"/>
    <w:rsid w:val="00D20D34"/>
    <w:rsid w:val="00D22135"/>
    <w:rsid w:val="00D23DD1"/>
    <w:rsid w:val="00D25A24"/>
    <w:rsid w:val="00D346BD"/>
    <w:rsid w:val="00D64650"/>
    <w:rsid w:val="00D64E05"/>
    <w:rsid w:val="00D7416D"/>
    <w:rsid w:val="00D83076"/>
    <w:rsid w:val="00D85EB8"/>
    <w:rsid w:val="00D92FD3"/>
    <w:rsid w:val="00DA3B6E"/>
    <w:rsid w:val="00DB17CC"/>
    <w:rsid w:val="00DB7581"/>
    <w:rsid w:val="00DC07B3"/>
    <w:rsid w:val="00DC6969"/>
    <w:rsid w:val="00DC70C1"/>
    <w:rsid w:val="00DD2FF2"/>
    <w:rsid w:val="00DE1219"/>
    <w:rsid w:val="00DE187C"/>
    <w:rsid w:val="00DE5329"/>
    <w:rsid w:val="00DE53DD"/>
    <w:rsid w:val="00E1016C"/>
    <w:rsid w:val="00E125CE"/>
    <w:rsid w:val="00E24141"/>
    <w:rsid w:val="00E37F2C"/>
    <w:rsid w:val="00E528EB"/>
    <w:rsid w:val="00E542A2"/>
    <w:rsid w:val="00E609E2"/>
    <w:rsid w:val="00E62F79"/>
    <w:rsid w:val="00E8788F"/>
    <w:rsid w:val="00E904C8"/>
    <w:rsid w:val="00EA1BBF"/>
    <w:rsid w:val="00EA7137"/>
    <w:rsid w:val="00EB29A9"/>
    <w:rsid w:val="00EB77D2"/>
    <w:rsid w:val="00ED2F5B"/>
    <w:rsid w:val="00EF188D"/>
    <w:rsid w:val="00F0021B"/>
    <w:rsid w:val="00F11CF9"/>
    <w:rsid w:val="00F15ADB"/>
    <w:rsid w:val="00F30B93"/>
    <w:rsid w:val="00F311B6"/>
    <w:rsid w:val="00F316C8"/>
    <w:rsid w:val="00F546C1"/>
    <w:rsid w:val="00F62737"/>
    <w:rsid w:val="00F632DE"/>
    <w:rsid w:val="00F941C3"/>
    <w:rsid w:val="00F95390"/>
    <w:rsid w:val="00FA1C12"/>
    <w:rsid w:val="00FB48E1"/>
    <w:rsid w:val="00FB7834"/>
    <w:rsid w:val="00FC1EA5"/>
    <w:rsid w:val="00FC55ED"/>
    <w:rsid w:val="00FD4B6A"/>
    <w:rsid w:val="00FE473F"/>
    <w:rsid w:val="00FF03A8"/>
    <w:rsid w:val="00FF428A"/>
    <w:rsid w:val="05368EE4"/>
    <w:rsid w:val="05424986"/>
    <w:rsid w:val="069EB30C"/>
    <w:rsid w:val="0A8F3CDD"/>
    <w:rsid w:val="0BCA7AA4"/>
    <w:rsid w:val="0E0FC3D1"/>
    <w:rsid w:val="0E1524F6"/>
    <w:rsid w:val="0EEB0725"/>
    <w:rsid w:val="0FA3B8E4"/>
    <w:rsid w:val="108079D5"/>
    <w:rsid w:val="1083C3C4"/>
    <w:rsid w:val="11487308"/>
    <w:rsid w:val="13680D4C"/>
    <w:rsid w:val="137CE9F8"/>
    <w:rsid w:val="1480E4A9"/>
    <w:rsid w:val="15BD67AE"/>
    <w:rsid w:val="162A6066"/>
    <w:rsid w:val="166A9AC9"/>
    <w:rsid w:val="16993DA8"/>
    <w:rsid w:val="19A5A5C4"/>
    <w:rsid w:val="1C9D8C91"/>
    <w:rsid w:val="1DA5332E"/>
    <w:rsid w:val="1EBBC60C"/>
    <w:rsid w:val="1F86B57B"/>
    <w:rsid w:val="2030AB92"/>
    <w:rsid w:val="27288636"/>
    <w:rsid w:val="2CAF2BD1"/>
    <w:rsid w:val="2D686168"/>
    <w:rsid w:val="31DEFF1E"/>
    <w:rsid w:val="34AB0D87"/>
    <w:rsid w:val="34DD9125"/>
    <w:rsid w:val="380BE01A"/>
    <w:rsid w:val="39E3A672"/>
    <w:rsid w:val="3D178ACE"/>
    <w:rsid w:val="40709337"/>
    <w:rsid w:val="40FC3706"/>
    <w:rsid w:val="42AC8213"/>
    <w:rsid w:val="4674BD7C"/>
    <w:rsid w:val="49B76AE1"/>
    <w:rsid w:val="4B19D531"/>
    <w:rsid w:val="4BD4906D"/>
    <w:rsid w:val="4D232599"/>
    <w:rsid w:val="4D80E61D"/>
    <w:rsid w:val="4E42AC3D"/>
    <w:rsid w:val="52BB2798"/>
    <w:rsid w:val="538137D7"/>
    <w:rsid w:val="55121EC2"/>
    <w:rsid w:val="553C58F3"/>
    <w:rsid w:val="562AF9EC"/>
    <w:rsid w:val="56F49ED4"/>
    <w:rsid w:val="5730947C"/>
    <w:rsid w:val="57A8361F"/>
    <w:rsid w:val="588EF27F"/>
    <w:rsid w:val="597142A2"/>
    <w:rsid w:val="5B43616C"/>
    <w:rsid w:val="5EC53819"/>
    <w:rsid w:val="5F49E289"/>
    <w:rsid w:val="60086FA5"/>
    <w:rsid w:val="600F0848"/>
    <w:rsid w:val="64A7CA18"/>
    <w:rsid w:val="658A7A11"/>
    <w:rsid w:val="6737645B"/>
    <w:rsid w:val="6A1E22E6"/>
    <w:rsid w:val="6B67C2EC"/>
    <w:rsid w:val="6C87B3CB"/>
    <w:rsid w:val="6CEE9AB2"/>
    <w:rsid w:val="6DF26DFC"/>
    <w:rsid w:val="6E4A495D"/>
    <w:rsid w:val="703CB3DA"/>
    <w:rsid w:val="715C5D8A"/>
    <w:rsid w:val="743927BA"/>
    <w:rsid w:val="74ABB7B9"/>
    <w:rsid w:val="74BE659E"/>
    <w:rsid w:val="74E4C9A4"/>
    <w:rsid w:val="7503A5E1"/>
    <w:rsid w:val="75DA1C80"/>
    <w:rsid w:val="77522309"/>
    <w:rsid w:val="78EEBF90"/>
    <w:rsid w:val="7992137D"/>
    <w:rsid w:val="7BD51CFA"/>
    <w:rsid w:val="7CE0A71E"/>
    <w:rsid w:val="7DF19760"/>
    <w:rsid w:val="7E58B4F2"/>
    <w:rsid w:val="7F584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BD238"/>
  <w15:chartTrackingRefBased/>
  <w15:docId w15:val="{D33D9C4A-2C86-4D1C-8938-813272D3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3F6426"/>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179F6"/>
    <w:rPr>
      <w:sz w:val="22"/>
      <w:szCs w:val="22"/>
      <w:lang w:val="en-GB" w:eastAsia="en-US"/>
    </w:rPr>
  </w:style>
  <w:style w:type="paragraph" w:styleId="Header">
    <w:name w:val="header"/>
    <w:basedOn w:val="Normal"/>
    <w:link w:val="HeaderChar"/>
    <w:uiPriority w:val="99"/>
    <w:semiHidden/>
    <w:unhideWhenUsed/>
    <w:rsid w:val="002D44E4"/>
    <w:pPr>
      <w:tabs>
        <w:tab w:val="center" w:pos="4513"/>
        <w:tab w:val="right" w:pos="9026"/>
      </w:tabs>
    </w:pPr>
  </w:style>
  <w:style w:type="character" w:customStyle="1" w:styleId="HeaderChar">
    <w:name w:val="Header Char"/>
    <w:link w:val="Header"/>
    <w:uiPriority w:val="99"/>
    <w:semiHidden/>
    <w:rsid w:val="002D44E4"/>
    <w:rPr>
      <w:sz w:val="22"/>
      <w:szCs w:val="22"/>
      <w:lang w:val="en-GB" w:eastAsia="en-US"/>
    </w:rPr>
  </w:style>
  <w:style w:type="paragraph" w:styleId="Footer">
    <w:name w:val="footer"/>
    <w:basedOn w:val="Normal"/>
    <w:link w:val="FooterChar"/>
    <w:uiPriority w:val="99"/>
    <w:semiHidden/>
    <w:unhideWhenUsed/>
    <w:rsid w:val="002D44E4"/>
    <w:pPr>
      <w:tabs>
        <w:tab w:val="center" w:pos="4513"/>
        <w:tab w:val="right" w:pos="9026"/>
      </w:tabs>
    </w:pPr>
  </w:style>
  <w:style w:type="character" w:customStyle="1" w:styleId="FooterChar">
    <w:name w:val="Footer Char"/>
    <w:link w:val="Footer"/>
    <w:uiPriority w:val="99"/>
    <w:semiHidden/>
    <w:rsid w:val="002D44E4"/>
    <w:rPr>
      <w:sz w:val="22"/>
      <w:szCs w:val="22"/>
      <w:lang w:val="en-GB" w:eastAsia="en-US"/>
    </w:rPr>
  </w:style>
  <w:style w:type="character" w:styleId="CommentReference">
    <w:name w:val="annotation reference"/>
    <w:uiPriority w:val="99"/>
    <w:semiHidden/>
    <w:unhideWhenUsed/>
    <w:rsid w:val="00546854"/>
    <w:rPr>
      <w:sz w:val="16"/>
      <w:szCs w:val="16"/>
    </w:rPr>
  </w:style>
  <w:style w:type="paragraph" w:styleId="CommentText">
    <w:name w:val="annotation text"/>
    <w:basedOn w:val="Normal"/>
    <w:link w:val="CommentTextChar"/>
    <w:uiPriority w:val="99"/>
    <w:unhideWhenUsed/>
    <w:rsid w:val="00546854"/>
    <w:rPr>
      <w:sz w:val="20"/>
      <w:szCs w:val="20"/>
    </w:rPr>
  </w:style>
  <w:style w:type="character" w:customStyle="1" w:styleId="CommentTextChar">
    <w:name w:val="Comment Text Char"/>
    <w:link w:val="CommentText"/>
    <w:uiPriority w:val="99"/>
    <w:rsid w:val="00546854"/>
    <w:rPr>
      <w:lang w:val="en-GB" w:eastAsia="en-US"/>
    </w:rPr>
  </w:style>
  <w:style w:type="paragraph" w:styleId="CommentSubject">
    <w:name w:val="annotation subject"/>
    <w:basedOn w:val="CommentText"/>
    <w:next w:val="CommentText"/>
    <w:link w:val="CommentSubjectChar"/>
    <w:uiPriority w:val="99"/>
    <w:semiHidden/>
    <w:unhideWhenUsed/>
    <w:rsid w:val="00546854"/>
    <w:rPr>
      <w:b/>
      <w:bCs/>
    </w:rPr>
  </w:style>
  <w:style w:type="character" w:customStyle="1" w:styleId="CommentSubjectChar">
    <w:name w:val="Comment Subject Char"/>
    <w:link w:val="CommentSubject"/>
    <w:uiPriority w:val="99"/>
    <w:semiHidden/>
    <w:rsid w:val="00546854"/>
    <w:rPr>
      <w:b/>
      <w:bCs/>
      <w:lang w:val="en-GB" w:eastAsia="en-US"/>
    </w:rPr>
  </w:style>
  <w:style w:type="character" w:styleId="FootnoteReference">
    <w:name w:val="footnote reference"/>
    <w:aliases w:val="Footnote symbol"/>
    <w:link w:val="-FNCharCharChar"/>
    <w:uiPriority w:val="99"/>
    <w:unhideWhenUsed/>
    <w:qFormat/>
    <w:rsid w:val="00AA232D"/>
    <w:rPr>
      <w:rFonts w:ascii="Arial" w:hAnsi="Arial" w:cs="Arial"/>
      <w:sz w:val="18"/>
      <w:vertAlign w:val="superscript"/>
    </w:rPr>
  </w:style>
  <w:style w:type="paragraph" w:customStyle="1" w:styleId="-FNCharCharChar">
    <w:name w:val="Знак сноски-FN Char Char Char"/>
    <w:basedOn w:val="Normal"/>
    <w:link w:val="FootnoteReference"/>
    <w:rsid w:val="00AA232D"/>
    <w:pPr>
      <w:spacing w:after="160" w:line="240" w:lineRule="exact"/>
    </w:pPr>
    <w:rPr>
      <w:rFonts w:ascii="Arial" w:hAnsi="Arial" w:cs="Arial"/>
      <w:sz w:val="18"/>
      <w:szCs w:val="20"/>
      <w:vertAlign w:val="superscript"/>
      <w:lang w:val="en-IE" w:eastAsia="en-IE"/>
    </w:rPr>
  </w:style>
  <w:style w:type="character" w:styleId="Hyperlink">
    <w:name w:val="Hyperlink"/>
    <w:uiPriority w:val="99"/>
    <w:unhideWhenUsed/>
    <w:rsid w:val="00AA232D"/>
    <w:rPr>
      <w:color w:val="0000FF"/>
      <w:u w:val="single"/>
    </w:rPr>
  </w:style>
  <w:style w:type="paragraph" w:styleId="FootnoteText">
    <w:name w:val="footnote text"/>
    <w:basedOn w:val="Normal"/>
    <w:link w:val="FootnoteTextChar"/>
    <w:uiPriority w:val="99"/>
    <w:semiHidden/>
    <w:unhideWhenUsed/>
    <w:rsid w:val="00316C41"/>
    <w:rPr>
      <w:sz w:val="20"/>
      <w:szCs w:val="20"/>
    </w:rPr>
  </w:style>
  <w:style w:type="character" w:customStyle="1" w:styleId="FootnoteTextChar">
    <w:name w:val="Footnote Text Char"/>
    <w:link w:val="FootnoteText"/>
    <w:uiPriority w:val="99"/>
    <w:semiHidden/>
    <w:rsid w:val="00316C41"/>
    <w:rPr>
      <w:lang w:val="en-GB" w:eastAsia="en-US"/>
    </w:rPr>
  </w:style>
  <w:style w:type="character" w:styleId="UnresolvedMention">
    <w:name w:val="Unresolved Mention"/>
    <w:uiPriority w:val="99"/>
    <w:semiHidden/>
    <w:unhideWhenUsed/>
    <w:rsid w:val="00943946"/>
    <w:rPr>
      <w:color w:val="605E5C"/>
      <w:shd w:val="clear" w:color="auto" w:fill="E1DFDD"/>
    </w:rPr>
  </w:style>
  <w:style w:type="character" w:styleId="FollowedHyperlink">
    <w:name w:val="FollowedHyperlink"/>
    <w:uiPriority w:val="99"/>
    <w:semiHidden/>
    <w:unhideWhenUsed/>
    <w:rsid w:val="00B60A2C"/>
    <w:rPr>
      <w:color w:val="954F72"/>
      <w:u w:val="single"/>
    </w:rPr>
  </w:style>
  <w:style w:type="character" w:customStyle="1" w:styleId="Heading1Char">
    <w:name w:val="Heading 1 Char"/>
    <w:link w:val="Heading1"/>
    <w:uiPriority w:val="9"/>
    <w:rsid w:val="003F6426"/>
    <w:rPr>
      <w:rFonts w:ascii="Calibri Light" w:eastAsia="Times New Roman" w:hAnsi="Calibri Light" w:cs="Times New Roman"/>
      <w:b/>
      <w:bCs/>
      <w:kern w:val="32"/>
      <w:sz w:val="32"/>
      <w:szCs w:val="32"/>
      <w:lang w:val="en-GB" w:eastAsia="en-US"/>
    </w:rPr>
  </w:style>
  <w:style w:type="character" w:styleId="Mention">
    <w:name w:val="Mention"/>
    <w:uiPriority w:val="99"/>
    <w:unhideWhenUsed/>
    <w:rsid w:val="00FB48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37016">
      <w:bodyDiv w:val="1"/>
      <w:marLeft w:val="0"/>
      <w:marRight w:val="0"/>
      <w:marTop w:val="0"/>
      <w:marBottom w:val="0"/>
      <w:divBdr>
        <w:top w:val="none" w:sz="0" w:space="0" w:color="auto"/>
        <w:left w:val="none" w:sz="0" w:space="0" w:color="auto"/>
        <w:bottom w:val="none" w:sz="0" w:space="0" w:color="auto"/>
        <w:right w:val="none" w:sz="0" w:space="0" w:color="auto"/>
      </w:divBdr>
    </w:div>
    <w:div w:id="1167549668">
      <w:bodyDiv w:val="1"/>
      <w:marLeft w:val="0"/>
      <w:marRight w:val="0"/>
      <w:marTop w:val="0"/>
      <w:marBottom w:val="0"/>
      <w:divBdr>
        <w:top w:val="none" w:sz="0" w:space="0" w:color="auto"/>
        <w:left w:val="none" w:sz="0" w:space="0" w:color="auto"/>
        <w:bottom w:val="none" w:sz="0" w:space="0" w:color="auto"/>
        <w:right w:val="none" w:sz="0" w:space="0" w:color="auto"/>
      </w:divBdr>
    </w:div>
    <w:div w:id="1511025251">
      <w:bodyDiv w:val="1"/>
      <w:marLeft w:val="0"/>
      <w:marRight w:val="0"/>
      <w:marTop w:val="0"/>
      <w:marBottom w:val="0"/>
      <w:divBdr>
        <w:top w:val="none" w:sz="0" w:space="0" w:color="auto"/>
        <w:left w:val="none" w:sz="0" w:space="0" w:color="auto"/>
        <w:bottom w:val="none" w:sz="0" w:space="0" w:color="auto"/>
        <w:right w:val="none" w:sz="0" w:space="0" w:color="auto"/>
      </w:divBdr>
    </w:div>
    <w:div w:id="20449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business-economy-euro/economic-recovery/recovery-and-resilience-facility_en" TargetMode="External"/><Relationship Id="rId13" Type="http://schemas.openxmlformats.org/officeDocument/2006/relationships/hyperlink" Target="https://eur-lex.europa.eu/eli/reco/2021/1004/oj/eng" TargetMode="External"/><Relationship Id="rId3" Type="http://schemas.openxmlformats.org/officeDocument/2006/relationships/hyperlink" Target="https://employment-social-affairs.ec.europa.eu/policies-and-activities/european-pillar-social-rights-building-fairer-and-more-inclusive-european-union_en" TargetMode="External"/><Relationship Id="rId7" Type="http://schemas.openxmlformats.org/officeDocument/2006/relationships/hyperlink" Target="https://health.ec.europa.eu/state-health-eu_en" TargetMode="External"/><Relationship Id="rId12" Type="http://schemas.openxmlformats.org/officeDocument/2006/relationships/hyperlink" Target="https://eur-lex.europa.eu/legal-content/EN/TXT/?uri=oj:JOC_2023_041_R_0001" TargetMode="External"/><Relationship Id="rId2" Type="http://schemas.openxmlformats.org/officeDocument/2006/relationships/hyperlink" Target="https://eur-lex.europa.eu/legal-content/EN/TXT/?uri=oj:JOC_2022_476_R_0001" TargetMode="External"/><Relationship Id="rId16" Type="http://schemas.openxmlformats.org/officeDocument/2006/relationships/hyperlink" Target="https://eur-lex.europa.eu/legal-content/EN/TXT/?uri=CELEX:52024DC0131" TargetMode="External"/><Relationship Id="rId1" Type="http://schemas.openxmlformats.org/officeDocument/2006/relationships/hyperlink" Target="https://eur-lex.europa.eu/legal-content/EN/TXT/?uri=celex:52022DC0440" TargetMode="External"/><Relationship Id="rId6" Type="http://schemas.openxmlformats.org/officeDocument/2006/relationships/hyperlink" Target="https://health.ec.europa.eu/document/download/ff17bd26-4cdd-4351-a4e3-e2ca85aa3e84_en?filename=wp2023_annex_en.pdf" TargetMode="External"/><Relationship Id="rId11" Type="http://schemas.openxmlformats.org/officeDocument/2006/relationships/hyperlink" Target="https://eur-lex.europa.eu/eli/dir/2024/2841/oj/eng" TargetMode="External"/><Relationship Id="rId5" Type="http://schemas.openxmlformats.org/officeDocument/2006/relationships/hyperlink" Target="https://health.ec.europa.eu/document/download/024cb1cb-44ab-44be-a21e-56757550eb05_en?filename=com_2022-5436_annex1_en.pdf" TargetMode="External"/><Relationship Id="rId15" Type="http://schemas.openxmlformats.org/officeDocument/2006/relationships/hyperlink" Target="http://data.europa.eu/eli/reco/2021/1004/oj" TargetMode="External"/><Relationship Id="rId10" Type="http://schemas.openxmlformats.org/officeDocument/2006/relationships/hyperlink" Target="https://ec.europa.eu/regional_policy/2021-2027_en" TargetMode="External"/><Relationship Id="rId4" Type="http://schemas.openxmlformats.org/officeDocument/2006/relationships/hyperlink" Target="https://health.ec.europa.eu/document/download/331c4ac5-492d-4359-a708-c0a7e2cfa363_en?filename=c_2023_5052_1_annex_en.pdf" TargetMode="External"/><Relationship Id="rId9" Type="http://schemas.openxmlformats.org/officeDocument/2006/relationships/hyperlink" Target="https://commission.europa.eu/funding-tenders/find-funding/eu-funding-programmes/technical-support-instrument/technical-support-instrument-tsi_en" TargetMode="External"/><Relationship Id="rId14" Type="http://schemas.openxmlformats.org/officeDocument/2006/relationships/hyperlink" Target="http://data.europa.eu/eli/reco/2024/1238/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9CA0C-62FD-420D-B82C-2E53A94C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1400</Words>
  <Characters>8080</Characters>
  <Application>Microsoft Office Word</Application>
  <DocSecurity>0</DocSecurity>
  <Lines>104</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2013-03-01T15:02:00Z</cp:lastPrinted>
  <dcterms:created xsi:type="dcterms:W3CDTF">2026-02-25T07:48:00Z</dcterms:created>
  <dcterms:modified xsi:type="dcterms:W3CDTF">2026-02-25T07:48:00Z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2023-05-03T09:12:29Z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dff5614c-fb71-49e5-a7ea-bea3d2173d38</vt:lpwstr>
  </property>
  <property fmtid="{D5CDD505-2E9C-101B-9397-08002B2CF9AE}" pid="8" name="MSIP_Label_6bd9ddd1-4d20-43f6-abfa-fc3c07406f94_ContentBits">
    <vt:lpwstr>0</vt:lpwstr>
  </property>
</Properties>
</file>