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402FC2BC" w:rsidR="004D7AC0" w:rsidRPr="00EE46A0" w:rsidRDefault="000B1343" w:rsidP="00100EF9">
      <w:pPr>
        <w:jc w:val="center"/>
      </w:pPr>
      <w:r w:rsidRPr="000317D4">
        <w:rPr>
          <w:noProof/>
          <w:lang w:eastAsia="en-GB"/>
        </w:rPr>
        <w:drawing>
          <wp:inline distT="0" distB="0" distL="0" distR="0" wp14:anchorId="034E7AF8" wp14:editId="74D0394F">
            <wp:extent cx="1792800" cy="1242000"/>
            <wp:effectExtent l="0" t="0" r="0" b="0"/>
            <wp:docPr id="5" name="Picture 5" title="EESCLogo_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ESC-vertical-positive-sl-quadri_M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800" cy="1242000"/>
                    </a:xfrm>
                    <a:prstGeom prst="rect">
                      <a:avLst/>
                    </a:prstGeom>
                  </pic:spPr>
                </pic:pic>
              </a:graphicData>
            </a:graphic>
          </wp:inline>
        </w:drawing>
      </w:r>
      <w:r w:rsidR="004D7AC0" w:rsidRPr="00EE46A0">
        <w:rPr>
          <w:noProof/>
          <w:sz w:val="20"/>
        </w:rPr>
        <mc:AlternateContent>
          <mc:Choice Requires="wps">
            <w:drawing>
              <wp:anchor distT="0" distB="0" distL="114300" distR="114300" simplePos="0" relativeHeight="251659264" behindDoc="1" locked="0" layoutInCell="0" allowOverlap="1" wp14:anchorId="4982DE48" wp14:editId="1C49398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SL</w:t>
                      </w:r>
                    </w:p>
                  </w:txbxContent>
                </v:textbox>
                <w10:wrap anchorx="page" anchory="page"/>
              </v:shape>
            </w:pict>
          </mc:Fallback>
        </mc:AlternateContent>
      </w:r>
    </w:p>
    <w:p w14:paraId="4982DD4E" w14:textId="77777777" w:rsidR="004D7AC0" w:rsidRPr="00EE46A0" w:rsidRDefault="004D7AC0" w:rsidP="00100EF9"/>
    <w:p w14:paraId="4982DD4F" w14:textId="7AA8E975" w:rsidR="004D7AC0" w:rsidRPr="00EE46A0" w:rsidRDefault="004D7AC0" w:rsidP="00100EF9">
      <w:pPr>
        <w:jc w:val="right"/>
      </w:pPr>
      <w:r w:rsidRPr="00EE46A0">
        <w:t>Bruselj, 4. marec 2026</w:t>
      </w:r>
    </w:p>
    <w:p w14:paraId="4982DD50" w14:textId="77777777" w:rsidR="004D7AC0" w:rsidRPr="00EE46A0" w:rsidRDefault="004D7AC0" w:rsidP="00100EF9"/>
    <w:p w14:paraId="4982DD51" w14:textId="77777777" w:rsidR="004D7AC0" w:rsidRPr="00EE46A0" w:rsidRDefault="004D7AC0" w:rsidP="00100EF9"/>
    <w:p w14:paraId="4982DD52" w14:textId="77777777" w:rsidR="004D7AC0" w:rsidRPr="00EE46A0" w:rsidRDefault="004D7AC0" w:rsidP="00100EF9"/>
    <w:tbl>
      <w:tblPr>
        <w:tblW w:w="0" w:type="auto"/>
        <w:tblLook w:val="04A0" w:firstRow="1" w:lastRow="0" w:firstColumn="1" w:lastColumn="0" w:noHBand="0" w:noVBand="1"/>
      </w:tblPr>
      <w:tblGrid>
        <w:gridCol w:w="9073"/>
      </w:tblGrid>
      <w:tr w:rsidR="004D7AC0" w:rsidRPr="00EE46A0" w14:paraId="4982DD59" w14:textId="77777777" w:rsidTr="00600C84">
        <w:tc>
          <w:tcPr>
            <w:tcW w:w="9289" w:type="dxa"/>
            <w:tcBorders>
              <w:bottom w:val="double" w:sz="4" w:space="0" w:color="auto"/>
            </w:tcBorders>
          </w:tcPr>
          <w:p w14:paraId="4982DD53" w14:textId="5E869ADC" w:rsidR="003066BE" w:rsidRPr="00EE46A0" w:rsidRDefault="004C4CDB" w:rsidP="00100EF9">
            <w:pPr>
              <w:snapToGrid w:val="0"/>
              <w:jc w:val="center"/>
              <w:rPr>
                <w:b/>
                <w:sz w:val="32"/>
                <w:szCs w:val="32"/>
              </w:rPr>
            </w:pPr>
            <w:r w:rsidRPr="00EE46A0">
              <w:rPr>
                <w:b/>
                <w:sz w:val="32"/>
              </w:rPr>
              <w:t>603. PLENARNO ZASEDANJE</w:t>
            </w:r>
          </w:p>
          <w:p w14:paraId="4982DD54" w14:textId="77777777" w:rsidR="003066BE" w:rsidRPr="00EE46A0" w:rsidRDefault="003066BE" w:rsidP="00100EF9">
            <w:pPr>
              <w:snapToGrid w:val="0"/>
              <w:jc w:val="center"/>
              <w:rPr>
                <w:bCs/>
              </w:rPr>
            </w:pPr>
          </w:p>
          <w:p w14:paraId="4982DD55" w14:textId="6CEFC9D4" w:rsidR="003066BE" w:rsidRPr="00EE46A0" w:rsidRDefault="003066E2" w:rsidP="00100EF9">
            <w:pPr>
              <w:snapToGrid w:val="0"/>
              <w:jc w:val="center"/>
              <w:rPr>
                <w:b/>
                <w:sz w:val="32"/>
                <w:szCs w:val="32"/>
              </w:rPr>
            </w:pPr>
            <w:r w:rsidRPr="00EE46A0">
              <w:rPr>
                <w:b/>
                <w:sz w:val="32"/>
              </w:rPr>
              <w:t>18. in 19. februar 2026</w:t>
            </w:r>
          </w:p>
          <w:p w14:paraId="4982DD56" w14:textId="77777777" w:rsidR="003066BE" w:rsidRPr="00EE46A0" w:rsidRDefault="003066BE" w:rsidP="00100EF9">
            <w:pPr>
              <w:snapToGrid w:val="0"/>
              <w:jc w:val="center"/>
              <w:rPr>
                <w:bCs/>
              </w:rPr>
            </w:pPr>
          </w:p>
          <w:p w14:paraId="4982DD57" w14:textId="5A35E792" w:rsidR="004D7AC0" w:rsidRPr="00EE46A0" w:rsidRDefault="00754027" w:rsidP="00100EF9">
            <w:pPr>
              <w:snapToGrid w:val="0"/>
              <w:jc w:val="center"/>
              <w:rPr>
                <w:rFonts w:eastAsia="MS Mincho"/>
                <w:b/>
                <w:sz w:val="32"/>
                <w:szCs w:val="32"/>
              </w:rPr>
            </w:pPr>
            <w:r w:rsidRPr="00EE46A0">
              <w:rPr>
                <w:b/>
                <w:sz w:val="32"/>
              </w:rPr>
              <w:t>POVZETEK SPREJETIH MNENJ, RESOLUCIJ IN INFORMATIVNIH POROČIL TER POROČIL O OCENI</w:t>
            </w:r>
          </w:p>
          <w:p w14:paraId="4982DD58" w14:textId="77777777" w:rsidR="004D7AC0" w:rsidRPr="00EE46A0" w:rsidRDefault="004D7AC0" w:rsidP="008611DB">
            <w:pPr>
              <w:snapToGrid w:val="0"/>
              <w:jc w:val="center"/>
            </w:pPr>
          </w:p>
        </w:tc>
      </w:tr>
      <w:tr w:rsidR="004D7AC0" w:rsidRPr="00EE46A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EE46A0" w:rsidRDefault="004D7AC0" w:rsidP="00100EF9">
            <w:pPr>
              <w:snapToGrid w:val="0"/>
              <w:jc w:val="center"/>
            </w:pPr>
            <w:r w:rsidRPr="00EE46A0">
              <w:t>Dokument je v vseh uradnih jezikih Evropske unije na voljo na spletni strani EESO:</w:t>
            </w:r>
            <w:r w:rsidRPr="00EE46A0">
              <w:br/>
            </w:r>
            <w:r w:rsidRPr="00EE46A0">
              <w:br/>
            </w:r>
            <w:hyperlink r:id="rId13" w:history="1">
              <w:r w:rsidRPr="00EE46A0">
                <w:rPr>
                  <w:rStyle w:val="Hyperlink"/>
                </w:rPr>
                <w:t>https://www.eesc.europa.eu/sl/our-work/opinions-information-reports/plenary-session-summaries</w:t>
              </w:r>
            </w:hyperlink>
          </w:p>
          <w:p w14:paraId="4982DD5B" w14:textId="77777777" w:rsidR="004D7AC0" w:rsidRPr="00EE46A0" w:rsidRDefault="004D7AC0" w:rsidP="00100EF9">
            <w:pPr>
              <w:snapToGrid w:val="0"/>
              <w:jc w:val="center"/>
            </w:pPr>
          </w:p>
          <w:p w14:paraId="4982DD5C" w14:textId="77777777" w:rsidR="004D7AC0" w:rsidRPr="00EE46A0" w:rsidRDefault="004D7AC0" w:rsidP="00100EF9">
            <w:pPr>
              <w:snapToGrid w:val="0"/>
              <w:jc w:val="center"/>
              <w:rPr>
                <w:rFonts w:eastAsia="SimSun"/>
              </w:rPr>
            </w:pPr>
          </w:p>
          <w:p w14:paraId="4982DD5D" w14:textId="77777777" w:rsidR="004D7AC0" w:rsidRPr="00EE46A0" w:rsidRDefault="004D7AC0" w:rsidP="00100EF9">
            <w:pPr>
              <w:snapToGrid w:val="0"/>
              <w:jc w:val="center"/>
            </w:pPr>
            <w:r w:rsidRPr="00EE46A0">
              <w:t>Navedena mnenja so na spletu dostopna prek iskalnika Odbora:</w:t>
            </w:r>
            <w:r w:rsidRPr="00EE46A0">
              <w:br/>
            </w:r>
            <w:r w:rsidRPr="00EE46A0">
              <w:br/>
            </w:r>
            <w:hyperlink r:id="rId14" w:history="1">
              <w:r w:rsidRPr="00EE46A0">
                <w:rPr>
                  <w:rStyle w:val="Hyperlink"/>
                </w:rPr>
                <w:t>https://dmsearch.eesc.europa.eu/search/opinion</w:t>
              </w:r>
            </w:hyperlink>
          </w:p>
          <w:p w14:paraId="4982DD5E" w14:textId="77777777" w:rsidR="004D7AC0" w:rsidRPr="00EE46A0" w:rsidRDefault="004D7AC0" w:rsidP="00100EF9">
            <w:pPr>
              <w:snapToGrid w:val="0"/>
              <w:jc w:val="center"/>
            </w:pPr>
          </w:p>
        </w:tc>
      </w:tr>
    </w:tbl>
    <w:p w14:paraId="4982DD60" w14:textId="77777777" w:rsidR="004D7AC0" w:rsidRPr="00EE46A0" w:rsidRDefault="004D7AC0" w:rsidP="00100EF9"/>
    <w:p w14:paraId="4982DD61" w14:textId="77777777" w:rsidR="004D7AC0" w:rsidRPr="00EE46A0" w:rsidRDefault="004D7AC0" w:rsidP="00100EF9"/>
    <w:p w14:paraId="4982DD62" w14:textId="77777777" w:rsidR="004D7AC0" w:rsidRPr="00EE46A0" w:rsidRDefault="004D7AC0" w:rsidP="00100EF9">
      <w:pPr>
        <w:sectPr w:rsidR="004D7AC0" w:rsidRPr="00EE46A0" w:rsidSect="00153E09">
          <w:footerReference w:type="default" r:id="rId15"/>
          <w:pgSz w:w="11907" w:h="16839"/>
          <w:pgMar w:top="1417" w:right="1417" w:bottom="1417" w:left="1417" w:header="709" w:footer="709" w:gutter="0"/>
          <w:pgNumType w:start="1"/>
          <w:cols w:space="708"/>
          <w:docGrid w:linePitch="360"/>
        </w:sectPr>
      </w:pPr>
    </w:p>
    <w:p w14:paraId="4982DD63" w14:textId="77777777" w:rsidR="004D7AC0" w:rsidRPr="00EE46A0" w:rsidRDefault="004D7AC0" w:rsidP="00100EF9">
      <w:pPr>
        <w:rPr>
          <w:b/>
        </w:rPr>
      </w:pPr>
      <w:r w:rsidRPr="00EE46A0">
        <w:rPr>
          <w:b/>
        </w:rPr>
        <w:lastRenderedPageBreak/>
        <w:t>Vsebina</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EE46A0" w:rsidRDefault="004D7AC0" w:rsidP="00975896">
          <w:pPr>
            <w:pStyle w:val="TOCHeading"/>
            <w:keepNext w:val="0"/>
            <w:keepLines w:val="0"/>
            <w:suppressAutoHyphens/>
            <w:spacing w:before="0" w:line="288" w:lineRule="auto"/>
            <w:rPr>
              <w:rFonts w:ascii="Times New Roman" w:hAnsi="Times New Roman" w:cs="Times New Roman"/>
              <w:color w:val="auto"/>
              <w:sz w:val="22"/>
              <w:szCs w:val="22"/>
            </w:rPr>
          </w:pPr>
        </w:p>
        <w:p w14:paraId="050A0623" w14:textId="1718B432" w:rsidR="00205469" w:rsidRPr="00EE46A0" w:rsidRDefault="004D7AC0" w:rsidP="00393924">
          <w:pPr>
            <w:pStyle w:val="TOC1"/>
            <w:rPr>
              <w:rFonts w:asciiTheme="minorHAnsi" w:eastAsiaTheme="minorEastAsia" w:hAnsiTheme="minorHAnsi" w:cstheme="minorBidi"/>
              <w:noProof/>
              <w:kern w:val="2"/>
              <w:sz w:val="24"/>
              <w:szCs w:val="24"/>
              <w14:ligatures w14:val="standardContextual"/>
            </w:rPr>
          </w:pPr>
          <w:r w:rsidRPr="00EE46A0">
            <w:fldChar w:fldCharType="begin"/>
          </w:r>
          <w:r w:rsidRPr="00EE46A0">
            <w:instrText xml:space="preserve"> TOC \o "1-3" \h \z \u </w:instrText>
          </w:r>
          <w:r w:rsidRPr="00EE46A0">
            <w:fldChar w:fldCharType="separate"/>
          </w:r>
          <w:hyperlink w:anchor="_Toc222989384" w:history="1">
            <w:r w:rsidR="00205469" w:rsidRPr="00EE46A0">
              <w:rPr>
                <w:rStyle w:val="Hyperlink"/>
                <w:noProof/>
              </w:rPr>
              <w:t>1.</w:t>
            </w:r>
            <w:r w:rsidR="00205469" w:rsidRPr="00EE46A0">
              <w:rPr>
                <w:rFonts w:asciiTheme="minorHAnsi" w:eastAsiaTheme="minorEastAsia" w:hAnsiTheme="minorHAnsi" w:cstheme="minorBidi"/>
                <w:noProof/>
                <w:sz w:val="24"/>
              </w:rPr>
              <w:tab/>
            </w:r>
            <w:r w:rsidR="00393924" w:rsidRPr="00EE46A0">
              <w:rPr>
                <w:rFonts w:asciiTheme="minorHAnsi" w:eastAsiaTheme="minorEastAsia" w:hAnsiTheme="minorHAnsi" w:cstheme="minorBidi"/>
                <w:noProof/>
                <w:sz w:val="24"/>
              </w:rPr>
              <w:tab/>
            </w:r>
            <w:r w:rsidR="00975896" w:rsidRPr="00EE46A0">
              <w:rPr>
                <w:b/>
                <w:noProof/>
              </w:rPr>
              <w:t>EKONOMSKA IN MONETARNA UNIJA TER EKONOMSKA IN SOCIALNA KOHEZIJA</w:t>
            </w:r>
            <w:r w:rsidR="00205469" w:rsidRPr="00EE46A0">
              <w:rPr>
                <w:noProof/>
                <w:webHidden/>
              </w:rPr>
              <w:tab/>
            </w:r>
            <w:r w:rsidR="00205469" w:rsidRPr="00EE46A0">
              <w:rPr>
                <w:noProof/>
                <w:webHidden/>
              </w:rPr>
              <w:fldChar w:fldCharType="begin"/>
            </w:r>
            <w:r w:rsidR="00205469" w:rsidRPr="00EE46A0">
              <w:rPr>
                <w:noProof/>
                <w:webHidden/>
              </w:rPr>
              <w:instrText xml:space="preserve"> PAGEREF _Toc222989384 \h </w:instrText>
            </w:r>
            <w:r w:rsidR="00205469" w:rsidRPr="00EE46A0">
              <w:rPr>
                <w:noProof/>
                <w:webHidden/>
              </w:rPr>
            </w:r>
            <w:r w:rsidR="00205469" w:rsidRPr="00EE46A0">
              <w:rPr>
                <w:noProof/>
                <w:webHidden/>
              </w:rPr>
              <w:fldChar w:fldCharType="separate"/>
            </w:r>
            <w:r w:rsidR="00393924" w:rsidRPr="00EE46A0">
              <w:rPr>
                <w:noProof/>
                <w:webHidden/>
              </w:rPr>
              <w:t>3</w:t>
            </w:r>
            <w:r w:rsidR="00205469" w:rsidRPr="00EE46A0">
              <w:rPr>
                <w:noProof/>
                <w:webHidden/>
              </w:rPr>
              <w:fldChar w:fldCharType="end"/>
            </w:r>
          </w:hyperlink>
        </w:p>
        <w:p w14:paraId="6C9A18C5" w14:textId="6870CFD7" w:rsidR="00205469" w:rsidRPr="00EE46A0" w:rsidRDefault="00283C48" w:rsidP="00393924">
          <w:pPr>
            <w:pStyle w:val="Heading1"/>
            <w:numPr>
              <w:ilvl w:val="0"/>
              <w:numId w:val="0"/>
            </w:numPr>
            <w:tabs>
              <w:tab w:val="left" w:pos="567"/>
              <w:tab w:val="left" w:pos="8931"/>
            </w:tabs>
            <w:rPr>
              <w:rFonts w:asciiTheme="minorHAnsi" w:eastAsiaTheme="minorEastAsia" w:hAnsiTheme="minorHAnsi" w:cstheme="minorBidi"/>
              <w:noProof/>
              <w:sz w:val="24"/>
            </w:rPr>
          </w:pPr>
          <w:hyperlink w:anchor="_Toc222989385" w:history="1">
            <w:r w:rsidR="00205469" w:rsidRPr="00EE46A0">
              <w:rPr>
                <w:rStyle w:val="Hyperlink"/>
                <w:noProof/>
              </w:rPr>
              <w:t>2.</w:t>
            </w:r>
            <w:r w:rsidR="00205469" w:rsidRPr="00EE46A0">
              <w:rPr>
                <w:rFonts w:asciiTheme="minorHAnsi" w:eastAsiaTheme="minorEastAsia" w:hAnsiTheme="minorHAnsi" w:cstheme="minorBidi"/>
                <w:noProof/>
                <w:sz w:val="24"/>
              </w:rPr>
              <w:tab/>
            </w:r>
            <w:r w:rsidR="00393924" w:rsidRPr="00EE46A0">
              <w:rPr>
                <w:b/>
                <w:noProof/>
              </w:rPr>
              <w:t>ZAPOSLOVANJE, SOCIALNE ZADEVE IN DRŽAVLJANSTVO</w:t>
            </w:r>
            <w:r w:rsidR="00205469" w:rsidRPr="00EE46A0">
              <w:rPr>
                <w:noProof/>
                <w:webHidden/>
              </w:rPr>
              <w:tab/>
            </w:r>
            <w:r w:rsidR="00205469" w:rsidRPr="00EE46A0">
              <w:rPr>
                <w:noProof/>
                <w:webHidden/>
              </w:rPr>
              <w:fldChar w:fldCharType="begin"/>
            </w:r>
            <w:r w:rsidR="00205469" w:rsidRPr="00EE46A0">
              <w:rPr>
                <w:noProof/>
                <w:webHidden/>
              </w:rPr>
              <w:instrText xml:space="preserve"> PAGEREF _Toc222989385 \h </w:instrText>
            </w:r>
            <w:r w:rsidR="00205469" w:rsidRPr="00EE46A0">
              <w:rPr>
                <w:noProof/>
                <w:webHidden/>
              </w:rPr>
            </w:r>
            <w:r w:rsidR="00205469" w:rsidRPr="00EE46A0">
              <w:rPr>
                <w:noProof/>
                <w:webHidden/>
              </w:rPr>
              <w:fldChar w:fldCharType="separate"/>
            </w:r>
            <w:r w:rsidR="00393924" w:rsidRPr="00EE46A0">
              <w:rPr>
                <w:noProof/>
                <w:webHidden/>
              </w:rPr>
              <w:t>9</w:t>
            </w:r>
            <w:r w:rsidR="00205469" w:rsidRPr="00EE46A0">
              <w:rPr>
                <w:noProof/>
                <w:webHidden/>
              </w:rPr>
              <w:fldChar w:fldCharType="end"/>
            </w:r>
          </w:hyperlink>
        </w:p>
        <w:p w14:paraId="6EB53646" w14:textId="58CD50E4" w:rsidR="00205469" w:rsidRPr="00EE46A0" w:rsidRDefault="00283C48" w:rsidP="00393924">
          <w:pPr>
            <w:pStyle w:val="TOC1"/>
            <w:rPr>
              <w:rFonts w:asciiTheme="minorHAnsi" w:eastAsiaTheme="minorEastAsia" w:hAnsiTheme="minorHAnsi" w:cstheme="minorBidi"/>
              <w:noProof/>
              <w:sz w:val="24"/>
            </w:rPr>
          </w:pPr>
          <w:hyperlink w:anchor="_Toc222989386" w:history="1">
            <w:r w:rsidR="00205469" w:rsidRPr="00EE46A0">
              <w:rPr>
                <w:rStyle w:val="Hyperlink"/>
                <w:noProof/>
              </w:rPr>
              <w:t>3.</w:t>
            </w:r>
            <w:r w:rsidR="00205469" w:rsidRPr="00EE46A0">
              <w:rPr>
                <w:rFonts w:asciiTheme="minorHAnsi" w:eastAsiaTheme="minorEastAsia" w:hAnsiTheme="minorHAnsi" w:cstheme="minorBidi"/>
                <w:noProof/>
                <w:sz w:val="24"/>
              </w:rPr>
              <w:tab/>
            </w:r>
            <w:r w:rsidR="00BA1771" w:rsidRPr="00EE46A0">
              <w:rPr>
                <w:b/>
              </w:rPr>
              <w:t>PROMET, ENERGIJA, INFRASTRUKTURA IN INFORMACIJSKA DRUŽBA</w:t>
            </w:r>
            <w:r w:rsidR="00205469" w:rsidRPr="00EE46A0">
              <w:rPr>
                <w:noProof/>
                <w:webHidden/>
              </w:rPr>
              <w:tab/>
            </w:r>
            <w:r w:rsidR="00205469" w:rsidRPr="00EE46A0">
              <w:rPr>
                <w:noProof/>
                <w:webHidden/>
              </w:rPr>
              <w:fldChar w:fldCharType="begin"/>
            </w:r>
            <w:r w:rsidR="00205469" w:rsidRPr="00EE46A0">
              <w:rPr>
                <w:noProof/>
                <w:webHidden/>
              </w:rPr>
              <w:instrText xml:space="preserve"> PAGEREF _Toc222989386 \h </w:instrText>
            </w:r>
            <w:r w:rsidR="00205469" w:rsidRPr="00EE46A0">
              <w:rPr>
                <w:noProof/>
                <w:webHidden/>
              </w:rPr>
            </w:r>
            <w:r w:rsidR="00205469" w:rsidRPr="00EE46A0">
              <w:rPr>
                <w:noProof/>
                <w:webHidden/>
              </w:rPr>
              <w:fldChar w:fldCharType="separate"/>
            </w:r>
            <w:r w:rsidR="00393924" w:rsidRPr="00EE46A0">
              <w:rPr>
                <w:noProof/>
                <w:webHidden/>
              </w:rPr>
              <w:t>10</w:t>
            </w:r>
            <w:r w:rsidR="00205469" w:rsidRPr="00EE46A0">
              <w:rPr>
                <w:noProof/>
                <w:webHidden/>
              </w:rPr>
              <w:fldChar w:fldCharType="end"/>
            </w:r>
          </w:hyperlink>
        </w:p>
        <w:p w14:paraId="38F00D3F" w14:textId="2DEB4664" w:rsidR="00205469" w:rsidRPr="00EE46A0" w:rsidRDefault="00283C48" w:rsidP="00393924">
          <w:pPr>
            <w:pStyle w:val="TOC1"/>
            <w:rPr>
              <w:rFonts w:asciiTheme="minorHAnsi" w:eastAsiaTheme="minorEastAsia" w:hAnsiTheme="minorHAnsi" w:cstheme="minorBidi"/>
              <w:noProof/>
              <w:sz w:val="24"/>
            </w:rPr>
          </w:pPr>
          <w:hyperlink w:anchor="_Toc222989387" w:history="1">
            <w:r w:rsidR="00205469" w:rsidRPr="00EE46A0">
              <w:rPr>
                <w:rStyle w:val="Hyperlink"/>
                <w:noProof/>
              </w:rPr>
              <w:t>4.</w:t>
            </w:r>
            <w:r w:rsidR="00205469" w:rsidRPr="00EE46A0">
              <w:rPr>
                <w:rFonts w:asciiTheme="minorHAnsi" w:eastAsiaTheme="minorEastAsia" w:hAnsiTheme="minorHAnsi" w:cstheme="minorBidi"/>
                <w:noProof/>
                <w:sz w:val="24"/>
              </w:rPr>
              <w:tab/>
            </w:r>
            <w:r w:rsidR="008310AE" w:rsidRPr="00EE46A0">
              <w:rPr>
                <w:rStyle w:val="Hyperlink"/>
                <w:b/>
                <w:noProof/>
              </w:rPr>
              <w:t>KMETIJSTVO, RAZVOJ PODEŽELJA IN OKOLJE</w:t>
            </w:r>
            <w:r w:rsidR="00205469" w:rsidRPr="00EE46A0">
              <w:rPr>
                <w:noProof/>
                <w:webHidden/>
              </w:rPr>
              <w:tab/>
            </w:r>
            <w:r w:rsidR="00205469" w:rsidRPr="00EE46A0">
              <w:rPr>
                <w:noProof/>
                <w:webHidden/>
              </w:rPr>
              <w:fldChar w:fldCharType="begin"/>
            </w:r>
            <w:r w:rsidR="00205469" w:rsidRPr="00EE46A0">
              <w:rPr>
                <w:noProof/>
                <w:webHidden/>
              </w:rPr>
              <w:instrText xml:space="preserve"> PAGEREF _Toc222989387 \h </w:instrText>
            </w:r>
            <w:r w:rsidR="00205469" w:rsidRPr="00EE46A0">
              <w:rPr>
                <w:noProof/>
                <w:webHidden/>
              </w:rPr>
            </w:r>
            <w:r w:rsidR="00205469" w:rsidRPr="00EE46A0">
              <w:rPr>
                <w:noProof/>
                <w:webHidden/>
              </w:rPr>
              <w:fldChar w:fldCharType="separate"/>
            </w:r>
            <w:r w:rsidR="00393924" w:rsidRPr="00EE46A0">
              <w:rPr>
                <w:noProof/>
                <w:webHidden/>
              </w:rPr>
              <w:t>12</w:t>
            </w:r>
            <w:r w:rsidR="00205469" w:rsidRPr="00EE46A0">
              <w:rPr>
                <w:noProof/>
                <w:webHidden/>
              </w:rPr>
              <w:fldChar w:fldCharType="end"/>
            </w:r>
          </w:hyperlink>
        </w:p>
        <w:p w14:paraId="6C39006D" w14:textId="03F33428" w:rsidR="00205469" w:rsidRPr="00EE46A0" w:rsidRDefault="00283C48" w:rsidP="00393924">
          <w:pPr>
            <w:pStyle w:val="TOC1"/>
            <w:rPr>
              <w:rFonts w:asciiTheme="minorHAnsi" w:eastAsiaTheme="minorEastAsia" w:hAnsiTheme="minorHAnsi" w:cstheme="minorBidi"/>
              <w:noProof/>
              <w:sz w:val="24"/>
            </w:rPr>
          </w:pPr>
          <w:hyperlink w:anchor="_Toc222989388" w:history="1">
            <w:r w:rsidR="00205469" w:rsidRPr="00EE46A0">
              <w:rPr>
                <w:rStyle w:val="Hyperlink"/>
                <w:noProof/>
              </w:rPr>
              <w:t>5.</w:t>
            </w:r>
            <w:r w:rsidR="00205469" w:rsidRPr="00EE46A0">
              <w:rPr>
                <w:rFonts w:asciiTheme="minorHAnsi" w:eastAsiaTheme="minorEastAsia" w:hAnsiTheme="minorHAnsi" w:cstheme="minorBidi"/>
                <w:noProof/>
                <w:sz w:val="24"/>
              </w:rPr>
              <w:tab/>
            </w:r>
            <w:r w:rsidR="00443FA8" w:rsidRPr="00EE46A0">
              <w:rPr>
                <w:b/>
                <w:color w:val="222A35" w:themeColor="text2" w:themeShade="80"/>
              </w:rPr>
              <w:t>POSVETOVALNA KOMISIJA ZA SPREMEMBE V INDUSTRIJI</w:t>
            </w:r>
            <w:r w:rsidR="00205469" w:rsidRPr="00EE46A0">
              <w:rPr>
                <w:noProof/>
                <w:webHidden/>
              </w:rPr>
              <w:tab/>
            </w:r>
            <w:r w:rsidR="00205469" w:rsidRPr="00EE46A0">
              <w:rPr>
                <w:noProof/>
                <w:webHidden/>
              </w:rPr>
              <w:fldChar w:fldCharType="begin"/>
            </w:r>
            <w:r w:rsidR="00205469" w:rsidRPr="00EE46A0">
              <w:rPr>
                <w:noProof/>
                <w:webHidden/>
              </w:rPr>
              <w:instrText xml:space="preserve"> PAGEREF _Toc222989388 \h </w:instrText>
            </w:r>
            <w:r w:rsidR="00205469" w:rsidRPr="00EE46A0">
              <w:rPr>
                <w:noProof/>
                <w:webHidden/>
              </w:rPr>
            </w:r>
            <w:r w:rsidR="00205469" w:rsidRPr="00EE46A0">
              <w:rPr>
                <w:noProof/>
                <w:webHidden/>
              </w:rPr>
              <w:fldChar w:fldCharType="separate"/>
            </w:r>
            <w:r w:rsidR="00393924" w:rsidRPr="00EE46A0">
              <w:rPr>
                <w:noProof/>
                <w:webHidden/>
              </w:rPr>
              <w:t>14</w:t>
            </w:r>
            <w:r w:rsidR="00205469" w:rsidRPr="00EE46A0">
              <w:rPr>
                <w:noProof/>
                <w:webHidden/>
              </w:rPr>
              <w:fldChar w:fldCharType="end"/>
            </w:r>
          </w:hyperlink>
        </w:p>
        <w:p w14:paraId="4982DD6B" w14:textId="1C1F00F8" w:rsidR="004D7AC0" w:rsidRPr="00EE46A0" w:rsidRDefault="004D7AC0" w:rsidP="00100EF9">
          <w:r w:rsidRPr="00EE46A0">
            <w:rPr>
              <w:b/>
            </w:rPr>
            <w:fldChar w:fldCharType="end"/>
          </w:r>
        </w:p>
      </w:sdtContent>
    </w:sdt>
    <w:p w14:paraId="4982DD6C" w14:textId="77777777" w:rsidR="004D7AC0" w:rsidRPr="00EE46A0" w:rsidRDefault="004D7AC0" w:rsidP="00100EF9">
      <w:pPr>
        <w:jc w:val="left"/>
      </w:pPr>
      <w:r w:rsidRPr="00EE46A0">
        <w:br w:type="page"/>
      </w:r>
    </w:p>
    <w:p w14:paraId="4982DD6D" w14:textId="77777777" w:rsidR="004D7AC0" w:rsidRPr="00EE46A0" w:rsidRDefault="004D7AC0" w:rsidP="00100EF9">
      <w:pPr>
        <w:pStyle w:val="Heading1"/>
        <w:rPr>
          <w:b/>
        </w:rPr>
      </w:pPr>
      <w:bookmarkStart w:id="0" w:name="_Toc222989384"/>
      <w:r w:rsidRPr="00EE46A0">
        <w:rPr>
          <w:b/>
        </w:rPr>
        <w:lastRenderedPageBreak/>
        <w:t>EKONOMSKA IN MONETARNA UNIJA TER EKONOMSKA IN SOCIALNA KOHEZIJA</w:t>
      </w:r>
      <w:bookmarkEnd w:id="0"/>
    </w:p>
    <w:p w14:paraId="19C25B13" w14:textId="5E36682B" w:rsidR="00975896" w:rsidRPr="00EE46A0" w:rsidRDefault="00975896" w:rsidP="00975896"/>
    <w:p w14:paraId="502CA318" w14:textId="2005585B" w:rsidR="00975896" w:rsidRPr="00EE46A0" w:rsidRDefault="00283C48" w:rsidP="00EE46A0">
      <w:pPr>
        <w:numPr>
          <w:ilvl w:val="0"/>
          <w:numId w:val="31"/>
        </w:numPr>
        <w:suppressAutoHyphens/>
        <w:overflowPunct w:val="0"/>
        <w:autoSpaceDE w:val="0"/>
        <w:autoSpaceDN w:val="0"/>
        <w:adjustRightInd w:val="0"/>
        <w:ind w:hanging="567"/>
        <w:textAlignment w:val="baseline"/>
        <w:rPr>
          <w:b/>
          <w:i/>
          <w:iCs/>
          <w:sz w:val="28"/>
          <w:szCs w:val="28"/>
        </w:rPr>
      </w:pPr>
      <w:hyperlink r:id="rId16" w:history="1">
        <w:r w:rsidR="00975896" w:rsidRPr="00EE46A0">
          <w:rPr>
            <w:rStyle w:val="Hyperlink"/>
            <w:b/>
            <w:i/>
            <w:sz w:val="28"/>
          </w:rPr>
          <w:t>Dostop EJT in OLAF do informacij o DDV na ravni Unije</w:t>
        </w:r>
      </w:hyperlink>
    </w:p>
    <w:p w14:paraId="5B79BC97" w14:textId="77777777" w:rsidR="00975896" w:rsidRPr="00EE46A0" w:rsidRDefault="00975896" w:rsidP="00975896"/>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662"/>
      </w:tblGrid>
      <w:tr w:rsidR="00975896" w:rsidRPr="00EE46A0" w14:paraId="6699D6E5" w14:textId="77777777" w:rsidTr="00B56AD6">
        <w:tc>
          <w:tcPr>
            <w:tcW w:w="2518" w:type="dxa"/>
          </w:tcPr>
          <w:p w14:paraId="6844C3C5" w14:textId="77777777" w:rsidR="00975896" w:rsidRPr="00EE46A0" w:rsidRDefault="00975896" w:rsidP="00B56AD6">
            <w:pPr>
              <w:tabs>
                <w:tab w:val="center" w:pos="284"/>
              </w:tabs>
              <w:suppressAutoHyphens/>
              <w:ind w:left="266" w:hanging="266"/>
              <w:rPr>
                <w:b/>
              </w:rPr>
            </w:pPr>
            <w:r w:rsidRPr="00EE46A0">
              <w:rPr>
                <w:b/>
              </w:rPr>
              <w:t>Poročevalka</w:t>
            </w:r>
          </w:p>
        </w:tc>
        <w:tc>
          <w:tcPr>
            <w:tcW w:w="6662" w:type="dxa"/>
          </w:tcPr>
          <w:p w14:paraId="31175161" w14:textId="77777777" w:rsidR="00975896" w:rsidRPr="00EE46A0" w:rsidRDefault="00975896" w:rsidP="00B56AD6">
            <w:pPr>
              <w:tabs>
                <w:tab w:val="center" w:pos="284"/>
              </w:tabs>
              <w:suppressAutoHyphens/>
              <w:ind w:left="266" w:hanging="266"/>
            </w:pPr>
            <w:r w:rsidRPr="00EE46A0">
              <w:t>Justyna Kalina OCHĘDZAN (skupina organizacij civilne družbe – PL)</w:t>
            </w:r>
          </w:p>
        </w:tc>
      </w:tr>
      <w:tr w:rsidR="00975896" w:rsidRPr="00EE46A0" w14:paraId="492B54A1" w14:textId="77777777" w:rsidTr="00B56AD6">
        <w:tc>
          <w:tcPr>
            <w:tcW w:w="9180" w:type="dxa"/>
            <w:gridSpan w:val="2"/>
          </w:tcPr>
          <w:p w14:paraId="36D5F52B" w14:textId="77777777" w:rsidR="00975896" w:rsidRPr="00EE46A0" w:rsidRDefault="00975896" w:rsidP="00B56AD6">
            <w:pPr>
              <w:tabs>
                <w:tab w:val="center" w:pos="284"/>
              </w:tabs>
              <w:suppressAutoHyphens/>
              <w:spacing w:line="240" w:lineRule="auto"/>
              <w:ind w:left="266" w:hanging="266"/>
              <w:rPr>
                <w:sz w:val="16"/>
                <w:szCs w:val="16"/>
              </w:rPr>
            </w:pPr>
          </w:p>
        </w:tc>
      </w:tr>
      <w:tr w:rsidR="00975896" w:rsidRPr="00EE46A0" w14:paraId="74ACE840" w14:textId="77777777" w:rsidTr="00B56AD6">
        <w:tc>
          <w:tcPr>
            <w:tcW w:w="2518" w:type="dxa"/>
          </w:tcPr>
          <w:p w14:paraId="1E5A6E72" w14:textId="77777777" w:rsidR="00975896" w:rsidRPr="00EE46A0" w:rsidRDefault="00975896" w:rsidP="00B56AD6">
            <w:pPr>
              <w:tabs>
                <w:tab w:val="center" w:pos="284"/>
              </w:tabs>
              <w:suppressAutoHyphens/>
              <w:ind w:left="266" w:hanging="266"/>
              <w:rPr>
                <w:b/>
              </w:rPr>
            </w:pPr>
            <w:r w:rsidRPr="00EE46A0">
              <w:rPr>
                <w:b/>
              </w:rPr>
              <w:t>Referenčna dokumenta</w:t>
            </w:r>
          </w:p>
        </w:tc>
        <w:tc>
          <w:tcPr>
            <w:tcW w:w="6662" w:type="dxa"/>
          </w:tcPr>
          <w:p w14:paraId="0E4BC99C" w14:textId="287D56A4" w:rsidR="00975896" w:rsidRPr="00EE46A0" w:rsidRDefault="00975896" w:rsidP="00B56AD6">
            <w:pPr>
              <w:tabs>
                <w:tab w:val="center" w:pos="321"/>
              </w:tabs>
              <w:suppressAutoHyphens/>
            </w:pPr>
            <w:r w:rsidRPr="00EE46A0">
              <w:t>COM(2025) 685 final</w:t>
            </w:r>
          </w:p>
          <w:p w14:paraId="0C821003" w14:textId="06F1D5BA" w:rsidR="00975896" w:rsidRPr="00EE46A0" w:rsidRDefault="00975896" w:rsidP="00B56AD6">
            <w:pPr>
              <w:tabs>
                <w:tab w:val="center" w:pos="284"/>
              </w:tabs>
              <w:suppressAutoHyphens/>
              <w:ind w:left="266" w:hanging="266"/>
            </w:pPr>
            <w:r w:rsidRPr="00EE46A0">
              <w:t>EESC-2025-04282-00-00-AC</w:t>
            </w:r>
          </w:p>
        </w:tc>
      </w:tr>
    </w:tbl>
    <w:p w14:paraId="2856E30D" w14:textId="77777777" w:rsidR="00975896" w:rsidRPr="00EE46A0" w:rsidRDefault="00975896" w:rsidP="00975896"/>
    <w:p w14:paraId="285130AE" w14:textId="77777777" w:rsidR="00975896" w:rsidRPr="00EE46A0" w:rsidRDefault="00975896" w:rsidP="00975896">
      <w:pPr>
        <w:tabs>
          <w:tab w:val="center" w:pos="284"/>
        </w:tabs>
        <w:suppressAutoHyphens/>
        <w:ind w:left="266" w:hanging="266"/>
        <w:rPr>
          <w:b/>
        </w:rPr>
      </w:pPr>
      <w:r w:rsidRPr="00EE46A0">
        <w:rPr>
          <w:b/>
        </w:rPr>
        <w:t>Glavne točke</w:t>
      </w:r>
    </w:p>
    <w:p w14:paraId="4DC55D93" w14:textId="77777777" w:rsidR="00975896" w:rsidRPr="00EE46A0" w:rsidRDefault="00975896" w:rsidP="00975896"/>
    <w:p w14:paraId="27A3AC7E" w14:textId="77777777" w:rsidR="00975896" w:rsidRPr="00EE46A0" w:rsidRDefault="00975896" w:rsidP="00975896">
      <w:pPr>
        <w:suppressAutoHyphens/>
        <w:rPr>
          <w:bCs/>
          <w:iCs/>
        </w:rPr>
      </w:pPr>
      <w:r w:rsidRPr="00EE46A0">
        <w:t>EESO:</w:t>
      </w:r>
    </w:p>
    <w:p w14:paraId="4D1D1A51" w14:textId="77777777" w:rsidR="00975896" w:rsidRPr="00EE46A0" w:rsidRDefault="00975896" w:rsidP="00975896">
      <w:pPr>
        <w:suppressAutoHyphens/>
        <w:rPr>
          <w:bCs/>
          <w:iCs/>
        </w:rPr>
      </w:pPr>
    </w:p>
    <w:p w14:paraId="70876645" w14:textId="77777777" w:rsidR="00975896" w:rsidRPr="00EE46A0" w:rsidRDefault="00975896" w:rsidP="00975896">
      <w:pPr>
        <w:pStyle w:val="Heading2"/>
        <w:numPr>
          <w:ilvl w:val="0"/>
          <w:numId w:val="5"/>
        </w:numPr>
        <w:suppressAutoHyphens/>
        <w:ind w:left="426" w:hanging="426"/>
      </w:pPr>
      <w:r w:rsidRPr="00EE46A0">
        <w:t xml:space="preserve">v celoti </w:t>
      </w:r>
      <w:r w:rsidRPr="00EE46A0">
        <w:rPr>
          <w:b/>
        </w:rPr>
        <w:t>podpira</w:t>
      </w:r>
      <w:r w:rsidRPr="00EE46A0">
        <w:t xml:space="preserve"> prizadevanja Komisije za spodbujanje celovitejšega in celostnega pristopa k boju proti goljufijam na področju DDV, tako da se Evropskemu javnemu tožilstvu (EJT) in Evropskemu uradu za boj proti goljufijam (OLAF) omogoči dostop do podatkov o davku na dodano vrednost (DDV) v skladu z Uredbo Sveta (EU) št. 904/2010;</w:t>
      </w:r>
    </w:p>
    <w:p w14:paraId="156B64E6" w14:textId="77777777" w:rsidR="00975896" w:rsidRPr="00EE46A0" w:rsidRDefault="00975896" w:rsidP="00975896">
      <w:pPr>
        <w:pStyle w:val="Heading2"/>
        <w:numPr>
          <w:ilvl w:val="0"/>
          <w:numId w:val="5"/>
        </w:numPr>
        <w:suppressAutoHyphens/>
        <w:ind w:left="426" w:hanging="426"/>
      </w:pPr>
      <w:r w:rsidRPr="00EE46A0">
        <w:rPr>
          <w:b/>
        </w:rPr>
        <w:t>se strinja</w:t>
      </w:r>
      <w:r w:rsidRPr="00EE46A0">
        <w:t>, da je treba za boj proti najpomembnejšim oblikam goljufij na področju DDV pristojnim organom omogočiti hitro zbiranje in uporabo informacij, povezanih z DDV, v več državah članicah ter navzkrižno sklicevanje nanje, s čimer bi zmanjšali zamude pri odzivanju pristojnih davčnih organov na goljufije;</w:t>
      </w:r>
    </w:p>
    <w:p w14:paraId="540A7A89" w14:textId="77777777" w:rsidR="00975896" w:rsidRPr="00EE46A0" w:rsidRDefault="00975896" w:rsidP="00975896">
      <w:pPr>
        <w:pStyle w:val="Heading2"/>
        <w:numPr>
          <w:ilvl w:val="0"/>
          <w:numId w:val="5"/>
        </w:numPr>
        <w:suppressAutoHyphens/>
        <w:ind w:left="426" w:hanging="426"/>
      </w:pPr>
      <w:r w:rsidRPr="00EE46A0">
        <w:rPr>
          <w:b/>
        </w:rPr>
        <w:t>ceni</w:t>
      </w:r>
      <w:r w:rsidRPr="00EE46A0">
        <w:t xml:space="preserve">, da predlog Komisije temelji na naknadni oceni pravil, ki se uporabljajo v skladu z Uredbo Sveta (EU) št. 904/2010, ob upoštevanju povratnih informacij držav članic, in </w:t>
      </w:r>
      <w:r w:rsidRPr="00EE46A0">
        <w:rPr>
          <w:b/>
        </w:rPr>
        <w:t>poudarja</w:t>
      </w:r>
      <w:r w:rsidRPr="00EE46A0">
        <w:t>, da v zvezi s tem predlogom ni bila opravljena ocena učinka, čeprav priznava, da je bilo to posledica nujne zahteve držav članic;</w:t>
      </w:r>
    </w:p>
    <w:p w14:paraId="310BAF57" w14:textId="77777777" w:rsidR="00975896" w:rsidRPr="00EE46A0" w:rsidRDefault="00975896" w:rsidP="00975896">
      <w:pPr>
        <w:pStyle w:val="Heading2"/>
        <w:numPr>
          <w:ilvl w:val="0"/>
          <w:numId w:val="5"/>
        </w:numPr>
        <w:suppressAutoHyphens/>
        <w:ind w:left="426" w:hanging="426"/>
      </w:pPr>
      <w:r w:rsidRPr="00EE46A0">
        <w:rPr>
          <w:b/>
        </w:rPr>
        <w:t>pozdravlja</w:t>
      </w:r>
      <w:r w:rsidRPr="00EE46A0">
        <w:t xml:space="preserve"> namero Komisije, da izboljša sodelovanje med ustreznimi organi, ki se borijo proti goljufijam na področju DDV, tudi možnost boljšega sodelovanja med Europolom in </w:t>
      </w:r>
      <w:proofErr w:type="spellStart"/>
      <w:r w:rsidRPr="00EE46A0">
        <w:t>Eurofiscom</w:t>
      </w:r>
      <w:proofErr w:type="spellEnd"/>
      <w:r w:rsidRPr="00EE46A0">
        <w:t xml:space="preserve"> v okviru Uredbe Sveta (EU) št. 904/2010, ter poziva k nadaljnji krepitvi strukturiranega sodelovanja med vsemi pristojnimi organi v državah članicah.</w:t>
      </w:r>
    </w:p>
    <w:p w14:paraId="285260B8" w14:textId="77777777" w:rsidR="00975896" w:rsidRPr="00EE46A0" w:rsidRDefault="00975896" w:rsidP="00975896">
      <w:pPr>
        <w:suppressAutoHyphens/>
        <w:rPr>
          <w:bCs/>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3"/>
        <w:gridCol w:w="6860"/>
      </w:tblGrid>
      <w:tr w:rsidR="00975896" w:rsidRPr="00EE46A0" w14:paraId="47D5C119" w14:textId="77777777" w:rsidTr="00B56AD6">
        <w:tc>
          <w:tcPr>
            <w:tcW w:w="2235" w:type="dxa"/>
          </w:tcPr>
          <w:p w14:paraId="7B552A96" w14:textId="77777777" w:rsidR="00975896" w:rsidRPr="00EE46A0" w:rsidRDefault="00975896" w:rsidP="00B56AD6">
            <w:pPr>
              <w:suppressAutoHyphens/>
              <w:rPr>
                <w:i/>
              </w:rPr>
            </w:pPr>
            <w:r w:rsidRPr="00EE46A0">
              <w:rPr>
                <w:b/>
                <w:i/>
              </w:rPr>
              <w:t>Kontaktna oseba</w:t>
            </w:r>
          </w:p>
        </w:tc>
        <w:tc>
          <w:tcPr>
            <w:tcW w:w="6945" w:type="dxa"/>
          </w:tcPr>
          <w:p w14:paraId="0D4FC218" w14:textId="77777777" w:rsidR="00975896" w:rsidRPr="00EE46A0" w:rsidRDefault="00975896" w:rsidP="00B56AD6">
            <w:pPr>
              <w:suppressAutoHyphens/>
              <w:rPr>
                <w:i/>
              </w:rPr>
            </w:pPr>
            <w:r w:rsidRPr="00EE46A0">
              <w:rPr>
                <w:i/>
              </w:rPr>
              <w:t>Jüri SOOSAAR</w:t>
            </w:r>
          </w:p>
        </w:tc>
      </w:tr>
      <w:tr w:rsidR="00975896" w:rsidRPr="00EE46A0" w14:paraId="1321DCDE" w14:textId="77777777" w:rsidTr="00B56AD6">
        <w:tc>
          <w:tcPr>
            <w:tcW w:w="2235" w:type="dxa"/>
          </w:tcPr>
          <w:p w14:paraId="6E5DC6A1" w14:textId="77777777" w:rsidR="00975896" w:rsidRPr="00EE46A0" w:rsidRDefault="00975896" w:rsidP="00B56AD6">
            <w:pPr>
              <w:suppressAutoHyphens/>
              <w:rPr>
                <w:i/>
              </w:rPr>
            </w:pPr>
            <w:r w:rsidRPr="00EE46A0">
              <w:rPr>
                <w:i/>
              </w:rPr>
              <w:t>Telefon</w:t>
            </w:r>
          </w:p>
        </w:tc>
        <w:tc>
          <w:tcPr>
            <w:tcW w:w="6945" w:type="dxa"/>
          </w:tcPr>
          <w:p w14:paraId="1E99F392" w14:textId="77777777" w:rsidR="00975896" w:rsidRPr="00EE46A0" w:rsidRDefault="00975896" w:rsidP="00B56AD6">
            <w:pPr>
              <w:suppressAutoHyphens/>
              <w:rPr>
                <w:i/>
              </w:rPr>
            </w:pPr>
            <w:r w:rsidRPr="00EE46A0">
              <w:rPr>
                <w:i/>
              </w:rPr>
              <w:t>+32 2</w:t>
            </w:r>
            <w:r w:rsidRPr="00EE46A0">
              <w:t xml:space="preserve"> </w:t>
            </w:r>
            <w:r w:rsidRPr="00EE46A0">
              <w:rPr>
                <w:i/>
              </w:rPr>
              <w:t>546 9628</w:t>
            </w:r>
          </w:p>
        </w:tc>
      </w:tr>
      <w:tr w:rsidR="00975896" w:rsidRPr="00EE46A0" w14:paraId="027F48D5" w14:textId="77777777" w:rsidTr="00B56AD6">
        <w:tc>
          <w:tcPr>
            <w:tcW w:w="2235" w:type="dxa"/>
          </w:tcPr>
          <w:p w14:paraId="1522E64D" w14:textId="77777777" w:rsidR="00975896" w:rsidRPr="00EE46A0" w:rsidRDefault="00975896" w:rsidP="00B56AD6">
            <w:pPr>
              <w:suppressAutoHyphens/>
              <w:rPr>
                <w:i/>
              </w:rPr>
            </w:pPr>
            <w:r w:rsidRPr="00EE46A0">
              <w:rPr>
                <w:i/>
              </w:rPr>
              <w:t>E-naslov</w:t>
            </w:r>
          </w:p>
        </w:tc>
        <w:tc>
          <w:tcPr>
            <w:tcW w:w="6945" w:type="dxa"/>
          </w:tcPr>
          <w:p w14:paraId="76E9CD8B" w14:textId="77777777" w:rsidR="00975896" w:rsidRPr="00EE46A0" w:rsidRDefault="00283C48" w:rsidP="00B56AD6">
            <w:pPr>
              <w:suppressAutoHyphens/>
              <w:rPr>
                <w:i/>
                <w:iCs/>
              </w:rPr>
            </w:pPr>
            <w:hyperlink r:id="rId17" w:history="1">
              <w:r w:rsidR="00975896" w:rsidRPr="00EE46A0">
                <w:rPr>
                  <w:rStyle w:val="Hyperlink"/>
                  <w:i/>
                </w:rPr>
                <w:t>Juri.Soosaar@eesc.europa.eu</w:t>
              </w:r>
            </w:hyperlink>
          </w:p>
        </w:tc>
      </w:tr>
    </w:tbl>
    <w:p w14:paraId="4C1325B3" w14:textId="77777777" w:rsidR="00975896" w:rsidRPr="00EE46A0" w:rsidRDefault="00975896" w:rsidP="00975896"/>
    <w:p w14:paraId="14AD7ACF" w14:textId="77777777" w:rsidR="00627FDF" w:rsidRPr="00EE46A0" w:rsidRDefault="00627FDF" w:rsidP="00100EF9">
      <w:pPr>
        <w:jc w:val="left"/>
      </w:pPr>
      <w:r w:rsidRPr="00EE46A0">
        <w:br w:type="page"/>
      </w:r>
    </w:p>
    <w:p w14:paraId="1C549380" w14:textId="0169DD2F" w:rsidR="00975896" w:rsidRPr="00EE46A0" w:rsidRDefault="00283C48" w:rsidP="00975896">
      <w:pPr>
        <w:widowControl w:val="0"/>
        <w:numPr>
          <w:ilvl w:val="0"/>
          <w:numId w:val="31"/>
        </w:numPr>
        <w:overflowPunct w:val="0"/>
        <w:autoSpaceDE w:val="0"/>
        <w:autoSpaceDN w:val="0"/>
        <w:adjustRightInd w:val="0"/>
        <w:ind w:hanging="567"/>
        <w:textAlignment w:val="baseline"/>
        <w:rPr>
          <w:i/>
          <w:iCs/>
          <w:sz w:val="20"/>
        </w:rPr>
      </w:pPr>
      <w:hyperlink r:id="rId18" w:history="1">
        <w:r w:rsidR="00975896" w:rsidRPr="00EE46A0">
          <w:rPr>
            <w:rStyle w:val="Hyperlink"/>
            <w:b/>
            <w:i/>
            <w:sz w:val="28"/>
          </w:rPr>
          <w:t>Evropski semester 2026 – jesenski sveženj</w:t>
        </w:r>
      </w:hyperlink>
    </w:p>
    <w:p w14:paraId="73AB5E2D" w14:textId="77777777" w:rsidR="00975896" w:rsidRPr="00EE46A0" w:rsidRDefault="00975896" w:rsidP="00975896"/>
    <w:tbl>
      <w:tblPr>
        <w:tblStyle w:val="TableGrid"/>
        <w:tblW w:w="5000"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9"/>
        <w:gridCol w:w="6474"/>
      </w:tblGrid>
      <w:tr w:rsidR="00975896" w:rsidRPr="00EE46A0" w14:paraId="6CF681BC" w14:textId="77777777" w:rsidTr="00B56AD6">
        <w:tc>
          <w:tcPr>
            <w:tcW w:w="1432" w:type="pct"/>
          </w:tcPr>
          <w:p w14:paraId="1048EBE5" w14:textId="77777777" w:rsidR="00975896" w:rsidRPr="00EE46A0" w:rsidRDefault="00975896" w:rsidP="00B56AD6">
            <w:pPr>
              <w:tabs>
                <w:tab w:val="center" w:pos="284"/>
              </w:tabs>
              <w:ind w:left="266" w:hanging="266"/>
              <w:rPr>
                <w:b/>
              </w:rPr>
            </w:pPr>
            <w:r w:rsidRPr="00EE46A0">
              <w:rPr>
                <w:b/>
                <w:bCs/>
              </w:rPr>
              <w:t>Poročevalec</w:t>
            </w:r>
          </w:p>
        </w:tc>
        <w:tc>
          <w:tcPr>
            <w:tcW w:w="3568" w:type="pct"/>
          </w:tcPr>
          <w:p w14:paraId="588E7A4B" w14:textId="77777777" w:rsidR="00975896" w:rsidRPr="00EE46A0" w:rsidRDefault="00975896" w:rsidP="00B56AD6">
            <w:pPr>
              <w:tabs>
                <w:tab w:val="center" w:pos="284"/>
              </w:tabs>
              <w:ind w:left="266" w:right="-3091" w:hanging="266"/>
            </w:pPr>
            <w:r w:rsidRPr="00EE46A0">
              <w:t>Luca JAHIER (skupina organizacij civilne družbe – IT)</w:t>
            </w:r>
          </w:p>
        </w:tc>
      </w:tr>
      <w:tr w:rsidR="00975896" w:rsidRPr="00EE46A0" w14:paraId="5CCA6340" w14:textId="77777777" w:rsidTr="00B56AD6">
        <w:tc>
          <w:tcPr>
            <w:tcW w:w="5000" w:type="pct"/>
            <w:gridSpan w:val="2"/>
          </w:tcPr>
          <w:p w14:paraId="47DBF81E" w14:textId="77777777" w:rsidR="00975896" w:rsidRPr="00EE46A0" w:rsidRDefault="00975896" w:rsidP="00B56AD6">
            <w:pPr>
              <w:tabs>
                <w:tab w:val="center" w:pos="284"/>
              </w:tabs>
              <w:spacing w:line="240" w:lineRule="auto"/>
              <w:ind w:left="266" w:right="-3091" w:hanging="266"/>
              <w:rPr>
                <w:sz w:val="16"/>
                <w:szCs w:val="16"/>
              </w:rPr>
            </w:pPr>
          </w:p>
        </w:tc>
      </w:tr>
      <w:tr w:rsidR="00975896" w:rsidRPr="00EE46A0" w14:paraId="59FEF594" w14:textId="77777777" w:rsidTr="00B56AD6">
        <w:tc>
          <w:tcPr>
            <w:tcW w:w="1432" w:type="pct"/>
          </w:tcPr>
          <w:p w14:paraId="5B4E6B9C" w14:textId="77777777" w:rsidR="00975896" w:rsidRPr="00EE46A0" w:rsidRDefault="00975896" w:rsidP="00B56AD6">
            <w:pPr>
              <w:tabs>
                <w:tab w:val="center" w:pos="284"/>
              </w:tabs>
              <w:ind w:left="266" w:hanging="266"/>
              <w:rPr>
                <w:b/>
              </w:rPr>
            </w:pPr>
            <w:r w:rsidRPr="00EE46A0">
              <w:rPr>
                <w:b/>
              </w:rPr>
              <w:t>Referenčna dokumenta</w:t>
            </w:r>
          </w:p>
        </w:tc>
        <w:tc>
          <w:tcPr>
            <w:tcW w:w="3568" w:type="pct"/>
          </w:tcPr>
          <w:p w14:paraId="6A8325F2" w14:textId="77777777" w:rsidR="00975896" w:rsidRPr="00EE46A0" w:rsidRDefault="00975896" w:rsidP="00B56AD6">
            <w:pPr>
              <w:tabs>
                <w:tab w:val="center" w:pos="284"/>
              </w:tabs>
              <w:ind w:left="266" w:right="-3091" w:hanging="266"/>
            </w:pPr>
            <w:r w:rsidRPr="00EE46A0">
              <w:t>COM(2025) 955 final</w:t>
            </w:r>
          </w:p>
          <w:p w14:paraId="4453B2CB" w14:textId="77777777" w:rsidR="00975896" w:rsidRPr="00EE46A0" w:rsidRDefault="00975896" w:rsidP="00B56AD6">
            <w:pPr>
              <w:tabs>
                <w:tab w:val="center" w:pos="284"/>
              </w:tabs>
              <w:ind w:left="266" w:right="-3091" w:hanging="266"/>
            </w:pPr>
            <w:r w:rsidRPr="00EE46A0">
              <w:t>EESC-2025-03794-00-00-AC</w:t>
            </w:r>
          </w:p>
        </w:tc>
      </w:tr>
    </w:tbl>
    <w:p w14:paraId="252014D2" w14:textId="77777777" w:rsidR="00975896" w:rsidRPr="00EE46A0" w:rsidRDefault="00975896" w:rsidP="00975896"/>
    <w:p w14:paraId="5ACB7EE6" w14:textId="77777777" w:rsidR="00975896" w:rsidRPr="00EE46A0" w:rsidRDefault="00975896" w:rsidP="00975896">
      <w:pPr>
        <w:rPr>
          <w:b/>
        </w:rPr>
      </w:pPr>
      <w:r w:rsidRPr="00EE46A0">
        <w:rPr>
          <w:b/>
        </w:rPr>
        <w:t>Glavne točke</w:t>
      </w:r>
    </w:p>
    <w:p w14:paraId="4BD029C0" w14:textId="77777777" w:rsidR="00975896" w:rsidRPr="00EE46A0" w:rsidRDefault="00975896" w:rsidP="00975896">
      <w:pPr>
        <w:rPr>
          <w:bCs/>
          <w:iCs/>
        </w:rPr>
      </w:pPr>
    </w:p>
    <w:p w14:paraId="0BDE8FAF" w14:textId="77777777" w:rsidR="00975896" w:rsidRPr="00EE46A0" w:rsidRDefault="00975896" w:rsidP="00975896">
      <w:r w:rsidRPr="00EE46A0">
        <w:t>EESO:</w:t>
      </w:r>
    </w:p>
    <w:p w14:paraId="743AD362" w14:textId="77777777" w:rsidR="00975896" w:rsidRPr="00EE46A0" w:rsidRDefault="00975896" w:rsidP="00975896">
      <w:pPr>
        <w:rPr>
          <w:bCs/>
          <w:iCs/>
        </w:rPr>
      </w:pPr>
    </w:p>
    <w:p w14:paraId="0FCC5A41" w14:textId="77777777" w:rsidR="00975896" w:rsidRPr="00EE46A0" w:rsidRDefault="00975896" w:rsidP="00975896">
      <w:pPr>
        <w:widowControl w:val="0"/>
        <w:numPr>
          <w:ilvl w:val="0"/>
          <w:numId w:val="31"/>
        </w:numPr>
        <w:overflowPunct w:val="0"/>
        <w:autoSpaceDE w:val="0"/>
        <w:autoSpaceDN w:val="0"/>
        <w:adjustRightInd w:val="0"/>
        <w:ind w:left="426" w:hanging="426"/>
        <w:textAlignment w:val="baseline"/>
        <w:rPr>
          <w:bCs/>
          <w:iCs/>
        </w:rPr>
      </w:pPr>
      <w:r w:rsidRPr="00EE46A0">
        <w:t xml:space="preserve">obžaluje, da Komisija spet ni predložila </w:t>
      </w:r>
      <w:r w:rsidRPr="00EE46A0">
        <w:rPr>
          <w:b/>
        </w:rPr>
        <w:t>letnega pregleda trajnostne rasti</w:t>
      </w:r>
      <w:r w:rsidRPr="00EE46A0">
        <w:t xml:space="preserve">, in poudarja, da je </w:t>
      </w:r>
      <w:r w:rsidRPr="00EE46A0">
        <w:rPr>
          <w:b/>
        </w:rPr>
        <w:t>trajnostna gospodarska rast</w:t>
      </w:r>
      <w:r w:rsidRPr="00EE46A0">
        <w:t xml:space="preserve"> nujna za to, da bi Evropa izpolnila svoje številne zaveze; pozdravlja </w:t>
      </w:r>
      <w:r w:rsidRPr="00EE46A0">
        <w:rPr>
          <w:b/>
        </w:rPr>
        <w:t>evropsko makroekonomsko poročilo</w:t>
      </w:r>
      <w:r w:rsidRPr="00EE46A0">
        <w:t xml:space="preserve">, v katerem so podrobno obravnavani temeljni strukturni izzivi, s katerimi se sooča EU, ter </w:t>
      </w:r>
      <w:r w:rsidRPr="00EE46A0">
        <w:rPr>
          <w:b/>
        </w:rPr>
        <w:t>novo priporočilo o človeškem kapitalu</w:t>
      </w:r>
      <w:r w:rsidRPr="00EE46A0">
        <w:t>, ki je bistven element za zapolnitev tehnološke vrzeli v EU, pri čemer je treba upoštevati tudi njene demografske izzive;</w:t>
      </w:r>
    </w:p>
    <w:p w14:paraId="2DAF28A3" w14:textId="77777777" w:rsidR="00975896" w:rsidRPr="00EE46A0" w:rsidRDefault="00975896" w:rsidP="00975896">
      <w:pPr>
        <w:widowControl w:val="0"/>
        <w:numPr>
          <w:ilvl w:val="0"/>
          <w:numId w:val="31"/>
        </w:numPr>
        <w:overflowPunct w:val="0"/>
        <w:autoSpaceDE w:val="0"/>
        <w:autoSpaceDN w:val="0"/>
        <w:adjustRightInd w:val="0"/>
        <w:ind w:left="426" w:hanging="426"/>
        <w:textAlignment w:val="baseline"/>
        <w:rPr>
          <w:bCs/>
          <w:iCs/>
        </w:rPr>
      </w:pPr>
      <w:r w:rsidRPr="00EE46A0">
        <w:t xml:space="preserve">ponovno poziva k </w:t>
      </w:r>
      <w:r w:rsidRPr="00EE46A0">
        <w:rPr>
          <w:b/>
        </w:rPr>
        <w:t>močnejši skupni fiskalni zmogljivosti</w:t>
      </w:r>
      <w:r w:rsidRPr="00EE46A0">
        <w:t>, podprti s ciljnim izdajanjem skupnega dolga, da bi zapolnili to vse večjo vrzel v javnih naložbah, ter k trajnim instrumentom makroekonomske stabilizacije za obvladovanje pretresov, ki bi jih vzpostavili na podlagi izkušenj z evropskim instrumentom za začasno podporo za ublažitev tveganj za brezposelnost v izrednih razmerah (SURE), ki bi moral postati stalen instrument;</w:t>
      </w:r>
    </w:p>
    <w:p w14:paraId="33B6B175" w14:textId="77777777" w:rsidR="00975896" w:rsidRPr="00EE46A0" w:rsidRDefault="00975896" w:rsidP="00975896">
      <w:pPr>
        <w:widowControl w:val="0"/>
        <w:numPr>
          <w:ilvl w:val="0"/>
          <w:numId w:val="31"/>
        </w:numPr>
        <w:overflowPunct w:val="0"/>
        <w:autoSpaceDE w:val="0"/>
        <w:autoSpaceDN w:val="0"/>
        <w:adjustRightInd w:val="0"/>
        <w:ind w:left="426" w:hanging="426"/>
        <w:textAlignment w:val="baseline"/>
        <w:rPr>
          <w:bCs/>
          <w:iCs/>
        </w:rPr>
      </w:pPr>
      <w:r w:rsidRPr="00EE46A0">
        <w:t xml:space="preserve">je še vedno izredno zaskrbljen zaradi </w:t>
      </w:r>
      <w:r w:rsidRPr="00EE46A0">
        <w:rPr>
          <w:b/>
        </w:rPr>
        <w:t>razdrobljenosti finančnih trgov EU</w:t>
      </w:r>
      <w:r w:rsidRPr="00EE46A0">
        <w:t xml:space="preserve"> in poziva Komisijo, naj oceni, ali bi lahko s </w:t>
      </w:r>
      <w:r w:rsidRPr="00EE46A0">
        <w:rPr>
          <w:b/>
        </w:rPr>
        <w:t>sklopom instrumentov na ravni EU, podobnim ameriškemu zakonu o izboljšanju nacionalnih trgov vrednostnih papirjev (NSMIA)</w:t>
      </w:r>
      <w:r w:rsidRPr="00EE46A0">
        <w:t>, poenostavili čezmejni dostop do trga, zmanjšali razdrobljenost glede skladnosti s predpisi in podprli bolj razvite, učinkovitejše in bolj likvidne trge, hkrati pa ohranili nujno raven sedanje varnosti;</w:t>
      </w:r>
    </w:p>
    <w:p w14:paraId="02C2B0D8" w14:textId="77777777" w:rsidR="00975896" w:rsidRPr="00EE46A0" w:rsidRDefault="00975896" w:rsidP="00975896">
      <w:pPr>
        <w:widowControl w:val="0"/>
        <w:numPr>
          <w:ilvl w:val="0"/>
          <w:numId w:val="31"/>
        </w:numPr>
        <w:overflowPunct w:val="0"/>
        <w:autoSpaceDE w:val="0"/>
        <w:autoSpaceDN w:val="0"/>
        <w:adjustRightInd w:val="0"/>
        <w:ind w:left="426" w:hanging="426"/>
        <w:textAlignment w:val="baseline"/>
        <w:rPr>
          <w:bCs/>
          <w:iCs/>
        </w:rPr>
      </w:pPr>
      <w:r w:rsidRPr="00EE46A0">
        <w:t xml:space="preserve">znova poziva Komisijo, naj nujno </w:t>
      </w:r>
      <w:r w:rsidRPr="00EE46A0">
        <w:rPr>
          <w:b/>
        </w:rPr>
        <w:t>revidira sklop predlaganih kazalnikov za spremljanje postopka v zvezi z makroekonomskimi neravnotežji</w:t>
      </w:r>
      <w:r w:rsidRPr="00EE46A0">
        <w:t>. Spremljanje razvoja kombiniranih učinkov vzvoda namesto vztrajanja pri posameznih ocenah bi lahko bilo del rešitve za izboljšanje sedanje preglednice v okviru tega postopka;</w:t>
      </w:r>
    </w:p>
    <w:p w14:paraId="0207120F" w14:textId="77777777" w:rsidR="00975896" w:rsidRPr="00EE46A0" w:rsidRDefault="00975896" w:rsidP="00975896">
      <w:pPr>
        <w:widowControl w:val="0"/>
        <w:numPr>
          <w:ilvl w:val="0"/>
          <w:numId w:val="31"/>
        </w:numPr>
        <w:overflowPunct w:val="0"/>
        <w:autoSpaceDE w:val="0"/>
        <w:autoSpaceDN w:val="0"/>
        <w:adjustRightInd w:val="0"/>
        <w:ind w:left="426" w:hanging="426"/>
        <w:textAlignment w:val="baseline"/>
        <w:rPr>
          <w:bCs/>
          <w:iCs/>
        </w:rPr>
      </w:pPr>
      <w:r w:rsidRPr="00EE46A0">
        <w:t xml:space="preserve">meni, da je treba bolj </w:t>
      </w:r>
      <w:r w:rsidRPr="00EE46A0">
        <w:rPr>
          <w:b/>
        </w:rPr>
        <w:t>racionalno uporabljati pregled socialnih kazalnikov, revidirano preglednico v okviru postopka v zvezi z makroekonomskimi neravnotežji in revidirano metodologijo za analizo vzdržnosti dolga</w:t>
      </w:r>
      <w:r w:rsidRPr="00EE46A0">
        <w:t xml:space="preserve">, </w:t>
      </w:r>
      <w:r w:rsidRPr="00EE46A0">
        <w:rPr>
          <w:b/>
        </w:rPr>
        <w:t>dopolnjeno z novimi kazalniki blaginje</w:t>
      </w:r>
      <w:r w:rsidRPr="00EE46A0">
        <w:t>, ki jih je predlagalo Skupno raziskovalno središče (JRC);</w:t>
      </w:r>
    </w:p>
    <w:p w14:paraId="644C76C8" w14:textId="77777777" w:rsidR="00975896" w:rsidRPr="00EE46A0" w:rsidRDefault="00975896" w:rsidP="00975896">
      <w:pPr>
        <w:widowControl w:val="0"/>
        <w:numPr>
          <w:ilvl w:val="0"/>
          <w:numId w:val="31"/>
        </w:numPr>
        <w:overflowPunct w:val="0"/>
        <w:autoSpaceDE w:val="0"/>
        <w:autoSpaceDN w:val="0"/>
        <w:adjustRightInd w:val="0"/>
        <w:ind w:left="426" w:hanging="426"/>
        <w:textAlignment w:val="baseline"/>
        <w:rPr>
          <w:bCs/>
          <w:iCs/>
        </w:rPr>
      </w:pPr>
      <w:r w:rsidRPr="00EE46A0">
        <w:t xml:space="preserve">poziva Komisijo, naj </w:t>
      </w:r>
      <w:r w:rsidRPr="00EE46A0">
        <w:rPr>
          <w:b/>
        </w:rPr>
        <w:t>okvir socialne konvergence obravnava enakovredno fiskalnemu okviru</w:t>
      </w:r>
      <w:r w:rsidRPr="00EE46A0">
        <w:t xml:space="preserve"> in temu ustrezno v naslednjih specifičnih priporočilih za države </w:t>
      </w:r>
      <w:r w:rsidRPr="00EE46A0">
        <w:rPr>
          <w:b/>
        </w:rPr>
        <w:t>oblikuje jasna priporočila</w:t>
      </w:r>
      <w:r w:rsidRPr="00EE46A0">
        <w:t xml:space="preserve"> za vsako državo članico; poziva jo tudi, naj predlaga konkretne spodbude za države članice, da bi pogosteje uporabljale </w:t>
      </w:r>
      <w:r w:rsidRPr="00EE46A0">
        <w:rPr>
          <w:b/>
        </w:rPr>
        <w:t>klavzulo o prožnosti za socialne naložbe</w:t>
      </w:r>
      <w:r w:rsidRPr="00EE46A0">
        <w:t>;</w:t>
      </w:r>
    </w:p>
    <w:p w14:paraId="6475C35F" w14:textId="77777777" w:rsidR="00975896" w:rsidRPr="00EE46A0" w:rsidRDefault="00975896" w:rsidP="00975896">
      <w:pPr>
        <w:widowControl w:val="0"/>
        <w:numPr>
          <w:ilvl w:val="0"/>
          <w:numId w:val="31"/>
        </w:numPr>
        <w:overflowPunct w:val="0"/>
        <w:autoSpaceDE w:val="0"/>
        <w:autoSpaceDN w:val="0"/>
        <w:adjustRightInd w:val="0"/>
        <w:ind w:left="426" w:hanging="426"/>
        <w:textAlignment w:val="baseline"/>
        <w:rPr>
          <w:bCs/>
          <w:iCs/>
        </w:rPr>
      </w:pPr>
      <w:r w:rsidRPr="00EE46A0">
        <w:t xml:space="preserve">znova poziva k </w:t>
      </w:r>
      <w:r w:rsidRPr="00EE46A0">
        <w:rPr>
          <w:b/>
        </w:rPr>
        <w:t>poglobljeni analizi in pojasnitvi napovedanih povezav med evropskim semestrom, orodjem za usklajevanje konkurenčnosti</w:t>
      </w:r>
      <w:r w:rsidRPr="00EE46A0">
        <w:t xml:space="preserve"> in predlaganim prihodnjim </w:t>
      </w:r>
      <w:r w:rsidRPr="00EE46A0">
        <w:rPr>
          <w:b/>
        </w:rPr>
        <w:t>večletnim finančnim okvirom</w:t>
      </w:r>
      <w:r w:rsidRPr="00EE46A0">
        <w:t>;</w:t>
      </w:r>
    </w:p>
    <w:p w14:paraId="14D4FB37" w14:textId="77777777" w:rsidR="00975896" w:rsidRPr="00EE46A0" w:rsidRDefault="00975896" w:rsidP="00975896">
      <w:pPr>
        <w:widowControl w:val="0"/>
        <w:numPr>
          <w:ilvl w:val="0"/>
          <w:numId w:val="31"/>
        </w:numPr>
        <w:overflowPunct w:val="0"/>
        <w:autoSpaceDE w:val="0"/>
        <w:autoSpaceDN w:val="0"/>
        <w:adjustRightInd w:val="0"/>
        <w:ind w:left="426" w:hanging="426"/>
        <w:textAlignment w:val="baseline"/>
        <w:rPr>
          <w:bCs/>
          <w:iCs/>
        </w:rPr>
      </w:pPr>
      <w:r w:rsidRPr="00EE46A0">
        <w:t>poziva</w:t>
      </w:r>
      <w:r w:rsidRPr="00EE46A0">
        <w:rPr>
          <w:b/>
        </w:rPr>
        <w:t xml:space="preserve"> Evropski parlament, naj</w:t>
      </w:r>
      <w:r w:rsidRPr="00EE46A0">
        <w:t xml:space="preserve"> – tako kot v primeru mehanizma za okrevanje in odpornost (RRF) – </w:t>
      </w:r>
      <w:r w:rsidRPr="00EE46A0">
        <w:rPr>
          <w:b/>
        </w:rPr>
        <w:t>oblikuje stalni odbor za spremljanje in ocenjevanje „novega“ evropskega semestra, izvajanja in letnih ocen srednjeročnih fiskalno-strukturnih načrtov, specifičnih priporočil za države in njihove konkretne povezave s prihodnjimi načrti za nacionalna in regionalna partnerstva</w:t>
      </w:r>
      <w:r w:rsidRPr="00EE46A0">
        <w:t>;</w:t>
      </w:r>
    </w:p>
    <w:p w14:paraId="49B62F71" w14:textId="77777777" w:rsidR="00975896" w:rsidRPr="00EE46A0" w:rsidRDefault="00975896" w:rsidP="00975896">
      <w:pPr>
        <w:widowControl w:val="0"/>
        <w:numPr>
          <w:ilvl w:val="0"/>
          <w:numId w:val="31"/>
        </w:numPr>
        <w:overflowPunct w:val="0"/>
        <w:autoSpaceDE w:val="0"/>
        <w:autoSpaceDN w:val="0"/>
        <w:adjustRightInd w:val="0"/>
        <w:ind w:left="426" w:hanging="426"/>
        <w:textAlignment w:val="baseline"/>
        <w:rPr>
          <w:bCs/>
          <w:iCs/>
        </w:rPr>
      </w:pPr>
      <w:r w:rsidRPr="00EE46A0">
        <w:lastRenderedPageBreak/>
        <w:t xml:space="preserve">poziva Komisijo, naj </w:t>
      </w:r>
      <w:r w:rsidRPr="00EE46A0">
        <w:rPr>
          <w:b/>
        </w:rPr>
        <w:t>odstopno klavzulo oblikuje kot začasen instrument v izrednih razmerah</w:t>
      </w:r>
      <w:r w:rsidRPr="00EE46A0">
        <w:t xml:space="preserve"> in ne kot nadomestilo za usklajeno dolgoročno fiskalno strategijo in strategijo za rast ter naj oceni </w:t>
      </w:r>
      <w:r w:rsidRPr="00EE46A0">
        <w:rPr>
          <w:b/>
        </w:rPr>
        <w:t>vse večji pomen obrambnih izdatkov za trajnostno rast EU</w:t>
      </w:r>
      <w:r w:rsidRPr="00EE46A0">
        <w:t>, pa tudi njihov vpliv na zaposlovanje in prihodnjo fiskalno stabilnost;</w:t>
      </w:r>
    </w:p>
    <w:p w14:paraId="6D46E04F" w14:textId="77777777" w:rsidR="00975896" w:rsidRPr="00EE46A0" w:rsidRDefault="00975896" w:rsidP="00975896">
      <w:pPr>
        <w:widowControl w:val="0"/>
        <w:numPr>
          <w:ilvl w:val="0"/>
          <w:numId w:val="31"/>
        </w:numPr>
        <w:overflowPunct w:val="0"/>
        <w:autoSpaceDE w:val="0"/>
        <w:autoSpaceDN w:val="0"/>
        <w:adjustRightInd w:val="0"/>
        <w:ind w:left="426" w:hanging="426"/>
        <w:textAlignment w:val="baseline"/>
        <w:rPr>
          <w:bCs/>
          <w:iCs/>
        </w:rPr>
      </w:pPr>
      <w:r w:rsidRPr="00EE46A0">
        <w:t xml:space="preserve">ponovno poziva k </w:t>
      </w:r>
      <w:r w:rsidRPr="00EE46A0">
        <w:rPr>
          <w:b/>
        </w:rPr>
        <w:t>odločnejšemu, bolj strukturiranemu in smiselnemu vključevanju socialnih partnerjev in organizacij civilne družbe na evropski, nacionalni in lokalni ravni</w:t>
      </w:r>
      <w:r w:rsidRPr="00EE46A0">
        <w:t xml:space="preserve"> v izvajanje cikla evropskega semestra.</w:t>
      </w:r>
    </w:p>
    <w:p w14:paraId="531823DE" w14:textId="77777777" w:rsidR="00975896" w:rsidRPr="00EE46A0" w:rsidRDefault="00975896" w:rsidP="00975896"/>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6752"/>
      </w:tblGrid>
      <w:tr w:rsidR="00975896" w:rsidRPr="00EE46A0" w14:paraId="1D7E9C81" w14:textId="77777777" w:rsidTr="00B56AD6">
        <w:tc>
          <w:tcPr>
            <w:tcW w:w="1279" w:type="pct"/>
          </w:tcPr>
          <w:p w14:paraId="6024EE83" w14:textId="77777777" w:rsidR="00975896" w:rsidRPr="00EE46A0" w:rsidRDefault="00975896" w:rsidP="00B56AD6">
            <w:pPr>
              <w:rPr>
                <w:i/>
              </w:rPr>
            </w:pPr>
            <w:r w:rsidRPr="00EE46A0">
              <w:rPr>
                <w:b/>
                <w:i/>
              </w:rPr>
              <w:t>Kontaktna oseba:</w:t>
            </w:r>
          </w:p>
        </w:tc>
        <w:tc>
          <w:tcPr>
            <w:tcW w:w="3721" w:type="pct"/>
          </w:tcPr>
          <w:p w14:paraId="03DF02E4" w14:textId="77777777" w:rsidR="00975896" w:rsidRPr="00EE46A0" w:rsidRDefault="00975896" w:rsidP="00B56AD6">
            <w:pPr>
              <w:rPr>
                <w:i/>
              </w:rPr>
            </w:pPr>
            <w:r w:rsidRPr="00EE46A0">
              <w:rPr>
                <w:i/>
              </w:rPr>
              <w:t>Anna PANTAZI</w:t>
            </w:r>
          </w:p>
        </w:tc>
      </w:tr>
      <w:tr w:rsidR="00975896" w:rsidRPr="00EE46A0" w14:paraId="399EB07B" w14:textId="77777777" w:rsidTr="00B56AD6">
        <w:tc>
          <w:tcPr>
            <w:tcW w:w="1279" w:type="pct"/>
          </w:tcPr>
          <w:p w14:paraId="1D46B2C5" w14:textId="77777777" w:rsidR="00975896" w:rsidRPr="00EE46A0" w:rsidRDefault="00975896" w:rsidP="00B56AD6">
            <w:pPr>
              <w:rPr>
                <w:i/>
              </w:rPr>
            </w:pPr>
            <w:r w:rsidRPr="00EE46A0">
              <w:rPr>
                <w:i/>
              </w:rPr>
              <w:t>Telefon:</w:t>
            </w:r>
          </w:p>
        </w:tc>
        <w:tc>
          <w:tcPr>
            <w:tcW w:w="3721" w:type="pct"/>
          </w:tcPr>
          <w:p w14:paraId="3C44E1FE" w14:textId="77777777" w:rsidR="00975896" w:rsidRPr="00EE46A0" w:rsidRDefault="00975896" w:rsidP="00B56AD6">
            <w:pPr>
              <w:rPr>
                <w:i/>
              </w:rPr>
            </w:pPr>
            <w:r w:rsidRPr="00EE46A0">
              <w:rPr>
                <w:i/>
              </w:rPr>
              <w:t>+32 25469231</w:t>
            </w:r>
          </w:p>
        </w:tc>
      </w:tr>
      <w:tr w:rsidR="00975896" w:rsidRPr="00EE46A0" w14:paraId="1DFF5084" w14:textId="77777777" w:rsidTr="00B56AD6">
        <w:tc>
          <w:tcPr>
            <w:tcW w:w="1279" w:type="pct"/>
          </w:tcPr>
          <w:p w14:paraId="17E5250B" w14:textId="77777777" w:rsidR="00975896" w:rsidRPr="00EE46A0" w:rsidRDefault="00975896" w:rsidP="00B56AD6">
            <w:pPr>
              <w:rPr>
                <w:i/>
              </w:rPr>
            </w:pPr>
            <w:r w:rsidRPr="00EE46A0">
              <w:rPr>
                <w:i/>
              </w:rPr>
              <w:t>E-naslov:</w:t>
            </w:r>
          </w:p>
        </w:tc>
        <w:tc>
          <w:tcPr>
            <w:tcW w:w="3721" w:type="pct"/>
          </w:tcPr>
          <w:p w14:paraId="4CCADFFA" w14:textId="77777777" w:rsidR="00975896" w:rsidRPr="00EE46A0" w:rsidRDefault="00283C48" w:rsidP="00B56AD6">
            <w:pPr>
              <w:rPr>
                <w:i/>
              </w:rPr>
            </w:pPr>
            <w:hyperlink r:id="rId19" w:history="1">
              <w:r w:rsidR="00975896" w:rsidRPr="00EE46A0">
                <w:rPr>
                  <w:rStyle w:val="Hyperlink"/>
                  <w:i/>
                </w:rPr>
                <w:t>Anna.Pantazi@eesc.europa.eu</w:t>
              </w:r>
            </w:hyperlink>
          </w:p>
        </w:tc>
      </w:tr>
    </w:tbl>
    <w:p w14:paraId="66C0917F" w14:textId="77777777" w:rsidR="00975896" w:rsidRPr="00EE46A0" w:rsidRDefault="00975896" w:rsidP="00975896"/>
    <w:p w14:paraId="18087D90" w14:textId="77777777" w:rsidR="00557848" w:rsidRPr="00EE46A0" w:rsidRDefault="00557848" w:rsidP="00100EF9">
      <w:pPr>
        <w:jc w:val="left"/>
      </w:pPr>
      <w:r w:rsidRPr="00EE46A0">
        <w:br w:type="page"/>
      </w:r>
    </w:p>
    <w:p w14:paraId="1A7DA5D9" w14:textId="3E57B322" w:rsidR="00393924" w:rsidRPr="00EE46A0" w:rsidRDefault="00283C48" w:rsidP="00EE46A0">
      <w:pPr>
        <w:numPr>
          <w:ilvl w:val="0"/>
          <w:numId w:val="31"/>
        </w:numPr>
        <w:suppressAutoHyphens/>
        <w:overflowPunct w:val="0"/>
        <w:autoSpaceDE w:val="0"/>
        <w:autoSpaceDN w:val="0"/>
        <w:adjustRightInd w:val="0"/>
        <w:ind w:hanging="567"/>
        <w:textAlignment w:val="baseline"/>
        <w:rPr>
          <w:rStyle w:val="Hyperlink"/>
          <w:b/>
          <w:i/>
          <w:iCs/>
          <w:sz w:val="28"/>
          <w:szCs w:val="28"/>
        </w:rPr>
      </w:pPr>
      <w:hyperlink r:id="rId20" w:history="1">
        <w:r w:rsidR="00393924" w:rsidRPr="00EE46A0">
          <w:rPr>
            <w:rStyle w:val="Hyperlink"/>
            <w:b/>
            <w:i/>
            <w:sz w:val="28"/>
          </w:rPr>
          <w:t>Otoška razsežnost v</w:t>
        </w:r>
        <w:r w:rsidR="000F46B6">
          <w:rPr>
            <w:rStyle w:val="Hyperlink"/>
            <w:b/>
            <w:i/>
            <w:sz w:val="28"/>
          </w:rPr>
          <w:t xml:space="preserve"> evropskih</w:t>
        </w:r>
        <w:r w:rsidR="00393924" w:rsidRPr="00EE46A0">
          <w:rPr>
            <w:rStyle w:val="Hyperlink"/>
            <w:b/>
            <w:i/>
            <w:sz w:val="28"/>
          </w:rPr>
          <w:t xml:space="preserve"> politikah </w:t>
        </w:r>
        <w:r w:rsidR="000F46B6">
          <w:rPr>
            <w:rStyle w:val="Hyperlink"/>
            <w:b/>
            <w:i/>
            <w:sz w:val="28"/>
          </w:rPr>
          <w:t>na področjih kohezije, konkurenčnosti in trajnostnega razvoja</w:t>
        </w:r>
      </w:hyperlink>
    </w:p>
    <w:p w14:paraId="615047BA" w14:textId="6545CFB6" w:rsidR="00393924" w:rsidRDefault="00393924" w:rsidP="00393924"/>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04"/>
      </w:tblGrid>
      <w:tr w:rsidR="00393924" w:rsidRPr="00EE46A0" w14:paraId="5827F477" w14:textId="77777777" w:rsidTr="00B56AD6">
        <w:tc>
          <w:tcPr>
            <w:tcW w:w="2376" w:type="dxa"/>
          </w:tcPr>
          <w:p w14:paraId="5FDC98DD" w14:textId="77777777" w:rsidR="00393924" w:rsidRPr="00EE46A0" w:rsidRDefault="00393924" w:rsidP="00B56AD6">
            <w:pPr>
              <w:tabs>
                <w:tab w:val="center" w:pos="284"/>
              </w:tabs>
              <w:suppressAutoHyphens/>
              <w:ind w:left="266" w:hanging="266"/>
              <w:rPr>
                <w:b/>
              </w:rPr>
            </w:pPr>
            <w:r w:rsidRPr="00EE46A0">
              <w:rPr>
                <w:b/>
              </w:rPr>
              <w:t>Poročevalec</w:t>
            </w:r>
          </w:p>
        </w:tc>
        <w:tc>
          <w:tcPr>
            <w:tcW w:w="6804" w:type="dxa"/>
          </w:tcPr>
          <w:p w14:paraId="2CE13E83" w14:textId="77777777" w:rsidR="00393924" w:rsidRPr="00EE46A0" w:rsidRDefault="00393924" w:rsidP="00B56AD6">
            <w:pPr>
              <w:tabs>
                <w:tab w:val="center" w:pos="284"/>
              </w:tabs>
              <w:suppressAutoHyphens/>
              <w:ind w:left="266" w:hanging="266"/>
            </w:pPr>
            <w:r w:rsidRPr="00EE46A0">
              <w:t>Ioannis VARDAKASTANIS (skupina organizacij civilne družbe – EL)</w:t>
            </w:r>
          </w:p>
        </w:tc>
      </w:tr>
      <w:tr w:rsidR="00393924" w:rsidRPr="00EE46A0" w14:paraId="47C85328" w14:textId="77777777" w:rsidTr="00B56AD6">
        <w:tc>
          <w:tcPr>
            <w:tcW w:w="9180" w:type="dxa"/>
            <w:gridSpan w:val="2"/>
          </w:tcPr>
          <w:p w14:paraId="0FDA6102" w14:textId="77777777" w:rsidR="00393924" w:rsidRPr="00EE46A0" w:rsidRDefault="00393924" w:rsidP="00B56AD6">
            <w:pPr>
              <w:tabs>
                <w:tab w:val="center" w:pos="284"/>
              </w:tabs>
              <w:suppressAutoHyphens/>
              <w:spacing w:line="240" w:lineRule="auto"/>
              <w:ind w:left="266" w:hanging="266"/>
              <w:rPr>
                <w:sz w:val="16"/>
                <w:szCs w:val="16"/>
              </w:rPr>
            </w:pPr>
          </w:p>
        </w:tc>
      </w:tr>
      <w:tr w:rsidR="00393924" w:rsidRPr="00EE46A0" w14:paraId="020A7116" w14:textId="77777777" w:rsidTr="00B56AD6">
        <w:tc>
          <w:tcPr>
            <w:tcW w:w="2376" w:type="dxa"/>
          </w:tcPr>
          <w:p w14:paraId="6B2AFFAB" w14:textId="77777777" w:rsidR="00393924" w:rsidRPr="00EE46A0" w:rsidRDefault="00393924" w:rsidP="00B56AD6">
            <w:pPr>
              <w:tabs>
                <w:tab w:val="center" w:pos="284"/>
              </w:tabs>
              <w:suppressAutoHyphens/>
              <w:ind w:left="266" w:hanging="266"/>
              <w:rPr>
                <w:b/>
              </w:rPr>
            </w:pPr>
            <w:r w:rsidRPr="00EE46A0">
              <w:rPr>
                <w:b/>
              </w:rPr>
              <w:t>Referenčni dokument</w:t>
            </w:r>
          </w:p>
        </w:tc>
        <w:tc>
          <w:tcPr>
            <w:tcW w:w="6804" w:type="dxa"/>
          </w:tcPr>
          <w:p w14:paraId="6B9F30AA" w14:textId="77777777" w:rsidR="00393924" w:rsidRPr="00EE46A0" w:rsidRDefault="00393924" w:rsidP="00B56AD6">
            <w:pPr>
              <w:tabs>
                <w:tab w:val="center" w:pos="321"/>
              </w:tabs>
              <w:suppressAutoHyphens/>
            </w:pPr>
            <w:r w:rsidRPr="00EE46A0">
              <w:t>Raziskovalno mnenje na zaprosilo ciprskega predsedstva Sveta EU</w:t>
            </w:r>
          </w:p>
          <w:p w14:paraId="551AD92D" w14:textId="2DE31AB9" w:rsidR="00393924" w:rsidRPr="00EE46A0" w:rsidRDefault="00393924" w:rsidP="00B56AD6">
            <w:pPr>
              <w:tabs>
                <w:tab w:val="center" w:pos="284"/>
              </w:tabs>
              <w:suppressAutoHyphens/>
              <w:ind w:left="266" w:hanging="266"/>
            </w:pPr>
            <w:r w:rsidRPr="00EE46A0">
              <w:t>EESC-2025-03598-00-00-AC</w:t>
            </w:r>
          </w:p>
        </w:tc>
      </w:tr>
    </w:tbl>
    <w:p w14:paraId="65A11562" w14:textId="77777777" w:rsidR="00393924" w:rsidRPr="00EE46A0" w:rsidRDefault="00393924" w:rsidP="00393924"/>
    <w:p w14:paraId="6FBE39E0" w14:textId="77777777" w:rsidR="00393924" w:rsidRPr="00EE46A0" w:rsidRDefault="00393924" w:rsidP="00393924">
      <w:pPr>
        <w:tabs>
          <w:tab w:val="center" w:pos="284"/>
        </w:tabs>
        <w:suppressAutoHyphens/>
        <w:ind w:left="266" w:hanging="266"/>
        <w:rPr>
          <w:b/>
        </w:rPr>
      </w:pPr>
      <w:r w:rsidRPr="00EE46A0">
        <w:rPr>
          <w:b/>
        </w:rPr>
        <w:t>Glavne točke</w:t>
      </w:r>
    </w:p>
    <w:p w14:paraId="6FBF3F15" w14:textId="77777777" w:rsidR="00393924" w:rsidRPr="00EE46A0" w:rsidRDefault="00393924" w:rsidP="00393924"/>
    <w:p w14:paraId="16E3FA73" w14:textId="77777777" w:rsidR="00393924" w:rsidRPr="00EE46A0" w:rsidRDefault="00393924" w:rsidP="00393924">
      <w:pPr>
        <w:suppressAutoHyphens/>
        <w:rPr>
          <w:bCs/>
          <w:iCs/>
        </w:rPr>
      </w:pPr>
      <w:r w:rsidRPr="00EE46A0">
        <w:t>EESO:</w:t>
      </w:r>
    </w:p>
    <w:p w14:paraId="430BBDF5" w14:textId="77777777" w:rsidR="00393924" w:rsidRPr="00EE46A0" w:rsidRDefault="00393924" w:rsidP="00393924">
      <w:pPr>
        <w:suppressAutoHyphens/>
        <w:rPr>
          <w:bCs/>
          <w:iCs/>
        </w:rPr>
      </w:pPr>
    </w:p>
    <w:p w14:paraId="348331FA" w14:textId="77777777" w:rsidR="00393924" w:rsidRPr="00EE46A0" w:rsidRDefault="00393924" w:rsidP="00393924">
      <w:pPr>
        <w:pStyle w:val="Heading2"/>
        <w:numPr>
          <w:ilvl w:val="0"/>
          <w:numId w:val="5"/>
        </w:numPr>
        <w:suppressAutoHyphens/>
        <w:ind w:left="426" w:hanging="426"/>
      </w:pPr>
      <w:r w:rsidRPr="00EE46A0">
        <w:t xml:space="preserve">meni, da so otoki EU </w:t>
      </w:r>
      <w:r w:rsidRPr="00EE46A0">
        <w:rPr>
          <w:u w:val="single"/>
        </w:rPr>
        <w:t>stalno strukturno prikrajšani</w:t>
      </w:r>
      <w:r w:rsidRPr="00EE46A0">
        <w:t>, saj se soočajo z geografskimi, gospodarskimi, demografskimi in podnebnimi omejitvami, kot so geografska izoliranost, taljenje ledu, visoki stroški prevoza in energije, pritisk na stanovanjski trg, pomanjkanje delovne sile in prevelika odvisnost od turizma;</w:t>
      </w:r>
    </w:p>
    <w:p w14:paraId="282112B9" w14:textId="77777777" w:rsidR="00393924" w:rsidRPr="00EE46A0" w:rsidRDefault="00393924" w:rsidP="00393924">
      <w:pPr>
        <w:pStyle w:val="Heading2"/>
        <w:numPr>
          <w:ilvl w:val="0"/>
          <w:numId w:val="5"/>
        </w:numPr>
        <w:suppressAutoHyphens/>
        <w:ind w:left="426" w:hanging="426"/>
        <w:rPr>
          <w:u w:val="single"/>
        </w:rPr>
      </w:pPr>
      <w:r w:rsidRPr="00EE46A0">
        <w:t>meni, da so otoki bistveni za geopolitični položaj EU, upravljanje migracij, pomorsko varnost in energetski prehod. Njihovi morski ekosistemi in izključne ekonomske cone podpirajo cilje modrega gospodarstva in biotske raznovrstnosti. Edinstveni izzivi otokov so sicer priznani v Pogodbah EU in političnih izjavah, vendar niso ustrezno obravnavani v sektorskih politikah EU. Otoki lahko postanejo laboratoriji inovacij in trajnostnosti, ki prinašajo rešitve za prilagajanje podnebnim spremembam, energijo iz obnovljivih virov, ohranjanje morij in trajnostni turizem;</w:t>
      </w:r>
    </w:p>
    <w:p w14:paraId="17D800F3" w14:textId="77777777" w:rsidR="00393924" w:rsidRPr="00EE46A0" w:rsidRDefault="00393924" w:rsidP="00393924">
      <w:pPr>
        <w:pStyle w:val="Heading2"/>
        <w:numPr>
          <w:ilvl w:val="0"/>
          <w:numId w:val="5"/>
        </w:numPr>
        <w:suppressAutoHyphens/>
        <w:ind w:left="426" w:hanging="426"/>
      </w:pPr>
      <w:r w:rsidRPr="00EE46A0">
        <w:rPr>
          <w:u w:val="single"/>
        </w:rPr>
        <w:t>priznava, da je potreben sistemski pristop.</w:t>
      </w:r>
      <w:r w:rsidRPr="00EE46A0">
        <w:t xml:space="preserve"> Za učinkovito politiko EU za otoke in otoška ozemlja na splošno (vključno z najbolj oddaljenimi regijami in jezerskimi regijami) so potrebne celostne medsektorske strategije, ki obravnavajo povezljivost, gospodarsko diverzifikacijo, socialno kohezijo, ekološko, socialno in gospodarsko odpornost ter geopolitično pripravljenost;</w:t>
      </w:r>
    </w:p>
    <w:p w14:paraId="54A93787" w14:textId="77777777" w:rsidR="00393924" w:rsidRPr="00EE46A0" w:rsidRDefault="00393924" w:rsidP="00393924">
      <w:pPr>
        <w:pStyle w:val="Heading2"/>
        <w:numPr>
          <w:ilvl w:val="0"/>
          <w:numId w:val="5"/>
        </w:numPr>
        <w:suppressAutoHyphens/>
        <w:ind w:left="426" w:hanging="426"/>
      </w:pPr>
      <w:r w:rsidRPr="00EE46A0">
        <w:t>poziva k oblikovanju posebne strategije Unije za otoke (</w:t>
      </w:r>
      <w:r w:rsidRPr="00EE46A0">
        <w:rPr>
          <w:b/>
        </w:rPr>
        <w:t>pakt za otoke</w:t>
      </w:r>
      <w:r w:rsidRPr="00EE46A0">
        <w:t>), podprte s posebnim zakonodajnim okvirom (</w:t>
      </w:r>
      <w:r w:rsidRPr="00EE46A0">
        <w:rPr>
          <w:b/>
        </w:rPr>
        <w:t>akt o otokih</w:t>
      </w:r>
      <w:r w:rsidRPr="00EE46A0">
        <w:t xml:space="preserve">). Ta okvir, ki bi ga morala spremljati uradna strategija, bi moral zagotoviti učinkovito izvajanje </w:t>
      </w:r>
      <w:r w:rsidRPr="00EE46A0">
        <w:rPr>
          <w:b/>
        </w:rPr>
        <w:t>klavzule o otoški legi</w:t>
      </w:r>
      <w:r w:rsidRPr="00EE46A0">
        <w:t>, da bi se posebne potrebe in omejitve otokov sistematično vključevale v politike Unije na področju kohezije, prometa, energije, državne pomoči, okolja in pomorskih zadev;</w:t>
      </w:r>
    </w:p>
    <w:p w14:paraId="7AC41A4B" w14:textId="77777777" w:rsidR="00393924" w:rsidRPr="00EE46A0" w:rsidRDefault="00393924" w:rsidP="00393924">
      <w:pPr>
        <w:pStyle w:val="Heading2"/>
        <w:numPr>
          <w:ilvl w:val="0"/>
          <w:numId w:val="5"/>
        </w:numPr>
        <w:suppressAutoHyphens/>
        <w:ind w:left="426" w:hanging="426"/>
      </w:pPr>
      <w:r w:rsidRPr="00EE46A0">
        <w:t>opozarja, da je za teritorialno kohezijo bistveno izboljšanje povezljivosti in infrastrukture na otoških ozemljih, ter poziva k izboljšanju prometnih sistemov in sistemov javne mobilnosti, večji digitalni povezljivosti in odpornejšim energetskim omrežjem z jasnim poudarkom na razogljičenju in energetski avtonomiji;</w:t>
      </w:r>
    </w:p>
    <w:p w14:paraId="5031B0CC" w14:textId="77777777" w:rsidR="00393924" w:rsidRPr="00EE46A0" w:rsidRDefault="00393924" w:rsidP="00393924">
      <w:pPr>
        <w:pStyle w:val="Heading2"/>
        <w:numPr>
          <w:ilvl w:val="0"/>
          <w:numId w:val="5"/>
        </w:numPr>
        <w:suppressAutoHyphens/>
        <w:ind w:left="426" w:hanging="426"/>
      </w:pPr>
      <w:r w:rsidRPr="00EE46A0">
        <w:t xml:space="preserve">poudarja, da bi morale otoške regije </w:t>
      </w:r>
      <w:proofErr w:type="spellStart"/>
      <w:r w:rsidRPr="00EE46A0">
        <w:t>diverzificirati</w:t>
      </w:r>
      <w:proofErr w:type="spellEnd"/>
      <w:r w:rsidRPr="00EE46A0">
        <w:t xml:space="preserve"> svoja gospodarstva z razvojem trajnostnega in konkurenčnega modrega gospodarstva, ki temelji na njihovih edinstvenih prednostih, kot so morski viri, potencial obnovljivih virov energije, turizem, kulturna dediščina in ustvarjalni sektor;</w:t>
      </w:r>
    </w:p>
    <w:p w14:paraId="1D585E33" w14:textId="77777777" w:rsidR="00393924" w:rsidRPr="00EE46A0" w:rsidRDefault="00393924" w:rsidP="00393924">
      <w:pPr>
        <w:pStyle w:val="Heading2"/>
        <w:numPr>
          <w:ilvl w:val="0"/>
          <w:numId w:val="5"/>
        </w:numPr>
        <w:suppressAutoHyphens/>
        <w:ind w:left="426" w:hanging="426"/>
      </w:pPr>
      <w:r w:rsidRPr="00EE46A0">
        <w:t>poudarja, da sta socialna kohezija in razvoj človeškega kapitala osrednjega pomena za dolgoročno trajnostnost otoških skupnosti. Poziva k ciljno usmerjenim politikam za odpravo pomanjkanja stanovanj, neusklajenosti med ponudbo in povpraševanjem na trgu dela in pomanjkanja strokovno usposobljene delovne sile ter za preprečevanje izseljevanja mladih. Te politike bi morale zajemati vključujoče sisteme izobraževanja, kakovostne zaposlitvene možnosti in cenovno dostopne stanovanjske rešitve, prilagojene posebnim značilnostim otokov;</w:t>
      </w:r>
    </w:p>
    <w:p w14:paraId="62228711" w14:textId="77777777" w:rsidR="00393924" w:rsidRPr="00EE46A0" w:rsidRDefault="00393924" w:rsidP="00393924">
      <w:pPr>
        <w:pStyle w:val="Heading2"/>
        <w:numPr>
          <w:ilvl w:val="0"/>
          <w:numId w:val="5"/>
        </w:numPr>
        <w:suppressAutoHyphens/>
        <w:ind w:left="426" w:hanging="426"/>
      </w:pPr>
      <w:r w:rsidRPr="00EE46A0">
        <w:lastRenderedPageBreak/>
        <w:t>poudarja, da je treba nujno doseči napredek na področju varstva okolja in odpornosti proti podnebnim spremembam na otoških ozemljih, ki so tem spremembam nesorazmerno izpostavljena;</w:t>
      </w:r>
    </w:p>
    <w:p w14:paraId="61A48E63" w14:textId="77777777" w:rsidR="00393924" w:rsidRPr="00EE46A0" w:rsidRDefault="00393924" w:rsidP="00393924">
      <w:pPr>
        <w:pStyle w:val="Heading2"/>
        <w:numPr>
          <w:ilvl w:val="0"/>
          <w:numId w:val="5"/>
        </w:numPr>
        <w:suppressAutoHyphens/>
        <w:ind w:left="426" w:hanging="426"/>
      </w:pPr>
      <w:r w:rsidRPr="00EE46A0">
        <w:t xml:space="preserve">poziva k formalni vključitvi spremljanja, predvidevanja in participativnega upravljanja v otoške politike ter predlaga </w:t>
      </w:r>
      <w:r w:rsidRPr="00EE46A0">
        <w:rPr>
          <w:b/>
        </w:rPr>
        <w:t>redno poročilo o izvajanju politike za otoke</w:t>
      </w:r>
      <w:r w:rsidRPr="00EE46A0">
        <w:t>, namenjeno spremljanju ključnih demografskih, gospodarskih, socialnih in okoljskih kazalnikov;</w:t>
      </w:r>
    </w:p>
    <w:p w14:paraId="00F7456F" w14:textId="77777777" w:rsidR="00393924" w:rsidRPr="00EE46A0" w:rsidRDefault="00393924" w:rsidP="00393924">
      <w:pPr>
        <w:pStyle w:val="Heading2"/>
        <w:numPr>
          <w:ilvl w:val="0"/>
          <w:numId w:val="5"/>
        </w:numPr>
        <w:suppressAutoHyphens/>
        <w:ind w:left="426" w:hanging="426"/>
      </w:pPr>
      <w:r w:rsidRPr="00EE46A0">
        <w:t>meni, da se otokov EU ne sme več obravnavati kot obrobna ozemlja. Z vidika suverenosti, odpornosti in inovacijske zmogljivosti Evrope so to najbolj izpostavljene regije. Nujno bi potrebovali ciljno usmerjeno, sistemsko in na zakonodaji temelječo strategijo EU za otoke (</w:t>
      </w:r>
      <w:r w:rsidRPr="00EE46A0">
        <w:rPr>
          <w:b/>
        </w:rPr>
        <w:t>pakt za otoke</w:t>
      </w:r>
      <w:r w:rsidRPr="00EE46A0">
        <w:t>), da bi otoki postali gonilna sila trajnostne rasti, odpornosti proti podnebnim spremembam in geopolitične varnosti, kar bi pripomoglo k uspešnemu razvoju otoških skupnosti, hkrati pa okrepilo strateško avtonomijo in kohezijo Evrope. Na to je nedavno opozorilo dejstvo, da ima Grenlandija osrednji geopolitični pomen v okviru varnostne dinamike Arktike, čezatlantskih odnosov in rivalstva velesil ter pomembno vlogo pri strateški avtonomiji Evrope na področju obrambe.</w:t>
      </w:r>
    </w:p>
    <w:p w14:paraId="292F6228" w14:textId="77777777" w:rsidR="00393924" w:rsidRPr="00EE46A0" w:rsidRDefault="00393924" w:rsidP="00393924">
      <w:pPr>
        <w:suppressAutoHyphens/>
        <w:rPr>
          <w:bCs/>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946"/>
      </w:tblGrid>
      <w:tr w:rsidR="00393924" w:rsidRPr="00EE46A0" w14:paraId="389F352F" w14:textId="77777777" w:rsidTr="00B56AD6">
        <w:tc>
          <w:tcPr>
            <w:tcW w:w="2093" w:type="dxa"/>
          </w:tcPr>
          <w:p w14:paraId="19D5602B" w14:textId="77777777" w:rsidR="00393924" w:rsidRPr="00EE46A0" w:rsidRDefault="00393924" w:rsidP="00B56AD6">
            <w:pPr>
              <w:suppressAutoHyphens/>
              <w:rPr>
                <w:i/>
              </w:rPr>
            </w:pPr>
            <w:r w:rsidRPr="00EE46A0">
              <w:rPr>
                <w:b/>
                <w:i/>
              </w:rPr>
              <w:t>Kontaktna oseba</w:t>
            </w:r>
          </w:p>
        </w:tc>
        <w:tc>
          <w:tcPr>
            <w:tcW w:w="6946" w:type="dxa"/>
          </w:tcPr>
          <w:p w14:paraId="29D7031D" w14:textId="77777777" w:rsidR="00393924" w:rsidRPr="00EE46A0" w:rsidRDefault="00393924" w:rsidP="00B56AD6">
            <w:pPr>
              <w:suppressAutoHyphens/>
              <w:rPr>
                <w:i/>
              </w:rPr>
            </w:pPr>
            <w:r w:rsidRPr="00EE46A0">
              <w:rPr>
                <w:i/>
              </w:rPr>
              <w:t>Georgios MELEAS</w:t>
            </w:r>
          </w:p>
        </w:tc>
      </w:tr>
      <w:tr w:rsidR="00393924" w:rsidRPr="00EE46A0" w14:paraId="23E7ABC4" w14:textId="77777777" w:rsidTr="00B56AD6">
        <w:tc>
          <w:tcPr>
            <w:tcW w:w="2093" w:type="dxa"/>
          </w:tcPr>
          <w:p w14:paraId="4EC80C66" w14:textId="77777777" w:rsidR="00393924" w:rsidRPr="00EE46A0" w:rsidRDefault="00393924" w:rsidP="00B56AD6">
            <w:pPr>
              <w:suppressAutoHyphens/>
              <w:rPr>
                <w:i/>
              </w:rPr>
            </w:pPr>
            <w:r w:rsidRPr="00EE46A0">
              <w:rPr>
                <w:i/>
              </w:rPr>
              <w:t>Telefon</w:t>
            </w:r>
          </w:p>
        </w:tc>
        <w:tc>
          <w:tcPr>
            <w:tcW w:w="6946" w:type="dxa"/>
          </w:tcPr>
          <w:p w14:paraId="6B908FC0" w14:textId="77777777" w:rsidR="00393924" w:rsidRPr="00EE46A0" w:rsidRDefault="00393924" w:rsidP="00B56AD6">
            <w:pPr>
              <w:suppressAutoHyphens/>
              <w:rPr>
                <w:i/>
              </w:rPr>
            </w:pPr>
            <w:r w:rsidRPr="00EE46A0">
              <w:rPr>
                <w:i/>
              </w:rPr>
              <w:t>+32 2 5469795</w:t>
            </w:r>
          </w:p>
        </w:tc>
      </w:tr>
      <w:tr w:rsidR="00393924" w:rsidRPr="00EE46A0" w14:paraId="1D1DBE92" w14:textId="77777777" w:rsidTr="00B56AD6">
        <w:tc>
          <w:tcPr>
            <w:tcW w:w="2093" w:type="dxa"/>
          </w:tcPr>
          <w:p w14:paraId="09B55127" w14:textId="77777777" w:rsidR="00393924" w:rsidRPr="00EE46A0" w:rsidRDefault="00393924" w:rsidP="00B56AD6">
            <w:pPr>
              <w:suppressAutoHyphens/>
              <w:rPr>
                <w:i/>
              </w:rPr>
            </w:pPr>
            <w:r w:rsidRPr="00EE46A0">
              <w:rPr>
                <w:i/>
              </w:rPr>
              <w:t>E-naslov</w:t>
            </w:r>
          </w:p>
        </w:tc>
        <w:tc>
          <w:tcPr>
            <w:tcW w:w="6946" w:type="dxa"/>
          </w:tcPr>
          <w:p w14:paraId="0BF6FB92" w14:textId="77777777" w:rsidR="00393924" w:rsidRPr="00EE46A0" w:rsidRDefault="00283C48" w:rsidP="00B56AD6">
            <w:pPr>
              <w:suppressAutoHyphens/>
              <w:rPr>
                <w:i/>
                <w:iCs/>
              </w:rPr>
            </w:pPr>
            <w:hyperlink r:id="rId21" w:history="1">
              <w:r w:rsidR="00393924" w:rsidRPr="00EE46A0">
                <w:rPr>
                  <w:rStyle w:val="Hyperlink"/>
                  <w:i/>
                </w:rPr>
                <w:t>Georgios.Meleas@eesc.europa.eu</w:t>
              </w:r>
            </w:hyperlink>
          </w:p>
        </w:tc>
      </w:tr>
    </w:tbl>
    <w:p w14:paraId="1924B92A" w14:textId="77777777" w:rsidR="00393924" w:rsidRPr="00EE46A0" w:rsidRDefault="00393924" w:rsidP="00393924"/>
    <w:p w14:paraId="28F747AB" w14:textId="77777777" w:rsidR="007652C3" w:rsidRPr="00EE46A0" w:rsidRDefault="007652C3" w:rsidP="00100EF9">
      <w:pPr>
        <w:jc w:val="left"/>
      </w:pPr>
      <w:r w:rsidRPr="00EE46A0">
        <w:br w:type="page"/>
      </w:r>
    </w:p>
    <w:p w14:paraId="69E75A28" w14:textId="25BE4D6D" w:rsidR="00393924" w:rsidRPr="00EE46A0" w:rsidRDefault="00283C48" w:rsidP="00EE46A0">
      <w:pPr>
        <w:numPr>
          <w:ilvl w:val="0"/>
          <w:numId w:val="36"/>
        </w:numPr>
        <w:spacing w:line="276" w:lineRule="auto"/>
        <w:ind w:left="567" w:hanging="578"/>
        <w:rPr>
          <w:b/>
          <w:i/>
          <w:iCs/>
          <w:sz w:val="28"/>
          <w:szCs w:val="28"/>
        </w:rPr>
      </w:pPr>
      <w:hyperlink r:id="rId22" w:history="1">
        <w:r w:rsidR="00393924" w:rsidRPr="00EE46A0">
          <w:rPr>
            <w:rStyle w:val="Hyperlink"/>
            <w:b/>
            <w:i/>
            <w:sz w:val="28"/>
          </w:rPr>
          <w:t>Revizija direktive o obdavčitvi tobačnih izdelkov</w:t>
        </w:r>
      </w:hyperlink>
    </w:p>
    <w:p w14:paraId="6B7A9AA1" w14:textId="77777777" w:rsidR="00393924" w:rsidRPr="00EE46A0" w:rsidRDefault="00393924" w:rsidP="00393924">
      <w:pPr>
        <w:tabs>
          <w:tab w:val="center" w:pos="284"/>
        </w:tabs>
        <w:suppressAutoHyphens/>
        <w:spacing w:line="276" w:lineRule="auto"/>
        <w:ind w:left="266" w:hanging="266"/>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8"/>
        <w:gridCol w:w="6575"/>
      </w:tblGrid>
      <w:tr w:rsidR="00393924" w:rsidRPr="00EE46A0" w14:paraId="77AC0353" w14:textId="77777777" w:rsidTr="00B56AD6">
        <w:tc>
          <w:tcPr>
            <w:tcW w:w="2518" w:type="dxa"/>
          </w:tcPr>
          <w:p w14:paraId="598AF41E" w14:textId="77777777" w:rsidR="00393924" w:rsidRPr="00EE46A0" w:rsidRDefault="00393924" w:rsidP="00B56AD6">
            <w:pPr>
              <w:tabs>
                <w:tab w:val="center" w:pos="284"/>
              </w:tabs>
              <w:suppressAutoHyphens/>
              <w:spacing w:line="276" w:lineRule="auto"/>
              <w:ind w:left="266" w:hanging="266"/>
              <w:rPr>
                <w:b/>
              </w:rPr>
            </w:pPr>
            <w:r w:rsidRPr="00EE46A0">
              <w:rPr>
                <w:b/>
              </w:rPr>
              <w:t>Poročevalec</w:t>
            </w:r>
          </w:p>
        </w:tc>
        <w:tc>
          <w:tcPr>
            <w:tcW w:w="6662" w:type="dxa"/>
          </w:tcPr>
          <w:p w14:paraId="42C416D0" w14:textId="77777777" w:rsidR="00393924" w:rsidRPr="00EE46A0" w:rsidRDefault="00393924" w:rsidP="00B56AD6">
            <w:pPr>
              <w:tabs>
                <w:tab w:val="center" w:pos="284"/>
              </w:tabs>
              <w:suppressAutoHyphens/>
              <w:spacing w:line="276" w:lineRule="auto"/>
              <w:ind w:left="266" w:hanging="266"/>
            </w:pPr>
            <w:r w:rsidRPr="00EE46A0">
              <w:t>Matteo Carlo BORSANI (skupina delodajalcev – IT)</w:t>
            </w:r>
          </w:p>
        </w:tc>
      </w:tr>
      <w:tr w:rsidR="00393924" w:rsidRPr="00EE46A0" w14:paraId="68F8D9ED" w14:textId="77777777" w:rsidTr="00B56AD6">
        <w:tc>
          <w:tcPr>
            <w:tcW w:w="9180" w:type="dxa"/>
            <w:gridSpan w:val="2"/>
          </w:tcPr>
          <w:p w14:paraId="1D087839" w14:textId="77777777" w:rsidR="00393924" w:rsidRPr="00EE46A0" w:rsidRDefault="00393924" w:rsidP="00B56AD6">
            <w:pPr>
              <w:tabs>
                <w:tab w:val="center" w:pos="284"/>
              </w:tabs>
              <w:suppressAutoHyphens/>
              <w:spacing w:line="276" w:lineRule="auto"/>
              <w:ind w:left="266" w:hanging="266"/>
              <w:rPr>
                <w:sz w:val="16"/>
                <w:szCs w:val="16"/>
              </w:rPr>
            </w:pPr>
          </w:p>
        </w:tc>
      </w:tr>
      <w:tr w:rsidR="00393924" w:rsidRPr="00EE46A0" w14:paraId="6FEFD3D6" w14:textId="77777777" w:rsidTr="00B56AD6">
        <w:tc>
          <w:tcPr>
            <w:tcW w:w="2518" w:type="dxa"/>
          </w:tcPr>
          <w:p w14:paraId="2DCD5448" w14:textId="77777777" w:rsidR="00393924" w:rsidRPr="00EE46A0" w:rsidRDefault="00393924" w:rsidP="00B56AD6">
            <w:pPr>
              <w:tabs>
                <w:tab w:val="center" w:pos="284"/>
              </w:tabs>
              <w:suppressAutoHyphens/>
              <w:spacing w:line="276" w:lineRule="auto"/>
              <w:ind w:left="266" w:hanging="266"/>
              <w:rPr>
                <w:b/>
              </w:rPr>
            </w:pPr>
            <w:r w:rsidRPr="00EE46A0">
              <w:rPr>
                <w:b/>
              </w:rPr>
              <w:t>Referenčni dokumenti</w:t>
            </w:r>
          </w:p>
        </w:tc>
        <w:tc>
          <w:tcPr>
            <w:tcW w:w="6662" w:type="dxa"/>
          </w:tcPr>
          <w:p w14:paraId="3927194F" w14:textId="606430AA" w:rsidR="00393924" w:rsidRPr="00EE46A0" w:rsidRDefault="00393924" w:rsidP="00B56AD6">
            <w:pPr>
              <w:tabs>
                <w:tab w:val="center" w:pos="284"/>
              </w:tabs>
              <w:suppressAutoHyphens/>
              <w:spacing w:line="276" w:lineRule="auto"/>
              <w:ind w:left="266" w:hanging="266"/>
            </w:pPr>
            <w:r w:rsidRPr="00EE46A0">
              <w:t>COM(2025) 580 final</w:t>
            </w:r>
          </w:p>
          <w:p w14:paraId="2C02CCA8" w14:textId="5A4CE89B" w:rsidR="00393924" w:rsidRPr="00EE46A0" w:rsidRDefault="00393924" w:rsidP="00B56AD6">
            <w:pPr>
              <w:tabs>
                <w:tab w:val="center" w:pos="284"/>
              </w:tabs>
              <w:suppressAutoHyphens/>
              <w:spacing w:line="276" w:lineRule="auto"/>
              <w:ind w:left="266" w:hanging="266"/>
            </w:pPr>
            <w:r w:rsidRPr="00EE46A0">
              <w:t>COM(2025) 581 final</w:t>
            </w:r>
          </w:p>
          <w:p w14:paraId="02722486" w14:textId="3B6DA276" w:rsidR="00393924" w:rsidRPr="00EE46A0" w:rsidRDefault="00393924" w:rsidP="00B56AD6">
            <w:pPr>
              <w:tabs>
                <w:tab w:val="center" w:pos="284"/>
              </w:tabs>
              <w:suppressAutoHyphens/>
              <w:spacing w:line="276" w:lineRule="auto"/>
              <w:ind w:left="266" w:hanging="266"/>
            </w:pPr>
            <w:r w:rsidRPr="00EE46A0">
              <w:t>EESC-2025-02514-00-00-AC</w:t>
            </w:r>
          </w:p>
        </w:tc>
      </w:tr>
    </w:tbl>
    <w:p w14:paraId="5E9EAA8F" w14:textId="77777777" w:rsidR="00393924" w:rsidRPr="00EE46A0" w:rsidRDefault="00393924" w:rsidP="00393924">
      <w:pPr>
        <w:tabs>
          <w:tab w:val="center" w:pos="284"/>
        </w:tabs>
        <w:suppressAutoHyphens/>
        <w:spacing w:line="240" w:lineRule="auto"/>
        <w:ind w:left="266" w:hanging="266"/>
        <w:rPr>
          <w:bCs/>
        </w:rPr>
      </w:pPr>
    </w:p>
    <w:p w14:paraId="08021D6C" w14:textId="77777777" w:rsidR="00393924" w:rsidRPr="00EE46A0" w:rsidRDefault="00393924" w:rsidP="00393924">
      <w:pPr>
        <w:tabs>
          <w:tab w:val="center" w:pos="284"/>
        </w:tabs>
        <w:suppressAutoHyphens/>
        <w:spacing w:line="276" w:lineRule="auto"/>
        <w:ind w:left="266" w:hanging="266"/>
        <w:rPr>
          <w:b/>
        </w:rPr>
      </w:pPr>
      <w:r w:rsidRPr="00EE46A0">
        <w:rPr>
          <w:b/>
        </w:rPr>
        <w:t>Glavne točke</w:t>
      </w:r>
    </w:p>
    <w:p w14:paraId="542F7A2C" w14:textId="77777777" w:rsidR="00393924" w:rsidRPr="00EE46A0" w:rsidRDefault="00393924" w:rsidP="00393924">
      <w:pPr>
        <w:tabs>
          <w:tab w:val="center" w:pos="284"/>
        </w:tabs>
        <w:suppressAutoHyphens/>
        <w:spacing w:line="240" w:lineRule="auto"/>
        <w:ind w:left="266" w:hanging="266"/>
        <w:rPr>
          <w:bCs/>
        </w:rPr>
      </w:pPr>
    </w:p>
    <w:p w14:paraId="3C6EBDD4" w14:textId="77777777" w:rsidR="00393924" w:rsidRPr="00EE46A0" w:rsidRDefault="00393924" w:rsidP="00393924">
      <w:pPr>
        <w:tabs>
          <w:tab w:val="center" w:pos="284"/>
        </w:tabs>
        <w:suppressAutoHyphens/>
        <w:spacing w:line="276" w:lineRule="auto"/>
        <w:ind w:left="266" w:hanging="266"/>
        <w:rPr>
          <w:bCs/>
          <w:iCs/>
        </w:rPr>
      </w:pPr>
      <w:r w:rsidRPr="00EE46A0">
        <w:t>EESO:</w:t>
      </w:r>
    </w:p>
    <w:p w14:paraId="7F7551AB" w14:textId="77777777" w:rsidR="00393924" w:rsidRPr="00EE46A0" w:rsidRDefault="00393924" w:rsidP="00393924">
      <w:pPr>
        <w:numPr>
          <w:ilvl w:val="0"/>
          <w:numId w:val="10"/>
        </w:numPr>
        <w:suppressAutoHyphens/>
        <w:overflowPunct w:val="0"/>
        <w:autoSpaceDE w:val="0"/>
        <w:autoSpaceDN w:val="0"/>
        <w:adjustRightInd w:val="0"/>
        <w:spacing w:line="276" w:lineRule="auto"/>
        <w:ind w:left="426" w:hanging="426"/>
        <w:textAlignment w:val="baseline"/>
      </w:pPr>
      <w:r w:rsidRPr="00EE46A0">
        <w:rPr>
          <w:b/>
        </w:rPr>
        <w:t>podpira</w:t>
      </w:r>
      <w:r w:rsidRPr="00EE46A0">
        <w:t xml:space="preserve"> revizijo direktive o obdavčitvi tobačnih izdelkov, pri čemer priznava, da je treba okvir za trošarine prilagoditi razvoju trga, novim izdelkom in ciljem na področju javnega zdravja, hkrati pa poudarja, da mora reforma ostati sorazmerna, predvidljiva in ekonomsko vzdržna;</w:t>
      </w:r>
    </w:p>
    <w:p w14:paraId="52CAFD4A" w14:textId="77777777" w:rsidR="00393924" w:rsidRPr="00EE46A0" w:rsidRDefault="00393924" w:rsidP="00393924">
      <w:pPr>
        <w:pStyle w:val="Heading2"/>
        <w:numPr>
          <w:ilvl w:val="1"/>
          <w:numId w:val="9"/>
        </w:numPr>
        <w:suppressAutoHyphens/>
        <w:spacing w:line="276" w:lineRule="auto"/>
        <w:ind w:left="426" w:hanging="426"/>
      </w:pPr>
      <w:r w:rsidRPr="00EE46A0">
        <w:rPr>
          <w:b/>
        </w:rPr>
        <w:t>svari</w:t>
      </w:r>
      <w:r w:rsidRPr="00EE46A0">
        <w:t xml:space="preserve"> pred nenadnim ali pretiranim zvišanjem trošarin, ki bi lahko spodbudilo nezakonito trgovino, ogrozilo davčne prihodke in oslabilo rezultate na področju javnega zdravja; zato </w:t>
      </w:r>
      <w:r w:rsidRPr="00EE46A0">
        <w:rPr>
          <w:b/>
        </w:rPr>
        <w:t>priporoča</w:t>
      </w:r>
      <w:r w:rsidRPr="00EE46A0">
        <w:t>, naj bodo prilagoditve trošarin postopne in naj jih spremljajo okrepljeno izvrševanje, carinsko sodelovanje in čezmejni ukrepi za boj proti tihotapljenju;</w:t>
      </w:r>
    </w:p>
    <w:p w14:paraId="5063D693" w14:textId="77777777" w:rsidR="00393924" w:rsidRPr="00EE46A0" w:rsidRDefault="00393924" w:rsidP="00393924">
      <w:pPr>
        <w:pStyle w:val="Heading2"/>
        <w:numPr>
          <w:ilvl w:val="1"/>
          <w:numId w:val="9"/>
        </w:numPr>
        <w:suppressAutoHyphens/>
        <w:spacing w:line="276" w:lineRule="auto"/>
        <w:ind w:left="426" w:hanging="426"/>
      </w:pPr>
      <w:r w:rsidRPr="00EE46A0">
        <w:rPr>
          <w:b/>
        </w:rPr>
        <w:t>poziva</w:t>
      </w:r>
      <w:r w:rsidRPr="00EE46A0">
        <w:t xml:space="preserve"> k dosledni uporabi obdavčitve, ki je sorazmerna s tveganjem in zagotavlja, da se izdelki, ki ne vključujejo postopka zgorevanja, in izdelki z manjšim tveganjem ne obdavčijo enako kot tobačni izdelki, pri uporabi katerih poteka postopek zgorevanja, v skladu z načelom „manj škode, manj davkov“ in cilji evropskega načrta za boj proti raku;</w:t>
      </w:r>
    </w:p>
    <w:p w14:paraId="212BA550" w14:textId="77777777" w:rsidR="00393924" w:rsidRPr="00EE46A0" w:rsidRDefault="00393924" w:rsidP="00393924">
      <w:pPr>
        <w:pStyle w:val="Heading2"/>
        <w:numPr>
          <w:ilvl w:val="1"/>
          <w:numId w:val="9"/>
        </w:numPr>
        <w:suppressAutoHyphens/>
        <w:spacing w:line="276" w:lineRule="auto"/>
        <w:ind w:left="426" w:hanging="426"/>
      </w:pPr>
      <w:r w:rsidRPr="00EE46A0">
        <w:rPr>
          <w:b/>
        </w:rPr>
        <w:t>priporoča</w:t>
      </w:r>
      <w:r w:rsidRPr="00EE46A0">
        <w:t xml:space="preserve"> izboljšanje pravne jasnosti in uskladitev opredelitev izdelkov, zlasti z izrecno opredelitvijo ogrevanih tobačnih izdelkov ter njihovim jasnim razlikovanjem od izdelkov, pri uporabi katerih poteka postopek zgorevanja;</w:t>
      </w:r>
    </w:p>
    <w:p w14:paraId="2271B4B9" w14:textId="77777777" w:rsidR="00393924" w:rsidRPr="00EE46A0" w:rsidRDefault="00393924" w:rsidP="00393924">
      <w:pPr>
        <w:pStyle w:val="Heading2"/>
        <w:numPr>
          <w:ilvl w:val="1"/>
          <w:numId w:val="8"/>
        </w:numPr>
        <w:suppressAutoHyphens/>
        <w:spacing w:line="276" w:lineRule="auto"/>
        <w:ind w:left="426" w:hanging="426"/>
      </w:pPr>
      <w:r w:rsidRPr="00EE46A0">
        <w:rPr>
          <w:b/>
        </w:rPr>
        <w:t>poziva</w:t>
      </w:r>
      <w:r w:rsidRPr="00EE46A0">
        <w:t xml:space="preserve"> Komisijo, naj poveča skladnost med opredelitvami trošarin in kombinirano nomenklaturo s posodabljanjem korelacijskih tabel in objavo razlagalnih smernic, kadar spremembe carinskih uvrstitev vplivajo na kategorije glede trošarin;</w:t>
      </w:r>
    </w:p>
    <w:p w14:paraId="7F2EDBB2" w14:textId="77777777" w:rsidR="00393924" w:rsidRPr="00EE46A0" w:rsidRDefault="00393924" w:rsidP="00393924">
      <w:pPr>
        <w:pStyle w:val="Heading2"/>
        <w:numPr>
          <w:ilvl w:val="1"/>
          <w:numId w:val="8"/>
        </w:numPr>
        <w:suppressAutoHyphens/>
        <w:spacing w:line="276" w:lineRule="auto"/>
        <w:ind w:left="426" w:hanging="426"/>
      </w:pPr>
      <w:r w:rsidRPr="00EE46A0">
        <w:rPr>
          <w:b/>
        </w:rPr>
        <w:t>poziva</w:t>
      </w:r>
      <w:r w:rsidRPr="00EE46A0">
        <w:t xml:space="preserve"> k zadostni prožnosti za države članice v trošarinskih strukturah, vključno z možnostjo izbire med obdavčitvijo ogrevanih tobačnih izdelkov na podlagi enote ali na podlagi teže, da bi se upoštevale razmere na nacionalnih trgih in hkrati spoštovale najnižje stopnje na ravni EU;</w:t>
      </w:r>
    </w:p>
    <w:p w14:paraId="43AF283C" w14:textId="77777777" w:rsidR="00393924" w:rsidRPr="00EE46A0" w:rsidRDefault="00393924" w:rsidP="00393924">
      <w:pPr>
        <w:pStyle w:val="Heading2"/>
        <w:numPr>
          <w:ilvl w:val="1"/>
          <w:numId w:val="7"/>
        </w:numPr>
        <w:suppressAutoHyphens/>
        <w:spacing w:line="276" w:lineRule="auto"/>
        <w:ind w:left="426" w:hanging="426"/>
      </w:pPr>
      <w:r w:rsidRPr="00EE46A0">
        <w:rPr>
          <w:b/>
        </w:rPr>
        <w:t>se zavzema za</w:t>
      </w:r>
      <w:r w:rsidRPr="00EE46A0">
        <w:t xml:space="preserve"> celovit in podroben popis sedanjih delovnih mest in spretnosti v tem sektorju, oceno srednje- in dolgoročnih scenarijev, povezanih s predlogom, ter pripravo jasnih napovedi posledic na področju zaposlovanja;</w:t>
      </w:r>
    </w:p>
    <w:p w14:paraId="31A76748" w14:textId="77777777" w:rsidR="00393924" w:rsidRPr="00EE46A0" w:rsidRDefault="00393924" w:rsidP="00393924">
      <w:pPr>
        <w:pStyle w:val="Heading2"/>
        <w:numPr>
          <w:ilvl w:val="1"/>
          <w:numId w:val="7"/>
        </w:numPr>
        <w:suppressAutoHyphens/>
        <w:spacing w:line="276" w:lineRule="auto"/>
        <w:ind w:left="426" w:hanging="426"/>
      </w:pPr>
      <w:r w:rsidRPr="00EE46A0">
        <w:rPr>
          <w:b/>
        </w:rPr>
        <w:t>poziva</w:t>
      </w:r>
      <w:r w:rsidRPr="00EE46A0">
        <w:t xml:space="preserve"> k predvidljivi in omejeni uporabi delegiranih aktov, strogo omejenih na tehnične prilagoditve inflaciji, v skladu z načelom subsidiarnosti in fiskalno suverenostjo držav članic.</w:t>
      </w:r>
    </w:p>
    <w:p w14:paraId="7E31F4B1" w14:textId="77777777" w:rsidR="00393924" w:rsidRPr="00EE46A0" w:rsidRDefault="00393924" w:rsidP="00393924">
      <w:pPr>
        <w:tabs>
          <w:tab w:val="center" w:pos="284"/>
        </w:tabs>
        <w:suppressAutoHyphens/>
        <w:spacing w:line="240" w:lineRule="auto"/>
        <w:ind w:left="266" w:hanging="266"/>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5137"/>
      </w:tblGrid>
      <w:tr w:rsidR="00393924" w:rsidRPr="00EE46A0" w14:paraId="336CA748" w14:textId="77777777" w:rsidTr="00B56AD6">
        <w:tc>
          <w:tcPr>
            <w:tcW w:w="1951" w:type="dxa"/>
          </w:tcPr>
          <w:p w14:paraId="5D852BB3" w14:textId="77777777" w:rsidR="00393924" w:rsidRPr="00EE46A0" w:rsidRDefault="00393924" w:rsidP="00B56AD6">
            <w:pPr>
              <w:suppressAutoHyphens/>
              <w:spacing w:line="276" w:lineRule="auto"/>
              <w:rPr>
                <w:i/>
              </w:rPr>
            </w:pPr>
            <w:r w:rsidRPr="00EE46A0">
              <w:rPr>
                <w:b/>
                <w:i/>
              </w:rPr>
              <w:t>Kontaktna oseba</w:t>
            </w:r>
          </w:p>
        </w:tc>
        <w:tc>
          <w:tcPr>
            <w:tcW w:w="5137" w:type="dxa"/>
          </w:tcPr>
          <w:p w14:paraId="58EA668A" w14:textId="77777777" w:rsidR="00393924" w:rsidRPr="00EE46A0" w:rsidRDefault="00393924" w:rsidP="00B56AD6">
            <w:pPr>
              <w:suppressAutoHyphens/>
              <w:spacing w:line="276" w:lineRule="auto"/>
              <w:rPr>
                <w:i/>
              </w:rPr>
            </w:pPr>
            <w:r w:rsidRPr="00EE46A0">
              <w:rPr>
                <w:i/>
              </w:rPr>
              <w:t>Jüri SOOSAAR</w:t>
            </w:r>
          </w:p>
        </w:tc>
      </w:tr>
      <w:tr w:rsidR="00393924" w:rsidRPr="00EE46A0" w14:paraId="6E8E104D" w14:textId="77777777" w:rsidTr="00B56AD6">
        <w:tc>
          <w:tcPr>
            <w:tcW w:w="1951" w:type="dxa"/>
          </w:tcPr>
          <w:p w14:paraId="6A5A4541" w14:textId="77777777" w:rsidR="00393924" w:rsidRPr="00EE46A0" w:rsidRDefault="00393924" w:rsidP="00B56AD6">
            <w:pPr>
              <w:suppressAutoHyphens/>
              <w:spacing w:line="276" w:lineRule="auto"/>
              <w:rPr>
                <w:i/>
              </w:rPr>
            </w:pPr>
            <w:r w:rsidRPr="00EE46A0">
              <w:rPr>
                <w:i/>
              </w:rPr>
              <w:t>Telefon</w:t>
            </w:r>
          </w:p>
        </w:tc>
        <w:tc>
          <w:tcPr>
            <w:tcW w:w="5137" w:type="dxa"/>
          </w:tcPr>
          <w:p w14:paraId="241FAF1F" w14:textId="77777777" w:rsidR="00393924" w:rsidRPr="00EE46A0" w:rsidRDefault="00393924" w:rsidP="00B56AD6">
            <w:pPr>
              <w:suppressAutoHyphens/>
              <w:spacing w:line="276" w:lineRule="auto"/>
              <w:rPr>
                <w:i/>
              </w:rPr>
            </w:pPr>
            <w:r w:rsidRPr="00EE46A0">
              <w:rPr>
                <w:i/>
              </w:rPr>
              <w:t>+32 2</w:t>
            </w:r>
            <w:r w:rsidRPr="00EE46A0">
              <w:t xml:space="preserve"> </w:t>
            </w:r>
            <w:r w:rsidRPr="00EE46A0">
              <w:rPr>
                <w:i/>
              </w:rPr>
              <w:t>5469628</w:t>
            </w:r>
          </w:p>
        </w:tc>
      </w:tr>
      <w:tr w:rsidR="00393924" w:rsidRPr="00EE46A0" w14:paraId="516420FB" w14:textId="77777777" w:rsidTr="00B56AD6">
        <w:tc>
          <w:tcPr>
            <w:tcW w:w="1951" w:type="dxa"/>
          </w:tcPr>
          <w:p w14:paraId="5B144438" w14:textId="77777777" w:rsidR="00393924" w:rsidRPr="00EE46A0" w:rsidRDefault="00393924" w:rsidP="00B56AD6">
            <w:pPr>
              <w:suppressAutoHyphens/>
              <w:spacing w:line="276" w:lineRule="auto"/>
              <w:rPr>
                <w:i/>
              </w:rPr>
            </w:pPr>
            <w:r w:rsidRPr="00EE46A0">
              <w:rPr>
                <w:i/>
              </w:rPr>
              <w:t>E-naslov</w:t>
            </w:r>
          </w:p>
        </w:tc>
        <w:tc>
          <w:tcPr>
            <w:tcW w:w="5137" w:type="dxa"/>
          </w:tcPr>
          <w:p w14:paraId="338A0810" w14:textId="77777777" w:rsidR="00393924" w:rsidRPr="00EE46A0" w:rsidRDefault="00283C48" w:rsidP="00B56AD6">
            <w:pPr>
              <w:suppressAutoHyphens/>
              <w:spacing w:line="276" w:lineRule="auto"/>
              <w:rPr>
                <w:i/>
                <w:iCs/>
              </w:rPr>
            </w:pPr>
            <w:hyperlink r:id="rId23" w:history="1">
              <w:r w:rsidR="00393924" w:rsidRPr="00EE46A0">
                <w:rPr>
                  <w:rStyle w:val="Hyperlink"/>
                  <w:i/>
                </w:rPr>
                <w:t>Juri.Soosaar@eesc.europa.eu</w:t>
              </w:r>
            </w:hyperlink>
          </w:p>
        </w:tc>
      </w:tr>
    </w:tbl>
    <w:p w14:paraId="09522EDA" w14:textId="77777777" w:rsidR="00393924" w:rsidRPr="00EE46A0" w:rsidRDefault="00393924" w:rsidP="00393924">
      <w:pPr>
        <w:spacing w:line="240" w:lineRule="auto"/>
      </w:pPr>
    </w:p>
    <w:p w14:paraId="4356DB93" w14:textId="77777777" w:rsidR="00302594" w:rsidRPr="00EE46A0" w:rsidRDefault="00302594" w:rsidP="00100EF9">
      <w:pPr>
        <w:jc w:val="left"/>
      </w:pPr>
      <w:r w:rsidRPr="00EE46A0">
        <w:br w:type="page"/>
      </w:r>
    </w:p>
    <w:p w14:paraId="4982DD99" w14:textId="77777777" w:rsidR="004D7AC0" w:rsidRPr="00EE46A0" w:rsidRDefault="004D7AC0" w:rsidP="00100EF9">
      <w:pPr>
        <w:pStyle w:val="Heading1"/>
        <w:rPr>
          <w:b/>
        </w:rPr>
      </w:pPr>
      <w:bookmarkStart w:id="1" w:name="_Toc75527081"/>
      <w:bookmarkStart w:id="2" w:name="_Toc222989385"/>
      <w:r w:rsidRPr="00EE46A0">
        <w:rPr>
          <w:b/>
        </w:rPr>
        <w:lastRenderedPageBreak/>
        <w:t>ZAPOSLOVANJE, SOCIALNE ZADEVE IN DRŽAVLJANSTVO</w:t>
      </w:r>
      <w:bookmarkEnd w:id="1"/>
      <w:bookmarkEnd w:id="2"/>
    </w:p>
    <w:p w14:paraId="4982DD9A" w14:textId="77777777" w:rsidR="004D7AC0" w:rsidRPr="00EE46A0" w:rsidRDefault="004D7AC0" w:rsidP="00100EF9"/>
    <w:p w14:paraId="381C871C" w14:textId="11376008" w:rsidR="00393924" w:rsidRPr="00EE46A0" w:rsidRDefault="00283C48" w:rsidP="00393924">
      <w:pPr>
        <w:numPr>
          <w:ilvl w:val="0"/>
          <w:numId w:val="32"/>
        </w:numPr>
        <w:tabs>
          <w:tab w:val="clear" w:pos="0"/>
        </w:tabs>
        <w:suppressAutoHyphens/>
        <w:overflowPunct w:val="0"/>
        <w:autoSpaceDE w:val="0"/>
        <w:autoSpaceDN w:val="0"/>
        <w:adjustRightInd w:val="0"/>
        <w:ind w:left="567" w:hanging="567"/>
        <w:textAlignment w:val="baseline"/>
        <w:rPr>
          <w:sz w:val="28"/>
        </w:rPr>
      </w:pPr>
      <w:hyperlink r:id="rId24" w:history="1">
        <w:r w:rsidR="00393924" w:rsidRPr="00EE46A0">
          <w:rPr>
            <w:rStyle w:val="Hyperlink"/>
            <w:b/>
            <w:i/>
            <w:sz w:val="28"/>
          </w:rPr>
          <w:t>Podpora Unije za azil, migracije in vključevanje, notranjo varnost ter integrirano upravljanje meja in skupno vizumsko politiko</w:t>
        </w:r>
      </w:hyperlink>
    </w:p>
    <w:p w14:paraId="39781849" w14:textId="77777777" w:rsidR="00393924" w:rsidRPr="00EE46A0" w:rsidRDefault="00393924" w:rsidP="00393924">
      <w:pPr>
        <w:suppressAutoHyphens/>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7"/>
        <w:gridCol w:w="7306"/>
      </w:tblGrid>
      <w:tr w:rsidR="00393924" w:rsidRPr="00EE46A0" w14:paraId="1B0A5A1C" w14:textId="77777777" w:rsidTr="00B56AD6">
        <w:tc>
          <w:tcPr>
            <w:tcW w:w="974" w:type="pct"/>
          </w:tcPr>
          <w:p w14:paraId="4F487D90" w14:textId="77777777" w:rsidR="00393924" w:rsidRPr="00EE46A0" w:rsidRDefault="00393924" w:rsidP="00B56AD6">
            <w:pPr>
              <w:suppressAutoHyphens/>
              <w:rPr>
                <w:b/>
              </w:rPr>
            </w:pPr>
            <w:r w:rsidRPr="00EE46A0">
              <w:rPr>
                <w:b/>
              </w:rPr>
              <w:t>Poročevalec</w:t>
            </w:r>
          </w:p>
        </w:tc>
        <w:tc>
          <w:tcPr>
            <w:tcW w:w="4026" w:type="pct"/>
          </w:tcPr>
          <w:p w14:paraId="2B05DD5F" w14:textId="77777777" w:rsidR="00393924" w:rsidRPr="00EE46A0" w:rsidRDefault="00393924" w:rsidP="00B56AD6">
            <w:pPr>
              <w:suppressAutoHyphens/>
            </w:pPr>
            <w:r w:rsidRPr="00EE46A0">
              <w:t>José Antonio MORENO DÍAZ (skupina delojemalcev – ES)</w:t>
            </w:r>
          </w:p>
        </w:tc>
      </w:tr>
      <w:tr w:rsidR="00393924" w:rsidRPr="00EE46A0" w14:paraId="7843E830" w14:textId="77777777" w:rsidTr="00B56AD6">
        <w:tc>
          <w:tcPr>
            <w:tcW w:w="5000" w:type="pct"/>
            <w:gridSpan w:val="2"/>
          </w:tcPr>
          <w:p w14:paraId="772F9A6B" w14:textId="77777777" w:rsidR="00393924" w:rsidRPr="00EE46A0" w:rsidRDefault="00393924" w:rsidP="00B56AD6">
            <w:pPr>
              <w:suppressAutoHyphens/>
              <w:rPr>
                <w:sz w:val="16"/>
              </w:rPr>
            </w:pPr>
          </w:p>
        </w:tc>
      </w:tr>
      <w:tr w:rsidR="00393924" w:rsidRPr="00EE46A0" w14:paraId="5FDAA4BE" w14:textId="77777777" w:rsidTr="00B56AD6">
        <w:tc>
          <w:tcPr>
            <w:tcW w:w="974" w:type="pct"/>
            <w:vMerge w:val="restart"/>
          </w:tcPr>
          <w:p w14:paraId="602F7A3D" w14:textId="77777777" w:rsidR="00393924" w:rsidRPr="00EE46A0" w:rsidRDefault="00393924" w:rsidP="00B56AD6">
            <w:pPr>
              <w:suppressAutoHyphens/>
              <w:rPr>
                <w:b/>
              </w:rPr>
            </w:pPr>
            <w:r w:rsidRPr="00EE46A0">
              <w:rPr>
                <w:b/>
              </w:rPr>
              <w:t>Referenčni dokumenti</w:t>
            </w:r>
          </w:p>
        </w:tc>
        <w:tc>
          <w:tcPr>
            <w:tcW w:w="4026" w:type="pct"/>
          </w:tcPr>
          <w:p w14:paraId="1871594B" w14:textId="4B496077" w:rsidR="00393924" w:rsidRPr="00EE46A0" w:rsidRDefault="00393924" w:rsidP="00B56AD6">
            <w:pPr>
              <w:suppressAutoHyphens/>
            </w:pPr>
            <w:r w:rsidRPr="00EE46A0">
              <w:t>COM(2025) 540 final</w:t>
            </w:r>
          </w:p>
          <w:p w14:paraId="4F7B51A3" w14:textId="1B526D0D" w:rsidR="00393924" w:rsidRPr="00EE46A0" w:rsidRDefault="00393924" w:rsidP="00B56AD6">
            <w:pPr>
              <w:suppressAutoHyphens/>
            </w:pPr>
            <w:r w:rsidRPr="00EE46A0">
              <w:t>COM(2025) 541 final</w:t>
            </w:r>
          </w:p>
          <w:p w14:paraId="48F7A751" w14:textId="1708E373" w:rsidR="00393924" w:rsidRPr="00EE46A0" w:rsidRDefault="00393924" w:rsidP="00B56AD6">
            <w:pPr>
              <w:suppressAutoHyphens/>
            </w:pPr>
            <w:r w:rsidRPr="00EE46A0">
              <w:t>COM(2025) 542 final</w:t>
            </w:r>
          </w:p>
        </w:tc>
      </w:tr>
      <w:tr w:rsidR="00393924" w:rsidRPr="00EE46A0" w14:paraId="4DF0EB66" w14:textId="77777777" w:rsidTr="00B56AD6">
        <w:tc>
          <w:tcPr>
            <w:tcW w:w="974" w:type="pct"/>
            <w:vMerge/>
          </w:tcPr>
          <w:p w14:paraId="61EEF074" w14:textId="77777777" w:rsidR="00393924" w:rsidRPr="00EE46A0" w:rsidRDefault="00393924" w:rsidP="00B56AD6">
            <w:pPr>
              <w:tabs>
                <w:tab w:val="center" w:pos="284"/>
              </w:tabs>
              <w:suppressAutoHyphens/>
              <w:ind w:left="266" w:hanging="266"/>
              <w:rPr>
                <w:b/>
              </w:rPr>
            </w:pPr>
          </w:p>
        </w:tc>
        <w:tc>
          <w:tcPr>
            <w:tcW w:w="4026" w:type="pct"/>
          </w:tcPr>
          <w:p w14:paraId="268B6D68" w14:textId="77777777" w:rsidR="00393924" w:rsidRPr="00EE46A0" w:rsidRDefault="00393924" w:rsidP="00B56AD6">
            <w:pPr>
              <w:suppressAutoHyphens/>
            </w:pPr>
            <w:r w:rsidRPr="00EE46A0">
              <w:t>EESC-2025-03434-00-00-AC</w:t>
            </w:r>
          </w:p>
        </w:tc>
      </w:tr>
    </w:tbl>
    <w:p w14:paraId="2E837FDF" w14:textId="77777777" w:rsidR="00393924" w:rsidRPr="00EE46A0" w:rsidRDefault="00393924" w:rsidP="00393924">
      <w:pPr>
        <w:suppressAutoHyphens/>
      </w:pPr>
    </w:p>
    <w:p w14:paraId="05CD635C" w14:textId="77777777" w:rsidR="00393924" w:rsidRPr="00EE46A0" w:rsidRDefault="00393924" w:rsidP="00393924">
      <w:pPr>
        <w:suppressAutoHyphens/>
      </w:pPr>
      <w:r w:rsidRPr="00EE46A0">
        <w:rPr>
          <w:b/>
        </w:rPr>
        <w:t>Glavne točke</w:t>
      </w:r>
    </w:p>
    <w:p w14:paraId="33696FA1" w14:textId="77777777" w:rsidR="00393924" w:rsidRPr="00EE46A0" w:rsidRDefault="00393924" w:rsidP="00393924">
      <w:pPr>
        <w:suppressAutoHyphens/>
      </w:pPr>
    </w:p>
    <w:p w14:paraId="6EEC3798" w14:textId="77777777" w:rsidR="00393924" w:rsidRPr="00EE46A0" w:rsidRDefault="00393924" w:rsidP="00393924">
      <w:pPr>
        <w:suppressAutoHyphens/>
        <w:rPr>
          <w:bCs/>
          <w:iCs/>
        </w:rPr>
      </w:pPr>
      <w:r w:rsidRPr="00EE46A0">
        <w:rPr>
          <w:bCs/>
          <w:iCs/>
        </w:rPr>
        <w:t>EESO:</w:t>
      </w:r>
    </w:p>
    <w:p w14:paraId="771DC6B0" w14:textId="77777777" w:rsidR="00393924" w:rsidRPr="00EE46A0" w:rsidRDefault="00393924" w:rsidP="00393924">
      <w:pPr>
        <w:suppressAutoHyphens/>
      </w:pPr>
    </w:p>
    <w:p w14:paraId="4C5C5389" w14:textId="77777777" w:rsidR="00393924" w:rsidRPr="00EE46A0" w:rsidRDefault="00393924" w:rsidP="00393924">
      <w:pPr>
        <w:numPr>
          <w:ilvl w:val="0"/>
          <w:numId w:val="31"/>
        </w:numPr>
        <w:suppressAutoHyphens/>
        <w:overflowPunct w:val="0"/>
        <w:autoSpaceDE w:val="0"/>
        <w:autoSpaceDN w:val="0"/>
        <w:adjustRightInd w:val="0"/>
        <w:ind w:hanging="567"/>
        <w:textAlignment w:val="baseline"/>
      </w:pPr>
      <w:r w:rsidRPr="00EE46A0">
        <w:t>poudarja, da je nujno uvesti politiko priseljevanja, ki bo zagotavljala zakonite, varne in delujoče poti za vstop v EU. To stališče je v skladu z njegovimi prejšnjimi mnenji, v katerih je poudaril pomen zagotavljanja zakonitih poti v EU, varstva temeljnih pravic migrantov in izboljšanega upravljanja mobilnosti v EU;</w:t>
      </w:r>
    </w:p>
    <w:p w14:paraId="0CFD8384" w14:textId="77777777" w:rsidR="00393924" w:rsidRPr="00EE46A0" w:rsidRDefault="00393924" w:rsidP="00393924">
      <w:pPr>
        <w:numPr>
          <w:ilvl w:val="0"/>
          <w:numId w:val="31"/>
        </w:numPr>
        <w:suppressAutoHyphens/>
        <w:overflowPunct w:val="0"/>
        <w:autoSpaceDE w:val="0"/>
        <w:autoSpaceDN w:val="0"/>
        <w:adjustRightInd w:val="0"/>
        <w:ind w:hanging="567"/>
        <w:textAlignment w:val="baseline"/>
      </w:pPr>
      <w:r w:rsidRPr="00EE46A0">
        <w:t>ugotavlja, da sta iz vseh treh uredb razvidna strukturna preusmeritev prednostnih nalog EU ter očiten premik k nadzoru in varnosti. Zaradi močnega poudarka na notranji in zunanji varnosti se utegnejo zapostaviti podporni ukrepi za integracijo in vključevanje. Poudarja, da migracijske politike ne bi smeli izvajati samo na podlagi pristopa, temelječega na varnosti;</w:t>
      </w:r>
    </w:p>
    <w:p w14:paraId="74AB2323" w14:textId="77777777" w:rsidR="00393924" w:rsidRPr="00EE46A0" w:rsidRDefault="00393924" w:rsidP="00393924">
      <w:pPr>
        <w:numPr>
          <w:ilvl w:val="0"/>
          <w:numId w:val="31"/>
        </w:numPr>
        <w:suppressAutoHyphens/>
        <w:overflowPunct w:val="0"/>
        <w:autoSpaceDE w:val="0"/>
        <w:autoSpaceDN w:val="0"/>
        <w:adjustRightInd w:val="0"/>
        <w:ind w:hanging="567"/>
        <w:textAlignment w:val="baseline"/>
      </w:pPr>
      <w:r w:rsidRPr="00EE46A0">
        <w:t>poudarja, da celoten sklop orodij in instrumentov za upravljanje zakonitih migracij in preprečevanje nepravilnosti pomembno prispeva k ustreznemu delovanju migracijskega sistema, vključno z vračanjem, kadar je to ustrezno, in ob polnem spoštovanju prava EU in mednarodnega prava. Vendar pa je treba ta sklop zelo uravnoteženo izvajati, pri čemer moramo spoštovati temeljne pravice, zlasti pravico do zaščite posameznikov;</w:t>
      </w:r>
    </w:p>
    <w:p w14:paraId="646FDACB" w14:textId="77777777" w:rsidR="00393924" w:rsidRPr="00EE46A0" w:rsidRDefault="00393924" w:rsidP="00393924">
      <w:pPr>
        <w:numPr>
          <w:ilvl w:val="0"/>
          <w:numId w:val="31"/>
        </w:numPr>
        <w:suppressAutoHyphens/>
        <w:overflowPunct w:val="0"/>
        <w:autoSpaceDE w:val="0"/>
        <w:autoSpaceDN w:val="0"/>
        <w:adjustRightInd w:val="0"/>
        <w:ind w:hanging="567"/>
        <w:textAlignment w:val="baseline"/>
      </w:pPr>
      <w:r w:rsidRPr="00EE46A0">
        <w:t>meni, da je bistveno s preglednimi mehanizmi poročanja izboljšati mehanizme za neodvisno spremljanje temeljnih pravic in humanitarnih razmer na mejah;</w:t>
      </w:r>
    </w:p>
    <w:p w14:paraId="322978EF" w14:textId="77777777" w:rsidR="00393924" w:rsidRPr="00EE46A0" w:rsidRDefault="00393924" w:rsidP="00393924">
      <w:pPr>
        <w:numPr>
          <w:ilvl w:val="0"/>
          <w:numId w:val="31"/>
        </w:numPr>
        <w:suppressAutoHyphens/>
        <w:overflowPunct w:val="0"/>
        <w:autoSpaceDE w:val="0"/>
        <w:autoSpaceDN w:val="0"/>
        <w:adjustRightInd w:val="0"/>
        <w:ind w:hanging="567"/>
        <w:textAlignment w:val="baseline"/>
      </w:pPr>
      <w:r w:rsidRPr="00EE46A0">
        <w:t>meni, da je v vseh treh skupaj sprejetih uredbah za obdobje 2028–2034 močan poudarek na varnostnih ukrepih in zunanjem izvajanju nadzora meja, in ga skrbi, da bodo morda ogrožene temeljne pravice. Bistveno je, da se zagotovi tudi varstvo človekovih pravic.</w:t>
      </w:r>
    </w:p>
    <w:p w14:paraId="7C1144D5" w14:textId="77777777" w:rsidR="00393924" w:rsidRPr="00EE46A0" w:rsidRDefault="00393924" w:rsidP="00393924">
      <w:pPr>
        <w:suppressAutoHyphens/>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7"/>
        <w:gridCol w:w="7306"/>
      </w:tblGrid>
      <w:tr w:rsidR="00393924" w:rsidRPr="00EE46A0" w14:paraId="085E4EAD" w14:textId="77777777" w:rsidTr="00B56AD6">
        <w:tc>
          <w:tcPr>
            <w:tcW w:w="974" w:type="pct"/>
          </w:tcPr>
          <w:p w14:paraId="3D8AA1AE" w14:textId="77777777" w:rsidR="00393924" w:rsidRPr="00EE46A0" w:rsidRDefault="00393924" w:rsidP="00B56AD6">
            <w:pPr>
              <w:suppressAutoHyphens/>
            </w:pPr>
            <w:r w:rsidRPr="00EE46A0">
              <w:rPr>
                <w:b/>
                <w:i/>
              </w:rPr>
              <w:t>Kontaktna oseba</w:t>
            </w:r>
          </w:p>
        </w:tc>
        <w:tc>
          <w:tcPr>
            <w:tcW w:w="4026" w:type="pct"/>
          </w:tcPr>
          <w:p w14:paraId="0A696542" w14:textId="21A21CDD" w:rsidR="00393924" w:rsidRPr="00EE46A0" w:rsidRDefault="00393924" w:rsidP="00B56AD6">
            <w:pPr>
              <w:suppressAutoHyphens/>
              <w:rPr>
                <w:i/>
              </w:rPr>
            </w:pPr>
            <w:proofErr w:type="spellStart"/>
            <w:r w:rsidRPr="00EE46A0">
              <w:rPr>
                <w:i/>
              </w:rPr>
              <w:t>Gemma</w:t>
            </w:r>
            <w:proofErr w:type="spellEnd"/>
            <w:r w:rsidRPr="00EE46A0">
              <w:rPr>
                <w:i/>
              </w:rPr>
              <w:t xml:space="preserve"> </w:t>
            </w:r>
            <w:r w:rsidR="00EE46A0" w:rsidRPr="00EE46A0">
              <w:rPr>
                <w:i/>
              </w:rPr>
              <w:t>AMRAN</w:t>
            </w:r>
          </w:p>
        </w:tc>
      </w:tr>
      <w:tr w:rsidR="00393924" w:rsidRPr="00EE46A0" w14:paraId="61F946B2" w14:textId="77777777" w:rsidTr="00B56AD6">
        <w:tc>
          <w:tcPr>
            <w:tcW w:w="974" w:type="pct"/>
          </w:tcPr>
          <w:p w14:paraId="24FCF115" w14:textId="77777777" w:rsidR="00393924" w:rsidRPr="00EE46A0" w:rsidRDefault="00393924" w:rsidP="00B56AD6">
            <w:pPr>
              <w:suppressAutoHyphens/>
            </w:pPr>
            <w:r w:rsidRPr="00EE46A0">
              <w:rPr>
                <w:i/>
              </w:rPr>
              <w:t>Telefon</w:t>
            </w:r>
          </w:p>
        </w:tc>
        <w:tc>
          <w:tcPr>
            <w:tcW w:w="4026" w:type="pct"/>
          </w:tcPr>
          <w:p w14:paraId="16B968E1" w14:textId="77777777" w:rsidR="00393924" w:rsidRPr="00EE46A0" w:rsidRDefault="00393924" w:rsidP="00B56AD6">
            <w:pPr>
              <w:suppressAutoHyphens/>
            </w:pPr>
            <w:r w:rsidRPr="00EE46A0">
              <w:rPr>
                <w:i/>
              </w:rPr>
              <w:t>+32 2 546 9415</w:t>
            </w:r>
          </w:p>
        </w:tc>
      </w:tr>
      <w:tr w:rsidR="00393924" w:rsidRPr="00EE46A0" w14:paraId="13E4A866" w14:textId="77777777" w:rsidTr="00B56AD6">
        <w:tc>
          <w:tcPr>
            <w:tcW w:w="974" w:type="pct"/>
          </w:tcPr>
          <w:p w14:paraId="3319F507" w14:textId="77777777" w:rsidR="00393924" w:rsidRPr="00EE46A0" w:rsidRDefault="00393924" w:rsidP="00B56AD6">
            <w:pPr>
              <w:suppressAutoHyphens/>
            </w:pPr>
            <w:r w:rsidRPr="00EE46A0">
              <w:rPr>
                <w:i/>
              </w:rPr>
              <w:t>E-naslov</w:t>
            </w:r>
          </w:p>
        </w:tc>
        <w:tc>
          <w:tcPr>
            <w:tcW w:w="4026" w:type="pct"/>
          </w:tcPr>
          <w:p w14:paraId="05D9E9A2" w14:textId="77777777" w:rsidR="00393924" w:rsidRPr="00EE46A0" w:rsidRDefault="00283C48" w:rsidP="00B56AD6">
            <w:pPr>
              <w:suppressAutoHyphens/>
              <w:rPr>
                <w:i/>
              </w:rPr>
            </w:pPr>
            <w:hyperlink r:id="rId25" w:history="1">
              <w:r w:rsidR="00393924" w:rsidRPr="00EE46A0">
                <w:rPr>
                  <w:rStyle w:val="Hyperlink"/>
                  <w:i/>
                </w:rPr>
                <w:t>Gemma.Amran@eesc.europa.eu</w:t>
              </w:r>
            </w:hyperlink>
          </w:p>
        </w:tc>
      </w:tr>
    </w:tbl>
    <w:p w14:paraId="4982DDC5" w14:textId="77777777" w:rsidR="004D7AC0" w:rsidRPr="00EE46A0" w:rsidRDefault="004D7AC0" w:rsidP="00100EF9">
      <w:pPr>
        <w:jc w:val="left"/>
      </w:pPr>
      <w:r w:rsidRPr="00EE46A0">
        <w:br w:type="page"/>
      </w:r>
    </w:p>
    <w:p w14:paraId="4982DDC6" w14:textId="77777777" w:rsidR="004D7AC0" w:rsidRPr="00EE46A0" w:rsidRDefault="004D7AC0" w:rsidP="00100EF9">
      <w:pPr>
        <w:pStyle w:val="Heading1"/>
        <w:rPr>
          <w:b/>
        </w:rPr>
      </w:pPr>
      <w:bookmarkStart w:id="3" w:name="_Toc24617160"/>
      <w:bookmarkStart w:id="4" w:name="_Toc75527082"/>
      <w:bookmarkStart w:id="5" w:name="_Toc222989386"/>
      <w:r w:rsidRPr="00EE46A0">
        <w:rPr>
          <w:b/>
        </w:rPr>
        <w:lastRenderedPageBreak/>
        <w:t>PROMET, ENERGIJA, INFRASTRUKTURA IN INFORMACIJSKA DRUŽBA</w:t>
      </w:r>
      <w:bookmarkEnd w:id="3"/>
      <w:bookmarkEnd w:id="4"/>
      <w:bookmarkEnd w:id="5"/>
    </w:p>
    <w:p w14:paraId="4982DDC7" w14:textId="77777777" w:rsidR="004D7AC0" w:rsidRPr="00EE46A0" w:rsidRDefault="004D7AC0" w:rsidP="00100EF9"/>
    <w:p w14:paraId="4B169784" w14:textId="7EDEEBF3" w:rsidR="00BA1771" w:rsidRPr="00EE46A0" w:rsidRDefault="00283C48" w:rsidP="00BA1771">
      <w:pPr>
        <w:numPr>
          <w:ilvl w:val="0"/>
          <w:numId w:val="31"/>
        </w:numPr>
        <w:suppressAutoHyphens/>
        <w:ind w:hanging="567"/>
        <w:rPr>
          <w:sz w:val="28"/>
          <w:szCs w:val="28"/>
        </w:rPr>
      </w:pPr>
      <w:hyperlink r:id="rId26" w:history="1">
        <w:r w:rsidR="00BA1771" w:rsidRPr="00EE46A0">
          <w:rPr>
            <w:rStyle w:val="Hyperlink"/>
            <w:b/>
            <w:i/>
            <w:sz w:val="28"/>
            <w:szCs w:val="28"/>
          </w:rPr>
          <w:t>Evropska strategija za bioznanosti in strategija za raziskovalno in tehnološko infrastrukturo s poudarkom na zdravljenju redkih bolezni</w:t>
        </w:r>
      </w:hyperlink>
    </w:p>
    <w:p w14:paraId="3CBF6E1B" w14:textId="77777777" w:rsidR="00BA1771" w:rsidRPr="00EE46A0" w:rsidRDefault="00BA1771" w:rsidP="00BA1771">
      <w:pPr>
        <w:tabs>
          <w:tab w:val="center" w:pos="284"/>
        </w:tabs>
        <w:suppressAutoHyphens/>
        <w:ind w:left="266" w:hanging="266"/>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1"/>
        <w:gridCol w:w="6622"/>
      </w:tblGrid>
      <w:tr w:rsidR="00BA1771" w:rsidRPr="00EE46A0" w14:paraId="784CDBD2" w14:textId="77777777" w:rsidTr="00B56AD6">
        <w:tc>
          <w:tcPr>
            <w:tcW w:w="2518" w:type="dxa"/>
          </w:tcPr>
          <w:p w14:paraId="16EFE2C5" w14:textId="77777777" w:rsidR="00BA1771" w:rsidRPr="00EE46A0" w:rsidRDefault="00BA1771" w:rsidP="00B56AD6">
            <w:pPr>
              <w:tabs>
                <w:tab w:val="center" w:pos="284"/>
              </w:tabs>
              <w:suppressAutoHyphens/>
              <w:ind w:left="266" w:hanging="266"/>
              <w:rPr>
                <w:b/>
              </w:rPr>
            </w:pPr>
            <w:r w:rsidRPr="00EE46A0">
              <w:rPr>
                <w:b/>
              </w:rPr>
              <w:t>Poročevalka</w:t>
            </w:r>
          </w:p>
        </w:tc>
        <w:tc>
          <w:tcPr>
            <w:tcW w:w="6946" w:type="dxa"/>
          </w:tcPr>
          <w:p w14:paraId="0BDB54B2" w14:textId="77777777" w:rsidR="00BA1771" w:rsidRPr="00EE46A0" w:rsidRDefault="00BA1771" w:rsidP="00B56AD6">
            <w:pPr>
              <w:tabs>
                <w:tab w:val="center" w:pos="284"/>
              </w:tabs>
              <w:suppressAutoHyphens/>
              <w:ind w:left="266" w:hanging="266"/>
            </w:pPr>
            <w:r w:rsidRPr="00EE46A0">
              <w:t>Milena ANGELOVA (skupina delodajalcev – BG)</w:t>
            </w:r>
          </w:p>
        </w:tc>
      </w:tr>
      <w:tr w:rsidR="00BA1771" w:rsidRPr="00EE46A0" w14:paraId="28F6575A" w14:textId="77777777" w:rsidTr="00B56AD6">
        <w:tc>
          <w:tcPr>
            <w:tcW w:w="9464" w:type="dxa"/>
            <w:gridSpan w:val="2"/>
          </w:tcPr>
          <w:p w14:paraId="3799F91B" w14:textId="77777777" w:rsidR="00BA1771" w:rsidRPr="00EE46A0" w:rsidRDefault="00BA1771" w:rsidP="00B56AD6">
            <w:pPr>
              <w:tabs>
                <w:tab w:val="center" w:pos="284"/>
              </w:tabs>
              <w:suppressAutoHyphens/>
              <w:spacing w:line="240" w:lineRule="auto"/>
              <w:ind w:left="266" w:hanging="266"/>
              <w:rPr>
                <w:sz w:val="16"/>
                <w:szCs w:val="16"/>
              </w:rPr>
            </w:pPr>
          </w:p>
        </w:tc>
      </w:tr>
      <w:tr w:rsidR="00BA1771" w:rsidRPr="00EE46A0" w14:paraId="440815FC" w14:textId="77777777" w:rsidTr="00B56AD6">
        <w:tc>
          <w:tcPr>
            <w:tcW w:w="2518" w:type="dxa"/>
          </w:tcPr>
          <w:p w14:paraId="0D81E9AC" w14:textId="77777777" w:rsidR="00BA1771" w:rsidRPr="00EE46A0" w:rsidRDefault="00BA1771" w:rsidP="00B56AD6">
            <w:pPr>
              <w:tabs>
                <w:tab w:val="center" w:pos="284"/>
              </w:tabs>
              <w:suppressAutoHyphens/>
              <w:ind w:left="266" w:hanging="266"/>
              <w:rPr>
                <w:b/>
              </w:rPr>
            </w:pPr>
            <w:r w:rsidRPr="00EE46A0">
              <w:rPr>
                <w:b/>
              </w:rPr>
              <w:t>Referenčni dokument</w:t>
            </w:r>
          </w:p>
        </w:tc>
        <w:tc>
          <w:tcPr>
            <w:tcW w:w="6946" w:type="dxa"/>
          </w:tcPr>
          <w:p w14:paraId="4BEE1405" w14:textId="50FD101D" w:rsidR="00BA1771" w:rsidRPr="00EE46A0" w:rsidRDefault="00BA1771" w:rsidP="00B56AD6">
            <w:pPr>
              <w:tabs>
                <w:tab w:val="center" w:pos="284"/>
              </w:tabs>
              <w:suppressAutoHyphens/>
              <w:ind w:left="266" w:right="-108" w:hanging="266"/>
              <w:jc w:val="left"/>
            </w:pPr>
            <w:r w:rsidRPr="00EE46A0">
              <w:t xml:space="preserve">raziskovalno mnenje na zaprosilo ciprskega predsedstva </w:t>
            </w:r>
            <w:r w:rsidR="00E81BB7">
              <w:t xml:space="preserve">Sveta </w:t>
            </w:r>
            <w:r w:rsidRPr="00EE46A0">
              <w:t>EU</w:t>
            </w:r>
          </w:p>
          <w:p w14:paraId="0782E7ED" w14:textId="77777777" w:rsidR="00BA1771" w:rsidRPr="00EE46A0" w:rsidRDefault="00BA1771" w:rsidP="00B56AD6">
            <w:pPr>
              <w:tabs>
                <w:tab w:val="center" w:pos="284"/>
              </w:tabs>
              <w:suppressAutoHyphens/>
              <w:ind w:left="266" w:hanging="266"/>
            </w:pPr>
            <w:r w:rsidRPr="00EE46A0">
              <w:t>EESC-2025-03652-00-00-AC</w:t>
            </w:r>
          </w:p>
        </w:tc>
      </w:tr>
    </w:tbl>
    <w:p w14:paraId="054048CE" w14:textId="77777777" w:rsidR="00BA1771" w:rsidRPr="00EE46A0" w:rsidRDefault="00BA1771" w:rsidP="00BA1771">
      <w:pPr>
        <w:tabs>
          <w:tab w:val="center" w:pos="284"/>
        </w:tabs>
        <w:suppressAutoHyphens/>
        <w:ind w:left="266" w:hanging="266"/>
      </w:pPr>
    </w:p>
    <w:p w14:paraId="0E35BBAA" w14:textId="77777777" w:rsidR="00BA1771" w:rsidRPr="00EE46A0" w:rsidRDefault="00BA1771" w:rsidP="00BA1771">
      <w:pPr>
        <w:tabs>
          <w:tab w:val="center" w:pos="284"/>
        </w:tabs>
        <w:suppressAutoHyphens/>
        <w:ind w:left="266" w:hanging="266"/>
        <w:rPr>
          <w:b/>
          <w:bCs/>
        </w:rPr>
      </w:pPr>
      <w:r w:rsidRPr="00EE46A0">
        <w:rPr>
          <w:b/>
        </w:rPr>
        <w:t>Glavne točke</w:t>
      </w:r>
    </w:p>
    <w:p w14:paraId="3E6D1E68" w14:textId="77777777" w:rsidR="00BA1771" w:rsidRPr="00EE46A0" w:rsidRDefault="00BA1771" w:rsidP="00BA1771">
      <w:pPr>
        <w:tabs>
          <w:tab w:val="center" w:pos="284"/>
        </w:tabs>
        <w:suppressAutoHyphens/>
        <w:ind w:left="266" w:hanging="266"/>
        <w:rPr>
          <w:bCs/>
        </w:rPr>
      </w:pPr>
    </w:p>
    <w:p w14:paraId="7B3457B7" w14:textId="77777777" w:rsidR="00BA1771" w:rsidRPr="00EE46A0" w:rsidRDefault="00BA1771" w:rsidP="00BA1771">
      <w:pPr>
        <w:suppressAutoHyphens/>
      </w:pPr>
      <w:r w:rsidRPr="00EE46A0">
        <w:t>EESO:</w:t>
      </w:r>
    </w:p>
    <w:p w14:paraId="221602D1" w14:textId="77777777" w:rsidR="00BA1771" w:rsidRPr="00EE46A0" w:rsidRDefault="00BA1771" w:rsidP="00BA1771">
      <w:pPr>
        <w:suppressAutoHyphens/>
      </w:pPr>
    </w:p>
    <w:p w14:paraId="4176BECD" w14:textId="77777777" w:rsidR="00BA1771" w:rsidRPr="00EE46A0" w:rsidRDefault="00BA1771" w:rsidP="00BA1771">
      <w:pPr>
        <w:numPr>
          <w:ilvl w:val="0"/>
          <w:numId w:val="11"/>
        </w:numPr>
        <w:shd w:val="clear" w:color="auto" w:fill="FFFFFF" w:themeFill="background1"/>
        <w:suppressAutoHyphens/>
        <w:ind w:left="426" w:hanging="426"/>
        <w:rPr>
          <w:rStyle w:val="Hyperlink"/>
          <w:color w:val="242424"/>
        </w:rPr>
      </w:pPr>
      <w:r w:rsidRPr="00EE46A0">
        <w:rPr>
          <w:color w:val="242424"/>
        </w:rPr>
        <w:t xml:space="preserve">pozdravlja strategijo za evropske bioznanosti ter poudarja, da bi lahko Evropa s </w:t>
      </w:r>
      <w:r w:rsidRPr="00EE46A0">
        <w:rPr>
          <w:b/>
          <w:color w:val="242424"/>
        </w:rPr>
        <w:t>celostnim pristopom</w:t>
      </w:r>
      <w:r w:rsidRPr="00EE46A0">
        <w:rPr>
          <w:color w:val="242424"/>
        </w:rPr>
        <w:t xml:space="preserve"> in spodbudnim okoljem postala </w:t>
      </w:r>
      <w:r w:rsidRPr="00EE46A0">
        <w:rPr>
          <w:b/>
          <w:color w:val="242424"/>
        </w:rPr>
        <w:t>vodilna v svetu na področju bioznanosti</w:t>
      </w:r>
      <w:r w:rsidRPr="00EE46A0">
        <w:rPr>
          <w:color w:val="242424"/>
        </w:rPr>
        <w:t xml:space="preserve"> (zlasti za redke bolezni in genomiko).</w:t>
      </w:r>
      <w:r w:rsidRPr="00EE46A0">
        <w:rPr>
          <w:rStyle w:val="Hyperlink"/>
          <w:color w:val="242424"/>
        </w:rPr>
        <w:t xml:space="preserve"> Tak </w:t>
      </w:r>
      <w:r w:rsidRPr="00EE46A0">
        <w:rPr>
          <w:rStyle w:val="Hyperlink"/>
          <w:b/>
          <w:color w:val="242424"/>
        </w:rPr>
        <w:t>pristop</w:t>
      </w:r>
      <w:r w:rsidRPr="00EE46A0">
        <w:rPr>
          <w:rStyle w:val="Hyperlink"/>
          <w:color w:val="242424"/>
        </w:rPr>
        <w:t xml:space="preserve"> bi vključeval:</w:t>
      </w:r>
    </w:p>
    <w:p w14:paraId="4605909F" w14:textId="77777777" w:rsidR="00BA1771" w:rsidRPr="00EE46A0" w:rsidRDefault="00BA1771" w:rsidP="00BA1771">
      <w:pPr>
        <w:numPr>
          <w:ilvl w:val="1"/>
          <w:numId w:val="11"/>
        </w:numPr>
        <w:shd w:val="clear" w:color="auto" w:fill="FFFFFF" w:themeFill="background1"/>
        <w:suppressAutoHyphens/>
        <w:ind w:left="851" w:hanging="425"/>
        <w:rPr>
          <w:rStyle w:val="Hyperlink"/>
          <w:color w:val="242424"/>
        </w:rPr>
      </w:pPr>
      <w:r w:rsidRPr="00EE46A0">
        <w:rPr>
          <w:rStyle w:val="Hyperlink"/>
          <w:color w:val="242424"/>
        </w:rPr>
        <w:t>celovite znanstvene in na podatkih temelječe metode za diagnosticiranje in razumevanje vzrokov bolezni (genetike, nezdravih navad in življenjskih slogov, onesnaženosti, stresa itd.),</w:t>
      </w:r>
    </w:p>
    <w:p w14:paraId="5E89EEFD" w14:textId="77777777" w:rsidR="00BA1771" w:rsidRPr="00EE46A0" w:rsidRDefault="00BA1771" w:rsidP="00BA1771">
      <w:pPr>
        <w:numPr>
          <w:ilvl w:val="1"/>
          <w:numId w:val="11"/>
        </w:numPr>
        <w:shd w:val="clear" w:color="auto" w:fill="FFFFFF" w:themeFill="background1"/>
        <w:suppressAutoHyphens/>
        <w:ind w:left="851" w:hanging="425"/>
        <w:rPr>
          <w:rStyle w:val="Hyperlink"/>
          <w:color w:val="242424"/>
        </w:rPr>
      </w:pPr>
      <w:r w:rsidRPr="00EE46A0">
        <w:rPr>
          <w:rStyle w:val="Hyperlink"/>
          <w:color w:val="242424"/>
        </w:rPr>
        <w:t>razširjanje informacij o preprečevanju in zgodnji diagnozi,</w:t>
      </w:r>
    </w:p>
    <w:p w14:paraId="6CA247D5" w14:textId="77777777" w:rsidR="00BA1771" w:rsidRPr="00EE46A0" w:rsidRDefault="00BA1771" w:rsidP="00BA1771">
      <w:pPr>
        <w:numPr>
          <w:ilvl w:val="1"/>
          <w:numId w:val="11"/>
        </w:numPr>
        <w:shd w:val="clear" w:color="auto" w:fill="FFFFFF" w:themeFill="background1"/>
        <w:suppressAutoHyphens/>
        <w:ind w:left="851" w:hanging="425"/>
        <w:rPr>
          <w:rStyle w:val="Hyperlink"/>
          <w:color w:val="242424"/>
        </w:rPr>
      </w:pPr>
      <w:r w:rsidRPr="00EE46A0">
        <w:rPr>
          <w:rStyle w:val="Hyperlink"/>
          <w:color w:val="242424"/>
        </w:rPr>
        <w:t>presejanje ter učinkovito in dostopno zdravljenje,</w:t>
      </w:r>
    </w:p>
    <w:p w14:paraId="28AAB41C" w14:textId="77777777" w:rsidR="00BA1771" w:rsidRPr="00EE46A0" w:rsidRDefault="00BA1771" w:rsidP="00BA1771">
      <w:pPr>
        <w:numPr>
          <w:ilvl w:val="1"/>
          <w:numId w:val="11"/>
        </w:numPr>
        <w:shd w:val="clear" w:color="auto" w:fill="FFFFFF" w:themeFill="background1"/>
        <w:suppressAutoHyphens/>
        <w:ind w:left="851" w:hanging="425"/>
        <w:rPr>
          <w:rStyle w:val="Hyperlink"/>
          <w:color w:val="242424"/>
        </w:rPr>
      </w:pPr>
      <w:r w:rsidRPr="00EE46A0">
        <w:rPr>
          <w:rStyle w:val="Hyperlink"/>
          <w:color w:val="242424"/>
        </w:rPr>
        <w:t>visokokakovostno oskrbo in dostopno podporno infrastrukturo za bolnike in njihove družine;</w:t>
      </w:r>
    </w:p>
    <w:p w14:paraId="37C70236" w14:textId="77777777" w:rsidR="00BA1771" w:rsidRPr="00EE46A0" w:rsidRDefault="00BA1771" w:rsidP="00BA1771">
      <w:pPr>
        <w:numPr>
          <w:ilvl w:val="0"/>
          <w:numId w:val="11"/>
        </w:numPr>
        <w:shd w:val="clear" w:color="auto" w:fill="FFFFFF" w:themeFill="background1"/>
        <w:suppressAutoHyphens/>
        <w:ind w:left="426" w:hanging="426"/>
        <w:rPr>
          <w:rStyle w:val="Hyperlink"/>
          <w:color w:val="242424"/>
        </w:rPr>
      </w:pPr>
      <w:r w:rsidRPr="00EE46A0">
        <w:rPr>
          <w:color w:val="242424"/>
        </w:rPr>
        <w:t xml:space="preserve">podpira poziv Evropskega parlamenta, naj se hitro sprejme </w:t>
      </w:r>
      <w:hyperlink r:id="rId27">
        <w:r w:rsidRPr="00EE46A0">
          <w:rPr>
            <w:rStyle w:val="Hyperlink"/>
            <w:b/>
            <w:color w:val="242424"/>
          </w:rPr>
          <w:t>evropski akcijski načrt za redke bolezni</w:t>
        </w:r>
      </w:hyperlink>
      <w:r w:rsidRPr="00EE46A0">
        <w:rPr>
          <w:color w:val="242424"/>
        </w:rPr>
        <w:t xml:space="preserve">, tudi z oživitvijo in nadaljnjim razvojem </w:t>
      </w:r>
      <w:hyperlink r:id="rId28">
        <w:r w:rsidRPr="00EE46A0">
          <w:rPr>
            <w:rStyle w:val="Hyperlink"/>
            <w:b/>
            <w:color w:val="242424"/>
          </w:rPr>
          <w:t>poziva iz Tartuja k zdravemu življenjskemu slogu</w:t>
        </w:r>
      </w:hyperlink>
      <w:r w:rsidRPr="00EE46A0">
        <w:rPr>
          <w:color w:val="242424"/>
        </w:rPr>
        <w:t xml:space="preserve"> ter široko uporabo </w:t>
      </w:r>
      <w:hyperlink r:id="rId29">
        <w:r w:rsidRPr="00EE46A0">
          <w:rPr>
            <w:rStyle w:val="Hyperlink"/>
            <w:b/>
            <w:color w:val="242424"/>
          </w:rPr>
          <w:t>pristopa „eno zdravje“</w:t>
        </w:r>
      </w:hyperlink>
      <w:r w:rsidRPr="00EE46A0">
        <w:rPr>
          <w:color w:val="242424"/>
        </w:rPr>
        <w:t>;</w:t>
      </w:r>
    </w:p>
    <w:p w14:paraId="68ACB199" w14:textId="77777777" w:rsidR="00BA1771" w:rsidRPr="00EE46A0" w:rsidRDefault="00BA1771" w:rsidP="00BA1771">
      <w:pPr>
        <w:numPr>
          <w:ilvl w:val="0"/>
          <w:numId w:val="11"/>
        </w:numPr>
        <w:shd w:val="clear" w:color="auto" w:fill="FFFFFF" w:themeFill="background1"/>
        <w:suppressAutoHyphens/>
        <w:ind w:left="426" w:hanging="426"/>
        <w:rPr>
          <w:color w:val="242424"/>
        </w:rPr>
      </w:pPr>
      <w:r w:rsidRPr="00EE46A0">
        <w:rPr>
          <w:color w:val="242424"/>
        </w:rPr>
        <w:t xml:space="preserve">meni, da je raziskovalna in tehnološka infrastruktura (vključno s tisto, ki se osredotoča na redke bolezni) bistvena za razvoj bioznanosti in ekonomije dolgoživosti. Poleg diagnosticiranja in zdravljenja bolezni bi morala vključevati tudi </w:t>
      </w:r>
      <w:r w:rsidRPr="00EE46A0">
        <w:rPr>
          <w:b/>
          <w:color w:val="242424"/>
        </w:rPr>
        <w:t>celoten spekter kulture dolgoživosti</w:t>
      </w:r>
      <w:r w:rsidRPr="00EE46A0">
        <w:rPr>
          <w:color w:val="242424"/>
        </w:rPr>
        <w:t xml:space="preserve"> (vključno s preprečevanjem, zdravo prehrano, življenjskim slogom, balneološkim zdravljenjem in rekreacijo, telesnim in duševnim zdravjem ter številnimi drugimi elementi);</w:t>
      </w:r>
    </w:p>
    <w:p w14:paraId="44262E92" w14:textId="77777777" w:rsidR="00BA1771" w:rsidRPr="00EE46A0" w:rsidRDefault="00BA1771" w:rsidP="00BA1771">
      <w:pPr>
        <w:numPr>
          <w:ilvl w:val="0"/>
          <w:numId w:val="11"/>
        </w:numPr>
        <w:shd w:val="clear" w:color="auto" w:fill="FFFFFF" w:themeFill="background1"/>
        <w:suppressAutoHyphens/>
        <w:ind w:left="426" w:hanging="426"/>
        <w:rPr>
          <w:color w:val="242424"/>
        </w:rPr>
      </w:pPr>
      <w:r w:rsidRPr="00EE46A0">
        <w:rPr>
          <w:color w:val="242424"/>
        </w:rPr>
        <w:t xml:space="preserve">priporoča, da se </w:t>
      </w:r>
      <w:r w:rsidRPr="00EE46A0">
        <w:rPr>
          <w:b/>
          <w:color w:val="242424"/>
        </w:rPr>
        <w:t>v vsaki državi članici</w:t>
      </w:r>
      <w:r w:rsidRPr="00EE46A0">
        <w:rPr>
          <w:color w:val="242424"/>
        </w:rPr>
        <w:t xml:space="preserve"> ustanovijo </w:t>
      </w:r>
      <w:r w:rsidRPr="00EE46A0">
        <w:rPr>
          <w:b/>
          <w:color w:val="242424"/>
        </w:rPr>
        <w:t>translacijski centri, specializirani za redke bolezni,</w:t>
      </w:r>
      <w:r w:rsidRPr="00EE46A0">
        <w:rPr>
          <w:color w:val="242424"/>
        </w:rPr>
        <w:t xml:space="preserve"> ki bi se zaradi doslednosti usklajevali na ravni EU;</w:t>
      </w:r>
    </w:p>
    <w:p w14:paraId="07D577C6" w14:textId="77777777" w:rsidR="00BA1771" w:rsidRPr="00EE46A0" w:rsidRDefault="00BA1771" w:rsidP="00BA1771">
      <w:pPr>
        <w:numPr>
          <w:ilvl w:val="0"/>
          <w:numId w:val="11"/>
        </w:numPr>
        <w:shd w:val="clear" w:color="auto" w:fill="FFFFFF" w:themeFill="background1"/>
        <w:suppressAutoHyphens/>
        <w:ind w:left="426" w:hanging="426"/>
        <w:rPr>
          <w:color w:val="242424"/>
        </w:rPr>
      </w:pPr>
      <w:r w:rsidRPr="00EE46A0">
        <w:rPr>
          <w:color w:val="242424"/>
        </w:rPr>
        <w:t>poudarja, da so evropska partnerstva bistvena za pospeševanje smiselne in strukturirane udeležbe celotnega spektra deležnikov, ter se zavzema za formalizirane mehanizme za njihovo sodelovanje;</w:t>
      </w:r>
    </w:p>
    <w:p w14:paraId="2360AD84" w14:textId="77777777" w:rsidR="00BA1771" w:rsidRPr="00EE46A0" w:rsidRDefault="00BA1771" w:rsidP="00BA1771">
      <w:pPr>
        <w:numPr>
          <w:ilvl w:val="0"/>
          <w:numId w:val="11"/>
        </w:numPr>
        <w:shd w:val="clear" w:color="auto" w:fill="FFFFFF" w:themeFill="background1"/>
        <w:suppressAutoHyphens/>
        <w:ind w:left="426" w:hanging="426"/>
        <w:rPr>
          <w:color w:val="242424"/>
        </w:rPr>
      </w:pPr>
      <w:r w:rsidRPr="00EE46A0">
        <w:rPr>
          <w:color w:val="242424"/>
        </w:rPr>
        <w:t xml:space="preserve">poziva k </w:t>
      </w:r>
      <w:r w:rsidRPr="00EE46A0">
        <w:rPr>
          <w:b/>
          <w:color w:val="242424"/>
        </w:rPr>
        <w:t>obvezni zastopanosti organizacij bolnikov, socialnih partnerjev in organizacij civilne družbe v organih upravljanja</w:t>
      </w:r>
      <w:r w:rsidRPr="00EE46A0">
        <w:rPr>
          <w:color w:val="242424"/>
        </w:rPr>
        <w:t>, da bi z njihovim strukturiranim, preglednim in sistematičnim vključevanjem omogočili določanje prednostnih nalog in protokolov za podatke, zahtev glede preglednosti odločitev in uporabe podatkov ter mehanizma, s katerim bi se zagotovilo dejansko upoštevanje njihovih prispevkov.</w:t>
      </w:r>
    </w:p>
    <w:p w14:paraId="4EED5879" w14:textId="77777777" w:rsidR="00BA1771" w:rsidRPr="00EE46A0" w:rsidRDefault="00BA1771" w:rsidP="00BA1771"/>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088"/>
      </w:tblGrid>
      <w:tr w:rsidR="00BA1771" w:rsidRPr="00EE46A0" w14:paraId="3B88BCB3" w14:textId="77777777" w:rsidTr="00B56AD6">
        <w:tc>
          <w:tcPr>
            <w:tcW w:w="2518" w:type="dxa"/>
          </w:tcPr>
          <w:p w14:paraId="02680AA7" w14:textId="77777777" w:rsidR="00BA1771" w:rsidRPr="00EE46A0" w:rsidRDefault="00BA1771" w:rsidP="00B56AD6">
            <w:pPr>
              <w:suppressAutoHyphens/>
              <w:rPr>
                <w:i/>
              </w:rPr>
            </w:pPr>
            <w:r w:rsidRPr="00EE46A0">
              <w:rPr>
                <w:b/>
                <w:i/>
              </w:rPr>
              <w:t>Kontaktna oseba</w:t>
            </w:r>
          </w:p>
        </w:tc>
        <w:tc>
          <w:tcPr>
            <w:tcW w:w="7088" w:type="dxa"/>
          </w:tcPr>
          <w:p w14:paraId="6C6D6356" w14:textId="77777777" w:rsidR="00BA1771" w:rsidRPr="00EE46A0" w:rsidRDefault="00BA1771" w:rsidP="00B56AD6">
            <w:pPr>
              <w:suppressAutoHyphens/>
              <w:rPr>
                <w:i/>
              </w:rPr>
            </w:pPr>
            <w:r w:rsidRPr="00EE46A0">
              <w:rPr>
                <w:i/>
              </w:rPr>
              <w:t>Konstantina ANGELOPOULOU</w:t>
            </w:r>
          </w:p>
        </w:tc>
      </w:tr>
      <w:tr w:rsidR="00BA1771" w:rsidRPr="00EE46A0" w14:paraId="5DD795A7" w14:textId="77777777" w:rsidTr="00B56AD6">
        <w:tc>
          <w:tcPr>
            <w:tcW w:w="2518" w:type="dxa"/>
          </w:tcPr>
          <w:p w14:paraId="07BC0383" w14:textId="77777777" w:rsidR="00BA1771" w:rsidRPr="00EE46A0" w:rsidRDefault="00BA1771" w:rsidP="00B56AD6">
            <w:pPr>
              <w:suppressAutoHyphens/>
              <w:rPr>
                <w:i/>
              </w:rPr>
            </w:pPr>
            <w:r w:rsidRPr="00EE46A0">
              <w:rPr>
                <w:i/>
              </w:rPr>
              <w:t>Telefon</w:t>
            </w:r>
          </w:p>
        </w:tc>
        <w:tc>
          <w:tcPr>
            <w:tcW w:w="7088" w:type="dxa"/>
          </w:tcPr>
          <w:p w14:paraId="52DF5BF5" w14:textId="77777777" w:rsidR="00BA1771" w:rsidRPr="00EE46A0" w:rsidRDefault="00BA1771" w:rsidP="00B56AD6">
            <w:pPr>
              <w:suppressAutoHyphens/>
              <w:rPr>
                <w:i/>
              </w:rPr>
            </w:pPr>
            <w:r w:rsidRPr="00EE46A0">
              <w:rPr>
                <w:i/>
              </w:rPr>
              <w:t>+32 25469747</w:t>
            </w:r>
          </w:p>
        </w:tc>
      </w:tr>
      <w:tr w:rsidR="00BA1771" w:rsidRPr="00EE46A0" w14:paraId="3EC17F3E" w14:textId="77777777" w:rsidTr="00B56AD6">
        <w:tc>
          <w:tcPr>
            <w:tcW w:w="2518" w:type="dxa"/>
          </w:tcPr>
          <w:p w14:paraId="329504BB" w14:textId="77777777" w:rsidR="00BA1771" w:rsidRPr="00EE46A0" w:rsidRDefault="00BA1771" w:rsidP="00B56AD6">
            <w:pPr>
              <w:suppressAutoHyphens/>
              <w:rPr>
                <w:i/>
              </w:rPr>
            </w:pPr>
            <w:r w:rsidRPr="00EE46A0">
              <w:rPr>
                <w:i/>
              </w:rPr>
              <w:t>E-naslov</w:t>
            </w:r>
          </w:p>
        </w:tc>
        <w:tc>
          <w:tcPr>
            <w:tcW w:w="7088" w:type="dxa"/>
          </w:tcPr>
          <w:p w14:paraId="19E34457" w14:textId="77777777" w:rsidR="00BA1771" w:rsidRPr="00EE46A0" w:rsidRDefault="00283C48" w:rsidP="00B56AD6">
            <w:pPr>
              <w:suppressAutoHyphens/>
              <w:rPr>
                <w:i/>
                <w:iCs/>
              </w:rPr>
            </w:pPr>
            <w:hyperlink r:id="rId30" w:history="1">
              <w:r w:rsidR="00BA1771" w:rsidRPr="00EE46A0">
                <w:rPr>
                  <w:rStyle w:val="Hyperlink"/>
                  <w:i/>
                </w:rPr>
                <w:t>Konstantina.Angelopoulou@eesc.europa.eu</w:t>
              </w:r>
            </w:hyperlink>
          </w:p>
        </w:tc>
      </w:tr>
    </w:tbl>
    <w:p w14:paraId="203B4BDC" w14:textId="77777777" w:rsidR="00BA1771" w:rsidRPr="00EE46A0" w:rsidRDefault="00BA1771" w:rsidP="00BA1771"/>
    <w:p w14:paraId="4483536B" w14:textId="77777777" w:rsidR="00EE1B31" w:rsidRPr="00EE46A0" w:rsidRDefault="00EE1B31" w:rsidP="00100EF9">
      <w:pPr>
        <w:jc w:val="left"/>
      </w:pPr>
      <w:r w:rsidRPr="00EE46A0">
        <w:br w:type="page"/>
      </w:r>
    </w:p>
    <w:p w14:paraId="46EB17A8" w14:textId="65AD3789" w:rsidR="00BA1771" w:rsidRPr="00E81BB7" w:rsidRDefault="00283C48" w:rsidP="00BA1771">
      <w:pPr>
        <w:numPr>
          <w:ilvl w:val="0"/>
          <w:numId w:val="31"/>
        </w:numPr>
        <w:suppressAutoHyphens/>
        <w:overflowPunct w:val="0"/>
        <w:autoSpaceDE w:val="0"/>
        <w:autoSpaceDN w:val="0"/>
        <w:adjustRightInd w:val="0"/>
        <w:ind w:hanging="567"/>
        <w:textAlignment w:val="baseline"/>
        <w:rPr>
          <w:sz w:val="28"/>
          <w:szCs w:val="28"/>
        </w:rPr>
      </w:pPr>
      <w:hyperlink r:id="rId31" w:history="1">
        <w:r w:rsidR="00BA1771" w:rsidRPr="00E81BB7">
          <w:rPr>
            <w:rStyle w:val="Hyperlink"/>
            <w:b/>
            <w:i/>
            <w:sz w:val="28"/>
            <w:szCs w:val="28"/>
          </w:rPr>
          <w:t>Energetska povezljivost in omrežja za prenos električne energije</w:t>
        </w:r>
      </w:hyperlink>
    </w:p>
    <w:p w14:paraId="43F76132" w14:textId="77777777" w:rsidR="00BA1771" w:rsidRPr="00EE46A0" w:rsidRDefault="00BA1771" w:rsidP="00BA1771">
      <w:pPr>
        <w:tabs>
          <w:tab w:val="center" w:pos="284"/>
        </w:tabs>
        <w:suppressAutoHyphens/>
        <w:ind w:left="266" w:hanging="266"/>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805"/>
      </w:tblGrid>
      <w:tr w:rsidR="00BA1771" w:rsidRPr="00EE46A0" w14:paraId="6F968B21" w14:textId="77777777" w:rsidTr="00B56AD6">
        <w:tc>
          <w:tcPr>
            <w:tcW w:w="2268" w:type="dxa"/>
          </w:tcPr>
          <w:p w14:paraId="04589ADA" w14:textId="77777777" w:rsidR="00BA1771" w:rsidRPr="00EE46A0" w:rsidRDefault="00BA1771" w:rsidP="00B56AD6">
            <w:pPr>
              <w:tabs>
                <w:tab w:val="center" w:pos="284"/>
              </w:tabs>
              <w:suppressAutoHyphens/>
              <w:ind w:left="266" w:hanging="266"/>
              <w:rPr>
                <w:b/>
              </w:rPr>
            </w:pPr>
            <w:r w:rsidRPr="00EE46A0">
              <w:rPr>
                <w:b/>
              </w:rPr>
              <w:t>Poročevalec</w:t>
            </w:r>
          </w:p>
        </w:tc>
        <w:tc>
          <w:tcPr>
            <w:tcW w:w="6805" w:type="dxa"/>
          </w:tcPr>
          <w:p w14:paraId="56394EF2" w14:textId="77777777" w:rsidR="00BA1771" w:rsidRPr="00EE46A0" w:rsidRDefault="00BA1771" w:rsidP="00B56AD6">
            <w:pPr>
              <w:tabs>
                <w:tab w:val="center" w:pos="284"/>
              </w:tabs>
              <w:suppressAutoHyphens/>
              <w:ind w:left="266" w:hanging="266"/>
            </w:pPr>
            <w:r w:rsidRPr="00EE46A0">
              <w:t>Christophe BÉGUINET (skupina delojemalcev – FR)</w:t>
            </w:r>
          </w:p>
        </w:tc>
      </w:tr>
      <w:tr w:rsidR="00BA1771" w:rsidRPr="00EE46A0" w14:paraId="0E3AFA73" w14:textId="77777777" w:rsidTr="00B56AD6">
        <w:tc>
          <w:tcPr>
            <w:tcW w:w="9073" w:type="dxa"/>
            <w:gridSpan w:val="2"/>
          </w:tcPr>
          <w:p w14:paraId="7D645C6F" w14:textId="77777777" w:rsidR="00BA1771" w:rsidRPr="00EE46A0" w:rsidRDefault="00BA1771" w:rsidP="00B56AD6">
            <w:pPr>
              <w:tabs>
                <w:tab w:val="center" w:pos="284"/>
              </w:tabs>
              <w:suppressAutoHyphens/>
              <w:ind w:left="266" w:hanging="266"/>
              <w:rPr>
                <w:sz w:val="16"/>
                <w:szCs w:val="16"/>
              </w:rPr>
            </w:pPr>
          </w:p>
        </w:tc>
      </w:tr>
      <w:tr w:rsidR="00BA1771" w:rsidRPr="00EE46A0" w14:paraId="50AE5539" w14:textId="77777777" w:rsidTr="00B56AD6">
        <w:tc>
          <w:tcPr>
            <w:tcW w:w="2268" w:type="dxa"/>
          </w:tcPr>
          <w:p w14:paraId="07A6C574" w14:textId="77777777" w:rsidR="00BA1771" w:rsidRPr="00EE46A0" w:rsidRDefault="00BA1771" w:rsidP="00B56AD6">
            <w:pPr>
              <w:tabs>
                <w:tab w:val="center" w:pos="284"/>
              </w:tabs>
              <w:suppressAutoHyphens/>
              <w:ind w:left="266" w:hanging="266"/>
              <w:rPr>
                <w:b/>
              </w:rPr>
            </w:pPr>
            <w:r w:rsidRPr="00EE46A0">
              <w:rPr>
                <w:b/>
              </w:rPr>
              <w:t>Referenčni dokument</w:t>
            </w:r>
          </w:p>
        </w:tc>
        <w:tc>
          <w:tcPr>
            <w:tcW w:w="6805" w:type="dxa"/>
          </w:tcPr>
          <w:p w14:paraId="4F693ED4" w14:textId="77777777" w:rsidR="00E81BB7" w:rsidRDefault="00E81BB7" w:rsidP="00B56AD6">
            <w:pPr>
              <w:tabs>
                <w:tab w:val="center" w:pos="284"/>
              </w:tabs>
              <w:suppressAutoHyphens/>
              <w:ind w:left="266" w:hanging="266"/>
            </w:pPr>
            <w:r w:rsidRPr="00EE46A0">
              <w:t xml:space="preserve">raziskovalno mnenje na zaprosilo ciprskega predsedstva </w:t>
            </w:r>
            <w:r>
              <w:t xml:space="preserve">Sveta </w:t>
            </w:r>
            <w:r w:rsidRPr="00EE46A0">
              <w:t>EU</w:t>
            </w:r>
          </w:p>
          <w:p w14:paraId="08556FCA" w14:textId="73744ADF" w:rsidR="00BA1771" w:rsidRPr="00EE46A0" w:rsidRDefault="00BA1771" w:rsidP="00B56AD6">
            <w:pPr>
              <w:tabs>
                <w:tab w:val="center" w:pos="284"/>
              </w:tabs>
              <w:suppressAutoHyphens/>
              <w:ind w:left="266" w:hanging="266"/>
            </w:pPr>
            <w:r w:rsidRPr="00EE46A0">
              <w:t>EESC-2025-03570-00-00-AC</w:t>
            </w:r>
          </w:p>
        </w:tc>
      </w:tr>
    </w:tbl>
    <w:p w14:paraId="4B08586D" w14:textId="77777777" w:rsidR="00BA1771" w:rsidRPr="00EE46A0" w:rsidRDefault="00BA1771" w:rsidP="00BA1771">
      <w:pPr>
        <w:tabs>
          <w:tab w:val="center" w:pos="284"/>
        </w:tabs>
        <w:suppressAutoHyphens/>
        <w:ind w:left="266" w:hanging="266"/>
      </w:pPr>
    </w:p>
    <w:p w14:paraId="1A353CF2" w14:textId="77777777" w:rsidR="00BA1771" w:rsidRPr="00EE46A0" w:rsidRDefault="00BA1771" w:rsidP="00BA1771">
      <w:pPr>
        <w:tabs>
          <w:tab w:val="center" w:pos="284"/>
        </w:tabs>
        <w:suppressAutoHyphens/>
        <w:ind w:left="266" w:hanging="266"/>
        <w:rPr>
          <w:b/>
        </w:rPr>
      </w:pPr>
      <w:r w:rsidRPr="00EE46A0">
        <w:rPr>
          <w:b/>
        </w:rPr>
        <w:t>Glavne točke</w:t>
      </w:r>
    </w:p>
    <w:p w14:paraId="076FC03F" w14:textId="77777777" w:rsidR="00BA1771" w:rsidRPr="00EE46A0" w:rsidRDefault="00BA1771" w:rsidP="00BA1771">
      <w:pPr>
        <w:tabs>
          <w:tab w:val="center" w:pos="284"/>
        </w:tabs>
        <w:suppressAutoHyphens/>
        <w:ind w:left="266" w:hanging="266"/>
        <w:rPr>
          <w:bCs/>
        </w:rPr>
      </w:pPr>
    </w:p>
    <w:p w14:paraId="652EEA6E" w14:textId="77777777" w:rsidR="00BA1771" w:rsidRPr="00EE46A0" w:rsidRDefault="00BA1771" w:rsidP="00BA1771">
      <w:pPr>
        <w:suppressAutoHyphens/>
      </w:pPr>
      <w:r w:rsidRPr="00EE46A0">
        <w:t>EESO:</w:t>
      </w:r>
    </w:p>
    <w:p w14:paraId="53E46AFB" w14:textId="77777777" w:rsidR="00BA1771" w:rsidRPr="00EE46A0" w:rsidRDefault="00BA1771" w:rsidP="00BA1771">
      <w:pPr>
        <w:suppressAutoHyphens/>
        <w:rPr>
          <w:bCs/>
          <w:iCs/>
        </w:rPr>
      </w:pPr>
    </w:p>
    <w:p w14:paraId="7CE90409" w14:textId="77777777" w:rsidR="00BA1771" w:rsidRPr="00EE46A0" w:rsidRDefault="00BA1771" w:rsidP="00BA1771">
      <w:pPr>
        <w:numPr>
          <w:ilvl w:val="0"/>
          <w:numId w:val="31"/>
        </w:numPr>
        <w:suppressAutoHyphens/>
        <w:overflowPunct w:val="0"/>
        <w:autoSpaceDE w:val="0"/>
        <w:autoSpaceDN w:val="0"/>
        <w:adjustRightInd w:val="0"/>
        <w:ind w:left="426" w:hanging="426"/>
        <w:textAlignment w:val="baseline"/>
        <w:rPr>
          <w:bCs/>
          <w:iCs/>
        </w:rPr>
      </w:pPr>
      <w:r w:rsidRPr="00EE46A0">
        <w:t>poudarja, da mora biti evropski sektor električne energije zmožen načrtovati potrebe elektroenergetskega sistema na ravni EU in v partnerskih državah. Pri tem mora izhajati iz skupnega energetskega scenarija, ki ga določi Komisija ob podpori operaterjev nacionalnih sistemov;</w:t>
      </w:r>
    </w:p>
    <w:p w14:paraId="124CB9D8" w14:textId="77777777" w:rsidR="00BA1771" w:rsidRPr="00EE46A0" w:rsidRDefault="00BA1771" w:rsidP="00BA1771">
      <w:pPr>
        <w:numPr>
          <w:ilvl w:val="0"/>
          <w:numId w:val="31"/>
        </w:numPr>
        <w:suppressAutoHyphens/>
        <w:overflowPunct w:val="0"/>
        <w:autoSpaceDE w:val="0"/>
        <w:autoSpaceDN w:val="0"/>
        <w:adjustRightInd w:val="0"/>
        <w:ind w:left="426" w:hanging="426"/>
        <w:textAlignment w:val="baseline"/>
        <w:rPr>
          <w:bCs/>
          <w:iCs/>
        </w:rPr>
      </w:pPr>
      <w:r w:rsidRPr="00EE46A0">
        <w:t>ugotavlja, da bi bilo treba vrednost medsebojnih povezav obravnavati glede na koristi, ki jih imata od njih dve državi, v okviru dvostranskega pristopa, ali v smislu splošne koristi za celoten sistem, ki presega državi z medsebojno povezavo. V tem drugem primeru morajo nastati novi ekonomski modeli na podlagi sodelovanja med agencijo Evropske unije za sodelovanje energetskih regulatorjev (ACER), nacionalnimi regulatorji in upravljavci omrežij;</w:t>
      </w:r>
    </w:p>
    <w:p w14:paraId="24824E97" w14:textId="77777777" w:rsidR="00BA1771" w:rsidRPr="00EE46A0" w:rsidRDefault="00BA1771" w:rsidP="00BA1771">
      <w:pPr>
        <w:numPr>
          <w:ilvl w:val="0"/>
          <w:numId w:val="31"/>
        </w:numPr>
        <w:suppressAutoHyphens/>
        <w:overflowPunct w:val="0"/>
        <w:autoSpaceDE w:val="0"/>
        <w:autoSpaceDN w:val="0"/>
        <w:adjustRightInd w:val="0"/>
        <w:ind w:left="426" w:hanging="426"/>
        <w:textAlignment w:val="baseline"/>
        <w:rPr>
          <w:bCs/>
          <w:iCs/>
        </w:rPr>
      </w:pPr>
      <w:r w:rsidRPr="00EE46A0">
        <w:t>poudarja, da je za učinkovitost medsebojnih povezav nujno, da njihov razvoj spremlja postavitev ustrezne nacionalne infrastrukture, zlasti na ravni operaterjev prenosnih in distribucijskih sistemov. Vzpostavitev zmogljivosti za medsebojne povezave mora biti priložnost za spodbujanje evropske solidarnosti v zvezi z elektroenergetskimi omrežji;</w:t>
      </w:r>
    </w:p>
    <w:p w14:paraId="360DB665" w14:textId="77777777" w:rsidR="00BA1771" w:rsidRPr="00EE46A0" w:rsidRDefault="00BA1771" w:rsidP="00BA1771">
      <w:pPr>
        <w:numPr>
          <w:ilvl w:val="0"/>
          <w:numId w:val="31"/>
        </w:numPr>
        <w:suppressAutoHyphens/>
        <w:overflowPunct w:val="0"/>
        <w:autoSpaceDE w:val="0"/>
        <w:autoSpaceDN w:val="0"/>
        <w:adjustRightInd w:val="0"/>
        <w:ind w:left="426" w:hanging="426"/>
        <w:textAlignment w:val="baseline"/>
        <w:rPr>
          <w:bCs/>
          <w:iCs/>
        </w:rPr>
      </w:pPr>
      <w:r w:rsidRPr="00EE46A0">
        <w:t>opozarja, da so za ekonomsko optimizacijo evropskega elektroenergetskega sistema potrebni obsežno nameščanje pametnih števcev, druge dodatne naložbe v prenosna in distribucijska omrežja ter dostopnost podatkov o pretoku energije;</w:t>
      </w:r>
    </w:p>
    <w:p w14:paraId="471B1BBB" w14:textId="77777777" w:rsidR="00BA1771" w:rsidRPr="00EE46A0" w:rsidRDefault="00BA1771" w:rsidP="00BA1771">
      <w:pPr>
        <w:numPr>
          <w:ilvl w:val="0"/>
          <w:numId w:val="31"/>
        </w:numPr>
        <w:suppressAutoHyphens/>
        <w:overflowPunct w:val="0"/>
        <w:autoSpaceDE w:val="0"/>
        <w:autoSpaceDN w:val="0"/>
        <w:adjustRightInd w:val="0"/>
        <w:ind w:left="426" w:hanging="426"/>
        <w:textAlignment w:val="baseline"/>
        <w:rPr>
          <w:bCs/>
          <w:iCs/>
        </w:rPr>
      </w:pPr>
      <w:r w:rsidRPr="00EE46A0">
        <w:t>meni, da mora imeti prednostni pomen varnost elektroenergetskega sistema pred posledicami podnebnih sprememb, fizičnimi napadi, sabotažo, kibernetskimi tveganji in tveganji glede ravnovesja v sistemu;</w:t>
      </w:r>
    </w:p>
    <w:p w14:paraId="7603A302" w14:textId="77777777" w:rsidR="00BA1771" w:rsidRPr="00EE46A0" w:rsidRDefault="00BA1771" w:rsidP="00BA1771">
      <w:pPr>
        <w:numPr>
          <w:ilvl w:val="0"/>
          <w:numId w:val="31"/>
        </w:numPr>
        <w:suppressAutoHyphens/>
        <w:overflowPunct w:val="0"/>
        <w:autoSpaceDE w:val="0"/>
        <w:autoSpaceDN w:val="0"/>
        <w:adjustRightInd w:val="0"/>
        <w:ind w:left="426" w:hanging="426"/>
        <w:textAlignment w:val="baseline"/>
        <w:rPr>
          <w:bCs/>
          <w:iCs/>
        </w:rPr>
      </w:pPr>
      <w:r w:rsidRPr="00EE46A0">
        <w:t>poziva k prednostni obravnavi optimizacije obstoječe infrastrukture, preden se razmišlja o razvoju nove.</w:t>
      </w:r>
    </w:p>
    <w:p w14:paraId="049167E9" w14:textId="77777777" w:rsidR="00BA1771" w:rsidRPr="00EE46A0" w:rsidRDefault="00BA1771" w:rsidP="00BA177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0"/>
        <w:gridCol w:w="7143"/>
      </w:tblGrid>
      <w:tr w:rsidR="00BA1771" w:rsidRPr="00EE46A0" w14:paraId="1E09FD4F" w14:textId="77777777" w:rsidTr="00B56AD6">
        <w:tc>
          <w:tcPr>
            <w:tcW w:w="1951" w:type="dxa"/>
          </w:tcPr>
          <w:p w14:paraId="594C0393" w14:textId="77777777" w:rsidR="00BA1771" w:rsidRPr="00EE46A0" w:rsidRDefault="00BA1771" w:rsidP="00B56AD6">
            <w:pPr>
              <w:suppressAutoHyphens/>
              <w:rPr>
                <w:i/>
              </w:rPr>
            </w:pPr>
            <w:r w:rsidRPr="00EE46A0">
              <w:rPr>
                <w:b/>
                <w:i/>
              </w:rPr>
              <w:t>Kontaktna oseba</w:t>
            </w:r>
          </w:p>
        </w:tc>
        <w:tc>
          <w:tcPr>
            <w:tcW w:w="7229" w:type="dxa"/>
          </w:tcPr>
          <w:p w14:paraId="54320581" w14:textId="77777777" w:rsidR="00BA1771" w:rsidRPr="00EE46A0" w:rsidRDefault="00BA1771" w:rsidP="00B56AD6">
            <w:pPr>
              <w:suppressAutoHyphens/>
              <w:rPr>
                <w:i/>
              </w:rPr>
            </w:pPr>
            <w:r w:rsidRPr="00EE46A0">
              <w:rPr>
                <w:i/>
              </w:rPr>
              <w:t>Giorgia BORDIGNON</w:t>
            </w:r>
          </w:p>
        </w:tc>
      </w:tr>
      <w:tr w:rsidR="00BA1771" w:rsidRPr="00EE46A0" w14:paraId="03F5D3A2" w14:textId="77777777" w:rsidTr="00B56AD6">
        <w:tc>
          <w:tcPr>
            <w:tcW w:w="1951" w:type="dxa"/>
          </w:tcPr>
          <w:p w14:paraId="00477235" w14:textId="77777777" w:rsidR="00BA1771" w:rsidRPr="00EE46A0" w:rsidRDefault="00BA1771" w:rsidP="00B56AD6">
            <w:pPr>
              <w:suppressAutoHyphens/>
              <w:rPr>
                <w:i/>
              </w:rPr>
            </w:pPr>
            <w:r w:rsidRPr="00EE46A0">
              <w:rPr>
                <w:i/>
              </w:rPr>
              <w:t>Telefon</w:t>
            </w:r>
          </w:p>
        </w:tc>
        <w:tc>
          <w:tcPr>
            <w:tcW w:w="7229" w:type="dxa"/>
          </w:tcPr>
          <w:p w14:paraId="4FF4F8B3" w14:textId="77777777" w:rsidR="00BA1771" w:rsidRPr="00EE46A0" w:rsidRDefault="00BA1771" w:rsidP="00B56AD6">
            <w:pPr>
              <w:suppressAutoHyphens/>
              <w:rPr>
                <w:i/>
              </w:rPr>
            </w:pPr>
            <w:r w:rsidRPr="00EE46A0">
              <w:rPr>
                <w:i/>
              </w:rPr>
              <w:t>+32 22546 8535</w:t>
            </w:r>
          </w:p>
        </w:tc>
      </w:tr>
      <w:tr w:rsidR="00BA1771" w:rsidRPr="00EE46A0" w14:paraId="554AA6E3" w14:textId="77777777" w:rsidTr="00B56AD6">
        <w:tc>
          <w:tcPr>
            <w:tcW w:w="1951" w:type="dxa"/>
          </w:tcPr>
          <w:p w14:paraId="08C49F3C" w14:textId="77777777" w:rsidR="00BA1771" w:rsidRPr="00EE46A0" w:rsidRDefault="00BA1771" w:rsidP="00B56AD6">
            <w:pPr>
              <w:suppressAutoHyphens/>
              <w:rPr>
                <w:i/>
              </w:rPr>
            </w:pPr>
            <w:r w:rsidRPr="00EE46A0">
              <w:rPr>
                <w:i/>
              </w:rPr>
              <w:t>E-naslov</w:t>
            </w:r>
          </w:p>
        </w:tc>
        <w:tc>
          <w:tcPr>
            <w:tcW w:w="7229" w:type="dxa"/>
          </w:tcPr>
          <w:p w14:paraId="7A1D68CE" w14:textId="77777777" w:rsidR="00BA1771" w:rsidRPr="00EE46A0" w:rsidRDefault="00283C48" w:rsidP="00B56AD6">
            <w:pPr>
              <w:suppressAutoHyphens/>
              <w:rPr>
                <w:i/>
              </w:rPr>
            </w:pPr>
            <w:hyperlink r:id="rId32" w:history="1">
              <w:r w:rsidR="00BA1771" w:rsidRPr="00EE46A0">
                <w:rPr>
                  <w:rStyle w:val="Hyperlink"/>
                  <w:i/>
                </w:rPr>
                <w:t>GiorgiaAndrea.Bordignon@eesc.europa.eu</w:t>
              </w:r>
            </w:hyperlink>
          </w:p>
        </w:tc>
      </w:tr>
    </w:tbl>
    <w:p w14:paraId="2BF13CA4" w14:textId="77777777" w:rsidR="00BA1771" w:rsidRPr="00EE46A0" w:rsidRDefault="00BA1771" w:rsidP="00BA1771"/>
    <w:p w14:paraId="4982DDF2" w14:textId="77777777" w:rsidR="004D7AC0" w:rsidRPr="00EE46A0" w:rsidRDefault="004D7AC0" w:rsidP="00100EF9">
      <w:pPr>
        <w:jc w:val="left"/>
      </w:pPr>
      <w:r w:rsidRPr="00EE46A0">
        <w:br w:type="page"/>
      </w:r>
    </w:p>
    <w:p w14:paraId="4982DE1F" w14:textId="05B270CE" w:rsidR="004D7AC0" w:rsidRPr="00EE46A0" w:rsidRDefault="008310AE" w:rsidP="00100EF9">
      <w:pPr>
        <w:pStyle w:val="Heading1"/>
        <w:rPr>
          <w:b/>
        </w:rPr>
      </w:pPr>
      <w:r w:rsidRPr="00EE46A0">
        <w:rPr>
          <w:b/>
        </w:rPr>
        <w:lastRenderedPageBreak/>
        <w:t>KMETIJSTVO, RAZVOJ PODEŽELJA IN OKOLJE</w:t>
      </w:r>
    </w:p>
    <w:p w14:paraId="4982DE20" w14:textId="77777777" w:rsidR="004D7AC0" w:rsidRPr="00EE46A0" w:rsidRDefault="004D7AC0" w:rsidP="00100EF9"/>
    <w:p w14:paraId="71D18CC5" w14:textId="5CAC7CE8" w:rsidR="008310AE" w:rsidRPr="00EE46A0" w:rsidRDefault="00283C48" w:rsidP="008310AE">
      <w:pPr>
        <w:numPr>
          <w:ilvl w:val="0"/>
          <w:numId w:val="31"/>
        </w:numPr>
        <w:suppressAutoHyphens/>
        <w:overflowPunct w:val="0"/>
        <w:autoSpaceDE w:val="0"/>
        <w:autoSpaceDN w:val="0"/>
        <w:adjustRightInd w:val="0"/>
        <w:ind w:hanging="567"/>
        <w:textAlignment w:val="baseline"/>
        <w:rPr>
          <w:i/>
          <w:iCs/>
          <w:sz w:val="28"/>
          <w:szCs w:val="28"/>
        </w:rPr>
      </w:pPr>
      <w:hyperlink r:id="rId33" w:history="1">
        <w:r w:rsidR="008310AE" w:rsidRPr="00EE46A0">
          <w:rPr>
            <w:rStyle w:val="Hyperlink"/>
            <w:b/>
            <w:i/>
            <w:sz w:val="28"/>
          </w:rPr>
          <w:t>Časovni načrt za naravovarstvene dobropise</w:t>
        </w:r>
      </w:hyperlink>
    </w:p>
    <w:p w14:paraId="0F125BED" w14:textId="77777777" w:rsidR="008310AE" w:rsidRPr="00EE46A0" w:rsidRDefault="008310AE" w:rsidP="008310AE">
      <w:pPr>
        <w:tabs>
          <w:tab w:val="center" w:pos="284"/>
        </w:tabs>
        <w:suppressAutoHyphens/>
        <w:ind w:left="266" w:hanging="266"/>
        <w:rPr>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9"/>
        <w:gridCol w:w="6474"/>
      </w:tblGrid>
      <w:tr w:rsidR="008310AE" w:rsidRPr="00EE46A0" w14:paraId="3C500686" w14:textId="77777777" w:rsidTr="00B56AD6">
        <w:tc>
          <w:tcPr>
            <w:tcW w:w="1432" w:type="pct"/>
          </w:tcPr>
          <w:p w14:paraId="4E5D5E66" w14:textId="77777777" w:rsidR="008310AE" w:rsidRPr="00EE46A0" w:rsidRDefault="008310AE" w:rsidP="00B56AD6">
            <w:pPr>
              <w:tabs>
                <w:tab w:val="center" w:pos="284"/>
              </w:tabs>
              <w:suppressAutoHyphens/>
              <w:ind w:left="266" w:hanging="266"/>
              <w:rPr>
                <w:b/>
              </w:rPr>
            </w:pPr>
            <w:r w:rsidRPr="00EE46A0">
              <w:rPr>
                <w:b/>
                <w:bCs/>
              </w:rPr>
              <w:t>Poročevalec</w:t>
            </w:r>
          </w:p>
        </w:tc>
        <w:tc>
          <w:tcPr>
            <w:tcW w:w="3568" w:type="pct"/>
          </w:tcPr>
          <w:p w14:paraId="6EFB5DF2" w14:textId="2DFC38D4" w:rsidR="008310AE" w:rsidRPr="00EE46A0" w:rsidRDefault="008310AE" w:rsidP="00B56AD6">
            <w:pPr>
              <w:tabs>
                <w:tab w:val="center" w:pos="284"/>
              </w:tabs>
              <w:suppressAutoHyphens/>
              <w:ind w:left="266" w:right="-3091" w:hanging="266"/>
            </w:pPr>
            <w:r w:rsidRPr="00EE46A0">
              <w:t>Arnaud SCHWARTZ</w:t>
            </w:r>
            <w:r w:rsidR="00E81BB7">
              <w:t xml:space="preserve"> (</w:t>
            </w:r>
            <w:r w:rsidR="007B2AC1" w:rsidRPr="00EE46A0">
              <w:t xml:space="preserve">skupina organizacij civilne družbe – </w:t>
            </w:r>
            <w:r w:rsidR="00E81BB7">
              <w:t>FR)</w:t>
            </w:r>
          </w:p>
        </w:tc>
      </w:tr>
      <w:tr w:rsidR="008310AE" w:rsidRPr="00EE46A0" w14:paraId="11C1C53D" w14:textId="77777777" w:rsidTr="00B56AD6">
        <w:tc>
          <w:tcPr>
            <w:tcW w:w="1432" w:type="pct"/>
          </w:tcPr>
          <w:p w14:paraId="65171506" w14:textId="77777777" w:rsidR="008310AE" w:rsidRPr="00EE46A0" w:rsidRDefault="008310AE" w:rsidP="00B56AD6">
            <w:pPr>
              <w:tabs>
                <w:tab w:val="center" w:pos="284"/>
              </w:tabs>
              <w:suppressAutoHyphens/>
              <w:ind w:left="266" w:hanging="266"/>
              <w:rPr>
                <w:b/>
              </w:rPr>
            </w:pPr>
            <w:r w:rsidRPr="00EE46A0">
              <w:rPr>
                <w:b/>
              </w:rPr>
              <w:t>Soporočevalec</w:t>
            </w:r>
          </w:p>
        </w:tc>
        <w:tc>
          <w:tcPr>
            <w:tcW w:w="3568" w:type="pct"/>
          </w:tcPr>
          <w:p w14:paraId="418E78EC" w14:textId="2E34CF67" w:rsidR="008310AE" w:rsidRPr="00EE46A0" w:rsidRDefault="008310AE" w:rsidP="00B56AD6">
            <w:pPr>
              <w:tabs>
                <w:tab w:val="center" w:pos="284"/>
              </w:tabs>
              <w:suppressAutoHyphens/>
              <w:ind w:left="266" w:right="-3091" w:hanging="266"/>
            </w:pPr>
            <w:r w:rsidRPr="00EE46A0">
              <w:t>Teppo SÄKKINEN</w:t>
            </w:r>
            <w:r w:rsidR="00E81BB7">
              <w:t xml:space="preserve"> (</w:t>
            </w:r>
            <w:r w:rsidR="007B2AC1">
              <w:t>skupina delodajalcev</w:t>
            </w:r>
            <w:r w:rsidR="007B2AC1" w:rsidRPr="00EE46A0">
              <w:t xml:space="preserve"> – </w:t>
            </w:r>
            <w:r w:rsidR="00E81BB7">
              <w:t>FI)</w:t>
            </w:r>
          </w:p>
        </w:tc>
      </w:tr>
      <w:tr w:rsidR="008310AE" w:rsidRPr="00EE46A0" w14:paraId="28F7F962" w14:textId="77777777" w:rsidTr="00B56AD6">
        <w:tc>
          <w:tcPr>
            <w:tcW w:w="5000" w:type="pct"/>
            <w:gridSpan w:val="2"/>
          </w:tcPr>
          <w:p w14:paraId="51B85DEC" w14:textId="77777777" w:rsidR="008310AE" w:rsidRPr="00EE46A0" w:rsidRDefault="008310AE" w:rsidP="00B56AD6">
            <w:pPr>
              <w:tabs>
                <w:tab w:val="center" w:pos="284"/>
              </w:tabs>
              <w:suppressAutoHyphens/>
              <w:spacing w:line="240" w:lineRule="auto"/>
              <w:ind w:left="266" w:right="-3091" w:hanging="266"/>
              <w:rPr>
                <w:sz w:val="16"/>
                <w:szCs w:val="16"/>
              </w:rPr>
            </w:pPr>
          </w:p>
        </w:tc>
      </w:tr>
      <w:tr w:rsidR="008310AE" w:rsidRPr="00EE46A0" w14:paraId="04030302" w14:textId="77777777" w:rsidTr="00B56AD6">
        <w:tc>
          <w:tcPr>
            <w:tcW w:w="1432" w:type="pct"/>
          </w:tcPr>
          <w:p w14:paraId="4C26E57D" w14:textId="40DBADD3" w:rsidR="008310AE" w:rsidRPr="00EE46A0" w:rsidRDefault="008310AE" w:rsidP="00B56AD6">
            <w:pPr>
              <w:tabs>
                <w:tab w:val="center" w:pos="284"/>
              </w:tabs>
              <w:suppressAutoHyphens/>
              <w:ind w:left="266" w:hanging="266"/>
              <w:rPr>
                <w:b/>
              </w:rPr>
            </w:pPr>
            <w:r w:rsidRPr="00EE46A0">
              <w:rPr>
                <w:b/>
              </w:rPr>
              <w:t>Referenčn</w:t>
            </w:r>
            <w:r w:rsidR="00E81BB7">
              <w:rPr>
                <w:b/>
              </w:rPr>
              <w:t>a</w:t>
            </w:r>
            <w:r w:rsidRPr="00EE46A0">
              <w:rPr>
                <w:b/>
              </w:rPr>
              <w:t xml:space="preserve"> dokument</w:t>
            </w:r>
            <w:r w:rsidR="00E81BB7">
              <w:rPr>
                <w:b/>
              </w:rPr>
              <w:t>a</w:t>
            </w:r>
          </w:p>
        </w:tc>
        <w:tc>
          <w:tcPr>
            <w:tcW w:w="3568" w:type="pct"/>
          </w:tcPr>
          <w:p w14:paraId="0AEECF03" w14:textId="68C52F88" w:rsidR="00E81BB7" w:rsidRPr="00E81BB7" w:rsidRDefault="00E81BB7" w:rsidP="00B56AD6">
            <w:pPr>
              <w:tabs>
                <w:tab w:val="center" w:pos="284"/>
              </w:tabs>
              <w:suppressAutoHyphens/>
              <w:ind w:left="266" w:right="-3091" w:hanging="266"/>
            </w:pPr>
            <w:r w:rsidRPr="00124E6A">
              <w:rPr>
                <w:lang w:val="en-GB"/>
              </w:rPr>
              <w:t>COM(2025) 374 final</w:t>
            </w:r>
          </w:p>
          <w:p w14:paraId="0B3ED1CB" w14:textId="52D9DC8C" w:rsidR="008310AE" w:rsidRPr="00EE46A0" w:rsidRDefault="008310AE" w:rsidP="00B56AD6">
            <w:pPr>
              <w:tabs>
                <w:tab w:val="center" w:pos="284"/>
              </w:tabs>
              <w:suppressAutoHyphens/>
              <w:ind w:left="266" w:right="-3091" w:hanging="266"/>
            </w:pPr>
            <w:r w:rsidRPr="00EE46A0">
              <w:t>EESC-2025-03041-00-00-AC</w:t>
            </w:r>
          </w:p>
        </w:tc>
      </w:tr>
    </w:tbl>
    <w:p w14:paraId="0297284A" w14:textId="77777777" w:rsidR="008310AE" w:rsidRPr="00EE46A0" w:rsidRDefault="008310AE" w:rsidP="008310AE">
      <w:pPr>
        <w:tabs>
          <w:tab w:val="center" w:pos="284"/>
        </w:tabs>
        <w:suppressAutoHyphens/>
        <w:ind w:left="266" w:hanging="266"/>
        <w:rPr>
          <w:bCs/>
        </w:rPr>
      </w:pPr>
    </w:p>
    <w:p w14:paraId="7BF15A13" w14:textId="77777777" w:rsidR="008310AE" w:rsidRPr="00EE46A0" w:rsidRDefault="008310AE" w:rsidP="008310AE">
      <w:pPr>
        <w:tabs>
          <w:tab w:val="center" w:pos="284"/>
        </w:tabs>
        <w:suppressAutoHyphens/>
        <w:ind w:left="266" w:hanging="266"/>
        <w:rPr>
          <w:b/>
        </w:rPr>
      </w:pPr>
      <w:r w:rsidRPr="00EE46A0">
        <w:rPr>
          <w:b/>
        </w:rPr>
        <w:t>Glavne točke</w:t>
      </w:r>
    </w:p>
    <w:p w14:paraId="751977C6" w14:textId="77777777" w:rsidR="008310AE" w:rsidRPr="00EE46A0" w:rsidRDefault="008310AE" w:rsidP="008310AE">
      <w:pPr>
        <w:tabs>
          <w:tab w:val="center" w:pos="284"/>
        </w:tabs>
        <w:suppressAutoHyphens/>
        <w:ind w:left="266" w:hanging="266"/>
        <w:rPr>
          <w:bCs/>
        </w:rPr>
      </w:pPr>
    </w:p>
    <w:p w14:paraId="6D14D4D9" w14:textId="77777777" w:rsidR="008310AE" w:rsidRPr="00EE46A0" w:rsidRDefault="008310AE" w:rsidP="008310AE">
      <w:pPr>
        <w:suppressAutoHyphens/>
      </w:pPr>
      <w:r w:rsidRPr="00EE46A0">
        <w:t>ESSO poziva Evropsko komisijo, naj:</w:t>
      </w:r>
    </w:p>
    <w:p w14:paraId="533674A7" w14:textId="77777777" w:rsidR="008310AE" w:rsidRPr="00EE46A0" w:rsidRDefault="008310AE" w:rsidP="008310AE">
      <w:pPr>
        <w:suppressAutoHyphens/>
        <w:rPr>
          <w:bCs/>
          <w:iCs/>
        </w:rPr>
      </w:pPr>
    </w:p>
    <w:p w14:paraId="6B261331" w14:textId="77777777" w:rsidR="008310AE" w:rsidRPr="00EE46A0" w:rsidRDefault="008310AE" w:rsidP="008310AE">
      <w:pPr>
        <w:pStyle w:val="Heading2"/>
        <w:numPr>
          <w:ilvl w:val="1"/>
          <w:numId w:val="33"/>
        </w:numPr>
        <w:suppressAutoHyphens/>
        <w:ind w:left="426" w:hanging="426"/>
      </w:pPr>
      <w:r w:rsidRPr="00EE46A0">
        <w:t>poskrbi za uresničitev ciljev glede financiranja biotske raznovrstnosti, določenih v svetovnem okviru za biotsko raznovrstnost. Za to sta potrebna zadostno, stabilno in pravočasno javno financiranje, tudi iz proračuna EU, ter postopna odprava okolju škodljivih subvencij, kot so subvencije za fosilna goriva. Naravovarstveni dobropisi lahko pomagajo zapolniti vrzeli v financiranju in mobilizirati zasebno financiranje, s čimer dopolnjujejo javna sredstva, ne morejo jih pa nadomestiti;</w:t>
      </w:r>
    </w:p>
    <w:p w14:paraId="2EBB278D" w14:textId="77777777" w:rsidR="008310AE" w:rsidRPr="00EE46A0" w:rsidRDefault="008310AE" w:rsidP="008310AE">
      <w:pPr>
        <w:pStyle w:val="Heading2"/>
        <w:numPr>
          <w:ilvl w:val="1"/>
          <w:numId w:val="33"/>
        </w:numPr>
        <w:suppressAutoHyphens/>
        <w:ind w:left="426" w:hanging="426"/>
      </w:pPr>
      <w:r w:rsidRPr="00EE46A0">
        <w:t>izvršuje okoljsko zakonodajo in uveljavlja temeljna načela kot učinkovit način za doseganje ciljev glede biotske raznovrstnosti, zapolnitev vrzeli v financiranju in zaupanja vreden okvir naravovarstvenih dobropisov;</w:t>
      </w:r>
    </w:p>
    <w:p w14:paraId="5CE923AA" w14:textId="77777777" w:rsidR="008310AE" w:rsidRPr="00EE46A0" w:rsidRDefault="008310AE" w:rsidP="008310AE">
      <w:pPr>
        <w:pStyle w:val="Heading2"/>
        <w:numPr>
          <w:ilvl w:val="1"/>
          <w:numId w:val="33"/>
        </w:numPr>
        <w:suppressAutoHyphens/>
        <w:ind w:left="426" w:hanging="426"/>
      </w:pPr>
      <w:r w:rsidRPr="00EE46A0">
        <w:t>poskrbi, da okvir za naravovarstvene dobropise skupaj s hierarhijo blažitvenih ukrepov ter drugimi okoljskimi, podnebnimi in socialnimi zaščitnimi ukrepi temelji na strogih načelih visoke integritete, ter sistematično ocenjuje skladnost projektov s temi načeli. Uporabljene metodologije bi morale biti celostne in znanstvene ter temeljiti na pristopu, ki je z ekološkega vidika celosten in temelji na rezultatih;</w:t>
      </w:r>
    </w:p>
    <w:p w14:paraId="770A099F" w14:textId="77777777" w:rsidR="008310AE" w:rsidRPr="00EE46A0" w:rsidRDefault="008310AE" w:rsidP="008310AE">
      <w:pPr>
        <w:pStyle w:val="Heading2"/>
        <w:numPr>
          <w:ilvl w:val="1"/>
          <w:numId w:val="33"/>
        </w:numPr>
        <w:suppressAutoHyphens/>
        <w:ind w:left="426" w:hanging="426"/>
      </w:pPr>
      <w:r w:rsidRPr="00EE46A0">
        <w:t>zagotovi, da bo okvir upravljanja trga naravovarstvenih dobropisov znanstveno utemeljen, vključujoč, pregleden in participativen, z močnim poudarkom na vključevanju akterjev, ki bi lahko obnovili in zaščitili naravo, ter ranljivih in marginaliziranih skupin, kot so mladi, ženske, podeželske skupnosti in avtohtona ljudstva. Poskrbeti je treba za pregledno in pravično upravljanje podatkov ter njihovo lastništvo;</w:t>
      </w:r>
    </w:p>
    <w:p w14:paraId="572002EF" w14:textId="77777777" w:rsidR="008310AE" w:rsidRPr="00EE46A0" w:rsidRDefault="008310AE" w:rsidP="008310AE">
      <w:pPr>
        <w:pStyle w:val="Heading2"/>
        <w:numPr>
          <w:ilvl w:val="1"/>
          <w:numId w:val="33"/>
        </w:numPr>
        <w:suppressAutoHyphens/>
        <w:ind w:left="426" w:hanging="426"/>
      </w:pPr>
      <w:r w:rsidRPr="00EE46A0">
        <w:t>previdno obravnava potrebo po direktivi ali uredbi, saj bi morala vzpostavitev naravovarstvenih dobropisov ostati prostovoljna, hkrati pa izpolnjevati stroga pravila in merila. Okvir bi moral biti osredotočen predvsem na pozitivne prispevke, medtem ko bi morale o izravnavi odločati države članice, da ne bi ogrozili ambicioznih pobud na nacionalni ravni;</w:t>
      </w:r>
    </w:p>
    <w:p w14:paraId="021D7381" w14:textId="77777777" w:rsidR="008310AE" w:rsidRPr="00EE46A0" w:rsidRDefault="008310AE" w:rsidP="008310AE">
      <w:pPr>
        <w:pStyle w:val="Heading2"/>
        <w:numPr>
          <w:ilvl w:val="1"/>
          <w:numId w:val="33"/>
        </w:numPr>
        <w:suppressAutoHyphens/>
        <w:ind w:left="426" w:hanging="426"/>
      </w:pPr>
      <w:r w:rsidRPr="00EE46A0">
        <w:t>pojasni usklajenost naravovarstvenih dobropisov z drugimi politikami, kot je SKP. Naravovarstveni dobropisi morajo omogočati razcvet biogospodarstva, krožnega gospodarstva, trajnostne proizvodnje hrane in gozdarstva v EU. Pri tem okviru bi se bilo treba izogniti nepotrebnemu upravnemu bremenu za izvajalce, zlasti male, hkrati pa poskrbeti za visoko integriteto in znanstveni pristop;</w:t>
      </w:r>
    </w:p>
    <w:p w14:paraId="3EE4C5D3" w14:textId="77777777" w:rsidR="008310AE" w:rsidRPr="00EE46A0" w:rsidRDefault="008310AE" w:rsidP="008310AE">
      <w:pPr>
        <w:pStyle w:val="Heading2"/>
        <w:numPr>
          <w:ilvl w:val="1"/>
          <w:numId w:val="33"/>
        </w:numPr>
        <w:suppressAutoHyphens/>
        <w:ind w:left="426" w:hanging="426"/>
      </w:pPr>
      <w:r w:rsidRPr="00EE46A0">
        <w:t xml:space="preserve">poskrbi, da naravovarstveni dobropisi ne bodo vodili v komercializacijo narave. Za vsako ceno je treba preprečiti prilaščanje zemljišč in špekulacije. Pri naravovarstvenih dobropisih bi bilo treba </w:t>
      </w:r>
      <w:r w:rsidRPr="00EE46A0">
        <w:lastRenderedPageBreak/>
        <w:t>vedno dajati prednost integriteti pred kratkoročno dobičkonosnostjo in pravični porazdelitvi koristi. Poleg tega bi morali ti dobropisi pomagati zmanjšati neenakosti;</w:t>
      </w:r>
    </w:p>
    <w:p w14:paraId="6985FEB4" w14:textId="77777777" w:rsidR="008310AE" w:rsidRPr="00EE46A0" w:rsidRDefault="008310AE" w:rsidP="008310AE">
      <w:pPr>
        <w:pStyle w:val="Heading2"/>
        <w:numPr>
          <w:ilvl w:val="1"/>
          <w:numId w:val="33"/>
        </w:numPr>
        <w:suppressAutoHyphens/>
        <w:ind w:left="426" w:hanging="426"/>
      </w:pPr>
      <w:r w:rsidRPr="00EE46A0">
        <w:t>previdno sodeluje pri projektih zunaj EU in upošteva, da metodologije in okviri upravljanja, razviti v Evropi, morda ne ustrezajo socialnim, kulturnim, pravnim, političnim in ekološkim okvirom v tujini; hkrati naj poskrbi, da bodo dobropisi pozitivno vplivali na naravo v njihovih vrednostnih verigah zunaj EU.</w:t>
      </w:r>
    </w:p>
    <w:p w14:paraId="54892212" w14:textId="77777777" w:rsidR="008310AE" w:rsidRPr="00EE46A0" w:rsidRDefault="008310AE" w:rsidP="008310AE"/>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8310AE" w:rsidRPr="00EE46A0" w14:paraId="2D5EC9AE" w14:textId="77777777" w:rsidTr="00B56AD6">
        <w:tc>
          <w:tcPr>
            <w:tcW w:w="1077" w:type="pct"/>
          </w:tcPr>
          <w:p w14:paraId="2BECEED9" w14:textId="77777777" w:rsidR="008310AE" w:rsidRPr="00EE46A0" w:rsidRDefault="008310AE" w:rsidP="00B56AD6">
            <w:pPr>
              <w:suppressAutoHyphens/>
              <w:rPr>
                <w:i/>
              </w:rPr>
            </w:pPr>
            <w:r w:rsidRPr="00EE46A0">
              <w:rPr>
                <w:b/>
                <w:i/>
              </w:rPr>
              <w:t>Kontaktna oseba</w:t>
            </w:r>
          </w:p>
        </w:tc>
        <w:tc>
          <w:tcPr>
            <w:tcW w:w="3923" w:type="pct"/>
          </w:tcPr>
          <w:p w14:paraId="3B93BA4C" w14:textId="77777777" w:rsidR="008310AE" w:rsidRPr="00EE46A0" w:rsidRDefault="008310AE" w:rsidP="00B56AD6">
            <w:pPr>
              <w:suppressAutoHyphens/>
              <w:rPr>
                <w:i/>
              </w:rPr>
            </w:pPr>
            <w:r w:rsidRPr="00EE46A0">
              <w:rPr>
                <w:i/>
              </w:rPr>
              <w:t>Gaia BOTTONI</w:t>
            </w:r>
          </w:p>
        </w:tc>
      </w:tr>
      <w:tr w:rsidR="008310AE" w:rsidRPr="00EE46A0" w14:paraId="2CEE013C" w14:textId="77777777" w:rsidTr="00B56AD6">
        <w:tc>
          <w:tcPr>
            <w:tcW w:w="1077" w:type="pct"/>
          </w:tcPr>
          <w:p w14:paraId="286BEA69" w14:textId="77777777" w:rsidR="008310AE" w:rsidRPr="00EE46A0" w:rsidRDefault="008310AE" w:rsidP="00B56AD6">
            <w:pPr>
              <w:suppressAutoHyphens/>
              <w:rPr>
                <w:i/>
              </w:rPr>
            </w:pPr>
            <w:r w:rsidRPr="00EE46A0">
              <w:rPr>
                <w:i/>
              </w:rPr>
              <w:t>Telefon</w:t>
            </w:r>
          </w:p>
        </w:tc>
        <w:tc>
          <w:tcPr>
            <w:tcW w:w="3923" w:type="pct"/>
          </w:tcPr>
          <w:p w14:paraId="4F0C7B96" w14:textId="77777777" w:rsidR="008310AE" w:rsidRPr="00EE46A0" w:rsidRDefault="008310AE" w:rsidP="00B56AD6">
            <w:pPr>
              <w:suppressAutoHyphens/>
              <w:rPr>
                <w:i/>
              </w:rPr>
            </w:pPr>
            <w:r w:rsidRPr="00EE46A0">
              <w:rPr>
                <w:i/>
              </w:rPr>
              <w:t>+32 25469447</w:t>
            </w:r>
          </w:p>
        </w:tc>
      </w:tr>
      <w:tr w:rsidR="008310AE" w:rsidRPr="00EE46A0" w14:paraId="0823EE96" w14:textId="77777777" w:rsidTr="00B56AD6">
        <w:tc>
          <w:tcPr>
            <w:tcW w:w="1077" w:type="pct"/>
          </w:tcPr>
          <w:p w14:paraId="41B2292C" w14:textId="77777777" w:rsidR="008310AE" w:rsidRPr="00EE46A0" w:rsidRDefault="008310AE" w:rsidP="00B56AD6">
            <w:pPr>
              <w:suppressAutoHyphens/>
              <w:rPr>
                <w:i/>
              </w:rPr>
            </w:pPr>
            <w:r w:rsidRPr="00EE46A0">
              <w:rPr>
                <w:i/>
              </w:rPr>
              <w:t>E-naslov</w:t>
            </w:r>
          </w:p>
        </w:tc>
        <w:tc>
          <w:tcPr>
            <w:tcW w:w="3923" w:type="pct"/>
          </w:tcPr>
          <w:p w14:paraId="6AE256AC" w14:textId="77777777" w:rsidR="008310AE" w:rsidRPr="00EE46A0" w:rsidRDefault="00283C48" w:rsidP="00B56AD6">
            <w:pPr>
              <w:suppressAutoHyphens/>
              <w:rPr>
                <w:i/>
              </w:rPr>
            </w:pPr>
            <w:hyperlink r:id="rId34" w:history="1">
              <w:r w:rsidR="008310AE" w:rsidRPr="00EE46A0">
                <w:rPr>
                  <w:rStyle w:val="Hyperlink"/>
                  <w:i/>
                </w:rPr>
                <w:t>Gaia.Bottoni@eesc.europa.eu</w:t>
              </w:r>
            </w:hyperlink>
          </w:p>
        </w:tc>
      </w:tr>
    </w:tbl>
    <w:p w14:paraId="6584ABC2" w14:textId="77777777" w:rsidR="008310AE" w:rsidRPr="00EE46A0" w:rsidRDefault="008310AE" w:rsidP="008310AE"/>
    <w:p w14:paraId="715DB2BD" w14:textId="77777777" w:rsidR="007F5784" w:rsidRPr="00EE46A0" w:rsidRDefault="007F5784" w:rsidP="00100EF9">
      <w:pPr>
        <w:jc w:val="left"/>
      </w:pPr>
      <w:r w:rsidRPr="00EE46A0">
        <w:br w:type="page"/>
      </w:r>
    </w:p>
    <w:p w14:paraId="528C73AA" w14:textId="5AC5AC92" w:rsidR="006D2C8A" w:rsidRPr="00EE46A0" w:rsidRDefault="008310AE" w:rsidP="00BE5024">
      <w:pPr>
        <w:pStyle w:val="Heading1"/>
        <w:suppressAutoHyphens/>
        <w:rPr>
          <w:b/>
        </w:rPr>
      </w:pPr>
      <w:r w:rsidRPr="00EE46A0">
        <w:rPr>
          <w:b/>
          <w:color w:val="222A35" w:themeColor="text2" w:themeShade="80"/>
        </w:rPr>
        <w:lastRenderedPageBreak/>
        <w:t>POSVETOVALNA KOMISIJA ZA SPREMEMBE V INDUSTRIJI</w:t>
      </w:r>
    </w:p>
    <w:p w14:paraId="713E272F" w14:textId="77777777" w:rsidR="006D2C8A" w:rsidRPr="00EE46A0" w:rsidRDefault="006D2C8A" w:rsidP="00BE5024">
      <w:pPr>
        <w:suppressAutoHyphens/>
      </w:pPr>
    </w:p>
    <w:p w14:paraId="5664DF81" w14:textId="3EB43F19" w:rsidR="00BE5024" w:rsidRPr="00EE46A0" w:rsidRDefault="00BE5024" w:rsidP="00EE46A0">
      <w:pPr>
        <w:numPr>
          <w:ilvl w:val="0"/>
          <w:numId w:val="34"/>
        </w:numPr>
        <w:suppressAutoHyphens/>
        <w:ind w:left="567" w:hanging="567"/>
        <w:rPr>
          <w:sz w:val="20"/>
        </w:rPr>
      </w:pPr>
      <w:r w:rsidRPr="00EE46A0">
        <w:rPr>
          <w:noProof/>
          <w:sz w:val="20"/>
        </w:rPr>
        <mc:AlternateContent>
          <mc:Choice Requires="wps">
            <w:drawing>
              <wp:anchor distT="0" distB="0" distL="114300" distR="114300" simplePos="0" relativeHeight="251665408" behindDoc="1" locked="0" layoutInCell="0" allowOverlap="1" wp14:anchorId="5CF5371D" wp14:editId="4650414E">
                <wp:simplePos x="0" y="0"/>
                <wp:positionH relativeFrom="page">
                  <wp:posOffset>6769100</wp:posOffset>
                </wp:positionH>
                <wp:positionV relativeFrom="page">
                  <wp:posOffset>10081260</wp:posOffset>
                </wp:positionV>
                <wp:extent cx="647700" cy="396240"/>
                <wp:effectExtent l="0" t="3810" r="3175" b="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7C3B0" w14:textId="77777777" w:rsidR="00BE5024" w:rsidRPr="00260E65" w:rsidRDefault="00BE5024" w:rsidP="00BE5024">
                            <w:pPr>
                              <w:jc w:val="center"/>
                              <w:rPr>
                                <w:rFonts w:ascii="Arial" w:hAnsi="Arial" w:cs="Arial"/>
                                <w:b/>
                                <w:bCs/>
                                <w:sz w:val="48"/>
                              </w:rPr>
                            </w:pPr>
                            <w:r>
                              <w:rPr>
                                <w:rFonts w:ascii="Arial" w:hAnsi="Arial"/>
                                <w:b/>
                                <w:sz w:val="48"/>
                              </w:rPr>
                              <w:t>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5371D" id="_x0000_s1028" type="#_x0000_t202" style="position:absolute;left:0;text-align:left;margin-left:533pt;margin-top:793.8pt;width:51pt;height:3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" o:allowincell="f" filled="f" stroked="f">
                <v:textbox>
                  <w:txbxContent>
                    <w:p w14:paraId="4967C3B0" w14:textId="77777777" w:rsidR="00BE5024" w:rsidRPr="00260E65" w:rsidRDefault="00BE5024" w:rsidP="00BE5024">
                      <w:pPr>
                        <w:jc w:val="center"/>
                        <w:rPr>
                          <w:rFonts w:ascii="Arial" w:hAnsi="Arial" w:cs="Arial"/>
                          <w:b/>
                          <w:bCs/>
                          <w:sz w:val="48"/>
                        </w:rPr>
                      </w:pPr>
                      <w:r>
                        <w:rPr>
                          <w:rFonts w:ascii="Arial" w:hAnsi="Arial"/>
                          <w:b/>
                          <w:sz w:val="48"/>
                        </w:rPr>
                        <w:t>SL</w:t>
                      </w:r>
                    </w:p>
                  </w:txbxContent>
                </v:textbox>
                <w10:wrap anchorx="page" anchory="page"/>
              </v:shape>
            </w:pict>
          </mc:Fallback>
        </mc:AlternateContent>
      </w:r>
      <w:hyperlink r:id="rId35" w:history="1">
        <w:r w:rsidRPr="00EE46A0">
          <w:rPr>
            <w:rStyle w:val="Hyperlink"/>
            <w:b/>
            <w:i/>
            <w:sz w:val="28"/>
          </w:rPr>
          <w:t>Kritične surovine</w:t>
        </w:r>
      </w:hyperlink>
    </w:p>
    <w:p w14:paraId="76DF373E" w14:textId="53750A99" w:rsidR="00BE5024" w:rsidRDefault="00BE5024" w:rsidP="00BE5024">
      <w:pPr>
        <w:tabs>
          <w:tab w:val="center" w:pos="284"/>
        </w:tabs>
        <w:suppressAutoHyphens/>
        <w:ind w:left="266" w:hanging="266"/>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79"/>
      </w:tblGrid>
      <w:tr w:rsidR="00997A3D" w:rsidRPr="00997A3D" w14:paraId="55A9B723" w14:textId="77777777" w:rsidTr="00997A3D">
        <w:tc>
          <w:tcPr>
            <w:tcW w:w="2694" w:type="dxa"/>
          </w:tcPr>
          <w:p w14:paraId="7C04B61D" w14:textId="3D5A91EB" w:rsidR="00997A3D" w:rsidRPr="00997A3D" w:rsidRDefault="00997A3D" w:rsidP="00B56AD6">
            <w:pPr>
              <w:overflowPunct w:val="0"/>
              <w:autoSpaceDE w:val="0"/>
              <w:autoSpaceDN w:val="0"/>
              <w:adjustRightInd w:val="0"/>
              <w:textAlignment w:val="baseline"/>
              <w:rPr>
                <w:b/>
                <w:lang w:val="en-GB"/>
              </w:rPr>
            </w:pPr>
            <w:proofErr w:type="spellStart"/>
            <w:r w:rsidRPr="00997A3D">
              <w:rPr>
                <w:b/>
                <w:lang w:val="en-GB"/>
              </w:rPr>
              <w:t>Refer</w:t>
            </w:r>
            <w:r>
              <w:rPr>
                <w:b/>
                <w:lang w:val="en-GB"/>
              </w:rPr>
              <w:t>enčna</w:t>
            </w:r>
            <w:proofErr w:type="spellEnd"/>
            <w:r>
              <w:rPr>
                <w:b/>
                <w:lang w:val="en-GB"/>
              </w:rPr>
              <w:t xml:space="preserve"> </w:t>
            </w:r>
            <w:proofErr w:type="spellStart"/>
            <w:r>
              <w:rPr>
                <w:b/>
                <w:lang w:val="en-GB"/>
              </w:rPr>
              <w:t>dokumenta</w:t>
            </w:r>
            <w:proofErr w:type="spellEnd"/>
          </w:p>
        </w:tc>
        <w:tc>
          <w:tcPr>
            <w:tcW w:w="6379" w:type="dxa"/>
          </w:tcPr>
          <w:p w14:paraId="5BCB71F1" w14:textId="77777777" w:rsidR="00997A3D" w:rsidRPr="00997A3D" w:rsidRDefault="00997A3D" w:rsidP="00B56AD6">
            <w:pPr>
              <w:tabs>
                <w:tab w:val="center" w:pos="284"/>
              </w:tabs>
              <w:overflowPunct w:val="0"/>
              <w:autoSpaceDE w:val="0"/>
              <w:autoSpaceDN w:val="0"/>
              <w:adjustRightInd w:val="0"/>
              <w:textAlignment w:val="baseline"/>
              <w:rPr>
                <w:bCs/>
                <w:lang w:val="en-GB"/>
              </w:rPr>
            </w:pPr>
            <w:r w:rsidRPr="00997A3D">
              <w:rPr>
                <w:bCs/>
                <w:lang w:val="en-GB"/>
              </w:rPr>
              <w:t>COM(2025) 946 final</w:t>
            </w:r>
          </w:p>
          <w:p w14:paraId="26DF0AB0" w14:textId="77777777" w:rsidR="00997A3D" w:rsidRPr="00997A3D" w:rsidRDefault="00997A3D" w:rsidP="00B56AD6">
            <w:pPr>
              <w:tabs>
                <w:tab w:val="center" w:pos="284"/>
              </w:tabs>
              <w:overflowPunct w:val="0"/>
              <w:autoSpaceDE w:val="0"/>
              <w:autoSpaceDN w:val="0"/>
              <w:adjustRightInd w:val="0"/>
              <w:textAlignment w:val="baseline"/>
              <w:rPr>
                <w:b/>
                <w:lang w:val="en-GB"/>
              </w:rPr>
            </w:pPr>
            <w:r w:rsidRPr="00997A3D">
              <w:rPr>
                <w:bCs/>
                <w:lang w:val="en-GB"/>
              </w:rPr>
              <w:t>EESC-2026-00393-00-00-AC</w:t>
            </w:r>
          </w:p>
        </w:tc>
      </w:tr>
    </w:tbl>
    <w:p w14:paraId="14B94FDC" w14:textId="77777777" w:rsidR="00997A3D" w:rsidRPr="00EE46A0" w:rsidRDefault="00997A3D" w:rsidP="00BE5024">
      <w:pPr>
        <w:tabs>
          <w:tab w:val="center" w:pos="284"/>
        </w:tabs>
        <w:suppressAutoHyphens/>
        <w:ind w:left="266" w:hanging="266"/>
        <w:rPr>
          <w:bCs/>
        </w:rPr>
      </w:pPr>
    </w:p>
    <w:p w14:paraId="6C574E7D" w14:textId="77777777" w:rsidR="00BE5024" w:rsidRPr="00EE46A0" w:rsidRDefault="00BE5024" w:rsidP="00BE5024">
      <w:pPr>
        <w:tabs>
          <w:tab w:val="center" w:pos="284"/>
        </w:tabs>
        <w:suppressAutoHyphens/>
        <w:ind w:left="266" w:hanging="266"/>
        <w:rPr>
          <w:b/>
        </w:rPr>
      </w:pPr>
      <w:r w:rsidRPr="00EE46A0">
        <w:rPr>
          <w:b/>
        </w:rPr>
        <w:t>Glavne točke</w:t>
      </w:r>
    </w:p>
    <w:p w14:paraId="6C6B131C" w14:textId="77777777" w:rsidR="00BE5024" w:rsidRPr="00EE46A0" w:rsidRDefault="00BE5024" w:rsidP="00BE5024">
      <w:pPr>
        <w:suppressAutoHyphens/>
        <w:rPr>
          <w:bCs/>
          <w:iCs/>
        </w:rPr>
      </w:pPr>
    </w:p>
    <w:p w14:paraId="62C90332" w14:textId="77777777" w:rsidR="00BE5024" w:rsidRPr="00EE46A0" w:rsidRDefault="00BE5024" w:rsidP="00BE5024">
      <w:pPr>
        <w:suppressAutoHyphens/>
        <w:rPr>
          <w:bCs/>
          <w:iCs/>
        </w:rPr>
      </w:pPr>
      <w:r w:rsidRPr="00EE46A0">
        <w:t xml:space="preserve">Odbor se v celoti strinja z vsebino predloga, poleg tega je to vprašanje že obravnaval v mnenju </w:t>
      </w:r>
      <w:hyperlink r:id="rId36" w:history="1">
        <w:r w:rsidRPr="00EE46A0">
          <w:rPr>
            <w:rStyle w:val="Hyperlink"/>
          </w:rPr>
          <w:t>o kritičnih surovinah</w:t>
        </w:r>
      </w:hyperlink>
      <w:r w:rsidRPr="00EE46A0">
        <w:t>, sprejetem 12. julija 2023, zato je sklenil ta predlog podpreti in zavzeti enako stališče kot v navedenem dokumentu.</w:t>
      </w:r>
    </w:p>
    <w:p w14:paraId="548C6FE7" w14:textId="77777777" w:rsidR="00BE5024" w:rsidRPr="00EE46A0" w:rsidRDefault="00BE5024" w:rsidP="00BE5024">
      <w:pPr>
        <w:suppressAutoHyphens/>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BE5024" w:rsidRPr="00EE46A0" w14:paraId="650AF10D" w14:textId="77777777" w:rsidTr="00B56AD6">
        <w:tc>
          <w:tcPr>
            <w:tcW w:w="1077" w:type="pct"/>
          </w:tcPr>
          <w:p w14:paraId="2AADC97C" w14:textId="77777777" w:rsidR="00BE5024" w:rsidRPr="00EE46A0" w:rsidRDefault="00BE5024" w:rsidP="00BE5024">
            <w:pPr>
              <w:suppressAutoHyphens/>
              <w:rPr>
                <w:b/>
                <w:i/>
              </w:rPr>
            </w:pPr>
            <w:r w:rsidRPr="00EE46A0">
              <w:rPr>
                <w:b/>
                <w:i/>
              </w:rPr>
              <w:t>Kontaktna oseba</w:t>
            </w:r>
          </w:p>
        </w:tc>
        <w:tc>
          <w:tcPr>
            <w:tcW w:w="3923" w:type="pct"/>
          </w:tcPr>
          <w:p w14:paraId="68176858" w14:textId="77777777" w:rsidR="00BE5024" w:rsidRPr="00EE46A0" w:rsidRDefault="00BE5024" w:rsidP="00BE5024">
            <w:pPr>
              <w:suppressAutoHyphens/>
              <w:rPr>
                <w:i/>
              </w:rPr>
            </w:pPr>
            <w:r w:rsidRPr="00EE46A0">
              <w:rPr>
                <w:i/>
              </w:rPr>
              <w:t>Adam DORYWALSKI</w:t>
            </w:r>
          </w:p>
        </w:tc>
      </w:tr>
      <w:tr w:rsidR="00BE5024" w:rsidRPr="00EE46A0" w14:paraId="4438B159" w14:textId="77777777" w:rsidTr="00B56AD6">
        <w:tc>
          <w:tcPr>
            <w:tcW w:w="1077" w:type="pct"/>
          </w:tcPr>
          <w:p w14:paraId="6FCE6DF1" w14:textId="77777777" w:rsidR="00BE5024" w:rsidRPr="00EE46A0" w:rsidRDefault="00BE5024" w:rsidP="00BE5024">
            <w:pPr>
              <w:suppressAutoHyphens/>
              <w:rPr>
                <w:bCs/>
                <w:i/>
              </w:rPr>
            </w:pPr>
            <w:r w:rsidRPr="00EE46A0">
              <w:rPr>
                <w:bCs/>
                <w:i/>
              </w:rPr>
              <w:t>Telefon</w:t>
            </w:r>
          </w:p>
        </w:tc>
        <w:tc>
          <w:tcPr>
            <w:tcW w:w="3923" w:type="pct"/>
          </w:tcPr>
          <w:p w14:paraId="5D5C97CE" w14:textId="77777777" w:rsidR="00BE5024" w:rsidRPr="00EE46A0" w:rsidRDefault="00BE5024" w:rsidP="00BE5024">
            <w:pPr>
              <w:suppressAutoHyphens/>
              <w:rPr>
                <w:i/>
              </w:rPr>
            </w:pPr>
            <w:r w:rsidRPr="00EE46A0">
              <w:rPr>
                <w:i/>
              </w:rPr>
              <w:t>+32 25469397</w:t>
            </w:r>
          </w:p>
        </w:tc>
      </w:tr>
      <w:tr w:rsidR="00BE5024" w:rsidRPr="00EE46A0" w14:paraId="4C4A5646" w14:textId="77777777" w:rsidTr="00B56AD6">
        <w:tc>
          <w:tcPr>
            <w:tcW w:w="1077" w:type="pct"/>
          </w:tcPr>
          <w:p w14:paraId="4DF8724E" w14:textId="77777777" w:rsidR="00BE5024" w:rsidRPr="00EE46A0" w:rsidRDefault="00BE5024" w:rsidP="00BE5024">
            <w:pPr>
              <w:suppressAutoHyphens/>
              <w:rPr>
                <w:bCs/>
                <w:i/>
              </w:rPr>
            </w:pPr>
            <w:r w:rsidRPr="00EE46A0">
              <w:rPr>
                <w:bCs/>
                <w:i/>
              </w:rPr>
              <w:t>E-naslov</w:t>
            </w:r>
          </w:p>
        </w:tc>
        <w:tc>
          <w:tcPr>
            <w:tcW w:w="3923" w:type="pct"/>
          </w:tcPr>
          <w:p w14:paraId="4F460568" w14:textId="77777777" w:rsidR="00BE5024" w:rsidRPr="00EE46A0" w:rsidRDefault="00283C48" w:rsidP="00BE5024">
            <w:pPr>
              <w:suppressAutoHyphens/>
              <w:rPr>
                <w:i/>
              </w:rPr>
            </w:pPr>
            <w:hyperlink r:id="rId37" w:history="1">
              <w:r w:rsidR="00BE5024" w:rsidRPr="00EE46A0">
                <w:rPr>
                  <w:rStyle w:val="Hyperlink"/>
                  <w:i/>
                </w:rPr>
                <w:t>Adam.Dorywalski@eesc.europa.eu</w:t>
              </w:r>
            </w:hyperlink>
          </w:p>
        </w:tc>
      </w:tr>
    </w:tbl>
    <w:p w14:paraId="5ADCA00F" w14:textId="77777777" w:rsidR="00BE5024" w:rsidRPr="00EE46A0" w:rsidRDefault="00BE5024" w:rsidP="00BE5024">
      <w:pPr>
        <w:suppressAutoHyphens/>
      </w:pPr>
    </w:p>
    <w:p w14:paraId="5D7A6973" w14:textId="77777777" w:rsidR="004C4CDB" w:rsidRPr="00EE46A0" w:rsidRDefault="004C4CDB" w:rsidP="00100EF9">
      <w:pPr>
        <w:jc w:val="left"/>
      </w:pPr>
      <w:r w:rsidRPr="00EE46A0">
        <w:br w:type="page"/>
      </w:r>
    </w:p>
    <w:p w14:paraId="1F72465D" w14:textId="717346F8" w:rsidR="00EE46A0" w:rsidRPr="00EE46A0" w:rsidRDefault="00283C48" w:rsidP="001F4E23">
      <w:pPr>
        <w:numPr>
          <w:ilvl w:val="0"/>
          <w:numId w:val="34"/>
        </w:numPr>
        <w:spacing w:line="276" w:lineRule="auto"/>
        <w:ind w:left="567" w:hanging="567"/>
        <w:rPr>
          <w:bCs/>
          <w:iCs/>
        </w:rPr>
      </w:pPr>
      <w:hyperlink r:id="rId38" w:tooltip="Povečanje strateške avtonomije EU ter razvoj bolj zelenega in modrega gospodarstva: potencial sektorja proizvodnje natrijevih baterij" w:history="1">
        <w:r w:rsidR="00BE5024" w:rsidRPr="00EE46A0">
          <w:rPr>
            <w:rStyle w:val="Hyperlink"/>
            <w:b/>
            <w:i/>
            <w:sz w:val="28"/>
          </w:rPr>
          <w:t>Povečanje strateške avtonomije EU ter razvoj bolj zelenega in modrega gospodarstva: potencial sektorja proizvodnje natrijevih baterij</w:t>
        </w:r>
        <w:r w:rsidR="00BE5024" w:rsidRPr="00EE46A0">
          <w:rPr>
            <w:rStyle w:val="Hyperlink"/>
            <w:b/>
            <w:i/>
            <w:sz w:val="28"/>
          </w:rPr>
          <w:cr/>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2"/>
        <w:gridCol w:w="6711"/>
      </w:tblGrid>
      <w:tr w:rsidR="00BE5024" w:rsidRPr="00EE46A0" w14:paraId="6C7A4BC6" w14:textId="77777777" w:rsidTr="00B56AD6">
        <w:tc>
          <w:tcPr>
            <w:tcW w:w="2376" w:type="dxa"/>
          </w:tcPr>
          <w:p w14:paraId="199F6B6D" w14:textId="77777777" w:rsidR="00BE5024" w:rsidRPr="00EE46A0" w:rsidRDefault="00BE5024" w:rsidP="001F4E23">
            <w:pPr>
              <w:tabs>
                <w:tab w:val="center" w:pos="284"/>
              </w:tabs>
              <w:suppressAutoHyphens/>
              <w:spacing w:line="276" w:lineRule="auto"/>
              <w:ind w:left="266" w:hanging="266"/>
              <w:rPr>
                <w:b/>
              </w:rPr>
            </w:pPr>
            <w:r w:rsidRPr="00EE46A0">
              <w:rPr>
                <w:b/>
              </w:rPr>
              <w:t>Poročevalec</w:t>
            </w:r>
          </w:p>
        </w:tc>
        <w:tc>
          <w:tcPr>
            <w:tcW w:w="6804" w:type="dxa"/>
          </w:tcPr>
          <w:p w14:paraId="13E8FE8E" w14:textId="77777777" w:rsidR="00BE5024" w:rsidRPr="00EE46A0" w:rsidRDefault="00BE5024" w:rsidP="001F4E23">
            <w:pPr>
              <w:tabs>
                <w:tab w:val="center" w:pos="284"/>
              </w:tabs>
              <w:suppressAutoHyphens/>
              <w:spacing w:line="276" w:lineRule="auto"/>
              <w:ind w:left="266" w:hanging="266"/>
            </w:pPr>
            <w:r w:rsidRPr="00EE46A0">
              <w:t>Paul RÜBIG (skupina delodajalcev – AT)</w:t>
            </w:r>
          </w:p>
        </w:tc>
      </w:tr>
      <w:tr w:rsidR="00BE5024" w:rsidRPr="00EE46A0" w14:paraId="2F38ADC8" w14:textId="77777777" w:rsidTr="00B56AD6">
        <w:tc>
          <w:tcPr>
            <w:tcW w:w="2376" w:type="dxa"/>
          </w:tcPr>
          <w:p w14:paraId="2AB9E1FE" w14:textId="77777777" w:rsidR="00BE5024" w:rsidRPr="00EE46A0" w:rsidRDefault="00BE5024" w:rsidP="001F4E23">
            <w:pPr>
              <w:tabs>
                <w:tab w:val="center" w:pos="284"/>
              </w:tabs>
              <w:suppressAutoHyphens/>
              <w:spacing w:line="276" w:lineRule="auto"/>
              <w:ind w:left="266" w:hanging="266"/>
              <w:rPr>
                <w:b/>
              </w:rPr>
            </w:pPr>
            <w:r w:rsidRPr="00EE46A0">
              <w:rPr>
                <w:b/>
              </w:rPr>
              <w:t>Soporočevalec</w:t>
            </w:r>
          </w:p>
        </w:tc>
        <w:tc>
          <w:tcPr>
            <w:tcW w:w="6804" w:type="dxa"/>
          </w:tcPr>
          <w:p w14:paraId="381F98E0" w14:textId="0F788381" w:rsidR="00BE5024" w:rsidRPr="00EE46A0" w:rsidRDefault="00BE5024" w:rsidP="001F4E23">
            <w:pPr>
              <w:tabs>
                <w:tab w:val="center" w:pos="284"/>
              </w:tabs>
              <w:suppressAutoHyphens/>
              <w:spacing w:line="276" w:lineRule="auto"/>
              <w:ind w:left="266" w:hanging="266"/>
            </w:pPr>
            <w:proofErr w:type="spellStart"/>
            <w:r w:rsidRPr="00EE46A0">
              <w:t>Hervé</w:t>
            </w:r>
            <w:proofErr w:type="spellEnd"/>
            <w:r w:rsidRPr="00EE46A0">
              <w:t xml:space="preserve"> JEANNIN (</w:t>
            </w:r>
            <w:r w:rsidR="001F4E23">
              <w:t>2. kategorija</w:t>
            </w:r>
            <w:r w:rsidRPr="00EE46A0">
              <w:t xml:space="preserve"> – FR)</w:t>
            </w:r>
          </w:p>
        </w:tc>
      </w:tr>
      <w:tr w:rsidR="00BE5024" w:rsidRPr="00EE46A0" w14:paraId="4F9DA0A4" w14:textId="77777777" w:rsidTr="00B56AD6">
        <w:tc>
          <w:tcPr>
            <w:tcW w:w="9180" w:type="dxa"/>
            <w:gridSpan w:val="2"/>
          </w:tcPr>
          <w:p w14:paraId="2C6F946B" w14:textId="77777777" w:rsidR="00BE5024" w:rsidRPr="00EE46A0" w:rsidRDefault="00BE5024" w:rsidP="001F4E23">
            <w:pPr>
              <w:tabs>
                <w:tab w:val="center" w:pos="284"/>
              </w:tabs>
              <w:suppressAutoHyphens/>
              <w:spacing w:line="276" w:lineRule="auto"/>
              <w:ind w:left="266" w:hanging="266"/>
              <w:rPr>
                <w:sz w:val="16"/>
                <w:szCs w:val="16"/>
              </w:rPr>
            </w:pPr>
          </w:p>
        </w:tc>
      </w:tr>
      <w:tr w:rsidR="00BE5024" w:rsidRPr="00997A3D" w14:paraId="735C4CBA" w14:textId="77777777" w:rsidTr="00B56AD6">
        <w:trPr>
          <w:trHeight w:val="239"/>
        </w:trPr>
        <w:tc>
          <w:tcPr>
            <w:tcW w:w="2376" w:type="dxa"/>
          </w:tcPr>
          <w:p w14:paraId="6D289043" w14:textId="77777777" w:rsidR="00BE5024" w:rsidRPr="00997A3D" w:rsidRDefault="00BE5024" w:rsidP="001F4E23">
            <w:pPr>
              <w:tabs>
                <w:tab w:val="center" w:pos="284"/>
              </w:tabs>
              <w:suppressAutoHyphens/>
              <w:spacing w:line="276" w:lineRule="auto"/>
              <w:ind w:left="266" w:hanging="266"/>
              <w:rPr>
                <w:b/>
              </w:rPr>
            </w:pPr>
            <w:r w:rsidRPr="00997A3D">
              <w:rPr>
                <w:b/>
              </w:rPr>
              <w:t>Referenčni dokument</w:t>
            </w:r>
          </w:p>
        </w:tc>
        <w:tc>
          <w:tcPr>
            <w:tcW w:w="6804" w:type="dxa"/>
          </w:tcPr>
          <w:p w14:paraId="27FF7FCE" w14:textId="0FD6D84E" w:rsidR="00997A3D" w:rsidRPr="00997A3D" w:rsidRDefault="00997A3D" w:rsidP="001F4E23">
            <w:pPr>
              <w:tabs>
                <w:tab w:val="center" w:pos="284"/>
              </w:tabs>
              <w:suppressAutoHyphens/>
              <w:spacing w:line="276" w:lineRule="auto"/>
              <w:ind w:left="266" w:hanging="266"/>
            </w:pPr>
            <w:r w:rsidRPr="00997A3D">
              <w:rPr>
                <w:bCs/>
              </w:rPr>
              <w:t>raziskovalno mnenje na zaprosilo Evropske komisije</w:t>
            </w:r>
          </w:p>
          <w:p w14:paraId="48334EA1" w14:textId="1B124C22" w:rsidR="00BE5024" w:rsidRPr="00997A3D" w:rsidRDefault="00BE5024" w:rsidP="001F4E23">
            <w:pPr>
              <w:tabs>
                <w:tab w:val="center" w:pos="284"/>
              </w:tabs>
              <w:suppressAutoHyphens/>
              <w:spacing w:line="276" w:lineRule="auto"/>
              <w:ind w:left="266" w:hanging="266"/>
            </w:pPr>
            <w:r w:rsidRPr="00997A3D">
              <w:t>EESC-2025-02464-00-00-AC</w:t>
            </w:r>
          </w:p>
        </w:tc>
      </w:tr>
    </w:tbl>
    <w:p w14:paraId="36F87E65" w14:textId="2529AE84" w:rsidR="00BE5024" w:rsidRPr="00EE46A0" w:rsidRDefault="00BE5024" w:rsidP="001F4E23">
      <w:pPr>
        <w:tabs>
          <w:tab w:val="center" w:pos="284"/>
        </w:tabs>
        <w:suppressAutoHyphens/>
        <w:spacing w:line="276" w:lineRule="auto"/>
        <w:ind w:left="266" w:hanging="266"/>
        <w:rPr>
          <w:bCs/>
        </w:rPr>
      </w:pPr>
    </w:p>
    <w:p w14:paraId="7615C839" w14:textId="77777777" w:rsidR="00BE5024" w:rsidRPr="00EE46A0" w:rsidRDefault="00BE5024" w:rsidP="001F4E23">
      <w:pPr>
        <w:tabs>
          <w:tab w:val="center" w:pos="284"/>
        </w:tabs>
        <w:suppressAutoHyphens/>
        <w:spacing w:line="276" w:lineRule="auto"/>
        <w:ind w:left="266" w:hanging="266"/>
        <w:rPr>
          <w:b/>
        </w:rPr>
      </w:pPr>
      <w:r w:rsidRPr="00EE46A0">
        <w:rPr>
          <w:b/>
        </w:rPr>
        <w:t>Glavne točke</w:t>
      </w:r>
    </w:p>
    <w:p w14:paraId="3CAF2340" w14:textId="77777777" w:rsidR="00BE5024" w:rsidRPr="00EE46A0" w:rsidRDefault="00BE5024" w:rsidP="001F4E23">
      <w:pPr>
        <w:tabs>
          <w:tab w:val="center" w:pos="284"/>
        </w:tabs>
        <w:suppressAutoHyphens/>
        <w:spacing w:line="276" w:lineRule="auto"/>
        <w:ind w:left="266" w:hanging="266"/>
        <w:rPr>
          <w:bCs/>
        </w:rPr>
      </w:pPr>
    </w:p>
    <w:p w14:paraId="25E8217F" w14:textId="77777777" w:rsidR="00BE5024" w:rsidRPr="00EE46A0" w:rsidRDefault="00BE5024" w:rsidP="001F4E23">
      <w:pPr>
        <w:tabs>
          <w:tab w:val="center" w:pos="284"/>
        </w:tabs>
        <w:suppressAutoHyphens/>
        <w:spacing w:line="276" w:lineRule="auto"/>
        <w:ind w:left="266" w:hanging="266"/>
        <w:rPr>
          <w:bCs/>
        </w:rPr>
      </w:pPr>
      <w:r w:rsidRPr="00EE46A0">
        <w:t>EESO:</w:t>
      </w:r>
    </w:p>
    <w:p w14:paraId="72A99B8D" w14:textId="77777777" w:rsidR="00BE5024" w:rsidRPr="00EE46A0" w:rsidRDefault="00BE5024" w:rsidP="001F4E23">
      <w:pPr>
        <w:numPr>
          <w:ilvl w:val="0"/>
          <w:numId w:val="13"/>
        </w:numPr>
        <w:shd w:val="clear" w:color="auto" w:fill="FEFEFE"/>
        <w:suppressAutoHyphens/>
        <w:overflowPunct w:val="0"/>
        <w:autoSpaceDE w:val="0"/>
        <w:autoSpaceDN w:val="0"/>
        <w:adjustRightInd w:val="0"/>
        <w:spacing w:line="276" w:lineRule="auto"/>
        <w:ind w:left="426" w:hanging="426"/>
        <w:textAlignment w:val="baseline"/>
        <w:rPr>
          <w:color w:val="333333"/>
        </w:rPr>
      </w:pPr>
      <w:r w:rsidRPr="00EE46A0">
        <w:t>meni, da so natrijeve baterije strateška tehnologija in da ima Evropa velik potencial, da prevzame vodilno tehnološko vlogo na področju baterijskih sistemov, ki temeljijo na natriju in slani vodi;</w:t>
      </w:r>
    </w:p>
    <w:p w14:paraId="6FC16A34" w14:textId="77777777" w:rsidR="00BE5024" w:rsidRPr="00EE46A0" w:rsidRDefault="00BE5024" w:rsidP="001F4E23">
      <w:pPr>
        <w:numPr>
          <w:ilvl w:val="0"/>
          <w:numId w:val="13"/>
        </w:numPr>
        <w:shd w:val="clear" w:color="auto" w:fill="FEFEFE"/>
        <w:suppressAutoHyphens/>
        <w:overflowPunct w:val="0"/>
        <w:autoSpaceDE w:val="0"/>
        <w:autoSpaceDN w:val="0"/>
        <w:adjustRightInd w:val="0"/>
        <w:spacing w:line="276" w:lineRule="auto"/>
        <w:ind w:left="426" w:hanging="426"/>
        <w:textAlignment w:val="baseline"/>
        <w:rPr>
          <w:color w:val="333333"/>
        </w:rPr>
      </w:pPr>
      <w:r w:rsidRPr="00EE46A0">
        <w:t xml:space="preserve">poudarja potencial natrijevih baterij kot omogočitvenega dejavnika pri doseganju ciljev industrijske politike EU: podpirajo cilje evropskega zelenega dogovora in modrega dogovora EU ter lahko odločilno prispevajo k doseganju strateške avtonomije. Z odprtjem </w:t>
      </w:r>
      <w:proofErr w:type="spellStart"/>
      <w:r w:rsidRPr="00EE46A0">
        <w:t>gigatovarn</w:t>
      </w:r>
      <w:proofErr w:type="spellEnd"/>
      <w:r w:rsidRPr="00EE46A0">
        <w:t xml:space="preserve"> za natrijeve baterije bi povečali konkurenčnost in ustvarili delovna mesta v celotni vrednostni verigi;</w:t>
      </w:r>
    </w:p>
    <w:p w14:paraId="6A144200" w14:textId="77777777" w:rsidR="00BE5024" w:rsidRPr="00EE46A0" w:rsidRDefault="00BE5024" w:rsidP="001F4E23">
      <w:pPr>
        <w:numPr>
          <w:ilvl w:val="0"/>
          <w:numId w:val="13"/>
        </w:numPr>
        <w:shd w:val="clear" w:color="auto" w:fill="FEFEFE"/>
        <w:suppressAutoHyphens/>
        <w:overflowPunct w:val="0"/>
        <w:autoSpaceDE w:val="0"/>
        <w:autoSpaceDN w:val="0"/>
        <w:adjustRightInd w:val="0"/>
        <w:spacing w:line="276" w:lineRule="auto"/>
        <w:ind w:left="426" w:hanging="426"/>
        <w:textAlignment w:val="baseline"/>
        <w:rPr>
          <w:color w:val="333333"/>
        </w:rPr>
      </w:pPr>
      <w:r w:rsidRPr="00EE46A0">
        <w:t>poudarja, da se lahko natrijeve baterije v celoti proizvedejo iz evropskih surovin, saj je natrij v Evropi razširjen in obstaja vse večji potencial za evropsko industrijo razsoljevanja, s čimer se lahko zmanjša uporaba kritičnih surovin;</w:t>
      </w:r>
    </w:p>
    <w:p w14:paraId="2634F69C" w14:textId="77777777" w:rsidR="00BE5024" w:rsidRPr="00EE46A0" w:rsidRDefault="00BE5024" w:rsidP="001F4E23">
      <w:pPr>
        <w:numPr>
          <w:ilvl w:val="0"/>
          <w:numId w:val="13"/>
        </w:numPr>
        <w:shd w:val="clear" w:color="auto" w:fill="FEFEFE"/>
        <w:suppressAutoHyphens/>
        <w:overflowPunct w:val="0"/>
        <w:autoSpaceDE w:val="0"/>
        <w:autoSpaceDN w:val="0"/>
        <w:adjustRightInd w:val="0"/>
        <w:spacing w:line="276" w:lineRule="auto"/>
        <w:ind w:left="426" w:hanging="426"/>
        <w:textAlignment w:val="baseline"/>
        <w:rPr>
          <w:color w:val="333333"/>
        </w:rPr>
      </w:pPr>
      <w:r w:rsidRPr="00EE46A0">
        <w:t>poziva k odločnemu in usklajenemu ukrepanju EU za razvoj konkurenčne proizvodne industrije natrijevih baterij, saj razvoj natrijevih baterij napreduje na svetovni ravni, medtem ko Evropa tvega, da bo še bolj zaostala;</w:t>
      </w:r>
    </w:p>
    <w:p w14:paraId="58E574C5" w14:textId="77777777" w:rsidR="00BE5024" w:rsidRPr="00EE46A0" w:rsidRDefault="00BE5024" w:rsidP="001F4E23">
      <w:pPr>
        <w:numPr>
          <w:ilvl w:val="0"/>
          <w:numId w:val="13"/>
        </w:numPr>
        <w:shd w:val="clear" w:color="auto" w:fill="FEFEFE"/>
        <w:suppressAutoHyphens/>
        <w:overflowPunct w:val="0"/>
        <w:autoSpaceDE w:val="0"/>
        <w:autoSpaceDN w:val="0"/>
        <w:adjustRightInd w:val="0"/>
        <w:spacing w:line="276" w:lineRule="auto"/>
        <w:ind w:left="426" w:hanging="426"/>
        <w:textAlignment w:val="baseline"/>
        <w:rPr>
          <w:color w:val="333333"/>
        </w:rPr>
      </w:pPr>
      <w:r w:rsidRPr="00EE46A0">
        <w:t>priporoča posodobitev načrta za industrijo proizvodnje baterij, ki zajema tako litij kot tudi natrij, vključevati pa bi moral tudi kažipot, ki bi obravnaval potrebe po delovni sili in socialne potrebe, z vlaganji v znanja in spretnosti, mobilnost delovne sile ter strateško sodelovanje malih in srednjih podjetij;</w:t>
      </w:r>
    </w:p>
    <w:p w14:paraId="75BD88F2" w14:textId="77777777" w:rsidR="00BE5024" w:rsidRPr="00EE46A0" w:rsidRDefault="00BE5024" w:rsidP="001F4E23">
      <w:pPr>
        <w:numPr>
          <w:ilvl w:val="0"/>
          <w:numId w:val="13"/>
        </w:numPr>
        <w:shd w:val="clear" w:color="auto" w:fill="FEFEFE"/>
        <w:suppressAutoHyphens/>
        <w:overflowPunct w:val="0"/>
        <w:autoSpaceDE w:val="0"/>
        <w:autoSpaceDN w:val="0"/>
        <w:adjustRightInd w:val="0"/>
        <w:spacing w:line="276" w:lineRule="auto"/>
        <w:ind w:left="426" w:hanging="426"/>
        <w:textAlignment w:val="baseline"/>
        <w:rPr>
          <w:color w:val="333333"/>
        </w:rPr>
      </w:pPr>
      <w:r w:rsidRPr="00EE46A0">
        <w:t xml:space="preserve">vztraja, da je treba odpraviti omejevanje političnih področij in uskladiti ključne strategije EU (kompas za konkurenčnost, strategija za unijo pripravljenosti, akcijski načrt za krožno gospodarstvo in strategija za odpornost v zvezi z vodo), da bi razvili evropsko vrednostno verigo natrijevih baterij, ki bo podpirala strateške cilje Evrope; </w:t>
      </w:r>
    </w:p>
    <w:p w14:paraId="033BB4E3" w14:textId="77777777" w:rsidR="00BE5024" w:rsidRPr="00EE46A0" w:rsidRDefault="00BE5024" w:rsidP="001F4E23">
      <w:pPr>
        <w:numPr>
          <w:ilvl w:val="0"/>
          <w:numId w:val="13"/>
        </w:numPr>
        <w:shd w:val="clear" w:color="auto" w:fill="FEFEFE"/>
        <w:suppressAutoHyphens/>
        <w:overflowPunct w:val="0"/>
        <w:autoSpaceDE w:val="0"/>
        <w:autoSpaceDN w:val="0"/>
        <w:adjustRightInd w:val="0"/>
        <w:spacing w:line="276" w:lineRule="auto"/>
        <w:ind w:left="426" w:hanging="426"/>
        <w:textAlignment w:val="baseline"/>
        <w:rPr>
          <w:color w:val="333333"/>
        </w:rPr>
      </w:pPr>
      <w:r w:rsidRPr="00EE46A0">
        <w:t>priporoča subvencije za naložbe, davčne olajšave za proizvodnjo, ciljne razpise za projekte in naložbene kupone za sodelovanje industrije z raziskovalno-tehnološkimi organizacijami;</w:t>
      </w:r>
    </w:p>
    <w:p w14:paraId="24971D71" w14:textId="77777777" w:rsidR="00BE5024" w:rsidRPr="00EE46A0" w:rsidRDefault="00BE5024" w:rsidP="001F4E23">
      <w:pPr>
        <w:numPr>
          <w:ilvl w:val="0"/>
          <w:numId w:val="13"/>
        </w:numPr>
        <w:shd w:val="clear" w:color="auto" w:fill="FEFEFE"/>
        <w:suppressAutoHyphens/>
        <w:overflowPunct w:val="0"/>
        <w:autoSpaceDE w:val="0"/>
        <w:autoSpaceDN w:val="0"/>
        <w:adjustRightInd w:val="0"/>
        <w:spacing w:line="276" w:lineRule="auto"/>
        <w:ind w:left="426" w:hanging="426"/>
        <w:textAlignment w:val="baseline"/>
      </w:pPr>
      <w:r w:rsidRPr="00EE46A0">
        <w:t>poziva k prožni javni podpori, da bi se izognili prezgodnji vezanosti, in k močnejšemu sodelovanju na področju raziskav in razvoja, ki bi ga sofinancirale vlade in industrija;</w:t>
      </w:r>
    </w:p>
    <w:p w14:paraId="54513BA3" w14:textId="77777777" w:rsidR="00BE5024" w:rsidRPr="00EE46A0" w:rsidRDefault="00BE5024" w:rsidP="001F4E23">
      <w:pPr>
        <w:numPr>
          <w:ilvl w:val="0"/>
          <w:numId w:val="13"/>
        </w:numPr>
        <w:shd w:val="clear" w:color="auto" w:fill="FEFEFE"/>
        <w:suppressAutoHyphens/>
        <w:overflowPunct w:val="0"/>
        <w:autoSpaceDE w:val="0"/>
        <w:autoSpaceDN w:val="0"/>
        <w:adjustRightInd w:val="0"/>
        <w:spacing w:line="276" w:lineRule="auto"/>
        <w:ind w:left="426" w:hanging="426"/>
        <w:textAlignment w:val="baseline"/>
      </w:pPr>
      <w:r w:rsidRPr="00EE46A0">
        <w:t xml:space="preserve">priznava potencial pretvorbe industrijskih obratov, ki trenutno ne obratujejo ali se zapirajo, v </w:t>
      </w:r>
      <w:proofErr w:type="spellStart"/>
      <w:r w:rsidRPr="00EE46A0">
        <w:t>gigatovarne</w:t>
      </w:r>
      <w:proofErr w:type="spellEnd"/>
      <w:r w:rsidRPr="00EE46A0">
        <w:t xml:space="preserve"> za natrijeve baterije, kot učinkovito in okoljsko odgovorno uporabo obstoječe infrastrukture;</w:t>
      </w:r>
    </w:p>
    <w:p w14:paraId="4B69C6EA" w14:textId="77777777" w:rsidR="00BE5024" w:rsidRPr="00EE46A0" w:rsidRDefault="00BE5024" w:rsidP="001F4E23">
      <w:pPr>
        <w:numPr>
          <w:ilvl w:val="0"/>
          <w:numId w:val="13"/>
        </w:numPr>
        <w:shd w:val="clear" w:color="auto" w:fill="FEFEFE"/>
        <w:suppressAutoHyphens/>
        <w:overflowPunct w:val="0"/>
        <w:autoSpaceDE w:val="0"/>
        <w:autoSpaceDN w:val="0"/>
        <w:adjustRightInd w:val="0"/>
        <w:spacing w:line="276" w:lineRule="auto"/>
        <w:ind w:left="426" w:hanging="426"/>
        <w:textAlignment w:val="baseline"/>
      </w:pPr>
      <w:r w:rsidRPr="00EE46A0">
        <w:t>priznava pomen upoštevanja okoljsko primerne zasnove in recikliranja v okviru te proizvodne industrije ter spodbujanja krožne vrednostne verige za natrijeve baterije.</w:t>
      </w:r>
    </w:p>
    <w:p w14:paraId="3400CBA9" w14:textId="77777777" w:rsidR="00BE5024" w:rsidRPr="00EE46A0" w:rsidRDefault="00BE5024" w:rsidP="001F4E23">
      <w:pPr>
        <w:suppressAutoHyphens/>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3"/>
        <w:gridCol w:w="7140"/>
      </w:tblGrid>
      <w:tr w:rsidR="00BE5024" w:rsidRPr="00EE46A0" w14:paraId="25FEDC27" w14:textId="77777777" w:rsidTr="00B56AD6">
        <w:tc>
          <w:tcPr>
            <w:tcW w:w="1951" w:type="dxa"/>
          </w:tcPr>
          <w:p w14:paraId="1D91E545" w14:textId="77777777" w:rsidR="00BE5024" w:rsidRPr="00EE46A0" w:rsidRDefault="00BE5024" w:rsidP="001F4E23">
            <w:pPr>
              <w:suppressAutoHyphens/>
              <w:spacing w:line="276" w:lineRule="auto"/>
              <w:rPr>
                <w:i/>
              </w:rPr>
            </w:pPr>
            <w:r w:rsidRPr="00EE46A0">
              <w:rPr>
                <w:b/>
                <w:i/>
              </w:rPr>
              <w:t>Kontaktna oseba</w:t>
            </w:r>
          </w:p>
        </w:tc>
        <w:tc>
          <w:tcPr>
            <w:tcW w:w="7229" w:type="dxa"/>
          </w:tcPr>
          <w:p w14:paraId="01153780" w14:textId="77777777" w:rsidR="00BE5024" w:rsidRPr="00EE46A0" w:rsidRDefault="00BE5024" w:rsidP="001F4E23">
            <w:pPr>
              <w:suppressAutoHyphens/>
              <w:spacing w:line="276" w:lineRule="auto"/>
              <w:rPr>
                <w:bCs/>
                <w:i/>
              </w:rPr>
            </w:pPr>
            <w:r w:rsidRPr="00EE46A0">
              <w:rPr>
                <w:bCs/>
                <w:i/>
              </w:rPr>
              <w:t>Luís BARBOSA E SILVA</w:t>
            </w:r>
          </w:p>
        </w:tc>
      </w:tr>
      <w:tr w:rsidR="00BE5024" w:rsidRPr="00EE46A0" w14:paraId="684AA65D" w14:textId="77777777" w:rsidTr="00B56AD6">
        <w:tc>
          <w:tcPr>
            <w:tcW w:w="1951" w:type="dxa"/>
          </w:tcPr>
          <w:p w14:paraId="3D5095EB" w14:textId="77777777" w:rsidR="00BE5024" w:rsidRPr="00EE46A0" w:rsidRDefault="00BE5024" w:rsidP="001F4E23">
            <w:pPr>
              <w:suppressAutoHyphens/>
              <w:spacing w:line="276" w:lineRule="auto"/>
              <w:rPr>
                <w:i/>
              </w:rPr>
            </w:pPr>
            <w:r w:rsidRPr="00EE46A0">
              <w:rPr>
                <w:i/>
              </w:rPr>
              <w:t>Telefon</w:t>
            </w:r>
          </w:p>
        </w:tc>
        <w:tc>
          <w:tcPr>
            <w:tcW w:w="7229" w:type="dxa"/>
          </w:tcPr>
          <w:p w14:paraId="57941DDE" w14:textId="77777777" w:rsidR="00BE5024" w:rsidRPr="00EE46A0" w:rsidRDefault="00BE5024" w:rsidP="001F4E23">
            <w:pPr>
              <w:suppressAutoHyphens/>
              <w:spacing w:line="276" w:lineRule="auto"/>
              <w:rPr>
                <w:i/>
              </w:rPr>
            </w:pPr>
            <w:r w:rsidRPr="00EE46A0">
              <w:rPr>
                <w:i/>
              </w:rPr>
              <w:t>+32 25468846</w:t>
            </w:r>
          </w:p>
        </w:tc>
      </w:tr>
      <w:tr w:rsidR="00BE5024" w:rsidRPr="00EE46A0" w14:paraId="690A75FF" w14:textId="77777777" w:rsidTr="00B56AD6">
        <w:trPr>
          <w:trHeight w:val="244"/>
        </w:trPr>
        <w:tc>
          <w:tcPr>
            <w:tcW w:w="1951" w:type="dxa"/>
          </w:tcPr>
          <w:p w14:paraId="12DD1A06" w14:textId="77777777" w:rsidR="00BE5024" w:rsidRPr="00EE46A0" w:rsidRDefault="00BE5024" w:rsidP="001F4E23">
            <w:pPr>
              <w:suppressAutoHyphens/>
              <w:spacing w:line="276" w:lineRule="auto"/>
              <w:rPr>
                <w:i/>
              </w:rPr>
            </w:pPr>
            <w:r w:rsidRPr="00EE46A0">
              <w:rPr>
                <w:i/>
              </w:rPr>
              <w:t>E-naslov</w:t>
            </w:r>
          </w:p>
        </w:tc>
        <w:tc>
          <w:tcPr>
            <w:tcW w:w="7229" w:type="dxa"/>
          </w:tcPr>
          <w:p w14:paraId="473C22A9" w14:textId="77777777" w:rsidR="00BE5024" w:rsidRPr="00EE46A0" w:rsidRDefault="00283C48" w:rsidP="001F4E23">
            <w:pPr>
              <w:suppressAutoHyphens/>
              <w:spacing w:line="276" w:lineRule="auto"/>
            </w:pPr>
            <w:hyperlink r:id="rId39" w:history="1">
              <w:r w:rsidR="00BE5024" w:rsidRPr="00EE46A0">
                <w:rPr>
                  <w:rStyle w:val="Hyperlink"/>
                </w:rPr>
                <w:t>Luis.BarbosaESilva@eesc.europa.eu</w:t>
              </w:r>
            </w:hyperlink>
          </w:p>
        </w:tc>
      </w:tr>
    </w:tbl>
    <w:p w14:paraId="515DB837" w14:textId="31C38DD8" w:rsidR="00BE5024" w:rsidRPr="00EE46A0" w:rsidRDefault="00BE5024" w:rsidP="001F4E23">
      <w:pPr>
        <w:spacing w:line="276" w:lineRule="auto"/>
      </w:pPr>
    </w:p>
    <w:p w14:paraId="2E28EF19" w14:textId="65195376" w:rsidR="000D394D" w:rsidRPr="00EE46A0" w:rsidRDefault="00BE5024" w:rsidP="00BE5024">
      <w:pPr>
        <w:overflowPunct w:val="0"/>
        <w:autoSpaceDE w:val="0"/>
        <w:autoSpaceDN w:val="0"/>
        <w:adjustRightInd w:val="0"/>
        <w:jc w:val="center"/>
        <w:textAlignment w:val="baseline"/>
      </w:pPr>
      <w:r w:rsidRPr="00EE46A0">
        <w:t>_____________</w:t>
      </w:r>
    </w:p>
    <w:sectPr w:rsidR="000D394D" w:rsidRPr="00EE46A0" w:rsidSect="00153E09">
      <w:headerReference w:type="even" r:id="rId40"/>
      <w:headerReference w:type="default" r:id="rId41"/>
      <w:footerReference w:type="even" r:id="rId42"/>
      <w:footerReference w:type="default" r:id="rId43"/>
      <w:headerReference w:type="first" r:id="rId44"/>
      <w:footerReference w:type="first" r:id="rId45"/>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2D88F" w14:textId="77777777" w:rsidR="00711298" w:rsidRDefault="00711298" w:rsidP="00B518C9">
      <w:pPr>
        <w:spacing w:line="240" w:lineRule="auto"/>
      </w:pPr>
      <w:r>
        <w:separator/>
      </w:r>
    </w:p>
  </w:endnote>
  <w:endnote w:type="continuationSeparator" w:id="0">
    <w:p w14:paraId="276450BF" w14:textId="77777777" w:rsidR="00711298" w:rsidRDefault="00711298"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1EF32E47" w:rsidR="00B518C9" w:rsidRPr="00153E09" w:rsidRDefault="00153E09" w:rsidP="00153E09">
    <w:pPr>
      <w:pStyle w:val="Footer"/>
    </w:pPr>
    <w:r>
      <w:t xml:space="preserve">EESC-2026-00247-00-00-TCD-TRA (SL) </w:t>
    </w:r>
    <w:r>
      <w:fldChar w:fldCharType="begin"/>
    </w:r>
    <w:r>
      <w:instrText xml:space="preserve"> PAGE  \* Arabic  \* MERGEFORMAT </w:instrText>
    </w:r>
    <w:r>
      <w:fldChar w:fldCharType="separate"/>
    </w:r>
    <w:r w:rsidR="00E235D3">
      <w:t>1</w:t>
    </w:r>
    <w:r>
      <w:fldChar w:fldCharType="end"/>
    </w:r>
    <w:r>
      <w:t>/</w:t>
    </w:r>
    <w:r w:rsidR="00283C48">
      <w:fldChar w:fldCharType="begin"/>
    </w:r>
    <w:r w:rsidR="00283C48">
      <w:instrText xml:space="preserve"> NUMPAGES </w:instrText>
    </w:r>
    <w:r w:rsidR="00283C48">
      <w:fldChar w:fldCharType="separate"/>
    </w:r>
    <w:r w:rsidR="00E235D3">
      <w:t>15</w:t>
    </w:r>
    <w:r w:rsidR="00283C4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DE809" w14:textId="77777777" w:rsidR="00153E09" w:rsidRPr="00153E09" w:rsidRDefault="00153E09" w:rsidP="00153E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7402" w14:textId="0C6B551C" w:rsidR="00153E09" w:rsidRPr="00153E09" w:rsidRDefault="00153E09" w:rsidP="00153E09">
    <w:pPr>
      <w:pStyle w:val="Footer"/>
    </w:pPr>
    <w:r>
      <w:t xml:space="preserve">EESC-2026-00247-00-00-TCD-TRA (SL) </w:t>
    </w:r>
    <w:r>
      <w:fldChar w:fldCharType="begin"/>
    </w:r>
    <w:r>
      <w:instrText xml:space="preserve"> PAGE  \* Arabic  \* MERGEFORMAT </w:instrText>
    </w:r>
    <w:r>
      <w:fldChar w:fldCharType="separate"/>
    </w:r>
    <w:r w:rsidR="007526DA">
      <w:t>15</w:t>
    </w:r>
    <w:r>
      <w:fldChar w:fldCharType="end"/>
    </w:r>
    <w:r>
      <w:t>/</w:t>
    </w:r>
    <w:r w:rsidR="00283C48">
      <w:fldChar w:fldCharType="begin"/>
    </w:r>
    <w:r w:rsidR="00283C48">
      <w:instrText xml:space="preserve"> NUMPAGES </w:instrText>
    </w:r>
    <w:r w:rsidR="00283C48">
      <w:fldChar w:fldCharType="separate"/>
    </w:r>
    <w:r w:rsidR="007526DA">
      <w:t>15</w:t>
    </w:r>
    <w:r w:rsidR="00283C48">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43FF" w14:textId="77777777" w:rsidR="00153E09" w:rsidRPr="00153E09" w:rsidRDefault="00153E09" w:rsidP="00153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AC4B1" w14:textId="77777777" w:rsidR="00711298" w:rsidRDefault="00711298" w:rsidP="00B518C9">
      <w:pPr>
        <w:spacing w:line="240" w:lineRule="auto"/>
      </w:pPr>
      <w:r>
        <w:separator/>
      </w:r>
    </w:p>
  </w:footnote>
  <w:footnote w:type="continuationSeparator" w:id="0">
    <w:p w14:paraId="67149419" w14:textId="77777777" w:rsidR="00711298" w:rsidRDefault="00711298"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52BE" w14:textId="77777777" w:rsidR="00153E09" w:rsidRPr="00153E09" w:rsidRDefault="00153E09" w:rsidP="00153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3AA39" w14:textId="04F245DB" w:rsidR="00153E09" w:rsidRPr="00153E09" w:rsidRDefault="00153E09" w:rsidP="00153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39C97" w14:textId="77777777" w:rsidR="00153E09" w:rsidRPr="00153E09" w:rsidRDefault="00153E09" w:rsidP="00153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ABEA5FC"/>
    <w:lvl w:ilvl="0">
      <w:start w:val="1"/>
      <w:numFmt w:val="decimal"/>
      <w:pStyle w:val="Heading1"/>
      <w:lvlText w:val="%1."/>
      <w:legacy w:legacy="1" w:legacySpace="0" w:legacyIndent="0"/>
      <w:lvlJc w:val="left"/>
      <w:rPr>
        <w:b w:val="0"/>
        <w:bCs/>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1D08466C"/>
    <w:lvl w:ilvl="0">
      <w:numFmt w:val="decimal"/>
      <w:lvlText w:val="*"/>
      <w:lvlJc w:val="left"/>
    </w:lvl>
  </w:abstractNum>
  <w:abstractNum w:abstractNumId="2" w15:restartNumberingAfterBreak="0">
    <w:nsid w:val="03A15EA7"/>
    <w:multiLevelType w:val="multilevel"/>
    <w:tmpl w:val="B450D112"/>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 w15:restartNumberingAfterBreak="0">
    <w:nsid w:val="0F9F7110"/>
    <w:multiLevelType w:val="hybridMultilevel"/>
    <w:tmpl w:val="7E8C5ED6"/>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129786E"/>
    <w:multiLevelType w:val="hybridMultilevel"/>
    <w:tmpl w:val="2960A99E"/>
    <w:lvl w:ilvl="0" w:tplc="C76041DE">
      <w:start w:val="1"/>
      <w:numFmt w:val="bullet"/>
      <w:lvlText w:val=""/>
      <w:lvlJc w:val="left"/>
      <w:pPr>
        <w:ind w:left="720" w:hanging="360"/>
      </w:pPr>
      <w:rPr>
        <w:rFonts w:ascii="Symbol" w:hAnsi="Symbol" w:hint="default"/>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97976BE"/>
    <w:multiLevelType w:val="hybridMultilevel"/>
    <w:tmpl w:val="20F4A5FC"/>
    <w:lvl w:ilvl="0" w:tplc="FFFFFFFF">
      <w:start w:val="1"/>
      <w:numFmt w:val="bullet"/>
      <w:lvlText w:val=""/>
      <w:lvlJc w:val="left"/>
      <w:pPr>
        <w:ind w:left="720" w:hanging="360"/>
      </w:pPr>
      <w:rPr>
        <w:rFonts w:ascii="Symbol" w:hAnsi="Symbol" w:hint="default"/>
        <w:color w:val="auto"/>
      </w:rPr>
    </w:lvl>
    <w:lvl w:ilvl="1" w:tplc="100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2F3FBA"/>
    <w:multiLevelType w:val="hybridMultilevel"/>
    <w:tmpl w:val="BE9CD944"/>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6A28EE"/>
    <w:multiLevelType w:val="hybridMultilevel"/>
    <w:tmpl w:val="E7B48E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5223B38"/>
    <w:multiLevelType w:val="multilevel"/>
    <w:tmpl w:val="847E4C18"/>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9" w15:restartNumberingAfterBreak="0">
    <w:nsid w:val="274E0DB2"/>
    <w:multiLevelType w:val="hybridMultilevel"/>
    <w:tmpl w:val="CA00EAAE"/>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8C626E"/>
    <w:multiLevelType w:val="hybridMultilevel"/>
    <w:tmpl w:val="C9E05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A3C5C"/>
    <w:multiLevelType w:val="hybridMultilevel"/>
    <w:tmpl w:val="8F5E9440"/>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2EAA6D68"/>
    <w:multiLevelType w:val="multilevel"/>
    <w:tmpl w:val="274C107E"/>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3" w15:restartNumberingAfterBreak="0">
    <w:nsid w:val="362E4D7F"/>
    <w:multiLevelType w:val="hybridMultilevel"/>
    <w:tmpl w:val="8C922762"/>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38D44B13"/>
    <w:multiLevelType w:val="hybridMultilevel"/>
    <w:tmpl w:val="C188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216355"/>
    <w:multiLevelType w:val="hybridMultilevel"/>
    <w:tmpl w:val="DE10A170"/>
    <w:lvl w:ilvl="0" w:tplc="8E864B0C">
      <w:start w:val="1"/>
      <w:numFmt w:val="bullet"/>
      <w:lvlText w:val=""/>
      <w:lvlJc w:val="left"/>
      <w:pPr>
        <w:ind w:left="720" w:hanging="360"/>
      </w:pPr>
      <w:rPr>
        <w:rFonts w:ascii="Symbol" w:hAnsi="Symbol" w:hint="default"/>
        <w:color w:val="auto"/>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43527568"/>
    <w:multiLevelType w:val="hybridMultilevel"/>
    <w:tmpl w:val="F2789A4A"/>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70E2F27"/>
    <w:multiLevelType w:val="hybridMultilevel"/>
    <w:tmpl w:val="C60EBDA0"/>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9B5BA4"/>
    <w:multiLevelType w:val="multilevel"/>
    <w:tmpl w:val="D22C911E"/>
    <w:lvl w:ilvl="0">
      <w:start w:val="1"/>
      <w:numFmt w:val="bullet"/>
      <w:lvlText w:val=""/>
      <w:lvlJc w:val="left"/>
      <w:rPr>
        <w:rFonts w:ascii="Symbol" w:hAnsi="Symbol" w:hint="default"/>
      </w:rPr>
    </w:lvl>
    <w:lvl w:ilvl="1">
      <w:start w:val="1"/>
      <w:numFmt w:val="bullet"/>
      <w:lvlText w:val=""/>
      <w:lvlJc w:val="left"/>
      <w:pPr>
        <w:ind w:left="-252"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9" w15:restartNumberingAfterBreak="0">
    <w:nsid w:val="48954870"/>
    <w:multiLevelType w:val="hybridMultilevel"/>
    <w:tmpl w:val="718CAA2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0" w15:restartNumberingAfterBreak="0">
    <w:nsid w:val="4F0D630B"/>
    <w:multiLevelType w:val="hybridMultilevel"/>
    <w:tmpl w:val="C5CCC4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1" w15:restartNumberingAfterBreak="0">
    <w:nsid w:val="51F858A5"/>
    <w:multiLevelType w:val="multilevel"/>
    <w:tmpl w:val="847E4C18"/>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2" w15:restartNumberingAfterBreak="0">
    <w:nsid w:val="53EE0911"/>
    <w:multiLevelType w:val="hybridMultilevel"/>
    <w:tmpl w:val="274CE3D4"/>
    <w:lvl w:ilvl="0" w:tplc="C17C268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840386"/>
    <w:multiLevelType w:val="hybridMultilevel"/>
    <w:tmpl w:val="9E7C99B6"/>
    <w:lvl w:ilvl="0" w:tplc="DDE088C8">
      <w:start w:val="1"/>
      <w:numFmt w:val="bullet"/>
      <w:lvlText w:val=""/>
      <w:lvlJc w:val="left"/>
      <w:pPr>
        <w:ind w:left="720" w:hanging="360"/>
      </w:pPr>
      <w:rPr>
        <w:rFonts w:ascii="Symbol" w:hAnsi="Symbol" w:hint="default"/>
        <w:color w:val="auto"/>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51C4B27"/>
    <w:multiLevelType w:val="hybridMultilevel"/>
    <w:tmpl w:val="998C3E8A"/>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5BDD7A66"/>
    <w:multiLevelType w:val="hybridMultilevel"/>
    <w:tmpl w:val="DEB8F97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6" w15:restartNumberingAfterBreak="0">
    <w:nsid w:val="614F57A6"/>
    <w:multiLevelType w:val="hybridMultilevel"/>
    <w:tmpl w:val="6804C62C"/>
    <w:lvl w:ilvl="0" w:tplc="90B4B4A6">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D16D5B"/>
    <w:multiLevelType w:val="hybridMultilevel"/>
    <w:tmpl w:val="9BE07FF0"/>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9E014D1"/>
    <w:multiLevelType w:val="hybridMultilevel"/>
    <w:tmpl w:val="84DED000"/>
    <w:lvl w:ilvl="0" w:tplc="4D645226">
      <w:start w:val="1"/>
      <w:numFmt w:val="bullet"/>
      <w:lvlText w:val=""/>
      <w:lvlJc w:val="left"/>
      <w:pPr>
        <w:ind w:left="1637"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9" w15:restartNumberingAfterBreak="0">
    <w:nsid w:val="72323163"/>
    <w:multiLevelType w:val="hybridMultilevel"/>
    <w:tmpl w:val="31FAA748"/>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4D00E4B"/>
    <w:multiLevelType w:val="hybridMultilevel"/>
    <w:tmpl w:val="654ED096"/>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700E66"/>
    <w:multiLevelType w:val="hybridMultilevel"/>
    <w:tmpl w:val="0F0456B0"/>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3" w15:restartNumberingAfterBreak="0">
    <w:nsid w:val="7E154828"/>
    <w:multiLevelType w:val="multilevel"/>
    <w:tmpl w:val="C1B6FEAC"/>
    <w:lvl w:ilvl="0">
      <w:start w:val="1"/>
      <w:numFmt w:val="decimal"/>
      <w:lvlText w:val="%1."/>
      <w:legacy w:legacy="1" w:legacySpace="0" w:legacyIndent="0"/>
      <w:lvlJc w:val="left"/>
      <w:rPr>
        <w:b w:val="0"/>
        <w:bCs/>
      </w:rPr>
    </w:lvl>
    <w:lvl w:ilvl="1">
      <w:start w:val="1"/>
      <w:numFmt w:val="bullet"/>
      <w:lvlText w:val=""/>
      <w:lvlJc w:val="left"/>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num w:numId="1">
    <w:abstractNumId w:val="0"/>
  </w:num>
  <w:num w:numId="2">
    <w:abstractNumId w:val="28"/>
  </w:num>
  <w:num w:numId="3">
    <w:abstractNumId w:val="31"/>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5">
    <w:abstractNumId w:val="20"/>
  </w:num>
  <w:num w:numId="6">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7">
    <w:abstractNumId w:val="12"/>
  </w:num>
  <w:num w:numId="8">
    <w:abstractNumId w:val="8"/>
  </w:num>
  <w:num w:numId="9">
    <w:abstractNumId w:val="21"/>
  </w:num>
  <w:num w:numId="10">
    <w:abstractNumId w:val="18"/>
  </w:num>
  <w:num w:numId="11">
    <w:abstractNumId w:val="23"/>
  </w:num>
  <w:num w:numId="12">
    <w:abstractNumId w:val="4"/>
  </w:num>
  <w:num w:numId="13">
    <w:abstractNumId w:val="7"/>
  </w:num>
  <w:num w:numId="14">
    <w:abstractNumId w:val="16"/>
  </w:num>
  <w:num w:numId="15">
    <w:abstractNumId w:val="19"/>
  </w:num>
  <w:num w:numId="16">
    <w:abstractNumId w:val="30"/>
  </w:num>
  <w:num w:numId="17">
    <w:abstractNumId w:val="3"/>
  </w:num>
  <w:num w:numId="18">
    <w:abstractNumId w:val="29"/>
  </w:num>
  <w:num w:numId="19">
    <w:abstractNumId w:val="32"/>
  </w:num>
  <w:num w:numId="20">
    <w:abstractNumId w:val="27"/>
  </w:num>
  <w:num w:numId="21">
    <w:abstractNumId w:val="9"/>
  </w:num>
  <w:num w:numId="22">
    <w:abstractNumId w:val="17"/>
  </w:num>
  <w:num w:numId="23">
    <w:abstractNumId w:val="2"/>
  </w:num>
  <w:num w:numId="24">
    <w:abstractNumId w:val="6"/>
  </w:num>
  <w:num w:numId="25">
    <w:abstractNumId w:val="25"/>
  </w:num>
  <w:num w:numId="26">
    <w:abstractNumId w:val="5"/>
  </w:num>
  <w:num w:numId="27">
    <w:abstractNumId w:val="13"/>
  </w:num>
  <w:num w:numId="28">
    <w:abstractNumId w:val="11"/>
  </w:num>
  <w:num w:numId="29">
    <w:abstractNumId w:val="15"/>
  </w:num>
  <w:num w:numId="30">
    <w:abstractNumId w:val="24"/>
  </w:num>
  <w:num w:numId="31">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2">
    <w:abstractNumId w:val="26"/>
  </w:num>
  <w:num w:numId="33">
    <w:abstractNumId w:val="33"/>
  </w:num>
  <w:num w:numId="34">
    <w:abstractNumId w:val="22"/>
  </w:num>
  <w:num w:numId="35">
    <w:abstractNumId w:val="1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4364"/>
    <w:rsid w:val="00010A4D"/>
    <w:rsid w:val="00043E7B"/>
    <w:rsid w:val="000638B5"/>
    <w:rsid w:val="00063DFF"/>
    <w:rsid w:val="000B1343"/>
    <w:rsid w:val="000D394D"/>
    <w:rsid w:val="000F46B6"/>
    <w:rsid w:val="00100EF9"/>
    <w:rsid w:val="00120A45"/>
    <w:rsid w:val="00124E6A"/>
    <w:rsid w:val="001313E0"/>
    <w:rsid w:val="00153E09"/>
    <w:rsid w:val="001653D7"/>
    <w:rsid w:val="00167743"/>
    <w:rsid w:val="00187E31"/>
    <w:rsid w:val="001A1F1F"/>
    <w:rsid w:val="001A58BD"/>
    <w:rsid w:val="001A7538"/>
    <w:rsid w:val="001E391D"/>
    <w:rsid w:val="001F4E23"/>
    <w:rsid w:val="00205469"/>
    <w:rsid w:val="00210CBF"/>
    <w:rsid w:val="00250B70"/>
    <w:rsid w:val="00256B74"/>
    <w:rsid w:val="0027149A"/>
    <w:rsid w:val="00274F1A"/>
    <w:rsid w:val="0027678C"/>
    <w:rsid w:val="00283C48"/>
    <w:rsid w:val="002A5636"/>
    <w:rsid w:val="002B7981"/>
    <w:rsid w:val="002D77C8"/>
    <w:rsid w:val="002F4AD1"/>
    <w:rsid w:val="00302594"/>
    <w:rsid w:val="003066BE"/>
    <w:rsid w:val="003066E2"/>
    <w:rsid w:val="003227CC"/>
    <w:rsid w:val="00326237"/>
    <w:rsid w:val="00340FA5"/>
    <w:rsid w:val="003452F9"/>
    <w:rsid w:val="003534E0"/>
    <w:rsid w:val="0037319B"/>
    <w:rsid w:val="0037722B"/>
    <w:rsid w:val="00393924"/>
    <w:rsid w:val="003B6923"/>
    <w:rsid w:val="003E1B8B"/>
    <w:rsid w:val="003F326D"/>
    <w:rsid w:val="003F4F92"/>
    <w:rsid w:val="003F66F7"/>
    <w:rsid w:val="003F79EF"/>
    <w:rsid w:val="00416286"/>
    <w:rsid w:val="00426372"/>
    <w:rsid w:val="0043191A"/>
    <w:rsid w:val="00443FA8"/>
    <w:rsid w:val="00462F24"/>
    <w:rsid w:val="004A5CD7"/>
    <w:rsid w:val="004C4CDB"/>
    <w:rsid w:val="004C6DA8"/>
    <w:rsid w:val="004D1319"/>
    <w:rsid w:val="004D7AC0"/>
    <w:rsid w:val="00527B47"/>
    <w:rsid w:val="00532089"/>
    <w:rsid w:val="00532F99"/>
    <w:rsid w:val="00557848"/>
    <w:rsid w:val="00586B4B"/>
    <w:rsid w:val="00594237"/>
    <w:rsid w:val="005A0BDA"/>
    <w:rsid w:val="005C2B2F"/>
    <w:rsid w:val="005C357F"/>
    <w:rsid w:val="005C6D36"/>
    <w:rsid w:val="005D3E1C"/>
    <w:rsid w:val="005D6F64"/>
    <w:rsid w:val="005E7651"/>
    <w:rsid w:val="00621347"/>
    <w:rsid w:val="00625CA3"/>
    <w:rsid w:val="00627FDF"/>
    <w:rsid w:val="00630779"/>
    <w:rsid w:val="00632B12"/>
    <w:rsid w:val="00641262"/>
    <w:rsid w:val="006553ED"/>
    <w:rsid w:val="00660482"/>
    <w:rsid w:val="006B2C49"/>
    <w:rsid w:val="006D2C8A"/>
    <w:rsid w:val="006D2D64"/>
    <w:rsid w:val="006E7051"/>
    <w:rsid w:val="00705489"/>
    <w:rsid w:val="00711298"/>
    <w:rsid w:val="00713CC2"/>
    <w:rsid w:val="007526DA"/>
    <w:rsid w:val="00753B41"/>
    <w:rsid w:val="00754027"/>
    <w:rsid w:val="007652C3"/>
    <w:rsid w:val="00766B1A"/>
    <w:rsid w:val="007B2AC1"/>
    <w:rsid w:val="007E284A"/>
    <w:rsid w:val="007F5784"/>
    <w:rsid w:val="008072FE"/>
    <w:rsid w:val="008310AE"/>
    <w:rsid w:val="008402C8"/>
    <w:rsid w:val="00845F24"/>
    <w:rsid w:val="00846483"/>
    <w:rsid w:val="008611DB"/>
    <w:rsid w:val="00881A01"/>
    <w:rsid w:val="0088219D"/>
    <w:rsid w:val="00892105"/>
    <w:rsid w:val="008B1A24"/>
    <w:rsid w:val="008B4127"/>
    <w:rsid w:val="008D7FAC"/>
    <w:rsid w:val="009277D3"/>
    <w:rsid w:val="00933300"/>
    <w:rsid w:val="009338FC"/>
    <w:rsid w:val="009348BC"/>
    <w:rsid w:val="00940A7B"/>
    <w:rsid w:val="00950272"/>
    <w:rsid w:val="00974BD0"/>
    <w:rsid w:val="00975896"/>
    <w:rsid w:val="009858F5"/>
    <w:rsid w:val="00997A3D"/>
    <w:rsid w:val="009A66B9"/>
    <w:rsid w:val="009B3AED"/>
    <w:rsid w:val="009C18E6"/>
    <w:rsid w:val="00A05217"/>
    <w:rsid w:val="00A0600A"/>
    <w:rsid w:val="00A20E9D"/>
    <w:rsid w:val="00A22C83"/>
    <w:rsid w:val="00A272B2"/>
    <w:rsid w:val="00A3284F"/>
    <w:rsid w:val="00A43668"/>
    <w:rsid w:val="00A4486C"/>
    <w:rsid w:val="00A50553"/>
    <w:rsid w:val="00AD49F5"/>
    <w:rsid w:val="00AD4D97"/>
    <w:rsid w:val="00AF0EB2"/>
    <w:rsid w:val="00AF2146"/>
    <w:rsid w:val="00B203DA"/>
    <w:rsid w:val="00B241B1"/>
    <w:rsid w:val="00B458B2"/>
    <w:rsid w:val="00B518C9"/>
    <w:rsid w:val="00B55C6C"/>
    <w:rsid w:val="00B922EA"/>
    <w:rsid w:val="00BA0232"/>
    <w:rsid w:val="00BA1771"/>
    <w:rsid w:val="00BA6AA9"/>
    <w:rsid w:val="00BC7ED2"/>
    <w:rsid w:val="00BD64BD"/>
    <w:rsid w:val="00BE5024"/>
    <w:rsid w:val="00BE54B3"/>
    <w:rsid w:val="00BE5CBC"/>
    <w:rsid w:val="00BF79AB"/>
    <w:rsid w:val="00C008B4"/>
    <w:rsid w:val="00C17ABD"/>
    <w:rsid w:val="00C26C67"/>
    <w:rsid w:val="00C52249"/>
    <w:rsid w:val="00C821A5"/>
    <w:rsid w:val="00CA3DDE"/>
    <w:rsid w:val="00CC7D10"/>
    <w:rsid w:val="00CF196A"/>
    <w:rsid w:val="00D05167"/>
    <w:rsid w:val="00D0608D"/>
    <w:rsid w:val="00D33B4E"/>
    <w:rsid w:val="00D43613"/>
    <w:rsid w:val="00D505CF"/>
    <w:rsid w:val="00D66BF5"/>
    <w:rsid w:val="00D7076A"/>
    <w:rsid w:val="00D81F5E"/>
    <w:rsid w:val="00D92269"/>
    <w:rsid w:val="00DE176A"/>
    <w:rsid w:val="00DF392C"/>
    <w:rsid w:val="00DF7590"/>
    <w:rsid w:val="00DF78D0"/>
    <w:rsid w:val="00E00A6B"/>
    <w:rsid w:val="00E2062A"/>
    <w:rsid w:val="00E235D3"/>
    <w:rsid w:val="00E25EB4"/>
    <w:rsid w:val="00E77899"/>
    <w:rsid w:val="00E81BB7"/>
    <w:rsid w:val="00EE1B31"/>
    <w:rsid w:val="00EE46A0"/>
    <w:rsid w:val="00EF5581"/>
    <w:rsid w:val="00F15673"/>
    <w:rsid w:val="00F172E5"/>
    <w:rsid w:val="00F253CA"/>
    <w:rsid w:val="00F25B2E"/>
    <w:rsid w:val="00F43315"/>
    <w:rsid w:val="00F55F11"/>
    <w:rsid w:val="00F604AD"/>
    <w:rsid w:val="00F83C17"/>
    <w:rsid w:val="00F96D7F"/>
    <w:rsid w:val="00FA7B95"/>
    <w:rsid w:val="00FB4220"/>
    <w:rsid w:val="00FC178B"/>
    <w:rsid w:val="00FC456F"/>
    <w:rsid w:val="00FC4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EE46A0"/>
    <w:rPr>
      <w:rFonts w:ascii="Times New Roman" w:hAnsi="Times New Roman"/>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393924"/>
    <w:pPr>
      <w:tabs>
        <w:tab w:val="left" w:pos="567"/>
        <w:tab w:val="right" w:leader="dot" w:pos="9063"/>
      </w:tabs>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1A1F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27F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652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32F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55C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42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1653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534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E25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6213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CDB"/>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3066E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esc.europa.eu/en/our-work/opinions-information-reports/plenary-session-summaries" TargetMode="External"/><Relationship Id="rId18" Type="http://schemas.openxmlformats.org/officeDocument/2006/relationships/hyperlink" Target="https://www.eesc.europa.eu/sl/our-work/opinions-information-reports/opinions/2026-european-semester-autumn-package" TargetMode="External"/><Relationship Id="rId26" Type="http://schemas.openxmlformats.org/officeDocument/2006/relationships/hyperlink" Target="https://www.eesc.europa.eu/sl/our-work/opinions-information-reports/opinions/european-life-science-strategy-along-strategy-research-and-technology-infrastructures-focus-treatment-rare-diseases" TargetMode="External"/><Relationship Id="rId39" Type="http://schemas.openxmlformats.org/officeDocument/2006/relationships/hyperlink" Target="mailto:Luis.BarbosaESilva@eesc.europa.eu" TargetMode="External"/><Relationship Id="rId3" Type="http://schemas.openxmlformats.org/officeDocument/2006/relationships/customXml" Target="../customXml/item3.xml"/><Relationship Id="rId21" Type="http://schemas.openxmlformats.org/officeDocument/2006/relationships/hyperlink" Target="mailto:Georgios.Meleas@eesc.europa.eu" TargetMode="External"/><Relationship Id="rId34" Type="http://schemas.openxmlformats.org/officeDocument/2006/relationships/hyperlink" Target="mailto:Gaia.Bottoni@eesc.europa.eu"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Juri.Soosaar@eesc.europa.eu" TargetMode="External"/><Relationship Id="rId25" Type="http://schemas.openxmlformats.org/officeDocument/2006/relationships/hyperlink" Target="mailto:Gemma.Amran@eesc.europa.eu" TargetMode="External"/><Relationship Id="rId33" Type="http://schemas.openxmlformats.org/officeDocument/2006/relationships/hyperlink" Target="https://www.eesc.europa.eu/sl/our-work/opinions-information-reports/opinions/roadmap-towards-nature-credits" TargetMode="External"/><Relationship Id="rId38" Type="http://schemas.openxmlformats.org/officeDocument/2006/relationships/hyperlink" Target="https://www.eesc.europa.eu/sl/our-work/opinions-information-reports/opinions/enhancing-eu-strategic-autonomy-and-developing-greener-and-bluer-economy-potential-sodium-battery-manufacturing-sector"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esc.europa.eu/sl/our-work/opinions-information-reports/opinions/eppo-and-olaf-access-vat-information-union-level" TargetMode="External"/><Relationship Id="rId20" Type="http://schemas.openxmlformats.org/officeDocument/2006/relationships/hyperlink" Target="https://www.eesc.europa.eu/sl/our-work/opinions-information-reports/opinions/island-dimension-european-cohesion-competitiveness-and-sustainable-development-policies" TargetMode="External"/><Relationship Id="rId29" Type="http://schemas.openxmlformats.org/officeDocument/2006/relationships/hyperlink" Target="https://health.ec.europa.eu/one-health/overview_en"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esc.europa.eu/sl/our-work/opinions-information-reports/opinions/union-support-asylum-migration-and-integration-internal-security-and-integrated-border-management-and-visa-policy" TargetMode="External"/><Relationship Id="rId32" Type="http://schemas.openxmlformats.org/officeDocument/2006/relationships/hyperlink" Target="mailto:GiorgiaAndrea.Bordignon@eesc.europa.eu" TargetMode="External"/><Relationship Id="rId37" Type="http://schemas.openxmlformats.org/officeDocument/2006/relationships/hyperlink" Target="mailto:Adam.Dorywalski@eesc.europa.eu" TargetMode="External"/><Relationship Id="rId40" Type="http://schemas.openxmlformats.org/officeDocument/2006/relationships/header" Target="header1.xml"/><Relationship Id="rId45"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Juri.Soosaar@eesc.europa.eu" TargetMode="External"/><Relationship Id="rId28" Type="http://schemas.openxmlformats.org/officeDocument/2006/relationships/hyperlink" Target="https://health.ec.europa.eu/publications/tartu-call-healthy-lifestyle-joint-actions-promote-healthy-lifestyles_en" TargetMode="External"/><Relationship Id="rId36" Type="http://schemas.openxmlformats.org/officeDocument/2006/relationships/hyperlink" Target="https://eur-lex.europa.eu/legal-content/SL/TXT/?uri=CELEX%3A52023AE1573&amp;qid=1770668649096" TargetMode="External"/><Relationship Id="rId10" Type="http://schemas.openxmlformats.org/officeDocument/2006/relationships/footnotes" Target="footnotes.xml"/><Relationship Id="rId19" Type="http://schemas.openxmlformats.org/officeDocument/2006/relationships/hyperlink" Target="mailto:Anna.Pantazi@eesc.europa.eu" TargetMode="External"/><Relationship Id="rId31" Type="http://schemas.openxmlformats.org/officeDocument/2006/relationships/hyperlink" Target="https://www.eesc.europa.eu/sl/our-work/opinions-information-reports/opinions/energy-connectivity-electricity-grids"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https://www.eesc.europa.eu/sl/our-work/opinions-information-reports/opinions/revision-tobacco-taxation-directive" TargetMode="External"/><Relationship Id="rId27" Type="http://schemas.openxmlformats.org/officeDocument/2006/relationships/hyperlink" Target="https://www.europarl.europa.eu/RegData/etudes/ATAG/2025/779215/EPRS_ATA(2025)779215_EN.pdf" TargetMode="External"/><Relationship Id="rId30" Type="http://schemas.openxmlformats.org/officeDocument/2006/relationships/hyperlink" Target="mailto:Konstantina.Angelopoulou@eesc.europa.eu" TargetMode="External"/><Relationship Id="rId35" Type="http://schemas.openxmlformats.org/officeDocument/2006/relationships/hyperlink" Target="https://www.eesc.europa.eu/sl/our-work/opinions-information-reports/opinions/amending-regulation-eu-20241252-critical-raw-materials-act"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VP3JK3XSEPRV-2087481956-3322</_dlc_DocId>
    <_dlc_DocIdUrl xmlns="7d640e6d-779c-472f-a269-6b546787f1c9">
      <Url>http://dm/eesc/2026/_layouts/15/DocIdRedir.aspx?ID=VP3JK3XSEPRV-2087481956-3322</Url>
      <Description>VP3JK3XSEPRV-2087481956-3322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2026-03-04T12:00:00+00:00</ProductionDate>
    <DocumentNumber xmlns="a95533f8-59af-4217-bc7a-c1167744adb0">247</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7d640e6d-779c-472f-a269-6b546787f1c9">
      <Value>60</Value>
      <Value>59</Value>
      <Value>55</Value>
      <Value>51</Value>
      <Value>46</Value>
      <Value>45</Value>
      <Value>44</Value>
      <Value>43</Value>
      <Value>37</Value>
      <Value>36</Value>
      <Value>34</Value>
      <Value>32</Value>
      <Value>31</Value>
      <Value>30</Value>
      <Value>29</Value>
      <Value>28</Value>
      <Value>27</Value>
      <Value>25</Value>
      <Value>23</Value>
      <Value>19</Value>
      <Value>18</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s>
    </DocumentLanguage_0>
    <MeetingDate xmlns="7d640e6d-779c-472f-a269-6b546787f1c9">2026-03-18T12:00:00+00:00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300453</FicheNumber>
    <OriginalSender xmlns="7d640e6d-779c-472f-a269-6b546787f1c9">
      <UserInfo>
        <DisplayName>Sinko Borut</DisplayName>
        <AccountId>1361</AccountId>
        <AccountType/>
      </UserInfo>
    </OriginalSender>
    <DocumentPart xmlns="7d640e6d-779c-472f-a269-6b546787f1c9">0</DocumentPart>
    <AdoptionDate xmlns="7d640e6d-779c-472f-a269-6b546787f1c9" xsi:nil="true"/>
    <RequestingService xmlns="7d640e6d-779c-472f-a269-6b546787f1c9">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604</MeetingNumber>
    <DossierName_0 xmlns="http://schemas.microsoft.com/sharepoint/v3/fields">
      <Terms xmlns="http://schemas.microsoft.com/office/infopath/2007/PartnerControls"/>
    </DossierName_0>
    <DocumentVersion xmlns="7d640e6d-779c-472f-a269-6b546787f1c9">0</DocumentVersion>
  </documentManagement>
</p:properties>
</file>

<file path=customXml/item5.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50B7D9-B944-4719-A93C-2F495E041519}">
  <ds:schemaRefs>
    <ds:schemaRef ds:uri="http://schemas.microsoft.com/sharepoint/events"/>
  </ds:schemaRefs>
</ds:datastoreItem>
</file>

<file path=customXml/itemProps2.xml><?xml version="1.0" encoding="utf-8"?>
<ds:datastoreItem xmlns:ds="http://schemas.openxmlformats.org/officeDocument/2006/customXml" ds:itemID="{4A03EBBC-B428-477F-AB6A-163022156F55}">
  <ds:schemaRefs>
    <ds:schemaRef ds:uri="http://schemas.openxmlformats.org/officeDocument/2006/bibliography"/>
  </ds:schemaRefs>
</ds:datastoreItem>
</file>

<file path=customXml/itemProps3.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4.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customXml/itemProps5.xml><?xml version="1.0" encoding="utf-8"?>
<ds:datastoreItem xmlns:ds="http://schemas.openxmlformats.org/officeDocument/2006/customXml" ds:itemID="{2F03112F-7D3E-426B-8F2B-1AC293A3866F}"/>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4103</Words>
  <Characters>25399</Characters>
  <Application>Microsoft Office Word</Application>
  <DocSecurity>0</DocSecurity>
  <Lines>540</Lines>
  <Paragraphs>175</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29327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Povzetek sprejetih mnenj - 603. plenarno zasedanje - februar 2026</dc:title>
  <dc:subject>ADMIN</dc:subject>
  <dc:creator/>
  <cp:keywords>COR-EESC-2022-02583-00-00-ADMIN-TRA-EN</cp:keywords>
  <dc:description>Rapporteur:  - Original language: EN - Date of document: 20/05/2022 - Date of meeting:  - External documents:  - Administrator:  SUCIU Serban</dc:description>
  <cp:lastModifiedBy/>
  <cp:revision>4</cp:revision>
  <dcterms:created xsi:type="dcterms:W3CDTF">2026-02-26T10:36:00Z</dcterms:created>
  <dcterms:modified xsi:type="dcterms:W3CDTF">2026-03-04T08:23:00Z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26/02/2026, 02/05/2022, 02/05/2022, 28/06/2021</vt:lpwstr>
  </property>
  <property fmtid="{D5CDD505-2E9C-101B-9397-08002B2CF9AE}" pid="4" name="Pref_Time">
    <vt:lpwstr>09:12:28, 12:28:29, 12:25:37, 08:41:48</vt:lpwstr>
  </property>
  <property fmtid="{D5CDD505-2E9C-101B-9397-08002B2CF9AE}" pid="5" name="Pref_User">
    <vt:lpwstr>amett, enied, enied, enied</vt:lpwstr>
  </property>
  <property fmtid="{D5CDD505-2E9C-101B-9397-08002B2CF9AE}" pid="6" name="Pref_FileName">
    <vt:lpwstr>EESC-2026-00247-00-00-TCD-ORI.docx, Summary of opinions.docx, COR-EESC-2022-02370-00-00-ADMIN-ORI.docx, Synthese des avis Template.docx</vt:lpwstr>
  </property>
  <property fmtid="{D5CDD505-2E9C-101B-9397-08002B2CF9AE}" pid="7" name="ContentTypeId">
    <vt:lpwstr>0x010100EA97B91038054C99906057A708A1480A0042CFDF3EA65A64469BBC042F89C9AB74</vt:lpwstr>
  </property>
  <property fmtid="{D5CDD505-2E9C-101B-9397-08002B2CF9AE}" pid="8" name="_dlc_DocIdItemGuid">
    <vt:lpwstr>823d7ae8-f772-4a5e-8e75-603605d9c776</vt:lpwstr>
  </property>
  <property fmtid="{D5CDD505-2E9C-101B-9397-08002B2CF9AE}" pid="9" name="AvailableTranslations">
    <vt:lpwstr>60;#EL|6d4f4d51-af9b-4650-94b4-4276bee85c91;#34;#HR|2f555653-ed1a-4fe6-8362-9082d95989e5;#45;#SV|c2ed69e7-a339-43d7-8f22-d93680a92aa0;#43;#BG|1a1b3951-7821-4e6a-85f5-5673fc08bd2c;#37;#HU|6b229040-c589-4408-b4c1-4285663d20a8;#31;#SL|98a412ae-eb01-49e9-ae3d-585a81724cfc;#4;#EN|f2175f21-25d7-44a3-96da-d6a61b075e1b;#30;#SK|46d9fce0-ef79-4f71-b89b-cd6aa82426b8;#12;#ES|e7a6b05b-ae16-40c8-add9-68b64b03aeba;#46;#DA|5d49c027-8956-412b-aa16-e85a0f96ad0e;#32;#PL|1e03da61-4678-4e07-b136-b5024ca9197b;#29;#CS|72f9705b-0217-4fd3-bea2-cbc7ed80e26e;#11;#DE|f6b31e5a-26fa-4935-b661-318e46daf27e;#44;#LT|a7ff5ce7-6123-4f68-865a-a57c31810414;#25;#FI|87606a43-d45f-42d6-b8c9-e1a3457db5b7;#27;#ET|ff6c3f4c-b02c-4c3c-ab07-2c37995a7a0a;#23;#FR|d2afafd3-4c81-4f60-8f52-ee33f2f54ff3;#51;#LV|46f7e311-5d9f-4663-b433-18aeccb7ace7;#36;#NL|55c6556c-b4f4-441d-9acf-c498d4f838bd;#28;#PT|50ccc04a-eadd-42ae-a0cb-acaf45f812ba;#55;#RO|feb747a2-64cd-4299-af12-4833ddc30497;#13;#IT|0774613c-01ed-4e5d-a25d-11d2388de825</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247</vt:i4>
  </property>
  <property fmtid="{D5CDD505-2E9C-101B-9397-08002B2CF9AE}" pid="14" name="DocumentVersion">
    <vt:i4>0</vt:i4>
  </property>
  <property fmtid="{D5CDD505-2E9C-101B-9397-08002B2CF9AE}" pid="15" name="DocumentStatus">
    <vt:lpwstr>9;#TRA|150d2a88-1431-44e6-a8ca-0bb753ab8672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19;#Unrestricted|826e22d7-d029-4ec0-a450-0c28ff673572</vt:lpwstr>
  </property>
  <property fmtid="{D5CDD505-2E9C-101B-9397-08002B2CF9AE}" pid="19" name="OriginalLanguage">
    <vt:lpwstr>4;#EN|f2175f21-25d7-44a3-96da-d6a61b075e1b</vt:lpwstr>
  </property>
  <property fmtid="{D5CDD505-2E9C-101B-9397-08002B2CF9AE}" pid="20" name="MeetingName">
    <vt:lpwstr>59;#SPL-CES|32d8cb1f-c9ec-4365-95c7-8385a18618ac</vt:lpwstr>
  </property>
  <property fmtid="{D5CDD505-2E9C-101B-9397-08002B2CF9AE}" pid="21" name="TaxCatchAll">
    <vt:lpwstr>18;#TCD|cd9d6eb6-3f4f-424a-b2d1-57c9d450eaaf;#11;#DE|f6b31e5a-26fa-4935-b661-318e46daf27e;#9;#TRA|150d2a88-1431-44e6-a8ca-0bb753ab8672;#59;#SPL-CES|32d8cb1f-c9ec-4365-95c7-8385a18618ac;#7;#Final|ea5e6674-7b27-4bac-b091-73adbb394efe;#4;#EN|f2175f21-25d7-44a3-96da-d6a61b075e1b;#28;#PT|50ccc04a-eadd-42ae-a0cb-acaf45f812ba;#19;#Unrestricted|826e22d7-d029-4ec0-a450-0c28ff673572;#1;#EESC|422833ec-8d7e-4e65-8e4e-8bed07ffb729</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7;#Final|ea5e6674-7b27-4bac-b091-73adbb394efe</vt:lpwstr>
  </property>
  <property fmtid="{D5CDD505-2E9C-101B-9397-08002B2CF9AE}" pid="25" name="DocumentYear">
    <vt:i4>2026</vt:i4>
  </property>
  <property fmtid="{D5CDD505-2E9C-101B-9397-08002B2CF9AE}" pid="26" name="FicheNumber">
    <vt:i4>300453</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18;#TCD|cd9d6eb6-3f4f-424a-b2d1-57c9d450eaaf</vt:lpwstr>
  </property>
  <property fmtid="{D5CDD505-2E9C-101B-9397-08002B2CF9AE}" pid="31" name="RequestingService">
    <vt:lpwstr>Greffe</vt:lpwstr>
  </property>
  <property fmtid="{D5CDD505-2E9C-101B-9397-08002B2CF9AE}" pid="32" name="DocumentLanguage">
    <vt:lpwstr>31;#SL|98a412ae-eb01-49e9-ae3d-585a81724cfc</vt:lpwstr>
  </property>
  <property fmtid="{D5CDD505-2E9C-101B-9397-08002B2CF9AE}" pid="33" name="AvailableTranslations_0">
    <vt:lpwstr>EN|f2175f21-25d7-44a3-96da-d6a61b075e1b;DE|f6b31e5a-26fa-4935-b661-318e46daf27e;PT|50ccc04a-eadd-42ae-a0cb-acaf45f812ba</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Number">
    <vt:i4>604</vt:i4>
  </property>
  <property fmtid="{D5CDD505-2E9C-101B-9397-08002B2CF9AE}" pid="40" name="MeetingDate">
    <vt:filetime>2026-03-18T12:00:00Z</vt:filetime>
  </property>
</Properties>
</file>