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32FD54A0" w:rsidR="004D7AC0" w:rsidRPr="00BE3196" w:rsidRDefault="00EC1A28" w:rsidP="00100EF9">
      <w:pPr>
        <w:jc w:val="center"/>
      </w:pPr>
      <w:r w:rsidRPr="00BE3196">
        <w:drawing>
          <wp:inline distT="0" distB="0" distL="0" distR="0" wp14:anchorId="39479C9D" wp14:editId="7B562604">
            <wp:extent cx="1792605" cy="1239520"/>
            <wp:effectExtent l="0" t="0" r="0" b="0"/>
            <wp:docPr id="1" name="Picture 1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SK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 w:rsidRPr="00BE3196"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982DE48" wp14:editId="3BA44AA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Pr="00BE3196" w:rsidRDefault="004D7AC0" w:rsidP="00100EF9"/>
    <w:p w14:paraId="4982DD4F" w14:textId="5D96DBF7" w:rsidR="004D7AC0" w:rsidRPr="00BE3196" w:rsidRDefault="004D7AC0" w:rsidP="00100EF9">
      <w:pPr>
        <w:jc w:val="right"/>
      </w:pPr>
      <w:r w:rsidRPr="00BE3196">
        <w:t>Brusel 4</w:t>
      </w:r>
      <w:r w:rsidR="00BE3196">
        <w:t>. marca</w:t>
      </w:r>
      <w:r w:rsidRPr="00BE3196">
        <w:t xml:space="preserve"> 2026</w:t>
      </w:r>
    </w:p>
    <w:p w14:paraId="4982DD50" w14:textId="77777777" w:rsidR="004D7AC0" w:rsidRPr="00BE3196" w:rsidRDefault="004D7AC0" w:rsidP="00100EF9"/>
    <w:p w14:paraId="4982DD51" w14:textId="77777777" w:rsidR="004D7AC0" w:rsidRPr="00BE3196" w:rsidRDefault="004D7AC0" w:rsidP="00100EF9"/>
    <w:p w14:paraId="4982DD52" w14:textId="77777777" w:rsidR="004D7AC0" w:rsidRPr="00BE3196" w:rsidRDefault="004D7AC0" w:rsidP="00100EF9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:rsidRPr="00BE3196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541025A2" w:rsidR="003066BE" w:rsidRPr="00BE3196" w:rsidRDefault="004C4CDB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BE3196">
              <w:rPr>
                <w:b/>
                <w:sz w:val="32"/>
              </w:rPr>
              <w:t>603.</w:t>
            </w:r>
            <w:r w:rsidR="00180FD9">
              <w:rPr>
                <w:b/>
                <w:sz w:val="32"/>
              </w:rPr>
              <w:t> </w:t>
            </w:r>
            <w:r w:rsidRPr="00BE3196">
              <w:rPr>
                <w:b/>
                <w:sz w:val="32"/>
              </w:rPr>
              <w:t>PLENÁRNE ZASADNUTIE</w:t>
            </w:r>
          </w:p>
          <w:p w14:paraId="4982DD54" w14:textId="77777777" w:rsidR="003066BE" w:rsidRPr="00BE3196" w:rsidRDefault="003066BE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4CF4296C" w:rsidR="003066BE" w:rsidRPr="00BE3196" w:rsidRDefault="003066E2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BE3196">
              <w:rPr>
                <w:b/>
                <w:sz w:val="32"/>
              </w:rPr>
              <w:t>18</w:t>
            </w:r>
            <w:r w:rsidR="00BE3196">
              <w:rPr>
                <w:b/>
                <w:sz w:val="32"/>
              </w:rPr>
              <w:t>. a </w:t>
            </w:r>
            <w:r w:rsidRPr="00BE3196">
              <w:rPr>
                <w:b/>
                <w:sz w:val="32"/>
              </w:rPr>
              <w:t>19</w:t>
            </w:r>
            <w:r w:rsidR="00BE3196">
              <w:rPr>
                <w:b/>
                <w:sz w:val="32"/>
              </w:rPr>
              <w:t>. februára</w:t>
            </w:r>
            <w:r w:rsidRPr="00BE3196">
              <w:rPr>
                <w:b/>
                <w:sz w:val="32"/>
              </w:rPr>
              <w:t xml:space="preserve"> 2026</w:t>
            </w:r>
          </w:p>
          <w:p w14:paraId="4982DD56" w14:textId="77777777" w:rsidR="003066BE" w:rsidRPr="00BE3196" w:rsidRDefault="003066BE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BE3196" w:rsidRDefault="00754027" w:rsidP="00100EF9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BE3196">
              <w:rPr>
                <w:b/>
                <w:sz w:val="32"/>
              </w:rPr>
              <w:t>PREHĽAD PRIJATÝCH STANOVÍSK, UZNESENÍ, INFORMAČNÝCH A HODNOTIACICH SPRÁV</w:t>
            </w:r>
          </w:p>
          <w:p w14:paraId="4982DD58" w14:textId="77777777" w:rsidR="004D7AC0" w:rsidRPr="00BE3196" w:rsidRDefault="004D7AC0" w:rsidP="00100EF9">
            <w:pPr>
              <w:snapToGrid w:val="0"/>
            </w:pPr>
          </w:p>
        </w:tc>
      </w:tr>
      <w:tr w:rsidR="004D7AC0" w:rsidRPr="00BE3196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BE3196" w:rsidRDefault="004D7AC0" w:rsidP="00100EF9">
            <w:pPr>
              <w:snapToGrid w:val="0"/>
              <w:jc w:val="center"/>
            </w:pPr>
            <w:r w:rsidRPr="00BE3196">
              <w:t>Tento dokument je dostupný vo všetkých úradných jazykoch Európskej únie</w:t>
            </w:r>
            <w:r w:rsidRPr="00BE3196">
              <w:br/>
              <w:t>na webovom sídle EHSV:</w:t>
            </w:r>
            <w:r w:rsidRPr="00BE3196">
              <w:br/>
            </w:r>
            <w:r w:rsidRPr="00BE3196">
              <w:br/>
            </w:r>
            <w:hyperlink r:id="rId13" w:history="1">
              <w:r w:rsidRPr="00BE3196">
                <w:rPr>
                  <w:rStyle w:val="Hyperlink"/>
                </w:rPr>
                <w:t>https://www.eesc.europa.eu/sk/our-work/opinions-information-reports/plenary-session-summaries</w:t>
              </w:r>
            </w:hyperlink>
          </w:p>
          <w:p w14:paraId="4982DD5B" w14:textId="77777777" w:rsidR="004D7AC0" w:rsidRPr="00BE3196" w:rsidRDefault="004D7AC0" w:rsidP="00100EF9">
            <w:pPr>
              <w:snapToGrid w:val="0"/>
              <w:jc w:val="center"/>
            </w:pPr>
          </w:p>
          <w:p w14:paraId="4982DD5C" w14:textId="77777777" w:rsidR="004D7AC0" w:rsidRPr="00BE3196" w:rsidRDefault="004D7AC0" w:rsidP="00100EF9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BE3196" w:rsidRDefault="004D7AC0" w:rsidP="00100EF9">
            <w:pPr>
              <w:snapToGrid w:val="0"/>
              <w:jc w:val="center"/>
            </w:pPr>
            <w:r w:rsidRPr="00BE3196">
              <w:t>Uvedené stanoviská možno nájsť on-line cez vyhľadávač EHSV:</w:t>
            </w:r>
            <w:r w:rsidRPr="00BE3196">
              <w:br/>
            </w:r>
            <w:r w:rsidRPr="00BE3196">
              <w:br/>
            </w:r>
            <w:hyperlink r:id="rId14" w:history="1">
              <w:r w:rsidRPr="00BE3196"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BE3196" w:rsidRDefault="004D7AC0" w:rsidP="00100EF9">
            <w:pPr>
              <w:snapToGrid w:val="0"/>
              <w:jc w:val="center"/>
            </w:pPr>
          </w:p>
        </w:tc>
      </w:tr>
    </w:tbl>
    <w:p w14:paraId="4982DD60" w14:textId="77777777" w:rsidR="004D7AC0" w:rsidRPr="00BE3196" w:rsidRDefault="004D7AC0" w:rsidP="00100EF9"/>
    <w:p w14:paraId="4982DD61" w14:textId="77777777" w:rsidR="004D7AC0" w:rsidRPr="00BE3196" w:rsidRDefault="004D7AC0" w:rsidP="00100EF9"/>
    <w:p w14:paraId="4982DD62" w14:textId="77777777" w:rsidR="004D7AC0" w:rsidRPr="00BE3196" w:rsidRDefault="004D7AC0" w:rsidP="00100EF9">
      <w:pPr>
        <w:sectPr w:rsidR="004D7AC0" w:rsidRPr="00BE3196" w:rsidSect="00153E09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BE3196" w:rsidRDefault="004D7AC0" w:rsidP="00100EF9">
      <w:pPr>
        <w:rPr>
          <w:b/>
        </w:rPr>
      </w:pPr>
      <w:r w:rsidRPr="00BE3196">
        <w:rPr>
          <w:b/>
        </w:rPr>
        <w:lastRenderedPageBreak/>
        <w:t>Obsah: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82DD64" w14:textId="77777777" w:rsidR="004D7AC0" w:rsidRPr="00BE3196" w:rsidRDefault="004D7AC0" w:rsidP="00100EF9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0869E3A1" w14:textId="448BDC9E" w:rsidR="00B379C2" w:rsidRDefault="004D7AC0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BE3196">
            <w:fldChar w:fldCharType="begin"/>
          </w:r>
          <w:r w:rsidRPr="00BE3196">
            <w:instrText xml:space="preserve"> TOC \o "1-3" \h \z \u </w:instrText>
          </w:r>
          <w:r w:rsidRPr="00BE3196">
            <w:fldChar w:fldCharType="separate"/>
          </w:r>
          <w:hyperlink w:anchor="_Toc223518454" w:history="1">
            <w:r w:rsidR="00B379C2" w:rsidRPr="00FB77FD">
              <w:rPr>
                <w:rStyle w:val="Hyperlink"/>
                <w:bCs/>
                <w:noProof/>
              </w:rPr>
              <w:t>1.</w:t>
            </w:r>
            <w:r w:rsidR="00B379C2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B379C2" w:rsidRPr="00FB77FD">
              <w:rPr>
                <w:rStyle w:val="Hyperlink"/>
                <w:b/>
                <w:noProof/>
              </w:rPr>
              <w:t>HOSPODÁRSKA A MENOVÁ ÚNIA, HOSPODÁRSKA A SOCIÁLNA SÚDRŽNOSŤ</w:t>
            </w:r>
            <w:r w:rsidR="00B379C2">
              <w:rPr>
                <w:noProof/>
                <w:webHidden/>
              </w:rPr>
              <w:tab/>
            </w:r>
            <w:r w:rsidR="00B379C2">
              <w:rPr>
                <w:noProof/>
                <w:webHidden/>
              </w:rPr>
              <w:fldChar w:fldCharType="begin"/>
            </w:r>
            <w:r w:rsidR="00B379C2">
              <w:rPr>
                <w:noProof/>
                <w:webHidden/>
              </w:rPr>
              <w:instrText xml:space="preserve"> PAGEREF _Toc223518454 \h </w:instrText>
            </w:r>
            <w:r w:rsidR="00B379C2">
              <w:rPr>
                <w:noProof/>
                <w:webHidden/>
              </w:rPr>
            </w:r>
            <w:r w:rsidR="00B379C2">
              <w:rPr>
                <w:noProof/>
                <w:webHidden/>
              </w:rPr>
              <w:fldChar w:fldCharType="separate"/>
            </w:r>
            <w:r w:rsidR="00B379C2">
              <w:rPr>
                <w:noProof/>
                <w:webHidden/>
              </w:rPr>
              <w:t>3</w:t>
            </w:r>
            <w:r w:rsidR="00B379C2">
              <w:rPr>
                <w:noProof/>
                <w:webHidden/>
              </w:rPr>
              <w:fldChar w:fldCharType="end"/>
            </w:r>
          </w:hyperlink>
        </w:p>
        <w:p w14:paraId="614E5514" w14:textId="2CF35433" w:rsidR="00B379C2" w:rsidRDefault="00B379C2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23518455" w:history="1">
            <w:r w:rsidRPr="00FB77FD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FB77FD">
              <w:rPr>
                <w:rStyle w:val="Hyperlink"/>
                <w:b/>
                <w:noProof/>
              </w:rPr>
              <w:t>ZAMESTNANOSŤ, SOCIÁLNE VECI A OBČIANSTVO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2C5F2" w14:textId="00B6FB41" w:rsidR="00B379C2" w:rsidRDefault="00B379C2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23518456" w:history="1">
            <w:r w:rsidRPr="00FB77FD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FB77FD">
              <w:rPr>
                <w:rStyle w:val="Hyperlink"/>
                <w:b/>
                <w:noProof/>
              </w:rPr>
              <w:t>DOPRAVA, ENERGETIKA, INFRAŠTRUKTÚRA A INFORMAČNÁ SPOLOČNOSŤ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09B0B" w14:textId="1E8E3157" w:rsidR="00B379C2" w:rsidRDefault="00B379C2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23518457" w:history="1">
            <w:r w:rsidRPr="00FB77FD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FB77FD">
              <w:rPr>
                <w:rStyle w:val="Hyperlink"/>
                <w:b/>
                <w:noProof/>
              </w:rPr>
              <w:t>SEKCIA PRE POĽNOHOSPODÁRSTVO, ROZVOJ VIDIEKA A ŽIVOTNÉ PROSTREDIE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8F5CD" w14:textId="700F9108" w:rsidR="00B379C2" w:rsidRDefault="00B379C2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23518458" w:history="1">
            <w:r w:rsidRPr="00FB77FD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FB77FD">
              <w:rPr>
                <w:rStyle w:val="Hyperlink"/>
                <w:b/>
                <w:noProof/>
              </w:rPr>
              <w:t>PORADNÁ KOMISIA PRE PRIEMYSELNÉ ZMENY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DD6A" w14:textId="129A763E" w:rsidR="004D7AC0" w:rsidRPr="00BE3196" w:rsidRDefault="004D7AC0" w:rsidP="00100EF9">
          <w:r w:rsidRPr="00BE3196">
            <w:rPr>
              <w:b/>
            </w:rPr>
            <w:fldChar w:fldCharType="end"/>
          </w:r>
        </w:p>
      </w:sdtContent>
    </w:sdt>
    <w:p w14:paraId="4982DD6B" w14:textId="77777777" w:rsidR="004D7AC0" w:rsidRPr="00BE3196" w:rsidRDefault="004D7AC0" w:rsidP="00100EF9"/>
    <w:p w14:paraId="4982DD6C" w14:textId="77777777" w:rsidR="004D7AC0" w:rsidRPr="00BE3196" w:rsidRDefault="004D7AC0" w:rsidP="00100EF9">
      <w:pPr>
        <w:jc w:val="left"/>
      </w:pPr>
      <w:r w:rsidRPr="00BE3196">
        <w:br w:type="page"/>
      </w:r>
    </w:p>
    <w:p w14:paraId="4982DD6D" w14:textId="77777777" w:rsidR="004D7AC0" w:rsidRPr="00BE3196" w:rsidRDefault="004D7AC0" w:rsidP="00100EF9">
      <w:pPr>
        <w:pStyle w:val="Heading1"/>
        <w:rPr>
          <w:b/>
        </w:rPr>
      </w:pPr>
      <w:bookmarkStart w:id="0" w:name="_Toc223518454"/>
      <w:r w:rsidRPr="00BE3196">
        <w:rPr>
          <w:b/>
        </w:rPr>
        <w:t>HOSPODÁRSKA A MENOVÁ ÚNIA, HOSPODÁRSKA A SOCIÁLNA SÚDRŽNOSŤ</w:t>
      </w:r>
      <w:bookmarkEnd w:id="0"/>
    </w:p>
    <w:p w14:paraId="4982DD97" w14:textId="77777777" w:rsidR="004D7AC0" w:rsidRPr="00BE3196" w:rsidRDefault="004D7AC0" w:rsidP="00100EF9">
      <w:pPr>
        <w:pStyle w:val="ListParagraph"/>
        <w:ind w:left="0"/>
      </w:pPr>
    </w:p>
    <w:p w14:paraId="14BFA1D1" w14:textId="5D95DEA8" w:rsidR="001A1F1F" w:rsidRPr="00BE3196" w:rsidRDefault="008E67CA" w:rsidP="00180FD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16" w:history="1">
        <w:r w:rsidR="00E235D3" w:rsidRPr="00BE3196">
          <w:rPr>
            <w:b/>
            <w:i/>
            <w:color w:val="0000FF"/>
            <w:sz w:val="28"/>
            <w:u w:val="single"/>
          </w:rPr>
          <w:t>Prístup Európskej prokuratúry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8"/>
            <w:u w:val="single"/>
          </w:rPr>
          <w:t>Európskeho úradu pre boj proti podvodom (OLAF)</w:t>
        </w:r>
        <w:r w:rsidR="00BE3196">
          <w:rPr>
            <w:b/>
            <w:i/>
            <w:color w:val="0000FF"/>
            <w:sz w:val="28"/>
            <w:u w:val="single"/>
          </w:rPr>
          <w:t xml:space="preserve"> k </w:t>
        </w:r>
        <w:r w:rsidR="00E235D3" w:rsidRPr="00BE3196">
          <w:rPr>
            <w:b/>
            <w:i/>
            <w:color w:val="0000FF"/>
            <w:sz w:val="28"/>
            <w:u w:val="single"/>
          </w:rPr>
          <w:t>informáciám</w:t>
        </w:r>
        <w:r w:rsidR="00BE3196">
          <w:rPr>
            <w:b/>
            <w:i/>
            <w:color w:val="0000FF"/>
            <w:sz w:val="28"/>
            <w:u w:val="single"/>
          </w:rPr>
          <w:t xml:space="preserve"> o </w:t>
        </w:r>
        <w:r w:rsidR="00E235D3" w:rsidRPr="00BE3196">
          <w:rPr>
            <w:b/>
            <w:i/>
            <w:color w:val="0000FF"/>
            <w:sz w:val="28"/>
            <w:u w:val="single"/>
          </w:rPr>
          <w:t>dani</w:t>
        </w:r>
        <w:r w:rsidR="00BE3196">
          <w:rPr>
            <w:b/>
            <w:i/>
            <w:color w:val="0000FF"/>
            <w:sz w:val="28"/>
            <w:u w:val="single"/>
          </w:rPr>
          <w:t xml:space="preserve"> z </w:t>
        </w:r>
        <w:r w:rsidR="00E235D3" w:rsidRPr="00BE3196">
          <w:rPr>
            <w:b/>
            <w:i/>
            <w:color w:val="0000FF"/>
            <w:sz w:val="28"/>
            <w:u w:val="single"/>
          </w:rPr>
          <w:t>pridanej hodnoty na úrovni Únie</w:t>
        </w:r>
      </w:hyperlink>
    </w:p>
    <w:p w14:paraId="16AF8D1E" w14:textId="77777777" w:rsidR="001A1F1F" w:rsidRPr="00BE3196" w:rsidRDefault="001A1F1F" w:rsidP="00100EF9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7448"/>
      </w:tblGrid>
      <w:tr w:rsidR="002D4268" w:rsidRPr="00BE3196" w14:paraId="460C697D" w14:textId="77777777" w:rsidTr="002C16D8">
        <w:tc>
          <w:tcPr>
            <w:tcW w:w="1701" w:type="dxa"/>
          </w:tcPr>
          <w:p w14:paraId="061C54E2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Spravodajkyňa:</w:t>
            </w:r>
          </w:p>
        </w:tc>
        <w:tc>
          <w:tcPr>
            <w:tcW w:w="7479" w:type="dxa"/>
          </w:tcPr>
          <w:p w14:paraId="07F11056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proofErr w:type="spellStart"/>
            <w:r w:rsidRPr="00BE3196">
              <w:t>Justyna</w:t>
            </w:r>
            <w:proofErr w:type="spellEnd"/>
            <w:r w:rsidRPr="00BE3196">
              <w:t xml:space="preserve"> Kalina OCHĘDZAN (skupina Organizácie občianskej spoločnosti – PL)</w:t>
            </w:r>
          </w:p>
        </w:tc>
      </w:tr>
      <w:tr w:rsidR="002D4268" w:rsidRPr="00BE3196" w14:paraId="36075392" w14:textId="77777777" w:rsidTr="002C16D8">
        <w:tc>
          <w:tcPr>
            <w:tcW w:w="1701" w:type="dxa"/>
          </w:tcPr>
          <w:p w14:paraId="6537CDBB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.:</w:t>
            </w:r>
          </w:p>
        </w:tc>
        <w:tc>
          <w:tcPr>
            <w:tcW w:w="7479" w:type="dxa"/>
          </w:tcPr>
          <w:p w14:paraId="28DC594D" w14:textId="77777777" w:rsidR="002D4268" w:rsidRPr="00BE3196" w:rsidRDefault="002D4268" w:rsidP="002C16D8">
            <w:pPr>
              <w:tabs>
                <w:tab w:val="center" w:pos="321"/>
              </w:tabs>
            </w:pPr>
            <w:r w:rsidRPr="00BE3196">
              <w:t xml:space="preserve">COM(2025) 685 </w:t>
            </w:r>
            <w:proofErr w:type="spellStart"/>
            <w:r w:rsidRPr="00BE3196">
              <w:t>final</w:t>
            </w:r>
            <w:proofErr w:type="spellEnd"/>
            <w:r w:rsidRPr="00BE3196">
              <w:t> – 2025/0348 (CNS)</w:t>
            </w:r>
          </w:p>
          <w:p w14:paraId="285A94B3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>EESC-2025-04282-00-00-AC-TRA</w:t>
            </w:r>
          </w:p>
        </w:tc>
      </w:tr>
    </w:tbl>
    <w:p w14:paraId="521DD8E3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Cs/>
        </w:rPr>
      </w:pPr>
    </w:p>
    <w:p w14:paraId="5E1655ED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19EB60A8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75E7D4A9" w14:textId="77777777" w:rsidR="002D4268" w:rsidRPr="00BE3196" w:rsidRDefault="002D4268" w:rsidP="002D4268">
      <w:pPr>
        <w:rPr>
          <w:bCs/>
          <w:iCs/>
        </w:rPr>
      </w:pPr>
      <w:r w:rsidRPr="00BE3196">
        <w:t>EHSV:</w:t>
      </w:r>
    </w:p>
    <w:p w14:paraId="59D64A1C" w14:textId="77777777" w:rsidR="002D4268" w:rsidRPr="00BE3196" w:rsidRDefault="002D4268" w:rsidP="002D4268">
      <w:pPr>
        <w:rPr>
          <w:bCs/>
          <w:iCs/>
        </w:rPr>
      </w:pPr>
    </w:p>
    <w:p w14:paraId="0CE5F19C" w14:textId="200ADB47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 xml:space="preserve">plne </w:t>
      </w:r>
      <w:r w:rsidRPr="00B379C2">
        <w:rPr>
          <w:b/>
        </w:rPr>
        <w:t>podporuje</w:t>
      </w:r>
      <w:r w:rsidRPr="00BE3196">
        <w:t xml:space="preserve"> úsilie Komisie</w:t>
      </w:r>
      <w:r w:rsidR="00BE3196">
        <w:t xml:space="preserve"> o </w:t>
      </w:r>
      <w:r w:rsidRPr="00BE3196">
        <w:t>presadzovanie komplexnejšieho</w:t>
      </w:r>
      <w:r w:rsidR="00BE3196">
        <w:t xml:space="preserve"> a </w:t>
      </w:r>
      <w:proofErr w:type="spellStart"/>
      <w:r w:rsidRPr="00BE3196">
        <w:t>holistickejšieho</w:t>
      </w:r>
      <w:proofErr w:type="spellEnd"/>
      <w:r w:rsidRPr="00BE3196">
        <w:t xml:space="preserve"> prístupu</w:t>
      </w:r>
      <w:r w:rsidR="00BE3196">
        <w:t xml:space="preserve"> k </w:t>
      </w:r>
      <w:r w:rsidRPr="00BE3196">
        <w:t>boju proti podvodom</w:t>
      </w:r>
      <w:r w:rsidR="00BE3196">
        <w:t xml:space="preserve"> v </w:t>
      </w:r>
      <w:r w:rsidRPr="00BE3196">
        <w:t>oblasti dane</w:t>
      </w:r>
      <w:r w:rsidR="00BE3196">
        <w:t xml:space="preserve"> z </w:t>
      </w:r>
      <w:r w:rsidRPr="00BE3196">
        <w:t>pridanej hodnoty (DPH) tým, že sa Európskej prokuratúre (EPPO)</w:t>
      </w:r>
      <w:r w:rsidR="00BE3196">
        <w:t xml:space="preserve"> a </w:t>
      </w:r>
      <w:r w:rsidRPr="00B379C2">
        <w:rPr>
          <w:color w:val="242424"/>
        </w:rPr>
        <w:t>Európskemu</w:t>
      </w:r>
      <w:r w:rsidRPr="00BE3196">
        <w:t xml:space="preserve"> úradu pre boj proti podvodom (OLAF) umožní prístup</w:t>
      </w:r>
      <w:r w:rsidR="00BE3196">
        <w:t xml:space="preserve"> k </w:t>
      </w:r>
      <w:r w:rsidRPr="00BE3196">
        <w:t>údajom</w:t>
      </w:r>
      <w:r w:rsidR="00BE3196">
        <w:t xml:space="preserve"> o </w:t>
      </w:r>
      <w:r w:rsidRPr="00BE3196">
        <w:t>DPH podľa nariadenia Rady (EÚ) č. 904/2010;</w:t>
      </w:r>
    </w:p>
    <w:p w14:paraId="6C72B48D" w14:textId="7B20D1B1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uznáva</w:t>
      </w:r>
      <w:r w:rsidRPr="00BE3196">
        <w:t>, že</w:t>
      </w:r>
      <w:r w:rsidR="00BE3196">
        <w:t xml:space="preserve"> v </w:t>
      </w:r>
      <w:r w:rsidRPr="00BE3196">
        <w:t>záujme boja proti najvýznamnejším formám podvodov</w:t>
      </w:r>
      <w:r w:rsidR="00BE3196">
        <w:t xml:space="preserve"> v </w:t>
      </w:r>
      <w:r w:rsidRPr="00BE3196">
        <w:t>oblasti DPH je potrebné umožniť príslušným orgánom rýchlo zhromažďovať, používať</w:t>
      </w:r>
      <w:r w:rsidR="00BE3196">
        <w:t xml:space="preserve"> a </w:t>
      </w:r>
      <w:r w:rsidRPr="00BE3196">
        <w:t>porovnať informácie týkajúce sa DPH vo viacerých členských štátoch, čím sa skrátia oneskorenia</w:t>
      </w:r>
      <w:r w:rsidR="00BE3196">
        <w:t xml:space="preserve"> v </w:t>
      </w:r>
      <w:r w:rsidRPr="00BE3196">
        <w:t>reakcii príslušných daňových orgánov na podvodné činnosti;</w:t>
      </w:r>
    </w:p>
    <w:p w14:paraId="07857EFC" w14:textId="64EC0A57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oceňuje</w:t>
      </w:r>
      <w:r w:rsidRPr="00BE3196">
        <w:t>, že návrh Komisie nadväzuje na</w:t>
      </w:r>
      <w:r w:rsidRPr="00BE3196">
        <w:rPr>
          <w:i/>
          <w:iCs/>
        </w:rPr>
        <w:t xml:space="preserve"> ex post</w:t>
      </w:r>
      <w:r w:rsidRPr="00BE3196">
        <w:t xml:space="preserve"> hodnotenie pravidiel uplatniteľných podľa nariadenia Rady (EÚ) č. 904/2010, pričom sa zohľadňuje spätná väzba poskytnutá členskými štátmi. </w:t>
      </w:r>
      <w:r w:rsidRPr="00BE3196">
        <w:rPr>
          <w:b/>
        </w:rPr>
        <w:t>Poukazuje</w:t>
      </w:r>
      <w:r w:rsidRPr="00BE3196">
        <w:t xml:space="preserve"> na to, že</w:t>
      </w:r>
      <w:r w:rsidR="00BE3196">
        <w:t xml:space="preserve"> v </w:t>
      </w:r>
      <w:r w:rsidRPr="00BE3196">
        <w:t>súvislosti</w:t>
      </w:r>
      <w:r w:rsidR="00BE3196">
        <w:t xml:space="preserve"> s </w:t>
      </w:r>
      <w:r w:rsidRPr="00BE3196">
        <w:t>týmto návrhom nebolo vykonané žiadne posúdenie vplyvu, hoci uznáva, že sa tak nestalo vzhľadom na naliehavú požiadavku zo strany členských štátov;</w:t>
      </w:r>
    </w:p>
    <w:p w14:paraId="27654378" w14:textId="2D88003C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víta</w:t>
      </w:r>
      <w:r w:rsidRPr="00BE3196">
        <w:t xml:space="preserve"> zámer Komisie posilniť spoluprácu medzi príslušnými orgánmi bojujúcimi proti podvodom</w:t>
      </w:r>
      <w:r w:rsidR="00BE3196">
        <w:t xml:space="preserve"> v </w:t>
      </w:r>
      <w:r w:rsidRPr="00BE3196">
        <w:t xml:space="preserve">oblasti DPH vrátane možnosti posilniť spoluprácu medzi </w:t>
      </w:r>
      <w:proofErr w:type="spellStart"/>
      <w:r w:rsidRPr="00BE3196">
        <w:t>Europolom</w:t>
      </w:r>
      <w:proofErr w:type="spellEnd"/>
      <w:r w:rsidR="00BE3196">
        <w:t xml:space="preserve"> a </w:t>
      </w:r>
      <w:r w:rsidRPr="00BE3196">
        <w:t xml:space="preserve">sieťou </w:t>
      </w:r>
      <w:proofErr w:type="spellStart"/>
      <w:r w:rsidRPr="00BE3196">
        <w:t>Eurofisc</w:t>
      </w:r>
      <w:proofErr w:type="spellEnd"/>
      <w:r w:rsidR="00BE3196">
        <w:t xml:space="preserve"> v </w:t>
      </w:r>
      <w:r w:rsidRPr="00BE3196">
        <w:t>rámci nariadenia Rady (EÚ) č. 904/2010</w:t>
      </w:r>
      <w:r w:rsidR="00BE3196">
        <w:t xml:space="preserve"> a </w:t>
      </w:r>
      <w:r w:rsidRPr="00BE3196">
        <w:t xml:space="preserve">naliehavo vyzýva na ďalšie posilnenie štruktúrovanej spolupráce medzi </w:t>
      </w:r>
      <w:r w:rsidRPr="00290850">
        <w:rPr>
          <w:color w:val="242424"/>
        </w:rPr>
        <w:t>všetkými</w:t>
      </w:r>
      <w:r w:rsidRPr="00BE3196">
        <w:t xml:space="preserve"> príslušnými orgánmi</w:t>
      </w:r>
      <w:r w:rsidR="00BE3196">
        <w:t xml:space="preserve"> v </w:t>
      </w:r>
      <w:r w:rsidRPr="00BE3196">
        <w:t>členských štátoch.</w:t>
      </w:r>
    </w:p>
    <w:p w14:paraId="72DA15BA" w14:textId="77777777" w:rsidR="002D4268" w:rsidRPr="00BE3196" w:rsidRDefault="002D4268" w:rsidP="002D4268">
      <w:pPr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D4268" w:rsidRPr="00BE3196" w14:paraId="7353C433" w14:textId="77777777" w:rsidTr="002C16D8">
        <w:tc>
          <w:tcPr>
            <w:tcW w:w="1418" w:type="dxa"/>
          </w:tcPr>
          <w:p w14:paraId="3380772F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62690E3A" w14:textId="77777777" w:rsidR="002D4268" w:rsidRPr="00BE3196" w:rsidRDefault="002D4268" w:rsidP="002C16D8">
            <w:pPr>
              <w:rPr>
                <w:i/>
              </w:rPr>
            </w:pPr>
            <w:proofErr w:type="spellStart"/>
            <w:r w:rsidRPr="00BE3196">
              <w:rPr>
                <w:i/>
              </w:rPr>
              <w:t>Jüri</w:t>
            </w:r>
            <w:proofErr w:type="spellEnd"/>
            <w:r w:rsidRPr="00BE3196">
              <w:rPr>
                <w:i/>
              </w:rPr>
              <w:t xml:space="preserve"> SOOSAAR</w:t>
            </w:r>
          </w:p>
        </w:tc>
      </w:tr>
      <w:tr w:rsidR="002D4268" w:rsidRPr="00BE3196" w14:paraId="09FAD79A" w14:textId="77777777" w:rsidTr="002C16D8">
        <w:tc>
          <w:tcPr>
            <w:tcW w:w="1418" w:type="dxa"/>
          </w:tcPr>
          <w:p w14:paraId="6F9ABF67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5670" w:type="dxa"/>
          </w:tcPr>
          <w:p w14:paraId="1EADBB65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+32 2</w:t>
            </w:r>
            <w:r w:rsidRPr="00BE3196">
              <w:t xml:space="preserve"> </w:t>
            </w:r>
            <w:r w:rsidRPr="00BE3196">
              <w:rPr>
                <w:i/>
              </w:rPr>
              <w:t>5469628</w:t>
            </w:r>
          </w:p>
        </w:tc>
      </w:tr>
      <w:tr w:rsidR="002D4268" w:rsidRPr="00BE3196" w14:paraId="23E2BF66" w14:textId="77777777" w:rsidTr="002C16D8">
        <w:tc>
          <w:tcPr>
            <w:tcW w:w="1418" w:type="dxa"/>
          </w:tcPr>
          <w:p w14:paraId="772DF47A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3908DBBD" w14:textId="77777777" w:rsidR="002D4268" w:rsidRPr="00BE3196" w:rsidRDefault="002D4268" w:rsidP="002C16D8">
            <w:pPr>
              <w:rPr>
                <w:i/>
                <w:iCs/>
              </w:rPr>
            </w:pPr>
            <w:hyperlink r:id="rId17" w:history="1">
              <w:r w:rsidRPr="00BE3196">
                <w:rPr>
                  <w:rStyle w:val="Hyperlink"/>
                  <w:i/>
                </w:rPr>
                <w:t>Juri.Soosaar@eesc.europa.eu</w:t>
              </w:r>
            </w:hyperlink>
            <w:r w:rsidRPr="00BE3196">
              <w:rPr>
                <w:i/>
              </w:rPr>
              <w:t xml:space="preserve"> </w:t>
            </w:r>
          </w:p>
        </w:tc>
      </w:tr>
    </w:tbl>
    <w:p w14:paraId="78F085C8" w14:textId="47013726" w:rsidR="00627FDF" w:rsidRPr="00BE3196" w:rsidRDefault="00627FDF" w:rsidP="00100EF9">
      <w:pPr>
        <w:pStyle w:val="ListParagraph"/>
        <w:ind w:left="0"/>
      </w:pPr>
    </w:p>
    <w:p w14:paraId="14AD7ACF" w14:textId="77777777" w:rsidR="00627FDF" w:rsidRPr="00BE3196" w:rsidRDefault="00627FDF" w:rsidP="00100EF9">
      <w:pPr>
        <w:jc w:val="left"/>
      </w:pPr>
      <w:r w:rsidRPr="00BE3196">
        <w:br w:type="page"/>
      </w:r>
    </w:p>
    <w:p w14:paraId="5B5A0FF1" w14:textId="00D67F94" w:rsidR="00627FDF" w:rsidRPr="00BE3196" w:rsidRDefault="008E67CA" w:rsidP="00180FD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0"/>
          <w:szCs w:val="20"/>
        </w:rPr>
      </w:pPr>
      <w:hyperlink r:id="rId18" w:history="1">
        <w:r w:rsidR="00E235D3" w:rsidRPr="00BE3196">
          <w:rPr>
            <w:b/>
            <w:i/>
            <w:color w:val="0000FF"/>
            <w:sz w:val="28"/>
            <w:u w:val="single"/>
          </w:rPr>
          <w:t>Európsky semester 2026 – jesenný balík</w:t>
        </w:r>
      </w:hyperlink>
    </w:p>
    <w:p w14:paraId="2922872A" w14:textId="77777777" w:rsidR="00627FDF" w:rsidRPr="00BE3196" w:rsidRDefault="00627FD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D4268" w:rsidRPr="00BE3196" w14:paraId="4D2A9BCE" w14:textId="77777777" w:rsidTr="002C16D8">
        <w:tc>
          <w:tcPr>
            <w:tcW w:w="1077" w:type="pct"/>
          </w:tcPr>
          <w:p w14:paraId="5870D7BF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Spravodajca:</w:t>
            </w:r>
          </w:p>
        </w:tc>
        <w:tc>
          <w:tcPr>
            <w:tcW w:w="3923" w:type="pct"/>
          </w:tcPr>
          <w:p w14:paraId="7C11AD19" w14:textId="77777777" w:rsidR="002D4268" w:rsidRPr="00BE3196" w:rsidRDefault="002D4268" w:rsidP="002C16D8">
            <w:pPr>
              <w:tabs>
                <w:tab w:val="center" w:pos="284"/>
              </w:tabs>
              <w:ind w:left="266" w:right="-3091" w:hanging="266"/>
            </w:pPr>
            <w:proofErr w:type="spellStart"/>
            <w:r w:rsidRPr="00BE3196">
              <w:t>Luca</w:t>
            </w:r>
            <w:proofErr w:type="spellEnd"/>
            <w:r w:rsidRPr="00BE3196">
              <w:t xml:space="preserve"> JAHIER (skupina Organizácie občianskej spoločnosti – IT)</w:t>
            </w:r>
          </w:p>
        </w:tc>
      </w:tr>
      <w:tr w:rsidR="002D4268" w:rsidRPr="00BE3196" w14:paraId="0725EBCA" w14:textId="77777777" w:rsidTr="002C16D8">
        <w:tc>
          <w:tcPr>
            <w:tcW w:w="1077" w:type="pct"/>
          </w:tcPr>
          <w:p w14:paraId="76A81443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.:</w:t>
            </w:r>
          </w:p>
        </w:tc>
        <w:tc>
          <w:tcPr>
            <w:tcW w:w="3923" w:type="pct"/>
          </w:tcPr>
          <w:p w14:paraId="291E33CB" w14:textId="77777777" w:rsidR="002D4268" w:rsidRPr="00BE3196" w:rsidRDefault="002D4268" w:rsidP="002C16D8">
            <w:pPr>
              <w:tabs>
                <w:tab w:val="center" w:pos="284"/>
              </w:tabs>
              <w:ind w:left="266" w:right="-3091" w:hanging="266"/>
            </w:pPr>
            <w:r w:rsidRPr="00BE3196">
              <w:t xml:space="preserve">COM(2025) 955 </w:t>
            </w:r>
            <w:proofErr w:type="spellStart"/>
            <w:r w:rsidRPr="00BE3196">
              <w:t>final</w:t>
            </w:r>
            <w:proofErr w:type="spellEnd"/>
          </w:p>
          <w:p w14:paraId="06B5CA7E" w14:textId="77777777" w:rsidR="002D4268" w:rsidRPr="00BE3196" w:rsidRDefault="002D4268" w:rsidP="002C16D8">
            <w:pPr>
              <w:tabs>
                <w:tab w:val="center" w:pos="284"/>
              </w:tabs>
              <w:ind w:left="266" w:right="-3091" w:hanging="266"/>
            </w:pPr>
            <w:r w:rsidRPr="00BE3196">
              <w:t>EESC-2025-03794-00-00-AC</w:t>
            </w:r>
          </w:p>
        </w:tc>
      </w:tr>
    </w:tbl>
    <w:p w14:paraId="54D357B5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/>
        </w:rPr>
      </w:pPr>
    </w:p>
    <w:p w14:paraId="4AD8A4DA" w14:textId="77777777" w:rsidR="002D4268" w:rsidRPr="00BE3196" w:rsidRDefault="002D4268" w:rsidP="002D4268">
      <w:pPr>
        <w:rPr>
          <w:bCs/>
          <w:iCs/>
        </w:rPr>
      </w:pPr>
      <w:r w:rsidRPr="00BE3196">
        <w:rPr>
          <w:b/>
        </w:rPr>
        <w:t>Hlavné body</w:t>
      </w:r>
    </w:p>
    <w:p w14:paraId="743920D3" w14:textId="77777777" w:rsidR="002D4268" w:rsidRPr="00BE3196" w:rsidRDefault="002D4268" w:rsidP="002D4268">
      <w:pPr>
        <w:rPr>
          <w:bCs/>
          <w:iCs/>
        </w:rPr>
      </w:pPr>
      <w:r w:rsidRPr="00BE3196">
        <w:t>EHSV:</w:t>
      </w:r>
    </w:p>
    <w:p w14:paraId="4EAD327E" w14:textId="5847B411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vyjadruje poľutovanie nad tým, že Komisia opäť nepredložila </w:t>
      </w:r>
      <w:r w:rsidRPr="00BE3196">
        <w:rPr>
          <w:b/>
        </w:rPr>
        <w:t>ročný prieskum udržateľného rastu (RPUR)</w:t>
      </w:r>
      <w:r w:rsidRPr="00BE3196">
        <w:t>,</w:t>
      </w:r>
      <w:r w:rsidR="00BE3196">
        <w:t xml:space="preserve"> a </w:t>
      </w:r>
      <w:r w:rsidRPr="00BE3196">
        <w:t xml:space="preserve">zdôrazňuje, že </w:t>
      </w:r>
      <w:r w:rsidRPr="00BE3196">
        <w:rPr>
          <w:b/>
        </w:rPr>
        <w:t>udržateľný hospodársky rast</w:t>
      </w:r>
      <w:r w:rsidRPr="00BE3196">
        <w:t xml:space="preserve"> je nevyhnutnou podmienkou na to, aby Európa splnila </w:t>
      </w:r>
      <w:r w:rsidRPr="00290850">
        <w:rPr>
          <w:color w:val="242424"/>
        </w:rPr>
        <w:t>svoje</w:t>
      </w:r>
      <w:r w:rsidRPr="00BE3196">
        <w:t xml:space="preserve"> početné záväzky. Víta </w:t>
      </w:r>
      <w:r w:rsidRPr="00BE3196">
        <w:rPr>
          <w:b/>
        </w:rPr>
        <w:t>európsku makroekonomickú správu</w:t>
      </w:r>
      <w:r w:rsidRPr="00BE3196">
        <w:t xml:space="preserve">, ktorá poskytuje podrobný pohľad na základné štrukturálne výzvy stojace pred EÚ, ako aj </w:t>
      </w:r>
      <w:r w:rsidRPr="00BE3196">
        <w:rPr>
          <w:b/>
        </w:rPr>
        <w:t>nové odporúčanie týkajúce sa ľudského kapitálu</w:t>
      </w:r>
      <w:r w:rsidRPr="00BE3196">
        <w:t>, ktorý je kľúčovým prvkom pri odstraňovaní technologickej priepasti</w:t>
      </w:r>
      <w:r w:rsidR="00BE3196">
        <w:t xml:space="preserve"> v </w:t>
      </w:r>
      <w:r w:rsidRPr="00BE3196">
        <w:t>EÚ, pričom zohľadňuje aj demografickú výzvu EÚ;</w:t>
      </w:r>
    </w:p>
    <w:p w14:paraId="6576DEB8" w14:textId="1AFC0DB3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opakuje svoju výzvu na</w:t>
      </w:r>
      <w:r w:rsidRPr="00BE3196">
        <w:rPr>
          <w:b/>
        </w:rPr>
        <w:t xml:space="preserve"> posilnenie spoločnej fiškálnej kapacity</w:t>
      </w:r>
      <w:r w:rsidRPr="00BE3196">
        <w:t xml:space="preserve"> podporenej cielenými emisiami spoločného dlhu</w:t>
      </w:r>
      <w:r w:rsidR="00BE3196">
        <w:t xml:space="preserve"> s </w:t>
      </w:r>
      <w:r w:rsidRPr="00BE3196">
        <w:t>cieľom pomôcť vyplniť túto čoraz väčšiu medzeru vo verejných investíciách</w:t>
      </w:r>
      <w:r w:rsidR="00BE3196">
        <w:t xml:space="preserve"> a </w:t>
      </w:r>
      <w:r w:rsidRPr="00BE3196">
        <w:t>na zavedenie trvalých nástrojov makroekonomickej stabilizácie</w:t>
      </w:r>
      <w:r w:rsidR="00BE3196">
        <w:t xml:space="preserve"> v </w:t>
      </w:r>
      <w:r w:rsidRPr="00BE3196">
        <w:t>záujme riešenia otrasov,</w:t>
      </w:r>
      <w:r w:rsidR="00BE3196">
        <w:t xml:space="preserve"> a </w:t>
      </w:r>
      <w:r w:rsidRPr="00BE3196">
        <w:t xml:space="preserve">to </w:t>
      </w:r>
      <w:r w:rsidRPr="00290850">
        <w:rPr>
          <w:color w:val="242424"/>
        </w:rPr>
        <w:t>na</w:t>
      </w:r>
      <w:r w:rsidRPr="00BE3196">
        <w:t xml:space="preserve"> základe skúseností</w:t>
      </w:r>
      <w:r w:rsidR="00BE3196">
        <w:t xml:space="preserve"> s </w:t>
      </w:r>
      <w:r w:rsidRPr="00BE3196">
        <w:t>európskym nástrojom dočasnej podpory na zmiernenie rizík nezamestnanosti</w:t>
      </w:r>
      <w:r w:rsidR="00BE3196">
        <w:t xml:space="preserve"> v </w:t>
      </w:r>
      <w:r w:rsidRPr="00BE3196">
        <w:t>núdzovej situácii (SURE), ktorý by sa mal stať trvalým;</w:t>
      </w:r>
    </w:p>
    <w:p w14:paraId="1C4B159C" w14:textId="087A7231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je naďalej znepokojený </w:t>
      </w:r>
      <w:r w:rsidRPr="00BE3196">
        <w:rPr>
          <w:b/>
        </w:rPr>
        <w:t>fragmentáciou finančných trhov EÚ</w:t>
      </w:r>
      <w:r w:rsidR="00BE3196">
        <w:t xml:space="preserve"> a </w:t>
      </w:r>
      <w:r w:rsidRPr="00BE3196">
        <w:t xml:space="preserve">vyzýva Komisiu, aby posúdila, či by </w:t>
      </w:r>
      <w:r w:rsidRPr="00BE3196">
        <w:rPr>
          <w:b/>
        </w:rPr>
        <w:t>súbor nástrojov na úrovni EÚ, ktorý by bol rovnocenný so zákonom USA</w:t>
      </w:r>
      <w:r w:rsidR="00BE3196">
        <w:rPr>
          <w:b/>
        </w:rPr>
        <w:t xml:space="preserve"> o </w:t>
      </w:r>
      <w:r w:rsidRPr="00BE3196">
        <w:rPr>
          <w:b/>
        </w:rPr>
        <w:t>zlepšení národných trhov</w:t>
      </w:r>
      <w:r w:rsidR="00BE3196">
        <w:rPr>
          <w:b/>
        </w:rPr>
        <w:t xml:space="preserve"> s </w:t>
      </w:r>
      <w:r w:rsidRPr="00BE3196">
        <w:rPr>
          <w:b/>
        </w:rPr>
        <w:t>cennými papiermi</w:t>
      </w:r>
      <w:r w:rsidRPr="00BE3196">
        <w:t xml:space="preserve"> (</w:t>
      </w:r>
      <w:r w:rsidRPr="00BE3196">
        <w:rPr>
          <w:i/>
          <w:iCs/>
        </w:rPr>
        <w:t xml:space="preserve">National </w:t>
      </w:r>
      <w:proofErr w:type="spellStart"/>
      <w:r w:rsidRPr="00BE3196">
        <w:rPr>
          <w:i/>
          <w:iCs/>
        </w:rPr>
        <w:t>Securities</w:t>
      </w:r>
      <w:proofErr w:type="spellEnd"/>
      <w:r w:rsidRPr="00BE3196">
        <w:rPr>
          <w:i/>
          <w:iCs/>
        </w:rPr>
        <w:t xml:space="preserve"> Markets </w:t>
      </w:r>
      <w:proofErr w:type="spellStart"/>
      <w:r w:rsidRPr="00BE3196">
        <w:rPr>
          <w:i/>
          <w:iCs/>
        </w:rPr>
        <w:t>Improvement</w:t>
      </w:r>
      <w:proofErr w:type="spellEnd"/>
      <w:r w:rsidRPr="00BE3196">
        <w:rPr>
          <w:i/>
          <w:iCs/>
        </w:rPr>
        <w:t xml:space="preserve"> </w:t>
      </w:r>
      <w:proofErr w:type="spellStart"/>
      <w:r w:rsidRPr="00BE3196">
        <w:rPr>
          <w:i/>
          <w:iCs/>
        </w:rPr>
        <w:t>Act</w:t>
      </w:r>
      <w:proofErr w:type="spellEnd"/>
      <w:r w:rsidRPr="00BE3196">
        <w:rPr>
          <w:i/>
          <w:iCs/>
        </w:rPr>
        <w:t> – NSMIA</w:t>
      </w:r>
      <w:r w:rsidRPr="00BE3196">
        <w:t>), dokázal zjednodušiť cezhraničný prístup na trh, znížiť fragmentáciu pri dodržiavaní predpisov</w:t>
      </w:r>
      <w:r w:rsidR="00BE3196">
        <w:t xml:space="preserve"> a </w:t>
      </w:r>
      <w:r w:rsidRPr="00290850">
        <w:rPr>
          <w:color w:val="242424"/>
        </w:rPr>
        <w:t>podporiť</w:t>
      </w:r>
      <w:r w:rsidRPr="00BE3196">
        <w:t xml:space="preserve"> hlbšie, efektívnejšie</w:t>
      </w:r>
      <w:r w:rsidR="00BE3196">
        <w:t xml:space="preserve"> a </w:t>
      </w:r>
      <w:r w:rsidRPr="00BE3196">
        <w:t>likvidnejšie trhy pri súčasnom zachovaní potrebnej úrovne súčasnej bezpečnosti;</w:t>
      </w:r>
    </w:p>
    <w:p w14:paraId="0788B035" w14:textId="09E6C619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opakuje svoju výzvu Komisii, aby urýchlene </w:t>
      </w:r>
      <w:r w:rsidRPr="00BE3196">
        <w:rPr>
          <w:b/>
        </w:rPr>
        <w:t>zrevidovala súbor navrhovaných ukazovateľov na monitorovanie postupu pri makroekonomickej nerovnováhe (PMN)</w:t>
      </w:r>
      <w:r w:rsidRPr="00BE3196">
        <w:t>. Súčasťou riešenia na zlepšenie aktuálnej hodnotiacej tabuľky</w:t>
      </w:r>
      <w:r w:rsidR="00BE3196">
        <w:t xml:space="preserve"> v </w:t>
      </w:r>
      <w:r w:rsidRPr="00BE3196">
        <w:t xml:space="preserve">rámci PMN by mohlo byť monitorovanie vývoja celkového </w:t>
      </w:r>
      <w:r w:rsidRPr="00290850">
        <w:rPr>
          <w:color w:val="242424"/>
        </w:rPr>
        <w:t>pomeru</w:t>
      </w:r>
      <w:r w:rsidRPr="00BE3196">
        <w:t xml:space="preserve"> dlhu</w:t>
      </w:r>
      <w:r w:rsidR="00BE3196">
        <w:t xml:space="preserve"> k </w:t>
      </w:r>
      <w:r w:rsidRPr="00BE3196">
        <w:t>imaniu</w:t>
      </w:r>
      <w:r w:rsidR="00BE3196">
        <w:t xml:space="preserve"> v </w:t>
      </w:r>
      <w:r w:rsidRPr="00BE3196">
        <w:t>rámci celého hospodárstva namiesto individuálnych kategórií;</w:t>
      </w:r>
    </w:p>
    <w:p w14:paraId="21DC8D04" w14:textId="059CE9FF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považuje za potrebné </w:t>
      </w:r>
      <w:r w:rsidRPr="00BE3196">
        <w:rPr>
          <w:b/>
        </w:rPr>
        <w:t>efektívnejšie využívať sociálny prehľad, revidovanú hodnotiacu tabuľku</w:t>
      </w:r>
      <w:r w:rsidR="00BE3196">
        <w:rPr>
          <w:b/>
        </w:rPr>
        <w:t xml:space="preserve"> v </w:t>
      </w:r>
      <w:r w:rsidRPr="00BE3196">
        <w:rPr>
          <w:b/>
        </w:rPr>
        <w:t>rámci PMN</w:t>
      </w:r>
      <w:r w:rsidR="00BE3196">
        <w:t xml:space="preserve"> a </w:t>
      </w:r>
      <w:r w:rsidRPr="00BE3196">
        <w:rPr>
          <w:b/>
        </w:rPr>
        <w:t>revidovanú metodiku analýzy udržateľnosti dlhovej služby doplnením</w:t>
      </w:r>
      <w:r w:rsidRPr="00BE3196">
        <w:t xml:space="preserve"> </w:t>
      </w:r>
      <w:r w:rsidRPr="00290850">
        <w:rPr>
          <w:color w:val="242424"/>
        </w:rPr>
        <w:t>nových</w:t>
      </w:r>
      <w:r w:rsidRPr="00BE3196">
        <w:t xml:space="preserve"> </w:t>
      </w:r>
      <w:r w:rsidRPr="00BE3196">
        <w:rPr>
          <w:b/>
        </w:rPr>
        <w:t>ukazovateľov blahobytu</w:t>
      </w:r>
      <w:r w:rsidRPr="00BE3196">
        <w:t xml:space="preserve"> navrhnutých Spoločným výskumným centrom (JRC);</w:t>
      </w:r>
    </w:p>
    <w:p w14:paraId="251A88EE" w14:textId="23B7AF5F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žiada Komisiu, aby považovala </w:t>
      </w:r>
      <w:r w:rsidRPr="00BE3196">
        <w:rPr>
          <w:b/>
        </w:rPr>
        <w:t>rámec sociálnej konvergencie za rovnocenný fiškálnemu rámcu</w:t>
      </w:r>
      <w:r w:rsidR="00BE3196">
        <w:rPr>
          <w:b/>
        </w:rPr>
        <w:t xml:space="preserve"> a </w:t>
      </w:r>
      <w:r w:rsidRPr="00BE3196">
        <w:rPr>
          <w:b/>
        </w:rPr>
        <w:t>aby</w:t>
      </w:r>
      <w:r w:rsidR="00BE3196">
        <w:rPr>
          <w:b/>
        </w:rPr>
        <w:t xml:space="preserve"> v </w:t>
      </w:r>
      <w:r w:rsidRPr="00BE3196">
        <w:rPr>
          <w:b/>
        </w:rPr>
        <w:t>súlade</w:t>
      </w:r>
      <w:r w:rsidR="00BE3196">
        <w:rPr>
          <w:b/>
        </w:rPr>
        <w:t xml:space="preserve"> s </w:t>
      </w:r>
      <w:r w:rsidRPr="00BE3196">
        <w:rPr>
          <w:b/>
        </w:rPr>
        <w:t>tým formulovala jasné odporúčania</w:t>
      </w:r>
      <w:r w:rsidRPr="00BE3196">
        <w:t xml:space="preserve"> pre jednotlivé členské štáty</w:t>
      </w:r>
      <w:r w:rsidR="00BE3196">
        <w:t xml:space="preserve"> v </w:t>
      </w:r>
      <w:r w:rsidRPr="00290850">
        <w:rPr>
          <w:color w:val="242424"/>
        </w:rPr>
        <w:t>nasledujúcich</w:t>
      </w:r>
      <w:r w:rsidRPr="00BE3196">
        <w:t xml:space="preserve"> odporúčaniach pre jednotlivé krajiny. Vyzýva Komisiu, aby navrhla konkrétne stimuly pre členské štáty na zvýšenie miery využívania </w:t>
      </w:r>
      <w:r w:rsidRPr="00BE3196">
        <w:rPr>
          <w:b/>
        </w:rPr>
        <w:t>doložky flexibility pre sociálne investície</w:t>
      </w:r>
      <w:r w:rsidRPr="00BE3196">
        <w:t>;</w:t>
      </w:r>
    </w:p>
    <w:p w14:paraId="0603C7F7" w14:textId="48CF060B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 xml:space="preserve">opakuje svoju výzvu na </w:t>
      </w:r>
      <w:r w:rsidRPr="00BE3196">
        <w:rPr>
          <w:b/>
        </w:rPr>
        <w:t>podrobnú analýzu</w:t>
      </w:r>
      <w:r w:rsidR="00BE3196">
        <w:rPr>
          <w:b/>
        </w:rPr>
        <w:t xml:space="preserve"> a </w:t>
      </w:r>
      <w:r w:rsidRPr="00BE3196">
        <w:rPr>
          <w:b/>
        </w:rPr>
        <w:t>objasnenie ohlásených prepojení medzi európskym semestrom</w:t>
      </w:r>
      <w:r w:rsidRPr="00BE3196">
        <w:t>, nástrojom na</w:t>
      </w:r>
      <w:r w:rsidRPr="00BE3196">
        <w:rPr>
          <w:b/>
        </w:rPr>
        <w:t xml:space="preserve"> koordináciu</w:t>
      </w:r>
      <w:r w:rsidR="00BE3196">
        <w:rPr>
          <w:b/>
        </w:rPr>
        <w:t xml:space="preserve"> v </w:t>
      </w:r>
      <w:r w:rsidRPr="00BE3196">
        <w:rPr>
          <w:b/>
        </w:rPr>
        <w:t>oblasti konkurencieschopnosti</w:t>
      </w:r>
      <w:r w:rsidR="00BE3196">
        <w:t xml:space="preserve"> a </w:t>
      </w:r>
      <w:r w:rsidRPr="00BE3196">
        <w:t xml:space="preserve">navrhovaným </w:t>
      </w:r>
      <w:r w:rsidRPr="00BE3196">
        <w:rPr>
          <w:b/>
        </w:rPr>
        <w:t>budúcim viacročným finančným rámcom (VFR)</w:t>
      </w:r>
      <w:r w:rsidRPr="00BE3196">
        <w:t>;</w:t>
      </w:r>
    </w:p>
    <w:p w14:paraId="5A1AF65E" w14:textId="257EAB30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vyzýva </w:t>
      </w:r>
      <w:r w:rsidRPr="00BE3196">
        <w:rPr>
          <w:b/>
        </w:rPr>
        <w:t>Európsky parlament</w:t>
      </w:r>
      <w:r w:rsidRPr="00BE3196">
        <w:t>, aby podobne ako</w:t>
      </w:r>
      <w:r w:rsidR="00BE3196">
        <w:t xml:space="preserve"> v </w:t>
      </w:r>
      <w:r w:rsidRPr="00BE3196">
        <w:t>prípade Mechanizmu na podporu obnovy</w:t>
      </w:r>
      <w:r w:rsidR="00BE3196">
        <w:t xml:space="preserve"> a </w:t>
      </w:r>
      <w:r w:rsidRPr="00290850">
        <w:rPr>
          <w:color w:val="242424"/>
        </w:rPr>
        <w:t>odolnosti</w:t>
      </w:r>
      <w:r w:rsidRPr="00BE3196">
        <w:t xml:space="preserve"> </w:t>
      </w:r>
      <w:r w:rsidRPr="00BE3196">
        <w:rPr>
          <w:b/>
        </w:rPr>
        <w:t>zriadil</w:t>
      </w:r>
      <w:r w:rsidRPr="00BE3196">
        <w:t xml:space="preserve"> </w:t>
      </w:r>
      <w:r w:rsidRPr="00BE3196">
        <w:rPr>
          <w:b/>
        </w:rPr>
        <w:t>stály monitorovací</w:t>
      </w:r>
      <w:r w:rsidR="00BE3196">
        <w:rPr>
          <w:b/>
        </w:rPr>
        <w:t xml:space="preserve"> a </w:t>
      </w:r>
      <w:r w:rsidRPr="00BE3196">
        <w:rPr>
          <w:b/>
        </w:rPr>
        <w:t>hodnotiaci výbor na účely „nového“ európskeho semestra, vykonávania</w:t>
      </w:r>
      <w:r w:rsidR="00BE3196">
        <w:rPr>
          <w:b/>
        </w:rPr>
        <w:t xml:space="preserve"> a </w:t>
      </w:r>
      <w:r w:rsidRPr="00BE3196">
        <w:rPr>
          <w:b/>
        </w:rPr>
        <w:t>každoročného posudzovania strednodobých fiškálno-štrukturálnych plánov, odporúčaní pre jednotlivé krajiny</w:t>
      </w:r>
      <w:r w:rsidR="00BE3196">
        <w:rPr>
          <w:b/>
        </w:rPr>
        <w:t xml:space="preserve"> a </w:t>
      </w:r>
      <w:r w:rsidRPr="00BE3196">
        <w:rPr>
          <w:b/>
        </w:rPr>
        <w:t>ich konkrétnych prepojení</w:t>
      </w:r>
      <w:r w:rsidR="00BE3196">
        <w:rPr>
          <w:b/>
        </w:rPr>
        <w:t xml:space="preserve"> s </w:t>
      </w:r>
      <w:r w:rsidRPr="00BE3196">
        <w:rPr>
          <w:b/>
        </w:rPr>
        <w:t>budúcimi plánmi národného</w:t>
      </w:r>
      <w:r w:rsidR="00BE3196">
        <w:rPr>
          <w:b/>
        </w:rPr>
        <w:t xml:space="preserve"> a </w:t>
      </w:r>
      <w:r w:rsidRPr="00BE3196">
        <w:rPr>
          <w:b/>
        </w:rPr>
        <w:t>regionálneho partnerstva</w:t>
      </w:r>
      <w:r w:rsidRPr="00BE3196">
        <w:t>;</w:t>
      </w:r>
    </w:p>
    <w:p w14:paraId="576A515C" w14:textId="16E2E80E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vyzýva Komisiu, aby </w:t>
      </w:r>
      <w:r w:rsidRPr="00BE3196">
        <w:rPr>
          <w:b/>
        </w:rPr>
        <w:t>únikovú doložku interpretovala skôr ako dočasný núdzový nástroj</w:t>
      </w:r>
      <w:r w:rsidRPr="00BE3196">
        <w:t>,</w:t>
      </w:r>
      <w:r w:rsidR="00BE3196">
        <w:t xml:space="preserve"> a </w:t>
      </w:r>
      <w:r w:rsidRPr="00BE3196">
        <w:t>nie ako náhradu za koherentnú dlhodobú fiškálnu</w:t>
      </w:r>
      <w:r w:rsidR="00BE3196">
        <w:t xml:space="preserve"> a </w:t>
      </w:r>
      <w:r w:rsidRPr="00BE3196">
        <w:t xml:space="preserve">rastovú stratégiu. Vyzýva Komisiu, aby posúdila </w:t>
      </w:r>
      <w:r w:rsidRPr="00BE3196">
        <w:rPr>
          <w:b/>
        </w:rPr>
        <w:t>čoraz významnejšiu úlohu, ktorú zohrávajú výdavky na obranu</w:t>
      </w:r>
      <w:r w:rsidR="00BE3196">
        <w:rPr>
          <w:b/>
        </w:rPr>
        <w:t xml:space="preserve"> v </w:t>
      </w:r>
      <w:r w:rsidRPr="00BE3196">
        <w:rPr>
          <w:b/>
        </w:rPr>
        <w:t>udržateľnom raste</w:t>
      </w:r>
      <w:r w:rsidRPr="00BE3196">
        <w:t xml:space="preserve"> EÚ,</w:t>
      </w:r>
      <w:r w:rsidR="00BE3196">
        <w:t xml:space="preserve"> a </w:t>
      </w:r>
      <w:r w:rsidRPr="00BE3196">
        <w:t>ich vplyv na zamestnanosť</w:t>
      </w:r>
      <w:r w:rsidR="00BE3196">
        <w:t xml:space="preserve"> a </w:t>
      </w:r>
      <w:r w:rsidRPr="00BE3196">
        <w:t>budúcu fiškálnu stabilitu;</w:t>
      </w:r>
    </w:p>
    <w:p w14:paraId="24C00EC4" w14:textId="68110174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 xml:space="preserve">opakuje svoje výzvy na </w:t>
      </w:r>
      <w:r w:rsidRPr="00BE3196">
        <w:rPr>
          <w:b/>
        </w:rPr>
        <w:t>robustnejšie, štruktúrovanejšie</w:t>
      </w:r>
      <w:r w:rsidR="00BE3196">
        <w:rPr>
          <w:b/>
        </w:rPr>
        <w:t xml:space="preserve"> a </w:t>
      </w:r>
      <w:r w:rsidRPr="00BE3196">
        <w:rPr>
          <w:b/>
        </w:rPr>
        <w:t>zmysluplnejšie zapojenie sociálnych partnerov</w:t>
      </w:r>
      <w:r w:rsidR="00BE3196">
        <w:rPr>
          <w:b/>
        </w:rPr>
        <w:t xml:space="preserve"> a </w:t>
      </w:r>
      <w:r w:rsidRPr="00BE3196">
        <w:rPr>
          <w:b/>
        </w:rPr>
        <w:t>OOS na európskej, národnej</w:t>
      </w:r>
      <w:r w:rsidR="00BE3196">
        <w:rPr>
          <w:b/>
        </w:rPr>
        <w:t xml:space="preserve"> a </w:t>
      </w:r>
      <w:r w:rsidRPr="00BE3196">
        <w:rPr>
          <w:b/>
        </w:rPr>
        <w:t>miestnej úrovni</w:t>
      </w:r>
      <w:r w:rsidRPr="00BE3196">
        <w:t xml:space="preserve"> do vykonávania cyklu semestra.</w:t>
      </w:r>
    </w:p>
    <w:p w14:paraId="77032E98" w14:textId="77777777" w:rsidR="002D4268" w:rsidRPr="00BE3196" w:rsidRDefault="002D4268" w:rsidP="002D4268">
      <w:pPr>
        <w:widowControl w:val="0"/>
        <w:ind w:left="567"/>
        <w:rPr>
          <w:bCs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8128"/>
      </w:tblGrid>
      <w:tr w:rsidR="002D4268" w:rsidRPr="00BE3196" w14:paraId="54FE96E3" w14:textId="77777777" w:rsidTr="002C16D8">
        <w:tc>
          <w:tcPr>
            <w:tcW w:w="625" w:type="pct"/>
          </w:tcPr>
          <w:p w14:paraId="501F82AA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Kontakt:</w:t>
            </w:r>
          </w:p>
        </w:tc>
        <w:tc>
          <w:tcPr>
            <w:tcW w:w="4375" w:type="pct"/>
          </w:tcPr>
          <w:p w14:paraId="63E4A0ED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 xml:space="preserve">Anna </w:t>
            </w:r>
            <w:proofErr w:type="spellStart"/>
            <w:r w:rsidRPr="00BE3196">
              <w:rPr>
                <w:i/>
              </w:rPr>
              <w:t>Pantazi</w:t>
            </w:r>
            <w:proofErr w:type="spellEnd"/>
          </w:p>
        </w:tc>
      </w:tr>
      <w:tr w:rsidR="002D4268" w:rsidRPr="00BE3196" w14:paraId="289D84D0" w14:textId="77777777" w:rsidTr="002C16D8">
        <w:tc>
          <w:tcPr>
            <w:tcW w:w="625" w:type="pct"/>
          </w:tcPr>
          <w:p w14:paraId="45EF66CB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Tel:</w:t>
            </w:r>
          </w:p>
        </w:tc>
        <w:tc>
          <w:tcPr>
            <w:tcW w:w="4375" w:type="pct"/>
          </w:tcPr>
          <w:p w14:paraId="0C475BE8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+32 25469231</w:t>
            </w:r>
          </w:p>
        </w:tc>
      </w:tr>
      <w:tr w:rsidR="002D4268" w:rsidRPr="00BE3196" w14:paraId="06AE481F" w14:textId="77777777" w:rsidTr="002C16D8">
        <w:tc>
          <w:tcPr>
            <w:tcW w:w="625" w:type="pct"/>
          </w:tcPr>
          <w:p w14:paraId="3DFCD583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4375" w:type="pct"/>
          </w:tcPr>
          <w:p w14:paraId="2797D40A" w14:textId="77777777" w:rsidR="002D4268" w:rsidRPr="00BE3196" w:rsidRDefault="002D4268" w:rsidP="002C16D8">
            <w:pPr>
              <w:rPr>
                <w:i/>
              </w:rPr>
            </w:pPr>
            <w:hyperlink r:id="rId19" w:history="1">
              <w:r w:rsidRPr="00BE3196">
                <w:rPr>
                  <w:rStyle w:val="Hyperlink"/>
                  <w:i/>
                </w:rPr>
                <w:t>Anna.Pantazi@eesc.europa.eu</w:t>
              </w:r>
            </w:hyperlink>
          </w:p>
        </w:tc>
      </w:tr>
    </w:tbl>
    <w:p w14:paraId="69D261DC" w14:textId="6E0384BF" w:rsidR="00557848" w:rsidRPr="00BE3196" w:rsidRDefault="00557848" w:rsidP="00100EF9">
      <w:pPr>
        <w:pStyle w:val="ListParagraph"/>
        <w:ind w:left="0"/>
      </w:pPr>
    </w:p>
    <w:p w14:paraId="18087D90" w14:textId="77777777" w:rsidR="00557848" w:rsidRPr="00BE3196" w:rsidRDefault="00557848" w:rsidP="00100EF9">
      <w:pPr>
        <w:jc w:val="left"/>
      </w:pPr>
      <w:r w:rsidRPr="00BE3196">
        <w:br w:type="page"/>
      </w:r>
    </w:p>
    <w:p w14:paraId="1CFC3C7D" w14:textId="796788E8" w:rsidR="00532F99" w:rsidRPr="00BE3196" w:rsidRDefault="008E67CA" w:rsidP="00180F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0" w:history="1">
        <w:r w:rsidR="00532F99" w:rsidRPr="00BE3196">
          <w:rPr>
            <w:b/>
            <w:i/>
            <w:color w:val="0000FF"/>
            <w:sz w:val="28"/>
            <w:u w:val="single"/>
          </w:rPr>
          <w:t>Ostrovný rozmer</w:t>
        </w:r>
        <w:r w:rsidR="00BE3196">
          <w:rPr>
            <w:b/>
            <w:i/>
            <w:color w:val="0000FF"/>
            <w:sz w:val="28"/>
            <w:u w:val="single"/>
          </w:rPr>
          <w:t xml:space="preserve"> v </w:t>
        </w:r>
        <w:r w:rsidR="00532F99" w:rsidRPr="00BE3196">
          <w:rPr>
            <w:b/>
            <w:i/>
            <w:color w:val="0000FF"/>
            <w:sz w:val="28"/>
            <w:u w:val="single"/>
          </w:rPr>
          <w:t>európskej politike súdržnosti, konkurencieschopnosti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532F99" w:rsidRPr="00BE3196">
          <w:rPr>
            <w:b/>
            <w:i/>
            <w:color w:val="0000FF"/>
            <w:sz w:val="28"/>
            <w:u w:val="single"/>
          </w:rPr>
          <w:t>udržateľného rozvoja</w:t>
        </w:r>
      </w:hyperlink>
    </w:p>
    <w:p w14:paraId="6D45E35E" w14:textId="77777777" w:rsidR="00153E09" w:rsidRPr="00BE3196" w:rsidRDefault="00153E09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  <w:gridCol w:w="1413"/>
      </w:tblGrid>
      <w:tr w:rsidR="002D4268" w:rsidRPr="00BE3196" w14:paraId="2621F2E5" w14:textId="77777777" w:rsidTr="002C16D8">
        <w:tc>
          <w:tcPr>
            <w:tcW w:w="1701" w:type="dxa"/>
          </w:tcPr>
          <w:p w14:paraId="49927660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  <w:p w14:paraId="12D42A14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Spravodajca:</w:t>
            </w:r>
          </w:p>
        </w:tc>
        <w:tc>
          <w:tcPr>
            <w:tcW w:w="8359" w:type="dxa"/>
            <w:gridSpan w:val="2"/>
          </w:tcPr>
          <w:p w14:paraId="705EF5A3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Cs/>
              </w:rPr>
            </w:pPr>
          </w:p>
          <w:p w14:paraId="06026D26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proofErr w:type="spellStart"/>
            <w:r w:rsidRPr="00BE3196">
              <w:t>Ioannis</w:t>
            </w:r>
            <w:proofErr w:type="spellEnd"/>
            <w:r w:rsidRPr="00BE3196">
              <w:t xml:space="preserve"> VARDAKASTANIS (skupina Organizácie občianskej spoločnosti – EL)</w:t>
            </w:r>
          </w:p>
        </w:tc>
      </w:tr>
      <w:tr w:rsidR="002D4268" w:rsidRPr="00BE3196" w14:paraId="05297C07" w14:textId="77777777" w:rsidTr="002C16D8">
        <w:trPr>
          <w:gridAfter w:val="1"/>
          <w:wAfter w:w="1413" w:type="dxa"/>
        </w:trPr>
        <w:tc>
          <w:tcPr>
            <w:tcW w:w="8647" w:type="dxa"/>
            <w:gridSpan w:val="2"/>
          </w:tcPr>
          <w:p w14:paraId="7F6FF57B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</w:p>
        </w:tc>
      </w:tr>
      <w:tr w:rsidR="002D4268" w:rsidRPr="00BE3196" w14:paraId="6E219600" w14:textId="77777777" w:rsidTr="002C16D8">
        <w:trPr>
          <w:gridAfter w:val="1"/>
          <w:wAfter w:w="1413" w:type="dxa"/>
        </w:trPr>
        <w:tc>
          <w:tcPr>
            <w:tcW w:w="1701" w:type="dxa"/>
          </w:tcPr>
          <w:p w14:paraId="2387D443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.:</w:t>
            </w:r>
          </w:p>
        </w:tc>
        <w:tc>
          <w:tcPr>
            <w:tcW w:w="6946" w:type="dxa"/>
          </w:tcPr>
          <w:p w14:paraId="2CE6DF44" w14:textId="77777777" w:rsidR="002D4268" w:rsidRPr="00BE3196" w:rsidRDefault="002D4268" w:rsidP="002C16D8">
            <w:pPr>
              <w:tabs>
                <w:tab w:val="center" w:pos="321"/>
              </w:tabs>
            </w:pPr>
            <w:r w:rsidRPr="00BE3196">
              <w:t>prieskumné stanovisko na žiadosť cyperského predsedníctva Rady EÚ</w:t>
            </w:r>
          </w:p>
          <w:p w14:paraId="300FEDC6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>EESC-2025-03598-00-00-AC-TRA</w:t>
            </w:r>
          </w:p>
        </w:tc>
      </w:tr>
    </w:tbl>
    <w:p w14:paraId="19846C5F" w14:textId="77777777" w:rsidR="002D4268" w:rsidRPr="00BE3196" w:rsidRDefault="002D4268" w:rsidP="002D4268">
      <w:pPr>
        <w:keepNext/>
        <w:keepLines/>
        <w:tabs>
          <w:tab w:val="center" w:pos="284"/>
        </w:tabs>
        <w:spacing w:before="120"/>
        <w:ind w:left="266" w:hanging="266"/>
        <w:rPr>
          <w:b/>
        </w:rPr>
      </w:pPr>
      <w:r w:rsidRPr="00BE3196">
        <w:rPr>
          <w:b/>
        </w:rPr>
        <w:t>Hlavné body</w:t>
      </w:r>
    </w:p>
    <w:p w14:paraId="083E416C" w14:textId="77777777" w:rsidR="002D4268" w:rsidRPr="00BE3196" w:rsidRDefault="002D4268" w:rsidP="002D4268">
      <w:pPr>
        <w:keepNext/>
        <w:keepLines/>
        <w:tabs>
          <w:tab w:val="center" w:pos="284"/>
        </w:tabs>
        <w:spacing w:before="120"/>
        <w:ind w:left="266" w:hanging="266"/>
        <w:rPr>
          <w:b/>
        </w:rPr>
      </w:pPr>
    </w:p>
    <w:p w14:paraId="57607598" w14:textId="77777777" w:rsidR="002D4268" w:rsidRPr="00BE3196" w:rsidRDefault="002D4268" w:rsidP="002D4268">
      <w:pPr>
        <w:rPr>
          <w:bCs/>
          <w:iCs/>
        </w:rPr>
      </w:pPr>
      <w:r w:rsidRPr="00BE3196">
        <w:t>EHSV:</w:t>
      </w:r>
    </w:p>
    <w:p w14:paraId="2A8C2C40" w14:textId="77777777" w:rsidR="002D4268" w:rsidRPr="00BE3196" w:rsidRDefault="002D4268" w:rsidP="002D4268">
      <w:pPr>
        <w:rPr>
          <w:bCs/>
          <w:iCs/>
        </w:rPr>
      </w:pPr>
    </w:p>
    <w:p w14:paraId="5E8A5988" w14:textId="7E52D76F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 xml:space="preserve">sa domnieva, že ostrovy EÚ čelia </w:t>
      </w:r>
      <w:r w:rsidRPr="00BE3196">
        <w:rPr>
          <w:u w:val="single"/>
        </w:rPr>
        <w:t>pretrvávajúcim štrukturálnym znevýhodneniam</w:t>
      </w:r>
      <w:r w:rsidRPr="00BE3196">
        <w:t>, t. j. geografickým, hospodárskym, demografickým</w:t>
      </w:r>
      <w:r w:rsidR="00BE3196">
        <w:t xml:space="preserve"> a </w:t>
      </w:r>
      <w:r w:rsidRPr="00BE3196">
        <w:t xml:space="preserve">klimatickým obmedzeniam, ako sú izolácia, roztápanie ľadu, </w:t>
      </w:r>
      <w:r w:rsidRPr="00290850">
        <w:rPr>
          <w:color w:val="242424"/>
        </w:rPr>
        <w:t>vysoké</w:t>
      </w:r>
      <w:r w:rsidRPr="00BE3196">
        <w:t xml:space="preserve"> náklady na dopravu</w:t>
      </w:r>
      <w:r w:rsidR="00BE3196">
        <w:t xml:space="preserve"> a </w:t>
      </w:r>
      <w:r w:rsidRPr="00BE3196">
        <w:t>energiu, tlak na bývanie, nedostatok pracovnej sily</w:t>
      </w:r>
      <w:r w:rsidR="00BE3196">
        <w:t xml:space="preserve"> a </w:t>
      </w:r>
      <w:r w:rsidRPr="00BE3196">
        <w:t>nadmerná závislosť od cestovného ruchu;</w:t>
      </w:r>
    </w:p>
    <w:p w14:paraId="7C999EC7" w14:textId="126768AF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u w:val="single"/>
        </w:rPr>
      </w:pPr>
      <w:r w:rsidRPr="00BE3196">
        <w:t>zastáva názor, že ostrovy sú nevyhnutné pre geopolitické postavenie, riadenie migrácie, námornú bezpečnosť</w:t>
      </w:r>
      <w:r w:rsidR="00BE3196">
        <w:t xml:space="preserve"> a </w:t>
      </w:r>
      <w:r w:rsidRPr="00BE3196">
        <w:t>energetickú transformáciu EÚ. Ich morské ekosystémy</w:t>
      </w:r>
      <w:r w:rsidR="00BE3196">
        <w:t xml:space="preserve"> a </w:t>
      </w:r>
      <w:r w:rsidRPr="00BE3196">
        <w:t>výhradné hospodárske zóny (VHZ) sú nosnými piliermi modrého hospodárstva</w:t>
      </w:r>
      <w:r w:rsidR="00BE3196">
        <w:t xml:space="preserve"> a </w:t>
      </w:r>
      <w:r w:rsidRPr="00BE3196">
        <w:t>cieľov biodiverzity. Napriek uznaniu</w:t>
      </w:r>
      <w:r w:rsidR="00BE3196">
        <w:t xml:space="preserve"> v </w:t>
      </w:r>
      <w:r w:rsidRPr="00BE3196">
        <w:t>zmluvách EÚ</w:t>
      </w:r>
      <w:r w:rsidR="00BE3196">
        <w:t xml:space="preserve"> a </w:t>
      </w:r>
      <w:r w:rsidRPr="00BE3196">
        <w:t>politickým vyhláseniam sa</w:t>
      </w:r>
      <w:r w:rsidR="00BE3196">
        <w:t xml:space="preserve"> v </w:t>
      </w:r>
      <w:r w:rsidRPr="00BE3196">
        <w:t xml:space="preserve">odvetvové politiky EÚ primerane </w:t>
      </w:r>
      <w:r w:rsidRPr="00290850">
        <w:rPr>
          <w:color w:val="242424"/>
        </w:rPr>
        <w:t>nezaoberajú</w:t>
      </w:r>
      <w:r w:rsidRPr="00BE3196">
        <w:t xml:space="preserve"> jedinečnými výzvami ostrovov. Ostrovy majú potenciál byť laboratóriami inovácií</w:t>
      </w:r>
      <w:r w:rsidR="00BE3196">
        <w:t xml:space="preserve"> a </w:t>
      </w:r>
      <w:r w:rsidRPr="00BE3196">
        <w:t>udržateľnosti, ktoré ukazujú riešenia, pokiaľ ide</w:t>
      </w:r>
      <w:r w:rsidR="00BE3196">
        <w:t xml:space="preserve"> o </w:t>
      </w:r>
      <w:r w:rsidRPr="00BE3196">
        <w:t>adaptáciu na zmenu klímy, energiu</w:t>
      </w:r>
      <w:r w:rsidR="00BE3196">
        <w:t xml:space="preserve"> z </w:t>
      </w:r>
      <w:r w:rsidRPr="00BE3196">
        <w:t>obnoviteľných zdrojov, ochranu morského prostredia</w:t>
      </w:r>
      <w:r w:rsidR="00BE3196">
        <w:t xml:space="preserve"> a </w:t>
      </w:r>
      <w:r w:rsidRPr="00BE3196">
        <w:t>udržateľný cestovný ruch;</w:t>
      </w:r>
    </w:p>
    <w:p w14:paraId="2C6D3979" w14:textId="5CFEABC6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u w:val="single"/>
        </w:rPr>
        <w:t>uznáva, že je potrebný systémový prístup</w:t>
      </w:r>
      <w:r w:rsidRPr="00BE3196">
        <w:t>. Účinná politika EÚ pre ostrovy</w:t>
      </w:r>
      <w:r w:rsidR="00BE3196">
        <w:t xml:space="preserve"> a </w:t>
      </w:r>
      <w:r w:rsidRPr="00BE3196">
        <w:t>ostrovné územia vo všeobecnosti (vrátane najvzdialenejších</w:t>
      </w:r>
      <w:r w:rsidR="00BE3196">
        <w:t xml:space="preserve"> a </w:t>
      </w:r>
      <w:r w:rsidRPr="00BE3196">
        <w:t xml:space="preserve">jazerných regiónov) si vyžaduje integrované medziodvetvové stratégie zamerané na prepojenosť, hospodársku diverzifikáciu, sociálnu súdržnosť, </w:t>
      </w:r>
      <w:r w:rsidRPr="00290850">
        <w:rPr>
          <w:color w:val="242424"/>
        </w:rPr>
        <w:t>ekologickú</w:t>
      </w:r>
      <w:r w:rsidRPr="00BE3196">
        <w:t>, sociálnu</w:t>
      </w:r>
      <w:r w:rsidR="00BE3196">
        <w:t xml:space="preserve"> a </w:t>
      </w:r>
      <w:r w:rsidRPr="00BE3196">
        <w:t>hospodársku odolnosť</w:t>
      </w:r>
      <w:r w:rsidR="00BE3196">
        <w:t xml:space="preserve"> a </w:t>
      </w:r>
      <w:r w:rsidRPr="00BE3196">
        <w:t>geopolitickú pripravenosť;</w:t>
      </w:r>
    </w:p>
    <w:p w14:paraId="75429020" w14:textId="4EA0F2F0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>požaduje, aby sa vypracovala osobitná stratégia EÚ pre ostrovy (</w:t>
      </w:r>
      <w:r w:rsidRPr="00BE3196">
        <w:rPr>
          <w:b/>
        </w:rPr>
        <w:t>pakt</w:t>
      </w:r>
      <w:r w:rsidR="00BE3196">
        <w:rPr>
          <w:b/>
        </w:rPr>
        <w:t xml:space="preserve"> o </w:t>
      </w:r>
      <w:r w:rsidRPr="00BE3196">
        <w:rPr>
          <w:b/>
        </w:rPr>
        <w:t>ostrovoch</w:t>
      </w:r>
      <w:r w:rsidRPr="00BE3196">
        <w:t>), ktorú by podporoval špecifický legislatívny rámec (</w:t>
      </w:r>
      <w:r w:rsidRPr="00BE3196">
        <w:rPr>
          <w:b/>
        </w:rPr>
        <w:t>akt</w:t>
      </w:r>
      <w:r w:rsidR="00BE3196">
        <w:rPr>
          <w:b/>
        </w:rPr>
        <w:t xml:space="preserve"> o </w:t>
      </w:r>
      <w:r w:rsidRPr="00BE3196">
        <w:rPr>
          <w:b/>
        </w:rPr>
        <w:t>ostrovoch</w:t>
      </w:r>
      <w:r w:rsidRPr="00BE3196">
        <w:t>). Tento rámec by mal byť sprevádzaný formálnou stratégiou</w:t>
      </w:r>
      <w:r w:rsidR="00BE3196">
        <w:t xml:space="preserve"> a </w:t>
      </w:r>
      <w:r w:rsidRPr="00BE3196">
        <w:t xml:space="preserve">zabezpečiť účinné vykonávanie </w:t>
      </w:r>
      <w:r w:rsidRPr="00BE3196">
        <w:rPr>
          <w:b/>
        </w:rPr>
        <w:t>„doložky</w:t>
      </w:r>
      <w:r w:rsidR="00BE3196">
        <w:rPr>
          <w:b/>
        </w:rPr>
        <w:t xml:space="preserve"> o </w:t>
      </w:r>
      <w:r w:rsidRPr="00BE3196">
        <w:rPr>
          <w:b/>
        </w:rPr>
        <w:t>ostrovnom charaktere“</w:t>
      </w:r>
      <w:r w:rsidR="00BE3196">
        <w:t xml:space="preserve"> s </w:t>
      </w:r>
      <w:r w:rsidRPr="00BE3196">
        <w:t>cieľom systematicky začleňovať osobitné potreby</w:t>
      </w:r>
      <w:r w:rsidR="00BE3196">
        <w:t xml:space="preserve"> a </w:t>
      </w:r>
      <w:r w:rsidRPr="00BE3196">
        <w:t xml:space="preserve">obmedzenia ostrovov do politík Únie </w:t>
      </w:r>
      <w:r w:rsidRPr="00290850">
        <w:rPr>
          <w:color w:val="242424"/>
        </w:rPr>
        <w:t>týkajúcich</w:t>
      </w:r>
      <w:r w:rsidRPr="00BE3196">
        <w:t xml:space="preserve"> sa súdržnosti, dopravy, energetiky, štátnej pomoci, životného prostredia</w:t>
      </w:r>
      <w:r w:rsidR="00BE3196">
        <w:t xml:space="preserve"> a </w:t>
      </w:r>
      <w:r w:rsidRPr="00BE3196">
        <w:t>námorných záležitostí;</w:t>
      </w:r>
    </w:p>
    <w:p w14:paraId="15A00C2C" w14:textId="4E898249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>zdôrazňuje, že zlepšenie prepojenosti</w:t>
      </w:r>
      <w:r w:rsidR="00BE3196">
        <w:t xml:space="preserve"> a </w:t>
      </w:r>
      <w:r w:rsidRPr="00BE3196">
        <w:t>infraštruktúry na ostrovných územiach je nevyhnutné pre územnú súdržnosť,</w:t>
      </w:r>
      <w:r w:rsidR="00BE3196">
        <w:t xml:space="preserve"> a </w:t>
      </w:r>
      <w:r w:rsidRPr="00BE3196">
        <w:t>vyzýva na zlepšenie systémov dopravy</w:t>
      </w:r>
      <w:r w:rsidR="00BE3196">
        <w:t xml:space="preserve"> a </w:t>
      </w:r>
      <w:r w:rsidRPr="00BE3196">
        <w:t xml:space="preserve">verejnej mobility, zlepšenie digitálnej </w:t>
      </w:r>
      <w:r w:rsidRPr="00B379C2">
        <w:t>pripojiteľnosti</w:t>
      </w:r>
      <w:r w:rsidR="00BE3196">
        <w:t xml:space="preserve"> a </w:t>
      </w:r>
      <w:r w:rsidRPr="00BE3196">
        <w:t>odolnejšie energetické siete</w:t>
      </w:r>
      <w:r w:rsidR="00BE3196">
        <w:t xml:space="preserve"> s </w:t>
      </w:r>
      <w:r w:rsidRPr="00BE3196">
        <w:t>jasným zameraním na dekarbonizáciu, energetickú autonómiu;</w:t>
      </w:r>
    </w:p>
    <w:p w14:paraId="37FFA0DE" w14:textId="5CD00338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 xml:space="preserve">pripomína, že ostrovné regióny by mali </w:t>
      </w:r>
      <w:proofErr w:type="spellStart"/>
      <w:r w:rsidRPr="00BE3196">
        <w:t>diverzifikovať</w:t>
      </w:r>
      <w:proofErr w:type="spellEnd"/>
      <w:r w:rsidRPr="00BE3196">
        <w:t xml:space="preserve"> svoje hospodárstva rozvojom udržateľného</w:t>
      </w:r>
      <w:r w:rsidR="00BE3196">
        <w:t xml:space="preserve"> a </w:t>
      </w:r>
      <w:r w:rsidRPr="00BE3196">
        <w:t xml:space="preserve">konkurencieschopného modrého hospodárstva, ktoré stavia na ich jedinečných aktívach, ako sú </w:t>
      </w:r>
      <w:r w:rsidRPr="00290850">
        <w:rPr>
          <w:color w:val="242424"/>
        </w:rPr>
        <w:t>morské</w:t>
      </w:r>
      <w:r w:rsidRPr="00BE3196">
        <w:t xml:space="preserve"> zdroje, potenciál energie</w:t>
      </w:r>
      <w:r w:rsidR="00BE3196">
        <w:t xml:space="preserve"> z </w:t>
      </w:r>
      <w:r w:rsidRPr="00BE3196">
        <w:t>obnoviteľných zdrojov, cestovný ruch, kultúrne dedičstvo</w:t>
      </w:r>
      <w:r w:rsidR="00BE3196">
        <w:t xml:space="preserve"> a </w:t>
      </w:r>
      <w:r w:rsidRPr="00BE3196">
        <w:t>kreatívny priemysel;</w:t>
      </w:r>
    </w:p>
    <w:p w14:paraId="64CB36EB" w14:textId="0F125181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>zdôrazňuje, že sociálna súdržnosť</w:t>
      </w:r>
      <w:r w:rsidR="00BE3196">
        <w:t xml:space="preserve"> a </w:t>
      </w:r>
      <w:r w:rsidRPr="00BE3196">
        <w:t>rozvoj ľudského kapitálu majú zásadný význam pre dlhodobú udržateľnosť ostrovných komunít. Vyzýva na cielené politiky na riešenie nedostatku bývania, nesúladu medzi ponúkanými</w:t>
      </w:r>
      <w:r w:rsidR="00BE3196">
        <w:t xml:space="preserve"> a </w:t>
      </w:r>
      <w:r w:rsidRPr="00BE3196">
        <w:t>požadovanými zručnosťami na trhu práce, nedostatku zručností</w:t>
      </w:r>
      <w:r w:rsidR="00BE3196">
        <w:t xml:space="preserve"> a </w:t>
      </w:r>
      <w:r w:rsidRPr="00290850">
        <w:rPr>
          <w:color w:val="242424"/>
        </w:rPr>
        <w:t>vysťahovalectva</w:t>
      </w:r>
      <w:r w:rsidRPr="00BE3196">
        <w:t xml:space="preserve"> mladých ľudí, ktoré by zahŕňali inkluzívne systémy vzdelávania, kvalitné pracovné príležitosti</w:t>
      </w:r>
      <w:r w:rsidR="00BE3196">
        <w:t xml:space="preserve"> a </w:t>
      </w:r>
      <w:r w:rsidRPr="00BE3196">
        <w:t>cenovo dostupné riešenia bývania prispôsobené osobitostiam ostrovov;</w:t>
      </w:r>
    </w:p>
    <w:p w14:paraId="6306C024" w14:textId="0293EB57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  <w:rPr>
          <w:sz w:val="24"/>
          <w:szCs w:val="24"/>
        </w:rPr>
      </w:pPr>
      <w:r w:rsidRPr="00BE3196">
        <w:t>zdôrazňuje, že je naliehavo potrebné dosiahnuť pokrok</w:t>
      </w:r>
      <w:r w:rsidR="00BE3196">
        <w:t xml:space="preserve"> v </w:t>
      </w:r>
      <w:r w:rsidRPr="00BE3196">
        <w:t>oblasti ochrany životného prostredia</w:t>
      </w:r>
      <w:r w:rsidR="00BE3196">
        <w:t xml:space="preserve"> a </w:t>
      </w:r>
      <w:r w:rsidRPr="00BE3196">
        <w:t xml:space="preserve">odolnosti </w:t>
      </w:r>
      <w:r w:rsidRPr="00290850">
        <w:rPr>
          <w:color w:val="242424"/>
        </w:rPr>
        <w:t>proti</w:t>
      </w:r>
      <w:r w:rsidRPr="00BE3196">
        <w:t xml:space="preserve"> zmene klímy na ostrovných územiach, ktoré sú neúmerne vystavené zmene klímy;</w:t>
      </w:r>
    </w:p>
    <w:p w14:paraId="15061F10" w14:textId="060A51B9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 xml:space="preserve">vyzýva na </w:t>
      </w:r>
      <w:r w:rsidRPr="00290850">
        <w:rPr>
          <w:color w:val="242424"/>
        </w:rPr>
        <w:t>formálne</w:t>
      </w:r>
      <w:r w:rsidRPr="00BE3196">
        <w:t xml:space="preserve"> začlenenie monitorovania, predvídania</w:t>
      </w:r>
      <w:r w:rsidR="00BE3196">
        <w:t xml:space="preserve"> a </w:t>
      </w:r>
      <w:r w:rsidRPr="00BE3196">
        <w:t>participatívneho riadenia do ostrovných politík</w:t>
      </w:r>
      <w:r w:rsidR="00BE3196">
        <w:t xml:space="preserve"> a </w:t>
      </w:r>
      <w:r w:rsidRPr="00BE3196">
        <w:t xml:space="preserve">navrhuje, aby bola vypracovaná </w:t>
      </w:r>
      <w:r w:rsidRPr="00BE3196">
        <w:rPr>
          <w:b/>
        </w:rPr>
        <w:t>pravidelná správa</w:t>
      </w:r>
      <w:r w:rsidR="00BE3196">
        <w:rPr>
          <w:b/>
        </w:rPr>
        <w:t xml:space="preserve"> o </w:t>
      </w:r>
      <w:r w:rsidRPr="00BE3196">
        <w:rPr>
          <w:b/>
        </w:rPr>
        <w:t>vykonávaní ostrovných opatrení</w:t>
      </w:r>
      <w:r w:rsidR="00BE3196">
        <w:t xml:space="preserve"> s </w:t>
      </w:r>
      <w:r w:rsidRPr="00BE3196">
        <w:t>cieľom sledovať kľúčové demografické, hospodárske, sociálne</w:t>
      </w:r>
      <w:r w:rsidR="00BE3196">
        <w:t xml:space="preserve"> a </w:t>
      </w:r>
      <w:r w:rsidRPr="00BE3196">
        <w:t>environmentálne ukazovatele;</w:t>
      </w:r>
    </w:p>
    <w:p w14:paraId="26E27790" w14:textId="596460A8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t>je presvedčený, že</w:t>
      </w:r>
      <w:r w:rsidR="00BE3196">
        <w:t xml:space="preserve"> s </w:t>
      </w:r>
      <w:r w:rsidRPr="00BE3196">
        <w:t>ostrovmi EÚ sa už nesmie zaobchádzať ako</w:t>
      </w:r>
      <w:r w:rsidR="00BE3196">
        <w:t xml:space="preserve"> s </w:t>
      </w:r>
      <w:r w:rsidRPr="00BE3196">
        <w:t>okrajovými územiami. Ide</w:t>
      </w:r>
      <w:r w:rsidR="00BE3196">
        <w:t xml:space="preserve"> o </w:t>
      </w:r>
      <w:r w:rsidRPr="00BE3196">
        <w:t>regióny</w:t>
      </w:r>
      <w:r w:rsidR="00BE3196">
        <w:t xml:space="preserve"> v </w:t>
      </w:r>
      <w:r w:rsidRPr="00BE3196">
        <w:t>prvej línii, pokiaľ ide</w:t>
      </w:r>
      <w:r w:rsidR="00BE3196">
        <w:t xml:space="preserve"> o </w:t>
      </w:r>
      <w:r w:rsidRPr="00BE3196">
        <w:t>suverenitu, odolnosť</w:t>
      </w:r>
      <w:r w:rsidR="00BE3196">
        <w:t xml:space="preserve"> a </w:t>
      </w:r>
      <w:r w:rsidRPr="00BE3196">
        <w:t xml:space="preserve">inovačnú kapacitu Európy. Cielená, </w:t>
      </w:r>
      <w:r w:rsidRPr="00290850">
        <w:rPr>
          <w:color w:val="242424"/>
        </w:rPr>
        <w:t>systémová</w:t>
      </w:r>
      <w:r w:rsidR="00BE3196">
        <w:t xml:space="preserve"> a </w:t>
      </w:r>
      <w:r w:rsidRPr="00BE3196">
        <w:t>právne zakotvená stratégia EÚ pre ostrovy (</w:t>
      </w:r>
      <w:r w:rsidRPr="00BE3196">
        <w:rPr>
          <w:b/>
        </w:rPr>
        <w:t>pakt</w:t>
      </w:r>
      <w:r w:rsidR="00BE3196">
        <w:rPr>
          <w:b/>
        </w:rPr>
        <w:t xml:space="preserve"> o </w:t>
      </w:r>
      <w:r w:rsidRPr="00BE3196">
        <w:rPr>
          <w:b/>
        </w:rPr>
        <w:t>ostrovoch</w:t>
      </w:r>
      <w:r w:rsidRPr="00BE3196">
        <w:t>) by bola nevyhnutná na premenu ostrovov na motory udržateľného rastu, odolnosti proti zmene klímy</w:t>
      </w:r>
      <w:r w:rsidR="00BE3196">
        <w:t xml:space="preserve"> a </w:t>
      </w:r>
      <w:r w:rsidRPr="00BE3196">
        <w:t>geopolitickej bezpečnosti, čím by sa zabezpečilo, že ostrovné komunity budú schopné prosperovať,</w:t>
      </w:r>
      <w:r w:rsidR="00BE3196">
        <w:t xml:space="preserve"> a </w:t>
      </w:r>
      <w:r w:rsidRPr="00BE3196">
        <w:t>zároveň by sa posilnila strategická autonómia</w:t>
      </w:r>
      <w:r w:rsidR="00BE3196">
        <w:t xml:space="preserve"> a </w:t>
      </w:r>
      <w:r w:rsidRPr="00BE3196">
        <w:t>súdržnosť Európy. Nedávno sa to jasne ukázalo</w:t>
      </w:r>
      <w:r w:rsidR="00BE3196">
        <w:t xml:space="preserve"> v </w:t>
      </w:r>
      <w:r w:rsidRPr="00BE3196">
        <w:t>súvislosti</w:t>
      </w:r>
      <w:r w:rsidR="00BE3196">
        <w:t xml:space="preserve"> s </w:t>
      </w:r>
      <w:r w:rsidRPr="00BE3196">
        <w:t>geopolitický dôležitým postavením Grónska</w:t>
      </w:r>
      <w:r w:rsidR="00BE3196">
        <w:t xml:space="preserve"> v </w:t>
      </w:r>
      <w:r w:rsidRPr="00BE3196">
        <w:t>kontexte meniacej sa bezpečnostnej situácie</w:t>
      </w:r>
      <w:r w:rsidR="00BE3196">
        <w:t xml:space="preserve"> v </w:t>
      </w:r>
      <w:r w:rsidRPr="00BE3196">
        <w:t>arktickom regióne, transatlantických vzťahov</w:t>
      </w:r>
      <w:r w:rsidR="00BE3196">
        <w:t xml:space="preserve"> a </w:t>
      </w:r>
      <w:r w:rsidRPr="00BE3196">
        <w:t>súperenia mocností</w:t>
      </w:r>
      <w:r w:rsidR="00BE3196">
        <w:t xml:space="preserve"> a </w:t>
      </w:r>
      <w:r w:rsidRPr="00BE3196">
        <w:t>jeho významom pre strategickú autonómiu Európy</w:t>
      </w:r>
      <w:r w:rsidR="00BE3196">
        <w:t xml:space="preserve"> v </w:t>
      </w:r>
      <w:r w:rsidRPr="00BE3196">
        <w:t>oblasti obrany.</w:t>
      </w:r>
    </w:p>
    <w:p w14:paraId="5911A57B" w14:textId="77777777" w:rsidR="002D4268" w:rsidRPr="00BE3196" w:rsidRDefault="002D4268" w:rsidP="002D4268">
      <w:pPr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D4268" w:rsidRPr="00BE3196" w14:paraId="7D35A76C" w14:textId="77777777" w:rsidTr="002C16D8">
        <w:tc>
          <w:tcPr>
            <w:tcW w:w="1418" w:type="dxa"/>
          </w:tcPr>
          <w:p w14:paraId="1506352E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14:paraId="2A32E2DB" w14:textId="77777777" w:rsidR="002D4268" w:rsidRPr="00BE3196" w:rsidRDefault="002D4268" w:rsidP="002C16D8">
            <w:pPr>
              <w:rPr>
                <w:i/>
              </w:rPr>
            </w:pPr>
            <w:proofErr w:type="spellStart"/>
            <w:r w:rsidRPr="00BE3196">
              <w:rPr>
                <w:i/>
              </w:rPr>
              <w:t>Georgios</w:t>
            </w:r>
            <w:proofErr w:type="spellEnd"/>
            <w:r w:rsidRPr="00BE3196">
              <w:rPr>
                <w:i/>
              </w:rPr>
              <w:t xml:space="preserve"> MELEAS</w:t>
            </w:r>
          </w:p>
        </w:tc>
      </w:tr>
      <w:tr w:rsidR="002D4268" w:rsidRPr="00BE3196" w14:paraId="1E4C353B" w14:textId="77777777" w:rsidTr="002C16D8">
        <w:tc>
          <w:tcPr>
            <w:tcW w:w="1418" w:type="dxa"/>
          </w:tcPr>
          <w:p w14:paraId="0E64DF76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5670" w:type="dxa"/>
          </w:tcPr>
          <w:p w14:paraId="4EDD63D8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+32 2 5469795</w:t>
            </w:r>
          </w:p>
        </w:tc>
      </w:tr>
      <w:tr w:rsidR="002D4268" w:rsidRPr="00BE3196" w14:paraId="2949A02A" w14:textId="77777777" w:rsidTr="002C16D8">
        <w:tc>
          <w:tcPr>
            <w:tcW w:w="1418" w:type="dxa"/>
          </w:tcPr>
          <w:p w14:paraId="6CA2D127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3D3EB244" w14:textId="77777777" w:rsidR="002D4268" w:rsidRPr="00BE3196" w:rsidRDefault="002D4268" w:rsidP="002C16D8">
            <w:pPr>
              <w:rPr>
                <w:i/>
                <w:iCs/>
              </w:rPr>
            </w:pPr>
            <w:hyperlink r:id="rId21" w:history="1">
              <w:r w:rsidRPr="00BE3196">
                <w:rPr>
                  <w:rStyle w:val="Hyperlink"/>
                  <w:i/>
                </w:rPr>
                <w:t>Georgios.Meleas@eesc.europa.eu</w:t>
              </w:r>
            </w:hyperlink>
            <w:r w:rsidRPr="00BE3196">
              <w:rPr>
                <w:i/>
              </w:rPr>
              <w:t xml:space="preserve"> </w:t>
            </w:r>
          </w:p>
        </w:tc>
      </w:tr>
    </w:tbl>
    <w:p w14:paraId="3016994A" w14:textId="77777777" w:rsidR="007652C3" w:rsidRPr="00BE3196" w:rsidRDefault="007652C3" w:rsidP="00100EF9">
      <w:pPr>
        <w:pStyle w:val="ListParagraph"/>
        <w:ind w:left="0"/>
      </w:pPr>
    </w:p>
    <w:p w14:paraId="28F747AB" w14:textId="77777777" w:rsidR="007652C3" w:rsidRPr="00BE3196" w:rsidRDefault="007652C3" w:rsidP="00100EF9">
      <w:pPr>
        <w:jc w:val="left"/>
      </w:pPr>
      <w:r w:rsidRPr="00BE3196">
        <w:br w:type="page"/>
      </w:r>
    </w:p>
    <w:p w14:paraId="71EC6247" w14:textId="6A47CCCA" w:rsidR="007652C3" w:rsidRPr="00BE3196" w:rsidRDefault="008E67CA" w:rsidP="00180F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2" w:history="1">
        <w:r w:rsidR="00E235D3" w:rsidRPr="00BE3196">
          <w:rPr>
            <w:b/>
            <w:i/>
            <w:color w:val="0000FF"/>
            <w:sz w:val="28"/>
            <w:u w:val="single"/>
          </w:rPr>
          <w:t>Revízia smernice</w:t>
        </w:r>
        <w:r w:rsidR="00BE3196">
          <w:rPr>
            <w:b/>
            <w:i/>
            <w:color w:val="0000FF"/>
            <w:sz w:val="28"/>
            <w:u w:val="single"/>
          </w:rPr>
          <w:t xml:space="preserve"> o </w:t>
        </w:r>
        <w:r w:rsidR="00E235D3" w:rsidRPr="00BE3196">
          <w:rPr>
            <w:b/>
            <w:i/>
            <w:color w:val="0000FF"/>
            <w:sz w:val="28"/>
            <w:u w:val="single"/>
          </w:rPr>
          <w:t>zdaňovaní tabaku</w:t>
        </w:r>
      </w:hyperlink>
    </w:p>
    <w:p w14:paraId="14832C64" w14:textId="77777777" w:rsidR="007652C3" w:rsidRPr="00BE3196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="002D4268" w:rsidRPr="00BE3196" w14:paraId="53FF653A" w14:textId="77777777" w:rsidTr="002C16D8">
        <w:tc>
          <w:tcPr>
            <w:tcW w:w="1701" w:type="dxa"/>
          </w:tcPr>
          <w:p w14:paraId="41C8F029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Spravodajca:</w:t>
            </w:r>
          </w:p>
        </w:tc>
        <w:tc>
          <w:tcPr>
            <w:tcW w:w="7479" w:type="dxa"/>
          </w:tcPr>
          <w:p w14:paraId="54B23746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proofErr w:type="spellStart"/>
            <w:r w:rsidRPr="00BE3196">
              <w:t>Matteo</w:t>
            </w:r>
            <w:proofErr w:type="spellEnd"/>
            <w:r w:rsidRPr="00BE3196">
              <w:t xml:space="preserve"> Carlo BORSANI (skupina Zamestnávatelia – IT)</w:t>
            </w:r>
          </w:p>
        </w:tc>
      </w:tr>
      <w:tr w:rsidR="002D4268" w:rsidRPr="00BE3196" w14:paraId="1E1ECA16" w14:textId="77777777" w:rsidTr="002C16D8">
        <w:tc>
          <w:tcPr>
            <w:tcW w:w="1701" w:type="dxa"/>
          </w:tcPr>
          <w:p w14:paraId="07DB3206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.:</w:t>
            </w:r>
          </w:p>
        </w:tc>
        <w:tc>
          <w:tcPr>
            <w:tcW w:w="7479" w:type="dxa"/>
          </w:tcPr>
          <w:p w14:paraId="7F1ABC62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 xml:space="preserve">COM(2025) 580 </w:t>
            </w:r>
            <w:proofErr w:type="spellStart"/>
            <w:r w:rsidRPr="00BE3196">
              <w:t>final</w:t>
            </w:r>
            <w:proofErr w:type="spellEnd"/>
            <w:r w:rsidRPr="00BE3196">
              <w:t> – 2025/0580 (CNS)</w:t>
            </w:r>
          </w:p>
          <w:p w14:paraId="3FBA0240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 xml:space="preserve">COM(2025) 581 </w:t>
            </w:r>
            <w:proofErr w:type="spellStart"/>
            <w:r w:rsidRPr="00BE3196">
              <w:t>final</w:t>
            </w:r>
            <w:proofErr w:type="spellEnd"/>
            <w:r w:rsidRPr="00BE3196">
              <w:t> – 2025/0581 (CNS)</w:t>
            </w:r>
          </w:p>
          <w:p w14:paraId="5DF51476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>EESC-2025-02514-00-00-AC-TRA</w:t>
            </w:r>
          </w:p>
        </w:tc>
      </w:tr>
    </w:tbl>
    <w:p w14:paraId="1E3B71F4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Cs/>
        </w:rPr>
      </w:pPr>
    </w:p>
    <w:p w14:paraId="698F6DD0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3E74AC0A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Cs/>
        </w:rPr>
      </w:pPr>
    </w:p>
    <w:p w14:paraId="1CF8CF8E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Cs/>
          <w:iCs/>
        </w:rPr>
      </w:pPr>
      <w:r w:rsidRPr="00BE3196">
        <w:t>EHSV:</w:t>
      </w:r>
    </w:p>
    <w:p w14:paraId="103F3ED9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Cs/>
        </w:rPr>
      </w:pPr>
    </w:p>
    <w:p w14:paraId="655AD083" w14:textId="2605BCB9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podporuje</w:t>
      </w:r>
      <w:r w:rsidRPr="00BE3196">
        <w:t xml:space="preserve"> revíziu smernice</w:t>
      </w:r>
      <w:r w:rsidR="00BE3196">
        <w:t xml:space="preserve"> o </w:t>
      </w:r>
      <w:r w:rsidRPr="00BE3196">
        <w:t>zdaňovaní tabaku, pričom uznáva, že je nevyhnutné prispôsobiť rámec spotrebných daní vývoju na trhu, novým výrobkom</w:t>
      </w:r>
      <w:r w:rsidR="00BE3196">
        <w:t xml:space="preserve"> a </w:t>
      </w:r>
      <w:r w:rsidRPr="00BE3196">
        <w:t>cieľom</w:t>
      </w:r>
      <w:r w:rsidR="00BE3196">
        <w:t xml:space="preserve"> v </w:t>
      </w:r>
      <w:r w:rsidRPr="00BE3196">
        <w:t>oblasti verejného zdravia,</w:t>
      </w:r>
      <w:r w:rsidR="00BE3196">
        <w:t xml:space="preserve"> a </w:t>
      </w:r>
      <w:r w:rsidRPr="00BE3196">
        <w:t xml:space="preserve">zároveň </w:t>
      </w:r>
      <w:r w:rsidRPr="00290850">
        <w:rPr>
          <w:color w:val="242424"/>
        </w:rPr>
        <w:t>zdôrazňuje</w:t>
      </w:r>
      <w:r w:rsidRPr="00BE3196">
        <w:t>, že reforma musí zostať primeraná, predvídateľná</w:t>
      </w:r>
      <w:r w:rsidR="00BE3196">
        <w:t xml:space="preserve"> a </w:t>
      </w:r>
      <w:r w:rsidRPr="00BE3196">
        <w:t>hospodársky udržateľná;</w:t>
      </w:r>
    </w:p>
    <w:p w14:paraId="67FE2EF1" w14:textId="28B71829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varuje</w:t>
      </w:r>
      <w:r w:rsidRPr="00BE3196">
        <w:t xml:space="preserve"> pred náhlym alebo nadmerným zvyšovaním spotrebných daní, ktoré by mohlo podnecovať nezákonný obchod, obmedziť fiškálne príjmy</w:t>
      </w:r>
      <w:r w:rsidR="00BE3196">
        <w:t xml:space="preserve"> a </w:t>
      </w:r>
      <w:r w:rsidRPr="00BE3196">
        <w:t>zhoršiť výsledky</w:t>
      </w:r>
      <w:r w:rsidR="00BE3196">
        <w:t xml:space="preserve"> v </w:t>
      </w:r>
      <w:r w:rsidRPr="00BE3196">
        <w:t xml:space="preserve">oblasti verejného </w:t>
      </w:r>
      <w:r w:rsidRPr="00290850">
        <w:rPr>
          <w:color w:val="242424"/>
        </w:rPr>
        <w:t>zdravia</w:t>
      </w:r>
      <w:r w:rsidRPr="00BE3196">
        <w:t xml:space="preserve">. </w:t>
      </w:r>
      <w:r w:rsidRPr="00BE3196">
        <w:rPr>
          <w:b/>
        </w:rPr>
        <w:t>Odporúča</w:t>
      </w:r>
      <w:r w:rsidRPr="00BE3196">
        <w:t xml:space="preserve"> preto, aby úpravy spotrebných daní boli postupné</w:t>
      </w:r>
      <w:r w:rsidR="00BE3196">
        <w:t xml:space="preserve"> a </w:t>
      </w:r>
      <w:r w:rsidRPr="00BE3196">
        <w:t>sprevádzané posilneným presadzovaním, colnou spoluprácou</w:t>
      </w:r>
      <w:r w:rsidR="00BE3196">
        <w:t xml:space="preserve"> a </w:t>
      </w:r>
      <w:r w:rsidRPr="00BE3196">
        <w:t>cezhraničnými opatreniami proti pašovaniu;</w:t>
      </w:r>
    </w:p>
    <w:p w14:paraId="1D5BCF56" w14:textId="78E7175A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vyzýva</w:t>
      </w:r>
      <w:r w:rsidRPr="00BE3196">
        <w:t xml:space="preserve"> na dôsledné uplatňovanie zdaňovania úmerného riziku, ktorým sa zabezpečí, aby nespaľované </w:t>
      </w:r>
      <w:r w:rsidRPr="00290850">
        <w:rPr>
          <w:color w:val="242424"/>
        </w:rPr>
        <w:t>výrobky</w:t>
      </w:r>
      <w:r w:rsidR="00BE3196">
        <w:t xml:space="preserve"> a </w:t>
      </w:r>
      <w:r w:rsidRPr="00BE3196">
        <w:t>výrobky so zníženým rizikom neboli zdaňované rovnako ako spaľované tabakové výrobky,</w:t>
      </w:r>
      <w:r w:rsidR="00BE3196">
        <w:t xml:space="preserve"> v </w:t>
      </w:r>
      <w:r w:rsidRPr="00BE3196">
        <w:t>súlade so zásadou „menšia škodlivosť, nižšie zdanenie“</w:t>
      </w:r>
      <w:r w:rsidR="00BE3196">
        <w:t xml:space="preserve"> a </w:t>
      </w:r>
      <w:r w:rsidRPr="00BE3196">
        <w:t>cieľmi európskeho plánu na boj proti rakovine;</w:t>
      </w:r>
    </w:p>
    <w:p w14:paraId="662DCC6A" w14:textId="137A518D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odporúča</w:t>
      </w:r>
      <w:r w:rsidRPr="00BE3196">
        <w:t xml:space="preserve"> zlepšiť právnu zrozumiteľnosť</w:t>
      </w:r>
      <w:r w:rsidR="00BE3196">
        <w:t xml:space="preserve"> a </w:t>
      </w:r>
      <w:r w:rsidRPr="00BE3196">
        <w:t xml:space="preserve">harmonizáciu vymedzení výrobkov, najmä tým, že sa explicitne </w:t>
      </w:r>
      <w:r w:rsidRPr="00290850">
        <w:rPr>
          <w:color w:val="242424"/>
        </w:rPr>
        <w:t>vymedzia</w:t>
      </w:r>
      <w:r w:rsidRPr="00BE3196">
        <w:t xml:space="preserve"> zahrievané tabakové výrobky, ktoré budú jasne odlíšené od spaľovaných výrobkov;</w:t>
      </w:r>
    </w:p>
    <w:p w14:paraId="0607E4DD" w14:textId="160AD193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žiada</w:t>
      </w:r>
      <w:r w:rsidRPr="00BE3196">
        <w:t xml:space="preserve"> Komisiu, aby posilnila súdržnosť medzi vymedzeniami spotrebných daní</w:t>
      </w:r>
      <w:r w:rsidR="00BE3196">
        <w:t xml:space="preserve"> a </w:t>
      </w:r>
      <w:r w:rsidRPr="00BE3196">
        <w:t>kombinovanou nomenklatúrou (KN) udržiavaním aktualizovaných tabuliek zhody</w:t>
      </w:r>
      <w:r w:rsidR="00BE3196">
        <w:t xml:space="preserve"> a </w:t>
      </w:r>
      <w:r w:rsidRPr="00BE3196">
        <w:t>poskytovaním výkladových usmernení vždy, keď zmeny nomenklatúrneho zatriedenia tovaru ovplyvnia kategorizáciu spotrebných daní;</w:t>
      </w:r>
    </w:p>
    <w:p w14:paraId="77E3AA67" w14:textId="59164A31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požaduje</w:t>
      </w:r>
      <w:r w:rsidRPr="00BE3196">
        <w:t xml:space="preserve"> pre členské štáty dostatočnú flexibilitu</w:t>
      </w:r>
      <w:r w:rsidR="00BE3196">
        <w:t xml:space="preserve"> v </w:t>
      </w:r>
      <w:r w:rsidRPr="00BE3196">
        <w:t xml:space="preserve">štruktúrach spotrebných daní vrátane možnosti vybrať si medzi jednotkovým alebo hmotnostným zdaňovaním zahrievaných tabakových </w:t>
      </w:r>
      <w:r w:rsidRPr="00290850">
        <w:rPr>
          <w:color w:val="242424"/>
        </w:rPr>
        <w:t>výrobkov</w:t>
      </w:r>
      <w:r w:rsidR="00BE3196">
        <w:t xml:space="preserve"> s </w:t>
      </w:r>
      <w:r w:rsidRPr="00BE3196">
        <w:t>cieľom zohľadniť vnútroštátne trhové podmienky</w:t>
      </w:r>
      <w:r w:rsidR="00BE3196">
        <w:t xml:space="preserve"> a </w:t>
      </w:r>
      <w:r w:rsidRPr="00BE3196">
        <w:t>zároveň dodržiavať minimálne úrovne</w:t>
      </w:r>
      <w:r w:rsidR="00BE3196">
        <w:t xml:space="preserve"> v </w:t>
      </w:r>
      <w:r w:rsidRPr="00BE3196">
        <w:t>celej EÚ;</w:t>
      </w:r>
    </w:p>
    <w:p w14:paraId="740D337E" w14:textId="4FD43B3F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vyzýva</w:t>
      </w:r>
      <w:r w:rsidRPr="00BE3196">
        <w:t>, aby sa podrobne</w:t>
      </w:r>
      <w:r w:rsidR="00BE3196">
        <w:t xml:space="preserve"> a </w:t>
      </w:r>
      <w:r w:rsidRPr="00BE3196">
        <w:t>detailne zmapovali pracovné miesta</w:t>
      </w:r>
      <w:r w:rsidR="00BE3196">
        <w:t xml:space="preserve"> a </w:t>
      </w:r>
      <w:r w:rsidRPr="00BE3196">
        <w:t>zručnosti</w:t>
      </w:r>
      <w:r w:rsidR="00BE3196">
        <w:t xml:space="preserve"> v </w:t>
      </w:r>
      <w:r w:rsidRPr="00BE3196">
        <w:t xml:space="preserve">tomto odvetví, posúdili </w:t>
      </w:r>
      <w:r w:rsidRPr="00290850">
        <w:rPr>
          <w:color w:val="242424"/>
        </w:rPr>
        <w:t>strednodobé</w:t>
      </w:r>
      <w:r w:rsidR="00BE3196">
        <w:t xml:space="preserve"> a </w:t>
      </w:r>
      <w:r w:rsidRPr="00BE3196">
        <w:t>dlhodobé scenáre pripojené</w:t>
      </w:r>
      <w:r w:rsidR="00BE3196">
        <w:t xml:space="preserve"> k </w:t>
      </w:r>
      <w:r w:rsidRPr="00BE3196">
        <w:t>návrhu</w:t>
      </w:r>
      <w:r w:rsidR="00BE3196">
        <w:t xml:space="preserve"> a </w:t>
      </w:r>
      <w:r w:rsidRPr="00BE3196">
        <w:t>vypracovali jasné prognózy, pokiaľ ide</w:t>
      </w:r>
      <w:r w:rsidR="00BE3196">
        <w:t xml:space="preserve"> o </w:t>
      </w:r>
      <w:r w:rsidRPr="00BE3196">
        <w:t>jeho dosah na zamestnanosť;</w:t>
      </w:r>
    </w:p>
    <w:p w14:paraId="397D4F33" w14:textId="2C600F09" w:rsidR="002D4268" w:rsidRPr="00BE3196" w:rsidRDefault="002D4268" w:rsidP="00B379C2">
      <w:pPr>
        <w:pStyle w:val="ListParagraph"/>
        <w:numPr>
          <w:ilvl w:val="0"/>
          <w:numId w:val="3"/>
        </w:numPr>
        <w:ind w:left="567" w:hanging="567"/>
      </w:pPr>
      <w:r w:rsidRPr="00BE3196">
        <w:rPr>
          <w:b/>
        </w:rPr>
        <w:t>žiada</w:t>
      </w:r>
      <w:r w:rsidRPr="00BE3196">
        <w:t>, aby sa delegované akty používali predvídateľným spôsobom</w:t>
      </w:r>
      <w:r w:rsidR="00BE3196">
        <w:t xml:space="preserve"> a v </w:t>
      </w:r>
      <w:r w:rsidRPr="00BE3196">
        <w:t>obmedzenej miere, striktne len na technické úpravy vzhľadom na infláciu,</w:t>
      </w:r>
      <w:r w:rsidR="00BE3196">
        <w:t xml:space="preserve"> v </w:t>
      </w:r>
      <w:r w:rsidRPr="00BE3196">
        <w:t>súlade so zásadou subsidiarity</w:t>
      </w:r>
      <w:r w:rsidR="00BE3196">
        <w:t xml:space="preserve"> a s </w:t>
      </w:r>
      <w:r w:rsidRPr="00BE3196">
        <w:t>fiškálnou suverenitou členských štátov.</w:t>
      </w:r>
    </w:p>
    <w:p w14:paraId="17543D0F" w14:textId="77777777" w:rsidR="002D4268" w:rsidRPr="00BE3196" w:rsidRDefault="002D4268" w:rsidP="002D4268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D4268" w:rsidRPr="00BE3196" w14:paraId="2C5E8212" w14:textId="77777777" w:rsidTr="002C16D8">
        <w:tc>
          <w:tcPr>
            <w:tcW w:w="1418" w:type="dxa"/>
          </w:tcPr>
          <w:p w14:paraId="15B720A6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2D6C3CA0" w14:textId="77777777" w:rsidR="002D4268" w:rsidRPr="00BE3196" w:rsidRDefault="002D4268" w:rsidP="002C16D8">
            <w:pPr>
              <w:rPr>
                <w:i/>
              </w:rPr>
            </w:pPr>
            <w:proofErr w:type="spellStart"/>
            <w:r w:rsidRPr="00BE3196">
              <w:rPr>
                <w:i/>
              </w:rPr>
              <w:t>Jüri</w:t>
            </w:r>
            <w:proofErr w:type="spellEnd"/>
            <w:r w:rsidRPr="00BE3196">
              <w:rPr>
                <w:i/>
              </w:rPr>
              <w:t xml:space="preserve"> SOOSAAR</w:t>
            </w:r>
          </w:p>
        </w:tc>
      </w:tr>
      <w:tr w:rsidR="002D4268" w:rsidRPr="00BE3196" w14:paraId="69A35285" w14:textId="77777777" w:rsidTr="002C16D8">
        <w:tc>
          <w:tcPr>
            <w:tcW w:w="1418" w:type="dxa"/>
          </w:tcPr>
          <w:p w14:paraId="40B0AC01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5670" w:type="dxa"/>
          </w:tcPr>
          <w:p w14:paraId="54C3766F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+32 2</w:t>
            </w:r>
            <w:r w:rsidRPr="00BE3196">
              <w:t xml:space="preserve"> </w:t>
            </w:r>
            <w:r w:rsidRPr="00BE3196">
              <w:rPr>
                <w:i/>
              </w:rPr>
              <w:t>5469628</w:t>
            </w:r>
          </w:p>
        </w:tc>
      </w:tr>
      <w:tr w:rsidR="002D4268" w:rsidRPr="00BE3196" w14:paraId="7D04D9BC" w14:textId="77777777" w:rsidTr="002C16D8">
        <w:tc>
          <w:tcPr>
            <w:tcW w:w="1418" w:type="dxa"/>
          </w:tcPr>
          <w:p w14:paraId="39A19C1F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07EF2902" w14:textId="77777777" w:rsidR="002D4268" w:rsidRPr="00BE3196" w:rsidRDefault="002D4268" w:rsidP="002C16D8">
            <w:pPr>
              <w:rPr>
                <w:i/>
                <w:iCs/>
              </w:rPr>
            </w:pPr>
            <w:hyperlink r:id="rId23" w:history="1">
              <w:r w:rsidRPr="00BE3196">
                <w:rPr>
                  <w:rStyle w:val="Hyperlink"/>
                  <w:i/>
                </w:rPr>
                <w:t>Juri.Soosaar@eesc.europa.eu</w:t>
              </w:r>
            </w:hyperlink>
            <w:r w:rsidRPr="00BE3196">
              <w:rPr>
                <w:i/>
              </w:rPr>
              <w:t xml:space="preserve"> </w:t>
            </w:r>
          </w:p>
        </w:tc>
      </w:tr>
    </w:tbl>
    <w:p w14:paraId="4356DB93" w14:textId="77777777" w:rsidR="00302594" w:rsidRPr="00BE3196" w:rsidRDefault="00302594" w:rsidP="00100EF9">
      <w:pPr>
        <w:jc w:val="left"/>
      </w:pPr>
      <w:r w:rsidRPr="00BE3196">
        <w:br w:type="page"/>
      </w:r>
    </w:p>
    <w:p w14:paraId="4982DD99" w14:textId="77777777" w:rsidR="004D7AC0" w:rsidRPr="00BE3196" w:rsidRDefault="004D7AC0" w:rsidP="00100EF9">
      <w:pPr>
        <w:pStyle w:val="Heading1"/>
        <w:rPr>
          <w:b/>
        </w:rPr>
      </w:pPr>
      <w:bookmarkStart w:id="1" w:name="_Toc75527081"/>
      <w:bookmarkStart w:id="2" w:name="_Toc223518455"/>
      <w:r w:rsidRPr="00BE3196">
        <w:rPr>
          <w:b/>
        </w:rPr>
        <w:t>ZAMESTNANOSŤ, SOCIÁLNE VECI A OBČIANSTVO</w:t>
      </w:r>
      <w:bookmarkEnd w:id="1"/>
      <w:bookmarkEnd w:id="2"/>
    </w:p>
    <w:p w14:paraId="4982DD9A" w14:textId="77777777" w:rsidR="004D7AC0" w:rsidRPr="00BE3196" w:rsidRDefault="004D7AC0" w:rsidP="00100EF9"/>
    <w:p w14:paraId="095440CA" w14:textId="53267A55" w:rsidR="001653D7" w:rsidRPr="00BE3196" w:rsidRDefault="008E67CA" w:rsidP="00180FD9">
      <w:pPr>
        <w:widowControl w:val="0"/>
        <w:numPr>
          <w:ilvl w:val="0"/>
          <w:numId w:val="4"/>
        </w:numPr>
        <w:ind w:hanging="567"/>
        <w:rPr>
          <w:sz w:val="24"/>
          <w:szCs w:val="24"/>
        </w:rPr>
      </w:pPr>
      <w:hyperlink r:id="rId24" w:history="1">
        <w:r w:rsidR="00E235D3" w:rsidRPr="00BE3196">
          <w:rPr>
            <w:b/>
            <w:i/>
            <w:color w:val="0000FF"/>
            <w:sz w:val="28"/>
            <w:u w:val="single"/>
          </w:rPr>
          <w:t>Podpora Únie pre azyl, migráciu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8"/>
            <w:u w:val="single"/>
          </w:rPr>
          <w:t>integráciu, vnútornú bezpečnosť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8"/>
            <w:u w:val="single"/>
          </w:rPr>
          <w:t>integrované riadenie hraníc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8"/>
            <w:u w:val="single"/>
          </w:rPr>
          <w:t>vízovú politiku</w:t>
        </w:r>
      </w:hyperlink>
    </w:p>
    <w:p w14:paraId="00463498" w14:textId="77777777" w:rsidR="001653D7" w:rsidRPr="00BE3196" w:rsidRDefault="001653D7" w:rsidP="00100EF9">
      <w:pPr>
        <w:tabs>
          <w:tab w:val="center" w:pos="284"/>
        </w:tabs>
        <w:ind w:left="266" w:hanging="266"/>
        <w:rPr>
          <w:b/>
          <w:sz w:val="20"/>
          <w:szCs w:val="20"/>
        </w:rPr>
      </w:pPr>
    </w:p>
    <w:tbl>
      <w:tblPr>
        <w:tblStyle w:val="TableGrid1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</w:tblGrid>
      <w:tr w:rsidR="00BE3196" w:rsidRPr="00BE3196" w14:paraId="331E8AD8" w14:textId="77777777" w:rsidTr="002C16D8">
        <w:tc>
          <w:tcPr>
            <w:tcW w:w="2552" w:type="dxa"/>
          </w:tcPr>
          <w:p w14:paraId="4F3F537D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</w:t>
            </w:r>
          </w:p>
          <w:p w14:paraId="4B72B129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6237" w:type="dxa"/>
          </w:tcPr>
          <w:p w14:paraId="0A034811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</w:pPr>
            <w:r w:rsidRPr="00BE3196">
              <w:t>José Antonio MORENO DÍAZ (skupina Pracovníci – ES)</w:t>
            </w:r>
          </w:p>
          <w:p w14:paraId="3AF0634E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</w:pPr>
          </w:p>
        </w:tc>
      </w:tr>
      <w:tr w:rsidR="00BE3196" w:rsidRPr="00BE3196" w14:paraId="4C944E98" w14:textId="77777777" w:rsidTr="002C16D8">
        <w:tc>
          <w:tcPr>
            <w:tcW w:w="2552" w:type="dxa"/>
            <w:vMerge w:val="restart"/>
          </w:tcPr>
          <w:p w14:paraId="35C13C56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 xml:space="preserve">. dok. </w:t>
            </w:r>
          </w:p>
        </w:tc>
        <w:tc>
          <w:tcPr>
            <w:tcW w:w="6237" w:type="dxa"/>
          </w:tcPr>
          <w:p w14:paraId="51348E1A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</w:pPr>
            <w:r w:rsidRPr="00BE3196">
              <w:t xml:space="preserve">COM(2025) 540 </w:t>
            </w:r>
            <w:proofErr w:type="spellStart"/>
            <w:r w:rsidRPr="00BE3196">
              <w:t>final</w:t>
            </w:r>
            <w:proofErr w:type="spellEnd"/>
            <w:r w:rsidRPr="00BE3196">
              <w:t xml:space="preserve"> 2025/0540(COD)</w:t>
            </w:r>
          </w:p>
          <w:p w14:paraId="683C53A2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</w:pPr>
            <w:r w:rsidRPr="00BE3196">
              <w:t xml:space="preserve">COM(2025) 541 </w:t>
            </w:r>
            <w:proofErr w:type="spellStart"/>
            <w:r w:rsidRPr="00BE3196">
              <w:t>final</w:t>
            </w:r>
            <w:proofErr w:type="spellEnd"/>
            <w:r w:rsidRPr="00BE3196">
              <w:t xml:space="preserve"> 2025/0541(COD)</w:t>
            </w:r>
          </w:p>
          <w:p w14:paraId="6D616609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</w:pPr>
            <w:r w:rsidRPr="00BE3196">
              <w:t xml:space="preserve">COM(2025) 542 </w:t>
            </w:r>
            <w:proofErr w:type="spellStart"/>
            <w:r w:rsidRPr="00BE3196">
              <w:t>final</w:t>
            </w:r>
            <w:proofErr w:type="spellEnd"/>
            <w:r w:rsidRPr="00BE3196">
              <w:t xml:space="preserve"> 2025/0542(COD)</w:t>
            </w:r>
          </w:p>
        </w:tc>
      </w:tr>
      <w:tr w:rsidR="00BE3196" w:rsidRPr="00BE3196" w14:paraId="61F32FAF" w14:textId="77777777" w:rsidTr="002C16D8">
        <w:tc>
          <w:tcPr>
            <w:tcW w:w="2552" w:type="dxa"/>
            <w:vMerge/>
          </w:tcPr>
          <w:p w14:paraId="709809A3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6237" w:type="dxa"/>
          </w:tcPr>
          <w:p w14:paraId="13B6AC0D" w14:textId="77777777" w:rsidR="00BE3196" w:rsidRPr="00BE3196" w:rsidRDefault="00BE3196" w:rsidP="00BE3196">
            <w:pPr>
              <w:tabs>
                <w:tab w:val="center" w:pos="284"/>
              </w:tabs>
              <w:ind w:left="266" w:hanging="266"/>
            </w:pPr>
            <w:r w:rsidRPr="00BE3196">
              <w:t>EESC-2025-03434-00-00-AC-TRA</w:t>
            </w:r>
          </w:p>
        </w:tc>
      </w:tr>
    </w:tbl>
    <w:p w14:paraId="497938EC" w14:textId="77777777" w:rsidR="00BE3196" w:rsidRPr="00BE3196" w:rsidRDefault="00BE3196" w:rsidP="00BE3196">
      <w:pPr>
        <w:tabs>
          <w:tab w:val="center" w:pos="284"/>
        </w:tabs>
        <w:ind w:left="266" w:hanging="266"/>
        <w:rPr>
          <w:sz w:val="20"/>
          <w:szCs w:val="20"/>
        </w:rPr>
      </w:pPr>
    </w:p>
    <w:p w14:paraId="4A89823C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18562319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Cs/>
          <w:sz w:val="20"/>
          <w:szCs w:val="20"/>
        </w:rPr>
      </w:pPr>
    </w:p>
    <w:p w14:paraId="3B8D2DC1" w14:textId="77777777" w:rsidR="00BE3196" w:rsidRPr="00BE3196" w:rsidRDefault="00BE3196" w:rsidP="00BE3196">
      <w:pPr>
        <w:rPr>
          <w:bCs/>
          <w:iCs/>
        </w:rPr>
      </w:pPr>
      <w:r w:rsidRPr="00BE3196">
        <w:t>EHSV:</w:t>
      </w:r>
    </w:p>
    <w:p w14:paraId="32211D61" w14:textId="77777777" w:rsidR="00BE3196" w:rsidRPr="00BE3196" w:rsidRDefault="00BE3196" w:rsidP="00BE3196">
      <w:pPr>
        <w:rPr>
          <w:bCs/>
          <w:iCs/>
          <w:sz w:val="20"/>
          <w:szCs w:val="20"/>
        </w:rPr>
      </w:pPr>
    </w:p>
    <w:p w14:paraId="3B70EB07" w14:textId="4B30765E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  <w:lang w:eastAsia="zh-CN"/>
        </w:rPr>
      </w:pPr>
      <w:r w:rsidRPr="00BE3196">
        <w:rPr>
          <w:lang w:eastAsia="zh-CN"/>
        </w:rPr>
        <w:t>zdôrazňuje, že je naliehavo potrebné zaviesť prisťahovaleckú politiku, ktorá poskytne legálne, bezpečné</w:t>
      </w:r>
      <w:r>
        <w:rPr>
          <w:lang w:eastAsia="zh-CN"/>
        </w:rPr>
        <w:t xml:space="preserve"> a </w:t>
      </w:r>
      <w:r w:rsidRPr="00BE3196">
        <w:rPr>
          <w:lang w:eastAsia="zh-CN"/>
        </w:rPr>
        <w:t xml:space="preserve">účinné </w:t>
      </w:r>
      <w:r w:rsidRPr="00BE3196">
        <w:t>spôsoby</w:t>
      </w:r>
      <w:r w:rsidRPr="00BE3196">
        <w:rPr>
          <w:lang w:eastAsia="zh-CN"/>
        </w:rPr>
        <w:t xml:space="preserve"> vstupu do EÚ. Tento postoj je</w:t>
      </w:r>
      <w:r>
        <w:rPr>
          <w:lang w:eastAsia="zh-CN"/>
        </w:rPr>
        <w:t xml:space="preserve"> v </w:t>
      </w:r>
      <w:r w:rsidRPr="00BE3196">
        <w:rPr>
          <w:lang w:eastAsia="zh-CN"/>
        </w:rPr>
        <w:t>súlade</w:t>
      </w:r>
      <w:r>
        <w:rPr>
          <w:lang w:eastAsia="zh-CN"/>
        </w:rPr>
        <w:t xml:space="preserve"> s </w:t>
      </w:r>
      <w:r w:rsidRPr="00BE3196">
        <w:rPr>
          <w:lang w:eastAsia="zh-CN"/>
        </w:rPr>
        <w:t xml:space="preserve">jeho predchádzajúcimi </w:t>
      </w:r>
      <w:r w:rsidRPr="00BE3196">
        <w:rPr>
          <w:color w:val="242424"/>
        </w:rPr>
        <w:t>stanoviskami</w:t>
      </w:r>
      <w:r w:rsidRPr="00BE3196">
        <w:rPr>
          <w:lang w:eastAsia="zh-CN"/>
        </w:rPr>
        <w:t>,</w:t>
      </w:r>
      <w:r>
        <w:rPr>
          <w:lang w:eastAsia="zh-CN"/>
        </w:rPr>
        <w:t xml:space="preserve"> v </w:t>
      </w:r>
      <w:r w:rsidRPr="00BE3196">
        <w:rPr>
          <w:lang w:eastAsia="zh-CN"/>
        </w:rPr>
        <w:t>ktorých EHSV zdôrazňuje význam zabezpečenia legálnych spôsobov vstupu do EÚ, ochrany základných práv migrantov</w:t>
      </w:r>
      <w:r>
        <w:rPr>
          <w:lang w:eastAsia="zh-CN"/>
        </w:rPr>
        <w:t xml:space="preserve"> a </w:t>
      </w:r>
      <w:r w:rsidRPr="00BE3196">
        <w:rPr>
          <w:lang w:eastAsia="zh-CN"/>
        </w:rPr>
        <w:t>zlepšenia riadenia mobility</w:t>
      </w:r>
      <w:r>
        <w:rPr>
          <w:lang w:eastAsia="zh-CN"/>
        </w:rPr>
        <w:t xml:space="preserve"> v </w:t>
      </w:r>
      <w:r w:rsidRPr="00BE3196">
        <w:rPr>
          <w:lang w:eastAsia="zh-CN"/>
        </w:rPr>
        <w:t>rámci EÚ;</w:t>
      </w:r>
    </w:p>
    <w:p w14:paraId="75F54EBF" w14:textId="624F1478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  <w:lang w:eastAsia="zh-CN"/>
        </w:rPr>
      </w:pPr>
      <w:r w:rsidRPr="00BE3196">
        <w:rPr>
          <w:lang w:eastAsia="zh-CN"/>
        </w:rPr>
        <w:t>konštatuje, že tento súbor troch nariadení znamená štrukturálne preorientovanie priorít EÚ</w:t>
      </w:r>
      <w:r>
        <w:rPr>
          <w:lang w:eastAsia="zh-CN"/>
        </w:rPr>
        <w:t xml:space="preserve"> s </w:t>
      </w:r>
      <w:r w:rsidRPr="00BE3196">
        <w:rPr>
          <w:lang w:eastAsia="zh-CN"/>
        </w:rPr>
        <w:t xml:space="preserve">výrazným </w:t>
      </w:r>
      <w:r w:rsidRPr="00BE3196">
        <w:t>posunom</w:t>
      </w:r>
      <w:r w:rsidRPr="00BE3196">
        <w:rPr>
          <w:lang w:eastAsia="zh-CN"/>
        </w:rPr>
        <w:t xml:space="preserve"> smerom ku kontrole</w:t>
      </w:r>
      <w:r>
        <w:rPr>
          <w:lang w:eastAsia="zh-CN"/>
        </w:rPr>
        <w:t xml:space="preserve"> a </w:t>
      </w:r>
      <w:r w:rsidRPr="00BE3196">
        <w:rPr>
          <w:lang w:eastAsia="zh-CN"/>
        </w:rPr>
        <w:t xml:space="preserve">bezpečnosti. Pri silnom dôraze na vnútornú aj </w:t>
      </w:r>
      <w:r w:rsidRPr="00BE3196">
        <w:rPr>
          <w:color w:val="242424"/>
        </w:rPr>
        <w:t>vonkajšiu</w:t>
      </w:r>
      <w:r w:rsidRPr="00BE3196">
        <w:rPr>
          <w:lang w:eastAsia="zh-CN"/>
        </w:rPr>
        <w:t xml:space="preserve"> bezpečnosť je tendencia prehliadať podporné opatrenia</w:t>
      </w:r>
      <w:r>
        <w:rPr>
          <w:lang w:eastAsia="zh-CN"/>
        </w:rPr>
        <w:t xml:space="preserve"> v </w:t>
      </w:r>
      <w:r w:rsidRPr="00BE3196">
        <w:rPr>
          <w:lang w:eastAsia="zh-CN"/>
        </w:rPr>
        <w:t>oblasti integrácie</w:t>
      </w:r>
      <w:r>
        <w:rPr>
          <w:lang w:eastAsia="zh-CN"/>
        </w:rPr>
        <w:t xml:space="preserve"> a </w:t>
      </w:r>
      <w:r w:rsidRPr="00BE3196">
        <w:rPr>
          <w:lang w:eastAsia="zh-CN"/>
        </w:rPr>
        <w:t>začlenenia. EHSV zdôrazňuje, že migračnú politiku nemožno obmedziť na prístup založený na bezpečnosti;</w:t>
      </w:r>
    </w:p>
    <w:p w14:paraId="5EDAE21B" w14:textId="71CE2953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  <w:lang w:eastAsia="zh-CN"/>
        </w:rPr>
      </w:pPr>
      <w:r w:rsidRPr="00BE3196">
        <w:rPr>
          <w:lang w:eastAsia="zh-CN"/>
        </w:rPr>
        <w:t>konštatuje, že úplný súbor nástrojov na riadenie legálnej migrácie</w:t>
      </w:r>
      <w:r>
        <w:rPr>
          <w:lang w:eastAsia="zh-CN"/>
        </w:rPr>
        <w:t xml:space="preserve"> a </w:t>
      </w:r>
      <w:r w:rsidRPr="00BE3196">
        <w:rPr>
          <w:lang w:eastAsia="zh-CN"/>
        </w:rPr>
        <w:t xml:space="preserve">predchádzanie neoprávnenej migrácii sú </w:t>
      </w:r>
      <w:r w:rsidRPr="00BE3196">
        <w:t>dôležitými</w:t>
      </w:r>
      <w:r w:rsidRPr="00BE3196">
        <w:rPr>
          <w:lang w:eastAsia="zh-CN"/>
        </w:rPr>
        <w:t xml:space="preserve"> prvkami dobre fungujúceho migračného systému vrátane návratu,</w:t>
      </w:r>
      <w:r>
        <w:rPr>
          <w:lang w:eastAsia="zh-CN"/>
        </w:rPr>
        <w:t xml:space="preserve"> v </w:t>
      </w:r>
      <w:r w:rsidRPr="00BE3196">
        <w:rPr>
          <w:lang w:eastAsia="zh-CN"/>
        </w:rPr>
        <w:t>relevantných prípadoch</w:t>
      </w:r>
      <w:r>
        <w:rPr>
          <w:lang w:eastAsia="zh-CN"/>
        </w:rPr>
        <w:t xml:space="preserve"> a v </w:t>
      </w:r>
      <w:r w:rsidRPr="00BE3196">
        <w:rPr>
          <w:lang w:eastAsia="zh-CN"/>
        </w:rPr>
        <w:t>plnom súlade</w:t>
      </w:r>
      <w:r>
        <w:rPr>
          <w:lang w:eastAsia="zh-CN"/>
        </w:rPr>
        <w:t xml:space="preserve"> s </w:t>
      </w:r>
      <w:r w:rsidRPr="00BE3196">
        <w:rPr>
          <w:lang w:eastAsia="zh-CN"/>
        </w:rPr>
        <w:t>právom EÚ</w:t>
      </w:r>
      <w:r>
        <w:rPr>
          <w:lang w:eastAsia="zh-CN"/>
        </w:rPr>
        <w:t xml:space="preserve"> a </w:t>
      </w:r>
      <w:r w:rsidRPr="00BE3196">
        <w:rPr>
          <w:lang w:eastAsia="zh-CN"/>
        </w:rPr>
        <w:t>medzinárodným právom. Ich uplatňovanie však musí byť starostlivo vyvážené, pričom sa musia dodržiavať základné práva, najmä právo na individuálnu ochranu;</w:t>
      </w:r>
    </w:p>
    <w:p w14:paraId="0E21153B" w14:textId="5C893EEE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  <w:lang w:eastAsia="zh-CN"/>
        </w:rPr>
      </w:pPr>
      <w:r w:rsidRPr="00BE3196">
        <w:rPr>
          <w:lang w:eastAsia="zh-CN"/>
        </w:rPr>
        <w:t xml:space="preserve">považuje za </w:t>
      </w:r>
      <w:r w:rsidRPr="00BE3196">
        <w:t>nevyhnutné</w:t>
      </w:r>
      <w:r w:rsidRPr="00BE3196">
        <w:rPr>
          <w:lang w:eastAsia="zh-CN"/>
        </w:rPr>
        <w:t xml:space="preserve"> zlepšiť mechanizmy nezávislého monitorovania základných práv</w:t>
      </w:r>
      <w:r>
        <w:rPr>
          <w:lang w:eastAsia="zh-CN"/>
        </w:rPr>
        <w:t xml:space="preserve"> a </w:t>
      </w:r>
      <w:r w:rsidRPr="00BE3196">
        <w:rPr>
          <w:color w:val="242424"/>
        </w:rPr>
        <w:t>humanitárnych</w:t>
      </w:r>
      <w:r w:rsidRPr="00BE3196">
        <w:rPr>
          <w:lang w:eastAsia="zh-CN"/>
        </w:rPr>
        <w:t xml:space="preserve"> podmienok na hraniciach</w:t>
      </w:r>
      <w:r>
        <w:rPr>
          <w:lang w:eastAsia="zh-CN"/>
        </w:rPr>
        <w:t xml:space="preserve"> s </w:t>
      </w:r>
      <w:r w:rsidRPr="00BE3196">
        <w:rPr>
          <w:lang w:eastAsia="zh-CN"/>
        </w:rPr>
        <w:t>transparentnými mechanizmami podávania správ;</w:t>
      </w:r>
    </w:p>
    <w:p w14:paraId="26382FBC" w14:textId="1E518986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bCs/>
          <w:iCs/>
          <w:lang w:eastAsia="zh-CN"/>
        </w:rPr>
      </w:pPr>
      <w:r w:rsidRPr="00BE3196">
        <w:rPr>
          <w:lang w:eastAsia="zh-CN"/>
        </w:rPr>
        <w:t xml:space="preserve">sa domnieva, že tri spoločne prijaté nariadenia na roky 2028 – 2034 kladú veľký dôraz na </w:t>
      </w:r>
      <w:r w:rsidRPr="00BE3196">
        <w:rPr>
          <w:color w:val="242424"/>
        </w:rPr>
        <w:t>bezpečnostné</w:t>
      </w:r>
      <w:r w:rsidRPr="00BE3196">
        <w:rPr>
          <w:lang w:eastAsia="zh-CN"/>
        </w:rPr>
        <w:t xml:space="preserve"> </w:t>
      </w:r>
      <w:r w:rsidRPr="00BE3196">
        <w:t>opatrenia</w:t>
      </w:r>
      <w:r>
        <w:rPr>
          <w:lang w:eastAsia="zh-CN"/>
        </w:rPr>
        <w:t xml:space="preserve"> a </w:t>
      </w:r>
      <w:r w:rsidRPr="00BE3196">
        <w:rPr>
          <w:lang w:eastAsia="zh-CN"/>
        </w:rPr>
        <w:t>outsourcing kontroly hraníc</w:t>
      </w:r>
      <w:r>
        <w:rPr>
          <w:lang w:eastAsia="zh-CN"/>
        </w:rPr>
        <w:t xml:space="preserve"> a </w:t>
      </w:r>
      <w:r w:rsidRPr="00BE3196">
        <w:rPr>
          <w:lang w:eastAsia="zh-CN"/>
        </w:rPr>
        <w:t>vyvolávajú obavy</w:t>
      </w:r>
      <w:r>
        <w:rPr>
          <w:lang w:eastAsia="zh-CN"/>
        </w:rPr>
        <w:t xml:space="preserve"> z </w:t>
      </w:r>
      <w:r w:rsidRPr="00BE3196">
        <w:rPr>
          <w:lang w:eastAsia="zh-CN"/>
        </w:rPr>
        <w:t xml:space="preserve">potenciálnych rizík pre základné </w:t>
      </w:r>
      <w:r w:rsidRPr="00BE3196">
        <w:t>práva</w:t>
      </w:r>
      <w:r w:rsidRPr="00BE3196">
        <w:rPr>
          <w:lang w:eastAsia="zh-CN"/>
        </w:rPr>
        <w:t>. Je nevyhnutné zabezpečiť, aby boli zároveň chránené základné ľudské práva.</w:t>
      </w:r>
    </w:p>
    <w:p w14:paraId="548BF4B8" w14:textId="77777777" w:rsidR="00BE3196" w:rsidRPr="00BE3196" w:rsidRDefault="00BE3196" w:rsidP="00BE3196">
      <w:pPr>
        <w:widowControl w:val="0"/>
        <w:rPr>
          <w:sz w:val="20"/>
        </w:rPr>
      </w:pPr>
    </w:p>
    <w:tbl>
      <w:tblPr>
        <w:tblStyle w:val="TableGrid11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88"/>
      </w:tblGrid>
      <w:tr w:rsidR="00BE3196" w:rsidRPr="00BE3196" w14:paraId="0985CEBE" w14:textId="77777777" w:rsidTr="002C16D8">
        <w:tc>
          <w:tcPr>
            <w:tcW w:w="1078" w:type="pct"/>
          </w:tcPr>
          <w:p w14:paraId="1838243E" w14:textId="77777777" w:rsidR="00BE3196" w:rsidRPr="00BE3196" w:rsidRDefault="00BE3196" w:rsidP="00BE3196">
            <w:pPr>
              <w:rPr>
                <w:i/>
              </w:rPr>
            </w:pPr>
            <w:r w:rsidRPr="00BE3196">
              <w:rPr>
                <w:b/>
                <w:i/>
              </w:rPr>
              <w:t>Kontakt</w:t>
            </w:r>
          </w:p>
        </w:tc>
        <w:tc>
          <w:tcPr>
            <w:tcW w:w="3922" w:type="pct"/>
          </w:tcPr>
          <w:p w14:paraId="3CD3197E" w14:textId="77777777" w:rsidR="00BE3196" w:rsidRPr="00BE3196" w:rsidRDefault="00BE3196" w:rsidP="00BE3196">
            <w:pPr>
              <w:rPr>
                <w:i/>
              </w:rPr>
            </w:pPr>
            <w:proofErr w:type="spellStart"/>
            <w:r w:rsidRPr="00BE3196">
              <w:t>Gemma</w:t>
            </w:r>
            <w:proofErr w:type="spellEnd"/>
            <w:r w:rsidRPr="00BE3196">
              <w:t xml:space="preserve"> AMRAN</w:t>
            </w:r>
          </w:p>
        </w:tc>
      </w:tr>
      <w:tr w:rsidR="00BE3196" w:rsidRPr="00BE3196" w14:paraId="0BB8219A" w14:textId="77777777" w:rsidTr="002C16D8">
        <w:tc>
          <w:tcPr>
            <w:tcW w:w="1078" w:type="pct"/>
          </w:tcPr>
          <w:p w14:paraId="6D590BF0" w14:textId="77777777" w:rsidR="00BE3196" w:rsidRPr="00BE3196" w:rsidRDefault="00BE3196" w:rsidP="00BE3196">
            <w:pPr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3922" w:type="pct"/>
          </w:tcPr>
          <w:p w14:paraId="0C2BE9E1" w14:textId="77777777" w:rsidR="00BE3196" w:rsidRPr="00BE3196" w:rsidRDefault="00BE3196" w:rsidP="00BE3196">
            <w:pPr>
              <w:rPr>
                <w:i/>
              </w:rPr>
            </w:pPr>
            <w:r w:rsidRPr="00BE3196">
              <w:t>+32 25469415</w:t>
            </w:r>
          </w:p>
        </w:tc>
      </w:tr>
      <w:tr w:rsidR="00BE3196" w:rsidRPr="00BE3196" w14:paraId="4BEE33B7" w14:textId="77777777" w:rsidTr="002C16D8">
        <w:tc>
          <w:tcPr>
            <w:tcW w:w="1078" w:type="pct"/>
          </w:tcPr>
          <w:p w14:paraId="31EDC1A6" w14:textId="77777777" w:rsidR="00BE3196" w:rsidRPr="00BE3196" w:rsidRDefault="00BE3196" w:rsidP="00BE3196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3922" w:type="pct"/>
          </w:tcPr>
          <w:p w14:paraId="092AD9B2" w14:textId="77777777" w:rsidR="00BE3196" w:rsidRPr="00BE3196" w:rsidRDefault="00BE3196" w:rsidP="00BE3196">
            <w:pPr>
              <w:rPr>
                <w:i/>
              </w:rPr>
            </w:pPr>
            <w:hyperlink r:id="rId25" w:history="1">
              <w:r w:rsidRPr="00BE3196">
                <w:rPr>
                  <w:i/>
                  <w:color w:val="0000FF"/>
                  <w:u w:val="single"/>
                </w:rPr>
                <w:t>Gemma.Amran@eesc.europa.eu</w:t>
              </w:r>
            </w:hyperlink>
          </w:p>
        </w:tc>
      </w:tr>
    </w:tbl>
    <w:p w14:paraId="4982DDC4" w14:textId="77777777" w:rsidR="004D7AC0" w:rsidRPr="00BE3196" w:rsidRDefault="004D7AC0" w:rsidP="00100EF9">
      <w:pPr>
        <w:pStyle w:val="ListParagraph"/>
        <w:ind w:left="0"/>
      </w:pPr>
    </w:p>
    <w:p w14:paraId="4982DDC5" w14:textId="77777777" w:rsidR="004D7AC0" w:rsidRPr="00BE3196" w:rsidRDefault="004D7AC0" w:rsidP="00100EF9">
      <w:pPr>
        <w:jc w:val="left"/>
      </w:pPr>
      <w:r w:rsidRPr="00BE3196">
        <w:br w:type="page"/>
      </w:r>
    </w:p>
    <w:p w14:paraId="4982DDC6" w14:textId="77777777" w:rsidR="004D7AC0" w:rsidRPr="00BE3196" w:rsidRDefault="004D7AC0" w:rsidP="00100EF9">
      <w:pPr>
        <w:pStyle w:val="Heading1"/>
        <w:rPr>
          <w:b/>
        </w:rPr>
      </w:pPr>
      <w:bookmarkStart w:id="3" w:name="_Toc24617160"/>
      <w:bookmarkStart w:id="4" w:name="_Toc75527082"/>
      <w:bookmarkStart w:id="5" w:name="_Toc223518456"/>
      <w:r w:rsidRPr="00BE3196">
        <w:rPr>
          <w:b/>
        </w:rPr>
        <w:t>DOPRAVA, ENERGETIKA, INFRAŠTRUKTÚRA A INFORMAČNÁ SPOLOČNOSŤ</w:t>
      </w:r>
      <w:bookmarkEnd w:id="3"/>
      <w:bookmarkEnd w:id="4"/>
      <w:bookmarkEnd w:id="5"/>
    </w:p>
    <w:p w14:paraId="4982DDC7" w14:textId="77777777" w:rsidR="004D7AC0" w:rsidRPr="00BE3196" w:rsidRDefault="004D7AC0" w:rsidP="00100EF9"/>
    <w:p w14:paraId="33F22FD2" w14:textId="30799F77" w:rsidR="00B55C6C" w:rsidRPr="00BE3196" w:rsidRDefault="008E67CA" w:rsidP="00180FD9">
      <w:pPr>
        <w:widowControl w:val="0"/>
        <w:numPr>
          <w:ilvl w:val="0"/>
          <w:numId w:val="4"/>
        </w:numPr>
        <w:ind w:hanging="567"/>
        <w:rPr>
          <w:sz w:val="24"/>
          <w:szCs w:val="24"/>
        </w:rPr>
      </w:pPr>
      <w:hyperlink r:id="rId26" w:history="1">
        <w:r w:rsidR="00E235D3" w:rsidRPr="00BE3196">
          <w:rPr>
            <w:b/>
            <w:i/>
            <w:color w:val="0000FF"/>
            <w:sz w:val="24"/>
            <w:u w:val="single"/>
          </w:rPr>
          <w:t>Stratégia pre európske vedy</w:t>
        </w:r>
        <w:r w:rsidR="00BE3196">
          <w:rPr>
            <w:b/>
            <w:i/>
            <w:color w:val="0000FF"/>
            <w:sz w:val="24"/>
            <w:u w:val="single"/>
          </w:rPr>
          <w:t xml:space="preserve"> o </w:t>
        </w:r>
        <w:r w:rsidR="00E235D3" w:rsidRPr="00BE3196">
          <w:rPr>
            <w:b/>
            <w:i/>
            <w:color w:val="0000FF"/>
            <w:sz w:val="24"/>
            <w:u w:val="single"/>
          </w:rPr>
          <w:t>živej prírode</w:t>
        </w:r>
        <w:r w:rsidR="00BE3196">
          <w:rPr>
            <w:b/>
            <w:i/>
            <w:color w:val="0000FF"/>
            <w:sz w:val="24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4"/>
            <w:u w:val="single"/>
          </w:rPr>
          <w:t>stratégia pre výskumné</w:t>
        </w:r>
        <w:r w:rsidR="00BE3196">
          <w:rPr>
            <w:b/>
            <w:i/>
            <w:color w:val="0000FF"/>
            <w:sz w:val="24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4"/>
            <w:u w:val="single"/>
          </w:rPr>
          <w:t>technologické infraštruktúry so zameraním na liečbu zriedkavých chorôb</w:t>
        </w:r>
      </w:hyperlink>
    </w:p>
    <w:p w14:paraId="6D214F19" w14:textId="77777777" w:rsidR="00B55C6C" w:rsidRPr="00BE3196" w:rsidRDefault="00B55C6C" w:rsidP="00100EF9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589"/>
      </w:tblGrid>
      <w:tr w:rsidR="00BE3196" w:rsidRPr="00BE3196" w14:paraId="59186E5C" w14:textId="77777777" w:rsidTr="002C16D8">
        <w:tc>
          <w:tcPr>
            <w:tcW w:w="1701" w:type="dxa"/>
          </w:tcPr>
          <w:p w14:paraId="15C43223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Spravodajkyňa</w:t>
            </w:r>
          </w:p>
        </w:tc>
        <w:tc>
          <w:tcPr>
            <w:tcW w:w="7763" w:type="dxa"/>
          </w:tcPr>
          <w:p w14:paraId="22C42050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</w:pPr>
            <w:r w:rsidRPr="00BE3196">
              <w:t>Milena ANGELOVA (skupina Zamestnávatelia – BG)</w:t>
            </w:r>
          </w:p>
        </w:tc>
      </w:tr>
      <w:tr w:rsidR="00BE3196" w:rsidRPr="00BE3196" w14:paraId="39E46A5F" w14:textId="77777777" w:rsidTr="002C16D8">
        <w:tc>
          <w:tcPr>
            <w:tcW w:w="1701" w:type="dxa"/>
          </w:tcPr>
          <w:p w14:paraId="194E9C56" w14:textId="77777777" w:rsidR="00BE3196" w:rsidRPr="00BE3196" w:rsidRDefault="00BE3196" w:rsidP="002C16D8">
            <w:pPr>
              <w:tabs>
                <w:tab w:val="center" w:pos="0"/>
              </w:tabs>
              <w:rPr>
                <w:b/>
              </w:rPr>
            </w:pPr>
            <w:r w:rsidRPr="00BE3196">
              <w:rPr>
                <w:b/>
              </w:rPr>
              <w:t>Referenčný dokument</w:t>
            </w:r>
          </w:p>
        </w:tc>
        <w:tc>
          <w:tcPr>
            <w:tcW w:w="7763" w:type="dxa"/>
          </w:tcPr>
          <w:p w14:paraId="77D04BB5" w14:textId="77777777" w:rsidR="00BE3196" w:rsidRPr="00BE3196" w:rsidRDefault="00BE3196" w:rsidP="002C16D8">
            <w:pPr>
              <w:tabs>
                <w:tab w:val="center" w:pos="284"/>
              </w:tabs>
              <w:ind w:left="266" w:right="-108" w:hanging="266"/>
              <w:jc w:val="left"/>
            </w:pPr>
            <w:r w:rsidRPr="00BE3196">
              <w:t>prieskumné stanovisko na žiadosť cyperského predsedníctva Rady EÚ</w:t>
            </w:r>
          </w:p>
          <w:p w14:paraId="0CF54F00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</w:pPr>
            <w:r w:rsidRPr="00BE3196">
              <w:t>EESC-2025-03652-00-00-AC</w:t>
            </w:r>
          </w:p>
        </w:tc>
      </w:tr>
    </w:tbl>
    <w:p w14:paraId="0AD1A145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  <w:bCs/>
        </w:rPr>
      </w:pPr>
    </w:p>
    <w:p w14:paraId="272496FB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41C0D687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C4C410E" w14:textId="77777777" w:rsidR="00BE3196" w:rsidRPr="00BE3196" w:rsidRDefault="00BE3196" w:rsidP="00BE3196">
      <w:r w:rsidRPr="00BE3196">
        <w:t>EHSV:</w:t>
      </w:r>
    </w:p>
    <w:p w14:paraId="5468929F" w14:textId="493E4AA2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rStyle w:val="Hyperlink"/>
          <w:color w:val="242424"/>
          <w:u w:val="none"/>
        </w:rPr>
      </w:pPr>
      <w:r w:rsidRPr="00BE3196">
        <w:rPr>
          <w:color w:val="242424"/>
        </w:rPr>
        <w:t xml:space="preserve">víta stratégiu pre </w:t>
      </w:r>
      <w:r w:rsidRPr="00B379C2">
        <w:t>európske</w:t>
      </w:r>
      <w:r w:rsidRPr="00BE3196">
        <w:rPr>
          <w:color w:val="242424"/>
        </w:rPr>
        <w:t xml:space="preserve"> vedy</w:t>
      </w:r>
      <w:r>
        <w:rPr>
          <w:color w:val="242424"/>
        </w:rPr>
        <w:t xml:space="preserve"> o </w:t>
      </w:r>
      <w:r w:rsidRPr="00BE3196">
        <w:rPr>
          <w:color w:val="242424"/>
        </w:rPr>
        <w:t>živej prírode</w:t>
      </w:r>
      <w:r>
        <w:rPr>
          <w:color w:val="242424"/>
        </w:rPr>
        <w:t xml:space="preserve"> a </w:t>
      </w:r>
      <w:r w:rsidRPr="00BE3196">
        <w:rPr>
          <w:color w:val="242424"/>
        </w:rPr>
        <w:t xml:space="preserve">zdôrazňuje, že zabezpečením </w:t>
      </w:r>
      <w:r w:rsidRPr="00BE3196">
        <w:rPr>
          <w:b/>
          <w:bCs/>
          <w:color w:val="242424"/>
        </w:rPr>
        <w:t>holistického prístupu</w:t>
      </w:r>
      <w:r>
        <w:rPr>
          <w:color w:val="242424"/>
        </w:rPr>
        <w:t xml:space="preserve"> a </w:t>
      </w:r>
      <w:r w:rsidRPr="00BE3196">
        <w:rPr>
          <w:color w:val="242424"/>
        </w:rPr>
        <w:t xml:space="preserve">podnetného prostredia sa Európa môže stať </w:t>
      </w:r>
      <w:r w:rsidRPr="00BE3196">
        <w:rPr>
          <w:b/>
          <w:bCs/>
          <w:color w:val="242424"/>
        </w:rPr>
        <w:t>svetovým lídrom</w:t>
      </w:r>
      <w:r>
        <w:rPr>
          <w:b/>
          <w:bCs/>
          <w:color w:val="242424"/>
        </w:rPr>
        <w:t xml:space="preserve"> v </w:t>
      </w:r>
      <w:r w:rsidRPr="00BE3196">
        <w:rPr>
          <w:b/>
          <w:bCs/>
          <w:color w:val="242424"/>
        </w:rPr>
        <w:t>oblasti vied</w:t>
      </w:r>
      <w:r>
        <w:rPr>
          <w:b/>
          <w:bCs/>
          <w:color w:val="242424"/>
        </w:rPr>
        <w:t xml:space="preserve"> o </w:t>
      </w:r>
      <w:r w:rsidRPr="00BE3196">
        <w:rPr>
          <w:b/>
          <w:bCs/>
          <w:color w:val="242424"/>
        </w:rPr>
        <w:t>živej prírode</w:t>
      </w:r>
      <w:r w:rsidRPr="00BE3196">
        <w:rPr>
          <w:color w:val="242424"/>
        </w:rPr>
        <w:t xml:space="preserve"> (najmä pokiaľ ide</w:t>
      </w:r>
      <w:r>
        <w:rPr>
          <w:color w:val="242424"/>
        </w:rPr>
        <w:t xml:space="preserve"> o </w:t>
      </w:r>
      <w:r w:rsidRPr="00BE3196">
        <w:rPr>
          <w:color w:val="242424"/>
        </w:rPr>
        <w:t>zriedkavé choroby</w:t>
      </w:r>
      <w:r>
        <w:rPr>
          <w:color w:val="242424"/>
        </w:rPr>
        <w:t xml:space="preserve"> a </w:t>
      </w:r>
      <w:proofErr w:type="spellStart"/>
      <w:r w:rsidRPr="00BE3196">
        <w:rPr>
          <w:color w:val="242424"/>
        </w:rPr>
        <w:t>genomiku</w:t>
      </w:r>
      <w:proofErr w:type="spellEnd"/>
      <w:r w:rsidRPr="00BE3196">
        <w:rPr>
          <w:color w:val="242424"/>
        </w:rPr>
        <w:t>).</w:t>
      </w:r>
      <w:r w:rsidRPr="00BE3196">
        <w:rPr>
          <w:rStyle w:val="Hyperlink"/>
          <w:color w:val="242424"/>
          <w:u w:val="none"/>
        </w:rPr>
        <w:t xml:space="preserve"> Takýto </w:t>
      </w:r>
      <w:r w:rsidRPr="00BE3196">
        <w:rPr>
          <w:rStyle w:val="Hyperlink"/>
          <w:b/>
          <w:bCs/>
          <w:color w:val="242424"/>
          <w:u w:val="none"/>
        </w:rPr>
        <w:t>prístup</w:t>
      </w:r>
      <w:r w:rsidRPr="00BE3196">
        <w:rPr>
          <w:rStyle w:val="Hyperlink"/>
          <w:color w:val="242424"/>
          <w:u w:val="none"/>
        </w:rPr>
        <w:t xml:space="preserve"> zahŕňa:</w:t>
      </w:r>
    </w:p>
    <w:p w14:paraId="4ACDC41D" w14:textId="476641AF" w:rsidR="00BE3196" w:rsidRPr="00BE3196" w:rsidRDefault="00BE3196" w:rsidP="00180FD9">
      <w:pPr>
        <w:pStyle w:val="ListParagraph"/>
        <w:numPr>
          <w:ilvl w:val="1"/>
          <w:numId w:val="5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  <w:u w:val="none"/>
        </w:rPr>
      </w:pPr>
      <w:r w:rsidRPr="00BE3196">
        <w:rPr>
          <w:rStyle w:val="Hyperlink"/>
          <w:color w:val="242424"/>
          <w:u w:val="none"/>
        </w:rPr>
        <w:t xml:space="preserve"> komplexné vedecké metódy založené na údajoch na diagnostiku</w:t>
      </w:r>
      <w:r>
        <w:rPr>
          <w:rStyle w:val="Hyperlink"/>
          <w:color w:val="242424"/>
          <w:u w:val="none"/>
        </w:rPr>
        <w:t xml:space="preserve"> a </w:t>
      </w:r>
      <w:r w:rsidRPr="00BE3196">
        <w:rPr>
          <w:rStyle w:val="Hyperlink"/>
          <w:color w:val="242424"/>
          <w:u w:val="none"/>
        </w:rPr>
        <w:t>pochopenie príčin chorôb (napr. genetika, nezdravé návyky</w:t>
      </w:r>
      <w:r>
        <w:rPr>
          <w:rStyle w:val="Hyperlink"/>
          <w:color w:val="242424"/>
          <w:u w:val="none"/>
        </w:rPr>
        <w:t xml:space="preserve"> a </w:t>
      </w:r>
      <w:r w:rsidRPr="00BE3196">
        <w:rPr>
          <w:rStyle w:val="Hyperlink"/>
          <w:color w:val="242424"/>
          <w:u w:val="none"/>
        </w:rPr>
        <w:t>životný štýl, znečistenie, stres atď.),</w:t>
      </w:r>
    </w:p>
    <w:p w14:paraId="52E96B05" w14:textId="5201DD32" w:rsidR="00BE3196" w:rsidRPr="00BE3196" w:rsidRDefault="00BE3196" w:rsidP="00180FD9">
      <w:pPr>
        <w:pStyle w:val="ListParagraph"/>
        <w:numPr>
          <w:ilvl w:val="1"/>
          <w:numId w:val="5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  <w:u w:val="none"/>
        </w:rPr>
      </w:pPr>
      <w:r w:rsidRPr="00BE3196">
        <w:rPr>
          <w:rStyle w:val="Hyperlink"/>
          <w:color w:val="242424"/>
          <w:u w:val="none"/>
        </w:rPr>
        <w:t>šírenie informácií</w:t>
      </w:r>
      <w:r>
        <w:rPr>
          <w:rStyle w:val="Hyperlink"/>
          <w:color w:val="242424"/>
          <w:u w:val="none"/>
        </w:rPr>
        <w:t xml:space="preserve"> o </w:t>
      </w:r>
      <w:r w:rsidRPr="00BE3196">
        <w:rPr>
          <w:rStyle w:val="Hyperlink"/>
          <w:color w:val="242424"/>
          <w:u w:val="none"/>
        </w:rPr>
        <w:t>prevencii</w:t>
      </w:r>
      <w:r>
        <w:rPr>
          <w:rStyle w:val="Hyperlink"/>
          <w:color w:val="242424"/>
          <w:u w:val="none"/>
        </w:rPr>
        <w:t xml:space="preserve"> a </w:t>
      </w:r>
      <w:r w:rsidRPr="00BE3196">
        <w:rPr>
          <w:rStyle w:val="Hyperlink"/>
          <w:color w:val="242424"/>
          <w:u w:val="none"/>
        </w:rPr>
        <w:t>včasnej diagnostike,</w:t>
      </w:r>
    </w:p>
    <w:p w14:paraId="5FBB7A87" w14:textId="1E34689F" w:rsidR="00BE3196" w:rsidRPr="00BE3196" w:rsidRDefault="00BE3196" w:rsidP="00180FD9">
      <w:pPr>
        <w:pStyle w:val="ListParagraph"/>
        <w:numPr>
          <w:ilvl w:val="1"/>
          <w:numId w:val="5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  <w:u w:val="none"/>
        </w:rPr>
      </w:pPr>
      <w:r w:rsidRPr="00BE3196">
        <w:rPr>
          <w:rStyle w:val="Hyperlink"/>
          <w:color w:val="242424"/>
          <w:u w:val="none"/>
        </w:rPr>
        <w:t>skríning, účinná</w:t>
      </w:r>
      <w:r>
        <w:rPr>
          <w:rStyle w:val="Hyperlink"/>
          <w:color w:val="242424"/>
          <w:u w:val="none"/>
        </w:rPr>
        <w:t xml:space="preserve"> a </w:t>
      </w:r>
      <w:r w:rsidRPr="00BE3196">
        <w:rPr>
          <w:rStyle w:val="Hyperlink"/>
          <w:color w:val="242424"/>
          <w:u w:val="none"/>
        </w:rPr>
        <w:t>dostupná liečba,</w:t>
      </w:r>
    </w:p>
    <w:p w14:paraId="36587379" w14:textId="6E97D5F2" w:rsidR="00BE3196" w:rsidRPr="00BE3196" w:rsidRDefault="00BE3196" w:rsidP="00180FD9">
      <w:pPr>
        <w:pStyle w:val="ListParagraph"/>
        <w:numPr>
          <w:ilvl w:val="1"/>
          <w:numId w:val="5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  <w:u w:val="none"/>
        </w:rPr>
      </w:pPr>
      <w:r w:rsidRPr="00BE3196">
        <w:rPr>
          <w:rStyle w:val="Hyperlink"/>
          <w:color w:val="242424"/>
          <w:u w:val="none"/>
        </w:rPr>
        <w:t>vysokokvalitná starostlivosť</w:t>
      </w:r>
      <w:r>
        <w:rPr>
          <w:rStyle w:val="Hyperlink"/>
          <w:color w:val="242424"/>
          <w:u w:val="none"/>
        </w:rPr>
        <w:t xml:space="preserve"> a </w:t>
      </w:r>
      <w:r w:rsidRPr="00BE3196">
        <w:rPr>
          <w:rStyle w:val="Hyperlink"/>
          <w:color w:val="242424"/>
          <w:u w:val="none"/>
        </w:rPr>
        <w:t>dostupná podporná infraštruktúra pre pacientov</w:t>
      </w:r>
      <w:r>
        <w:rPr>
          <w:rStyle w:val="Hyperlink"/>
          <w:color w:val="242424"/>
          <w:u w:val="none"/>
        </w:rPr>
        <w:t xml:space="preserve"> a </w:t>
      </w:r>
      <w:r w:rsidRPr="00BE3196">
        <w:rPr>
          <w:rStyle w:val="Hyperlink"/>
          <w:color w:val="242424"/>
          <w:u w:val="none"/>
        </w:rPr>
        <w:t>ich rodiny.</w:t>
      </w:r>
    </w:p>
    <w:p w14:paraId="7A52A80B" w14:textId="4A2AF82B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rStyle w:val="Hyperlink"/>
          <w:color w:val="242424"/>
          <w:u w:val="none"/>
        </w:rPr>
      </w:pPr>
      <w:r w:rsidRPr="00BE3196">
        <w:rPr>
          <w:color w:val="242424"/>
        </w:rPr>
        <w:t xml:space="preserve">podporuje výzvu </w:t>
      </w:r>
      <w:r w:rsidRPr="00B379C2">
        <w:t>Európskeho</w:t>
      </w:r>
      <w:r w:rsidRPr="00BE3196">
        <w:rPr>
          <w:color w:val="242424"/>
        </w:rPr>
        <w:t xml:space="preserve"> parlamentu na urýchlené prijatie </w:t>
      </w:r>
      <w:hyperlink r:id="rId27">
        <w:r w:rsidRPr="00BE3196">
          <w:rPr>
            <w:rStyle w:val="Hyperlink"/>
            <w:b/>
            <w:color w:val="242424"/>
            <w:u w:val="none"/>
          </w:rPr>
          <w:t>akčného plánu EÚ pre zriedkavé choroby</w:t>
        </w:r>
      </w:hyperlink>
      <w:r w:rsidRPr="00BE3196">
        <w:rPr>
          <w:color w:val="242424"/>
        </w:rPr>
        <w:t>,</w:t>
      </w:r>
      <w:r>
        <w:rPr>
          <w:color w:val="242424"/>
        </w:rPr>
        <w:t xml:space="preserve"> a </w:t>
      </w:r>
      <w:r w:rsidRPr="00BE3196">
        <w:rPr>
          <w:color w:val="242424"/>
        </w:rPr>
        <w:t>to aj oživením</w:t>
      </w:r>
      <w:r>
        <w:rPr>
          <w:color w:val="242424"/>
        </w:rPr>
        <w:t xml:space="preserve"> a </w:t>
      </w:r>
      <w:r w:rsidRPr="00BE3196">
        <w:rPr>
          <w:color w:val="242424"/>
        </w:rPr>
        <w:t xml:space="preserve">ďalším rozvojom </w:t>
      </w:r>
      <w:hyperlink r:id="rId28">
        <w:r w:rsidRPr="00BE3196">
          <w:rPr>
            <w:rStyle w:val="Hyperlink"/>
            <w:b/>
            <w:color w:val="242424"/>
            <w:u w:val="none"/>
          </w:rPr>
          <w:t>výzvy</w:t>
        </w:r>
        <w:r>
          <w:rPr>
            <w:rStyle w:val="Hyperlink"/>
            <w:b/>
            <w:color w:val="242424"/>
            <w:u w:val="none"/>
          </w:rPr>
          <w:t xml:space="preserve"> z </w:t>
        </w:r>
        <w:proofErr w:type="spellStart"/>
        <w:r w:rsidRPr="00BE3196">
          <w:rPr>
            <w:rStyle w:val="Hyperlink"/>
            <w:b/>
            <w:color w:val="242424"/>
            <w:u w:val="none"/>
          </w:rPr>
          <w:t>Tartu</w:t>
        </w:r>
        <w:proofErr w:type="spellEnd"/>
        <w:r w:rsidRPr="00BE3196">
          <w:rPr>
            <w:rStyle w:val="Hyperlink"/>
            <w:b/>
            <w:color w:val="242424"/>
            <w:u w:val="none"/>
          </w:rPr>
          <w:t xml:space="preserve"> na zdravý životný štýl</w:t>
        </w:r>
      </w:hyperlink>
      <w:r>
        <w:rPr>
          <w:color w:val="242424"/>
        </w:rPr>
        <w:t xml:space="preserve"> a </w:t>
      </w:r>
      <w:r w:rsidRPr="00BE3196">
        <w:rPr>
          <w:color w:val="242424"/>
        </w:rPr>
        <w:t xml:space="preserve">prijatím </w:t>
      </w:r>
      <w:hyperlink r:id="rId29">
        <w:r w:rsidRPr="00BE3196">
          <w:rPr>
            <w:rStyle w:val="Hyperlink"/>
            <w:b/>
            <w:color w:val="242424"/>
            <w:u w:val="none"/>
          </w:rPr>
          <w:t>prístupu „jedno zdravie“</w:t>
        </w:r>
      </w:hyperlink>
      <w:r w:rsidRPr="00BE3196">
        <w:t>;</w:t>
      </w:r>
    </w:p>
    <w:p w14:paraId="5005ABF3" w14:textId="0C8E2AAC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b/>
          <w:bCs/>
          <w:color w:val="242424"/>
        </w:rPr>
      </w:pPr>
      <w:r w:rsidRPr="00BE3196">
        <w:rPr>
          <w:color w:val="242424"/>
        </w:rPr>
        <w:t>sa domnieva, že výskumná</w:t>
      </w:r>
      <w:r>
        <w:rPr>
          <w:color w:val="242424"/>
        </w:rPr>
        <w:t xml:space="preserve"> a </w:t>
      </w:r>
      <w:r w:rsidRPr="00BE3196">
        <w:rPr>
          <w:color w:val="242424"/>
        </w:rPr>
        <w:t xml:space="preserve">technologická infraštruktúra (vrátane infraštruktúry zameranej na zriedkavé </w:t>
      </w:r>
      <w:r w:rsidRPr="006D23E1">
        <w:t>choroby</w:t>
      </w:r>
      <w:r w:rsidRPr="00BE3196">
        <w:rPr>
          <w:color w:val="242424"/>
        </w:rPr>
        <w:t>) zohráva dôležitú úlohu pri rozvoji vied</w:t>
      </w:r>
      <w:r>
        <w:rPr>
          <w:color w:val="242424"/>
        </w:rPr>
        <w:t xml:space="preserve"> o </w:t>
      </w:r>
      <w:r w:rsidRPr="00BE3196">
        <w:rPr>
          <w:color w:val="242424"/>
        </w:rPr>
        <w:t>živej prírode</w:t>
      </w:r>
      <w:r>
        <w:rPr>
          <w:color w:val="242424"/>
        </w:rPr>
        <w:t xml:space="preserve"> a </w:t>
      </w:r>
      <w:r w:rsidRPr="00BE3196">
        <w:rPr>
          <w:color w:val="242424"/>
        </w:rPr>
        <w:t>ekonomiky dlhovekosti</w:t>
      </w:r>
      <w:r>
        <w:rPr>
          <w:color w:val="242424"/>
        </w:rPr>
        <w:t xml:space="preserve"> a </w:t>
      </w:r>
      <w:r w:rsidRPr="00BE3196">
        <w:rPr>
          <w:color w:val="242424"/>
        </w:rPr>
        <w:t xml:space="preserve">že by mala zahŕňať </w:t>
      </w:r>
      <w:r w:rsidRPr="00BE3196">
        <w:rPr>
          <w:b/>
          <w:bCs/>
          <w:color w:val="242424"/>
        </w:rPr>
        <w:t>celú kultúru dlhovekosti</w:t>
      </w:r>
      <w:r w:rsidRPr="00BE3196">
        <w:rPr>
          <w:color w:val="242424"/>
        </w:rPr>
        <w:t xml:space="preserve"> (vrátane prevencie, zdravých potravín, životného štýlu, kúpeľnej liečby</w:t>
      </w:r>
      <w:r>
        <w:rPr>
          <w:color w:val="242424"/>
        </w:rPr>
        <w:t xml:space="preserve"> a </w:t>
      </w:r>
      <w:r w:rsidRPr="00BE3196">
        <w:rPr>
          <w:color w:val="242424"/>
        </w:rPr>
        <w:t>rekreácie, fyzického</w:t>
      </w:r>
      <w:r>
        <w:rPr>
          <w:color w:val="242424"/>
        </w:rPr>
        <w:t xml:space="preserve"> a </w:t>
      </w:r>
      <w:r w:rsidRPr="00BE3196">
        <w:rPr>
          <w:color w:val="242424"/>
        </w:rPr>
        <w:t>duševného zdravia</w:t>
      </w:r>
      <w:r>
        <w:rPr>
          <w:color w:val="242424"/>
        </w:rPr>
        <w:t xml:space="preserve"> a </w:t>
      </w:r>
      <w:r w:rsidRPr="00BE3196">
        <w:rPr>
          <w:color w:val="242424"/>
        </w:rPr>
        <w:t>mnohých ďalších prvkov), ktorá presahuje rámec diagnostiky</w:t>
      </w:r>
      <w:r>
        <w:rPr>
          <w:color w:val="242424"/>
        </w:rPr>
        <w:t xml:space="preserve"> a </w:t>
      </w:r>
      <w:r w:rsidRPr="00BE3196">
        <w:rPr>
          <w:color w:val="242424"/>
        </w:rPr>
        <w:t>liečby chorôb;</w:t>
      </w:r>
    </w:p>
    <w:p w14:paraId="04A27028" w14:textId="5C0F0E58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color w:val="242424"/>
        </w:rPr>
      </w:pPr>
      <w:r w:rsidRPr="00BE3196">
        <w:rPr>
          <w:color w:val="242424"/>
        </w:rPr>
        <w:t>odporúča, aby sa</w:t>
      </w:r>
      <w:r>
        <w:rPr>
          <w:color w:val="242424"/>
        </w:rPr>
        <w:t xml:space="preserve"> v </w:t>
      </w:r>
      <w:r w:rsidRPr="006D23E1">
        <w:t>záujme</w:t>
      </w:r>
      <w:r w:rsidRPr="00BE3196">
        <w:rPr>
          <w:color w:val="242424"/>
        </w:rPr>
        <w:t xml:space="preserve"> konzistentnosti</w:t>
      </w:r>
      <w:r>
        <w:rPr>
          <w:color w:val="242424"/>
        </w:rPr>
        <w:t xml:space="preserve"> v </w:t>
      </w:r>
      <w:r w:rsidRPr="00BE3196">
        <w:rPr>
          <w:b/>
          <w:bCs/>
          <w:color w:val="242424"/>
        </w:rPr>
        <w:t xml:space="preserve">každom členskom štáte zriadili </w:t>
      </w:r>
      <w:proofErr w:type="spellStart"/>
      <w:r w:rsidRPr="00BE3196">
        <w:rPr>
          <w:b/>
          <w:bCs/>
          <w:color w:val="242424"/>
        </w:rPr>
        <w:t>translačné</w:t>
      </w:r>
      <w:proofErr w:type="spellEnd"/>
      <w:r w:rsidRPr="00BE3196">
        <w:rPr>
          <w:b/>
          <w:bCs/>
          <w:color w:val="242424"/>
        </w:rPr>
        <w:t xml:space="preserve"> centrá pre zriedkavé choroby</w:t>
      </w:r>
      <w:r w:rsidRPr="00BE3196">
        <w:rPr>
          <w:color w:val="242424"/>
        </w:rPr>
        <w:t xml:space="preserve"> koordinované na úrovni EÚ;</w:t>
      </w:r>
    </w:p>
    <w:p w14:paraId="66B57111" w14:textId="62DE5350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color w:val="242424"/>
        </w:rPr>
      </w:pPr>
      <w:r w:rsidRPr="00BE3196">
        <w:rPr>
          <w:color w:val="242424"/>
        </w:rPr>
        <w:t xml:space="preserve">podčiarkuje, že </w:t>
      </w:r>
      <w:r w:rsidRPr="006D23E1">
        <w:t>európske</w:t>
      </w:r>
      <w:r w:rsidRPr="00BE3196">
        <w:rPr>
          <w:color w:val="242424"/>
        </w:rPr>
        <w:t xml:space="preserve"> partnerstvá sú nevyhnutné na podporu zmysluplného</w:t>
      </w:r>
      <w:r>
        <w:rPr>
          <w:color w:val="242424"/>
        </w:rPr>
        <w:t xml:space="preserve"> a </w:t>
      </w:r>
      <w:r w:rsidRPr="00BE3196">
        <w:rPr>
          <w:color w:val="242424"/>
        </w:rPr>
        <w:t>štruktúrovaného zapojenia celého spektra zainteresovaných strán</w:t>
      </w:r>
      <w:r>
        <w:rPr>
          <w:color w:val="242424"/>
        </w:rPr>
        <w:t xml:space="preserve"> a </w:t>
      </w:r>
      <w:r w:rsidRPr="00BE3196">
        <w:rPr>
          <w:color w:val="242424"/>
        </w:rPr>
        <w:t>žiada ustálené mechanizmy ich účasti;</w:t>
      </w:r>
    </w:p>
    <w:p w14:paraId="6127473D" w14:textId="68F947D0" w:rsidR="00BE3196" w:rsidRPr="00BE3196" w:rsidRDefault="00BE3196" w:rsidP="00B379C2">
      <w:pPr>
        <w:pStyle w:val="ListParagraph"/>
        <w:numPr>
          <w:ilvl w:val="0"/>
          <w:numId w:val="3"/>
        </w:numPr>
        <w:ind w:left="567" w:hanging="567"/>
        <w:rPr>
          <w:color w:val="242424"/>
        </w:rPr>
      </w:pPr>
      <w:r w:rsidRPr="00BE3196">
        <w:rPr>
          <w:color w:val="242424"/>
        </w:rPr>
        <w:t xml:space="preserve">sa </w:t>
      </w:r>
      <w:r w:rsidRPr="006D23E1">
        <w:t>zasadzuje</w:t>
      </w:r>
      <w:r w:rsidRPr="00BE3196">
        <w:rPr>
          <w:color w:val="242424"/>
        </w:rPr>
        <w:t xml:space="preserve"> za </w:t>
      </w:r>
      <w:r w:rsidRPr="00BE3196">
        <w:rPr>
          <w:b/>
          <w:bCs/>
          <w:color w:val="242424"/>
        </w:rPr>
        <w:t>povinné zastúpenie organizácií pacientov, sociálnych partnerov</w:t>
      </w:r>
      <w:r>
        <w:rPr>
          <w:b/>
          <w:bCs/>
          <w:color w:val="242424"/>
        </w:rPr>
        <w:t xml:space="preserve"> a </w:t>
      </w:r>
      <w:r w:rsidRPr="00BE3196">
        <w:rPr>
          <w:b/>
          <w:bCs/>
          <w:color w:val="242424"/>
        </w:rPr>
        <w:t>občianskej spoločnosti</w:t>
      </w:r>
      <w:r>
        <w:rPr>
          <w:b/>
          <w:bCs/>
          <w:color w:val="242424"/>
        </w:rPr>
        <w:t xml:space="preserve"> v </w:t>
      </w:r>
      <w:r w:rsidRPr="00BE3196">
        <w:rPr>
          <w:b/>
          <w:bCs/>
          <w:color w:val="242424"/>
        </w:rPr>
        <w:t>riadiacich orgánoch</w:t>
      </w:r>
      <w:r w:rsidRPr="00BE3196">
        <w:rPr>
          <w:color w:val="242424"/>
        </w:rPr>
        <w:t>, ktoré prostredníctvom štruktúrovaného, transparentného</w:t>
      </w:r>
      <w:r>
        <w:rPr>
          <w:color w:val="242424"/>
        </w:rPr>
        <w:t xml:space="preserve"> a </w:t>
      </w:r>
      <w:r w:rsidRPr="00BE3196">
        <w:rPr>
          <w:color w:val="242424"/>
        </w:rPr>
        <w:t>systematického zapojenia umožnia štruktúrované konzultácie pri vymedzovaní priorít</w:t>
      </w:r>
      <w:r>
        <w:rPr>
          <w:color w:val="242424"/>
        </w:rPr>
        <w:t xml:space="preserve"> a </w:t>
      </w:r>
      <w:r w:rsidRPr="00B379C2">
        <w:t>dátových</w:t>
      </w:r>
      <w:r w:rsidRPr="00BE3196">
        <w:rPr>
          <w:color w:val="242424"/>
        </w:rPr>
        <w:t xml:space="preserve"> protokolov, požiadaviek na transparentnosť rozhodnutí</w:t>
      </w:r>
      <w:r>
        <w:rPr>
          <w:color w:val="242424"/>
        </w:rPr>
        <w:t xml:space="preserve"> a </w:t>
      </w:r>
      <w:r w:rsidRPr="00BE3196">
        <w:rPr>
          <w:color w:val="242424"/>
        </w:rPr>
        <w:t>používania údajov</w:t>
      </w:r>
      <w:r>
        <w:rPr>
          <w:color w:val="242424"/>
        </w:rPr>
        <w:t xml:space="preserve"> a </w:t>
      </w:r>
      <w:r w:rsidRPr="00BE3196">
        <w:rPr>
          <w:color w:val="242424"/>
        </w:rPr>
        <w:t>mechanizmu na zabezpečenie účinného zohľadnenia ich príspevkov.</w:t>
      </w:r>
    </w:p>
    <w:p w14:paraId="3AE4D4FD" w14:textId="77777777" w:rsidR="00BE3196" w:rsidRPr="00BE3196" w:rsidRDefault="00BE3196" w:rsidP="00BE3196">
      <w:pPr>
        <w:ind w:left="720"/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188"/>
      </w:tblGrid>
      <w:tr w:rsidR="00BE3196" w:rsidRPr="00BE3196" w14:paraId="745F491D" w14:textId="77777777" w:rsidTr="002C16D8">
        <w:tc>
          <w:tcPr>
            <w:tcW w:w="1418" w:type="dxa"/>
          </w:tcPr>
          <w:p w14:paraId="77CBC1FA" w14:textId="77777777" w:rsidR="00BE3196" w:rsidRPr="00BE3196" w:rsidRDefault="00BE3196" w:rsidP="002C16D8">
            <w:pPr>
              <w:spacing w:line="240" w:lineRule="auto"/>
              <w:rPr>
                <w:i/>
              </w:rPr>
            </w:pPr>
            <w:r w:rsidRPr="00BE3196">
              <w:rPr>
                <w:b/>
                <w:i/>
              </w:rPr>
              <w:t>Kontakt</w:t>
            </w:r>
          </w:p>
        </w:tc>
        <w:tc>
          <w:tcPr>
            <w:tcW w:w="8188" w:type="dxa"/>
          </w:tcPr>
          <w:p w14:paraId="5EDD8C61" w14:textId="77777777" w:rsidR="00BE3196" w:rsidRPr="00BE3196" w:rsidRDefault="00BE3196" w:rsidP="002C16D8">
            <w:pPr>
              <w:spacing w:line="240" w:lineRule="auto"/>
              <w:rPr>
                <w:i/>
              </w:rPr>
            </w:pPr>
            <w:r w:rsidRPr="00BE3196">
              <w:rPr>
                <w:i/>
              </w:rPr>
              <w:t xml:space="preserve">Konstantina </w:t>
            </w:r>
            <w:proofErr w:type="spellStart"/>
            <w:r w:rsidRPr="00BE3196">
              <w:rPr>
                <w:i/>
              </w:rPr>
              <w:t>Angelopoulou</w:t>
            </w:r>
            <w:proofErr w:type="spellEnd"/>
          </w:p>
        </w:tc>
      </w:tr>
      <w:tr w:rsidR="00BE3196" w:rsidRPr="00BE3196" w14:paraId="2CBF122A" w14:textId="77777777" w:rsidTr="002C16D8">
        <w:tc>
          <w:tcPr>
            <w:tcW w:w="1418" w:type="dxa"/>
          </w:tcPr>
          <w:p w14:paraId="0684E29D" w14:textId="77777777" w:rsidR="00BE3196" w:rsidRPr="00BE3196" w:rsidRDefault="00BE3196" w:rsidP="002C16D8">
            <w:pPr>
              <w:spacing w:line="240" w:lineRule="auto"/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8188" w:type="dxa"/>
          </w:tcPr>
          <w:p w14:paraId="32F644ED" w14:textId="77777777" w:rsidR="00BE3196" w:rsidRPr="00BE3196" w:rsidRDefault="00BE3196" w:rsidP="002C16D8">
            <w:pPr>
              <w:spacing w:line="240" w:lineRule="auto"/>
              <w:rPr>
                <w:i/>
              </w:rPr>
            </w:pPr>
            <w:r w:rsidRPr="00BE3196">
              <w:rPr>
                <w:i/>
              </w:rPr>
              <w:t>+32 25469747</w:t>
            </w:r>
          </w:p>
        </w:tc>
      </w:tr>
      <w:tr w:rsidR="00BE3196" w:rsidRPr="00BE3196" w14:paraId="0EA105E6" w14:textId="77777777" w:rsidTr="002C16D8">
        <w:tc>
          <w:tcPr>
            <w:tcW w:w="1418" w:type="dxa"/>
          </w:tcPr>
          <w:p w14:paraId="39289579" w14:textId="77777777" w:rsidR="00BE3196" w:rsidRPr="00BE3196" w:rsidRDefault="00BE3196" w:rsidP="002C16D8">
            <w:pPr>
              <w:spacing w:line="240" w:lineRule="auto"/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8188" w:type="dxa"/>
          </w:tcPr>
          <w:p w14:paraId="64FB0FFB" w14:textId="77777777" w:rsidR="00BE3196" w:rsidRPr="00BE3196" w:rsidRDefault="00BE3196" w:rsidP="002C16D8">
            <w:pPr>
              <w:spacing w:line="240" w:lineRule="auto"/>
              <w:rPr>
                <w:i/>
                <w:iCs/>
              </w:rPr>
            </w:pPr>
            <w:hyperlink r:id="rId30" w:history="1">
              <w:r w:rsidRPr="00BE3196">
                <w:rPr>
                  <w:rStyle w:val="Hyperlink"/>
                  <w:i/>
                </w:rPr>
                <w:t>Konstantina.Angelopoulou@eesc.europa.eu</w:t>
              </w:r>
            </w:hyperlink>
          </w:p>
        </w:tc>
      </w:tr>
    </w:tbl>
    <w:p w14:paraId="4982DDF1" w14:textId="3CAFEF7D" w:rsidR="00EE1B31" w:rsidRPr="00BE3196" w:rsidRDefault="00EE1B31" w:rsidP="00100EF9">
      <w:pPr>
        <w:pStyle w:val="ListParagraph"/>
        <w:ind w:left="0"/>
      </w:pPr>
    </w:p>
    <w:p w14:paraId="4483536B" w14:textId="77777777" w:rsidR="00EE1B31" w:rsidRPr="00BE3196" w:rsidRDefault="00EE1B31" w:rsidP="00100EF9">
      <w:pPr>
        <w:jc w:val="left"/>
      </w:pPr>
      <w:r w:rsidRPr="00BE3196">
        <w:br w:type="page"/>
      </w:r>
    </w:p>
    <w:p w14:paraId="20E4C813" w14:textId="328C87C4" w:rsidR="00594237" w:rsidRPr="00BE3196" w:rsidRDefault="008E67CA" w:rsidP="00180F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1" w:history="1">
        <w:r w:rsidR="00E235D3" w:rsidRPr="00BE3196">
          <w:rPr>
            <w:b/>
            <w:i/>
            <w:color w:val="0000FF"/>
            <w:sz w:val="28"/>
            <w:u w:val="single"/>
          </w:rPr>
          <w:t>Energetická prepojenosť, elektrizačné sústavy</w:t>
        </w:r>
      </w:hyperlink>
    </w:p>
    <w:p w14:paraId="03DC3C66" w14:textId="77777777" w:rsidR="00594237" w:rsidRPr="00BE3196" w:rsidRDefault="0059423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E3196" w:rsidRPr="00BE3196" w14:paraId="63B65AD3" w14:textId="77777777" w:rsidTr="002C16D8">
        <w:tc>
          <w:tcPr>
            <w:tcW w:w="1951" w:type="dxa"/>
          </w:tcPr>
          <w:p w14:paraId="6DFD4D4D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Spravodajca:</w:t>
            </w:r>
          </w:p>
        </w:tc>
        <w:tc>
          <w:tcPr>
            <w:tcW w:w="7229" w:type="dxa"/>
          </w:tcPr>
          <w:p w14:paraId="298B6535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</w:pPr>
            <w:proofErr w:type="spellStart"/>
            <w:r w:rsidRPr="00BE3196">
              <w:t>Christophe</w:t>
            </w:r>
            <w:proofErr w:type="spellEnd"/>
            <w:r w:rsidRPr="00BE3196">
              <w:t xml:space="preserve"> BÉGUINET (skupina Pracovníci – FR)</w:t>
            </w:r>
          </w:p>
        </w:tc>
      </w:tr>
      <w:tr w:rsidR="00BE3196" w:rsidRPr="00BE3196" w14:paraId="4447BE75" w14:textId="77777777" w:rsidTr="002C16D8">
        <w:tc>
          <w:tcPr>
            <w:tcW w:w="1951" w:type="dxa"/>
          </w:tcPr>
          <w:p w14:paraId="65C72FCF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.:</w:t>
            </w:r>
          </w:p>
        </w:tc>
        <w:tc>
          <w:tcPr>
            <w:tcW w:w="7229" w:type="dxa"/>
          </w:tcPr>
          <w:p w14:paraId="25820C44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</w:pPr>
            <w:r w:rsidRPr="00BE3196">
              <w:t>prieskumné stanovisko na žiadosť predsedníctva Rady EÚ</w:t>
            </w:r>
          </w:p>
          <w:p w14:paraId="091D4E0B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</w:pPr>
            <w:r w:rsidRPr="00BE3196">
              <w:t>EESC-2025-03570-00-00-AC</w:t>
            </w:r>
          </w:p>
        </w:tc>
      </w:tr>
    </w:tbl>
    <w:p w14:paraId="0F626CC4" w14:textId="77777777" w:rsidR="00BE3196" w:rsidRPr="00BE3196" w:rsidRDefault="00BE3196" w:rsidP="00BE3196">
      <w:pPr>
        <w:tabs>
          <w:tab w:val="center" w:pos="284"/>
        </w:tabs>
        <w:ind w:left="266" w:hanging="266"/>
      </w:pPr>
    </w:p>
    <w:p w14:paraId="4DF36203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0D03D985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7BC8148" w14:textId="77777777" w:rsidR="00BE3196" w:rsidRPr="00BE3196" w:rsidRDefault="00BE3196" w:rsidP="00BE3196">
      <w:pPr>
        <w:rPr>
          <w:bCs/>
          <w:iCs/>
        </w:rPr>
      </w:pPr>
      <w:r w:rsidRPr="00BE3196">
        <w:t>EHSV:</w:t>
      </w:r>
    </w:p>
    <w:p w14:paraId="45B88950" w14:textId="4980137A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zdôrazňuje, že európske odvetvie elektrickej energie musí dokázať plánovať potreby elektrizačnej sústavy</w:t>
      </w:r>
      <w:r>
        <w:t xml:space="preserve"> v </w:t>
      </w:r>
      <w:r w:rsidRPr="00BE3196">
        <w:t>EÚ</w:t>
      </w:r>
      <w:r>
        <w:t xml:space="preserve"> a </w:t>
      </w:r>
      <w:r w:rsidRPr="00BE3196">
        <w:t>partnerských krajinách na základe spoločného energetického scenára, ktorý pripraví Komisia</w:t>
      </w:r>
      <w:r>
        <w:t xml:space="preserve"> a </w:t>
      </w:r>
      <w:r w:rsidRPr="00BE3196">
        <w:t>vnútroštátni prevádzkovatelia sústav;</w:t>
      </w:r>
    </w:p>
    <w:p w14:paraId="537899F4" w14:textId="028EB7E5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upozorňuje, že význam prepojení by sa mal vnímať buď</w:t>
      </w:r>
      <w:r>
        <w:t xml:space="preserve"> z </w:t>
      </w:r>
      <w:r w:rsidRPr="00BE3196">
        <w:t>hľadiska spoločného prínosu pre dve krajiny</w:t>
      </w:r>
      <w:r>
        <w:t xml:space="preserve"> v </w:t>
      </w:r>
      <w:r w:rsidRPr="00BE3196">
        <w:t>rámci dvojstranného prístupu alebo</w:t>
      </w:r>
      <w:r>
        <w:t xml:space="preserve"> z </w:t>
      </w:r>
      <w:r w:rsidRPr="00BE3196">
        <w:t>hľadiska snahy</w:t>
      </w:r>
      <w:r>
        <w:t xml:space="preserve"> o </w:t>
      </w:r>
      <w:r w:rsidRPr="00BE3196">
        <w:t>prínos pre celú sústavu nad rámec dvoch krajín,</w:t>
      </w:r>
      <w:r>
        <w:t xml:space="preserve"> v </w:t>
      </w:r>
      <w:r w:rsidRPr="00BE3196">
        <w:t>ktorých je toto prepojenie umiestnené.</w:t>
      </w:r>
      <w:r>
        <w:t xml:space="preserve"> V </w:t>
      </w:r>
      <w:r w:rsidRPr="00BE3196">
        <w:t>tomto druhom prípade sa musia objaviť nové hospodárske modely ako výsledok spolupráce medzi Agentúrou Európskej únie pre spoluprácu regulačných orgánov</w:t>
      </w:r>
      <w:r>
        <w:t xml:space="preserve"> v </w:t>
      </w:r>
      <w:r w:rsidRPr="00BE3196">
        <w:t>oblasti energetiky (ACER), vnútroštátnymi regulačnými orgánmi</w:t>
      </w:r>
      <w:r>
        <w:t xml:space="preserve"> a </w:t>
      </w:r>
      <w:r w:rsidRPr="00BE3196">
        <w:t>prevádzkovateľmi sietí;</w:t>
      </w:r>
    </w:p>
    <w:p w14:paraId="54B701F4" w14:textId="5B2FD4FF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podčiarkuje, že</w:t>
      </w:r>
      <w:r>
        <w:t xml:space="preserve"> v </w:t>
      </w:r>
      <w:r w:rsidRPr="00BE3196">
        <w:t>záujme účinnosti prepojení sa pri ich budovaní musí rozvíjať aj príslušná infraštruktúra</w:t>
      </w:r>
      <w:r>
        <w:t xml:space="preserve"> v </w:t>
      </w:r>
      <w:r w:rsidRPr="00BE3196">
        <w:t>jednotlivých krajinách, najmä na úrovni prevádzkovateľov prenosových sústav (PPS)</w:t>
      </w:r>
      <w:r>
        <w:t xml:space="preserve"> a </w:t>
      </w:r>
      <w:r w:rsidRPr="00BE3196">
        <w:t>prevádzkovateľov distribučných sústav (PDS). Vytvorenie kapacity prepojenia musí byť príležitosťou na posilnenie európskej solidarity</w:t>
      </w:r>
      <w:r>
        <w:t xml:space="preserve"> v </w:t>
      </w:r>
      <w:r w:rsidRPr="00BE3196">
        <w:t>oblasti elektrizačných sústav;</w:t>
      </w:r>
    </w:p>
    <w:p w14:paraId="0BD2BF17" w14:textId="7737D4DB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zdôrazňuje, že hospodárska optimalizácia európskej elektrizačnej sústavy si vyžaduje rozsiahlu inštaláciu inteligentných meračov, ďalšie dodatočné investície do prenosových</w:t>
      </w:r>
      <w:r>
        <w:t xml:space="preserve"> a </w:t>
      </w:r>
      <w:r w:rsidRPr="00BE3196">
        <w:t>distribučných sústav</w:t>
      </w:r>
      <w:r>
        <w:t xml:space="preserve"> a </w:t>
      </w:r>
      <w:r w:rsidRPr="00BE3196">
        <w:t>sprístupnenie údajov</w:t>
      </w:r>
      <w:r>
        <w:t xml:space="preserve"> o </w:t>
      </w:r>
      <w:r w:rsidRPr="00BE3196">
        <w:t>toku energie;</w:t>
      </w:r>
    </w:p>
    <w:p w14:paraId="2EF999D7" w14:textId="454875EF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zastáva názor, že prioritou musí byť bezpečnosť elektrizačnej sústavy,</w:t>
      </w:r>
      <w:r>
        <w:t xml:space="preserve"> a </w:t>
      </w:r>
      <w:r w:rsidRPr="00BE3196">
        <w:t>to pokiaľ ide</w:t>
      </w:r>
      <w:r>
        <w:t xml:space="preserve"> o </w:t>
      </w:r>
      <w:r w:rsidRPr="00BE3196">
        <w:t>dôsledky zmeny klímy, fyzické útoky, sabotáž, kybernetické riziká aj riziko spojené</w:t>
      </w:r>
      <w:r>
        <w:t xml:space="preserve"> s </w:t>
      </w:r>
      <w:r w:rsidRPr="00BE3196">
        <w:t>vyvažovaním sústavy;</w:t>
      </w:r>
    </w:p>
    <w:p w14:paraId="388FA7B2" w14:textId="6ADA0D37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  <w:rPr>
          <w:bCs/>
          <w:iCs/>
        </w:rPr>
      </w:pPr>
      <w:r w:rsidRPr="00BE3196">
        <w:t>vyzýva, aby sa skôr než sa začne uvažovať</w:t>
      </w:r>
      <w:r>
        <w:t xml:space="preserve"> o </w:t>
      </w:r>
      <w:r w:rsidRPr="00BE3196">
        <w:t>budovaní novej infraštruktúry, najprv zvážila optimalizácia existujúcej infraštruktúry.</w:t>
      </w:r>
    </w:p>
    <w:p w14:paraId="7A21224A" w14:textId="77777777" w:rsidR="00BE3196" w:rsidRPr="00BE3196" w:rsidRDefault="00BE3196" w:rsidP="00BE3196">
      <w:pPr>
        <w:widowControl w:val="0"/>
        <w:rPr>
          <w:bCs/>
          <w:iCs/>
        </w:rPr>
      </w:pPr>
    </w:p>
    <w:p w14:paraId="642D6DC9" w14:textId="77777777" w:rsidR="00BE3196" w:rsidRPr="00BE3196" w:rsidRDefault="00BE3196" w:rsidP="00BE3196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E3196" w:rsidRPr="00BE3196" w14:paraId="65B441FF" w14:textId="77777777" w:rsidTr="002C16D8">
        <w:tc>
          <w:tcPr>
            <w:tcW w:w="1951" w:type="dxa"/>
          </w:tcPr>
          <w:p w14:paraId="3DD9B06E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Kontakt:</w:t>
            </w:r>
          </w:p>
        </w:tc>
        <w:tc>
          <w:tcPr>
            <w:tcW w:w="7229" w:type="dxa"/>
          </w:tcPr>
          <w:p w14:paraId="635241D4" w14:textId="77777777" w:rsidR="00BE3196" w:rsidRPr="00BE3196" w:rsidRDefault="00BE3196" w:rsidP="002C16D8">
            <w:pPr>
              <w:rPr>
                <w:i/>
              </w:rPr>
            </w:pPr>
            <w:proofErr w:type="spellStart"/>
            <w:r w:rsidRPr="00BE3196">
              <w:rPr>
                <w:i/>
              </w:rPr>
              <w:t>Giorgia</w:t>
            </w:r>
            <w:proofErr w:type="spellEnd"/>
            <w:r w:rsidRPr="00BE3196">
              <w:rPr>
                <w:i/>
              </w:rPr>
              <w:t xml:space="preserve"> BORDIGNON</w:t>
            </w:r>
          </w:p>
        </w:tc>
      </w:tr>
      <w:tr w:rsidR="00BE3196" w:rsidRPr="00BE3196" w14:paraId="49682F81" w14:textId="77777777" w:rsidTr="002C16D8">
        <w:tc>
          <w:tcPr>
            <w:tcW w:w="1951" w:type="dxa"/>
          </w:tcPr>
          <w:p w14:paraId="4F54C7A0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7229" w:type="dxa"/>
          </w:tcPr>
          <w:p w14:paraId="027B25DD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i/>
              </w:rPr>
              <w:t>+32 225468535</w:t>
            </w:r>
          </w:p>
        </w:tc>
      </w:tr>
      <w:tr w:rsidR="00BE3196" w:rsidRPr="00BE3196" w14:paraId="17EDD599" w14:textId="77777777" w:rsidTr="002C16D8">
        <w:tc>
          <w:tcPr>
            <w:tcW w:w="1951" w:type="dxa"/>
          </w:tcPr>
          <w:p w14:paraId="3CF345C0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7229" w:type="dxa"/>
          </w:tcPr>
          <w:p w14:paraId="5BC7B815" w14:textId="77777777" w:rsidR="00BE3196" w:rsidRPr="00BE3196" w:rsidRDefault="00BE3196" w:rsidP="002C16D8">
            <w:pPr>
              <w:rPr>
                <w:i/>
              </w:rPr>
            </w:pPr>
            <w:hyperlink r:id="rId32" w:history="1">
              <w:r w:rsidRPr="00BE3196">
                <w:rPr>
                  <w:rStyle w:val="Hyperlink"/>
                  <w:i/>
                </w:rPr>
                <w:t>GiorgiaAndrea.Bordignon@eesc.europa.eu</w:t>
              </w:r>
            </w:hyperlink>
          </w:p>
        </w:tc>
      </w:tr>
    </w:tbl>
    <w:p w14:paraId="79D0072B" w14:textId="77777777" w:rsidR="004D7AC0" w:rsidRPr="00BE3196" w:rsidRDefault="004D7AC0" w:rsidP="00100EF9">
      <w:pPr>
        <w:pStyle w:val="ListParagraph"/>
        <w:ind w:left="0"/>
      </w:pPr>
    </w:p>
    <w:p w14:paraId="4982DDF2" w14:textId="77777777" w:rsidR="004D7AC0" w:rsidRPr="00BE3196" w:rsidRDefault="004D7AC0" w:rsidP="00100EF9">
      <w:pPr>
        <w:jc w:val="left"/>
      </w:pPr>
      <w:r w:rsidRPr="00BE3196">
        <w:br w:type="page"/>
      </w:r>
    </w:p>
    <w:p w14:paraId="4982DE1F" w14:textId="77777777" w:rsidR="004D7AC0" w:rsidRPr="00BE3196" w:rsidRDefault="004D7AC0" w:rsidP="00100EF9">
      <w:pPr>
        <w:pStyle w:val="Heading1"/>
        <w:rPr>
          <w:b/>
        </w:rPr>
      </w:pPr>
      <w:bookmarkStart w:id="6" w:name="_Toc70322234"/>
      <w:bookmarkStart w:id="7" w:name="_Toc75527084"/>
      <w:bookmarkStart w:id="8" w:name="_Toc223518457"/>
      <w:r w:rsidRPr="00BE3196">
        <w:rPr>
          <w:b/>
        </w:rPr>
        <w:t>SEKCIA PRE POĽNOHOSPODÁRSTVO, ROZVOJ VIDIEKA A ŽIVOTNÉ PROSTREDIE</w:t>
      </w:r>
      <w:bookmarkEnd w:id="6"/>
      <w:bookmarkEnd w:id="7"/>
      <w:bookmarkEnd w:id="8"/>
    </w:p>
    <w:p w14:paraId="4982DE20" w14:textId="77777777" w:rsidR="004D7AC0" w:rsidRPr="00BE3196" w:rsidRDefault="004D7AC0" w:rsidP="00100EF9"/>
    <w:p w14:paraId="2C76C141" w14:textId="0727FF4D" w:rsidR="00621347" w:rsidRPr="00BE3196" w:rsidRDefault="008E67CA" w:rsidP="00180F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r:id="rId33" w:history="1">
        <w:r w:rsidR="00E235D3" w:rsidRPr="00BE3196">
          <w:rPr>
            <w:b/>
            <w:i/>
            <w:color w:val="0000FF"/>
            <w:sz w:val="28"/>
            <w:u w:val="single"/>
          </w:rPr>
          <w:t>Plán pre prírodné kredity</w:t>
        </w:r>
      </w:hyperlink>
    </w:p>
    <w:p w14:paraId="62E0B68C" w14:textId="77777777" w:rsidR="00621347" w:rsidRPr="00BE3196" w:rsidRDefault="0062134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BE3196" w:rsidRPr="00BE3196" w14:paraId="45D17912" w14:textId="77777777" w:rsidTr="002C16D8">
        <w:tc>
          <w:tcPr>
            <w:tcW w:w="1077" w:type="pct"/>
          </w:tcPr>
          <w:p w14:paraId="02899120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</w:t>
            </w:r>
          </w:p>
        </w:tc>
        <w:tc>
          <w:tcPr>
            <w:tcW w:w="3923" w:type="pct"/>
          </w:tcPr>
          <w:p w14:paraId="729128A7" w14:textId="77777777" w:rsidR="00BE3196" w:rsidRPr="00BE3196" w:rsidRDefault="00BE3196" w:rsidP="002C16D8">
            <w:pPr>
              <w:tabs>
                <w:tab w:val="center" w:pos="284"/>
              </w:tabs>
              <w:ind w:left="266" w:right="-3091" w:hanging="266"/>
            </w:pPr>
            <w:proofErr w:type="spellStart"/>
            <w:r w:rsidRPr="00BE3196">
              <w:t>Arnaud</w:t>
            </w:r>
            <w:proofErr w:type="spellEnd"/>
            <w:r w:rsidRPr="00BE3196">
              <w:t xml:space="preserve"> SCHWARTZ</w:t>
            </w:r>
          </w:p>
        </w:tc>
      </w:tr>
      <w:tr w:rsidR="00BE3196" w:rsidRPr="00BE3196" w14:paraId="0DA87947" w14:textId="77777777" w:rsidTr="002C16D8">
        <w:tc>
          <w:tcPr>
            <w:tcW w:w="1077" w:type="pct"/>
          </w:tcPr>
          <w:p w14:paraId="101E6F66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Spoluspravodajca</w:t>
            </w:r>
          </w:p>
        </w:tc>
        <w:tc>
          <w:tcPr>
            <w:tcW w:w="3923" w:type="pct"/>
          </w:tcPr>
          <w:p w14:paraId="7AA456F2" w14:textId="77777777" w:rsidR="00BE3196" w:rsidRPr="00BE3196" w:rsidRDefault="00BE3196" w:rsidP="002C16D8">
            <w:pPr>
              <w:tabs>
                <w:tab w:val="center" w:pos="284"/>
              </w:tabs>
              <w:ind w:left="266" w:right="-3091" w:hanging="266"/>
            </w:pPr>
            <w:proofErr w:type="spellStart"/>
            <w:r w:rsidRPr="00BE3196">
              <w:t>Teppo</w:t>
            </w:r>
            <w:proofErr w:type="spellEnd"/>
            <w:r w:rsidRPr="00BE3196">
              <w:t xml:space="preserve"> SÄKKINEN</w:t>
            </w:r>
          </w:p>
        </w:tc>
      </w:tr>
      <w:tr w:rsidR="00BE3196" w:rsidRPr="00BE3196" w14:paraId="4FF2A826" w14:textId="77777777" w:rsidTr="002C16D8">
        <w:tc>
          <w:tcPr>
            <w:tcW w:w="1077" w:type="pct"/>
          </w:tcPr>
          <w:p w14:paraId="134159E9" w14:textId="77777777" w:rsidR="00BE3196" w:rsidRPr="00BE3196" w:rsidRDefault="00BE3196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 dok.:</w:t>
            </w:r>
          </w:p>
        </w:tc>
        <w:tc>
          <w:tcPr>
            <w:tcW w:w="3923" w:type="pct"/>
          </w:tcPr>
          <w:p w14:paraId="4D22ED33" w14:textId="77777777" w:rsidR="00BE3196" w:rsidRPr="00BE3196" w:rsidRDefault="00BE3196" w:rsidP="002C16D8">
            <w:pPr>
              <w:tabs>
                <w:tab w:val="center" w:pos="284"/>
              </w:tabs>
              <w:ind w:left="266" w:right="-3091" w:hanging="266"/>
            </w:pPr>
            <w:r w:rsidRPr="00BE3196">
              <w:t>EESC-2025-03041-00-00-AC</w:t>
            </w:r>
          </w:p>
        </w:tc>
      </w:tr>
    </w:tbl>
    <w:p w14:paraId="2B29A5DA" w14:textId="77777777" w:rsidR="00BE3196" w:rsidRPr="00BE3196" w:rsidRDefault="00BE3196" w:rsidP="00BE3196">
      <w:pPr>
        <w:tabs>
          <w:tab w:val="center" w:pos="284"/>
        </w:tabs>
        <w:ind w:left="266" w:hanging="266"/>
        <w:rPr>
          <w:b/>
        </w:rPr>
      </w:pPr>
    </w:p>
    <w:p w14:paraId="77CC732F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796BCDDA" w14:textId="77777777" w:rsidR="00BE3196" w:rsidRPr="00BE3196" w:rsidRDefault="00BE3196" w:rsidP="00BE3196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7C52719" w14:textId="77777777" w:rsidR="00BE3196" w:rsidRPr="00BE3196" w:rsidRDefault="00BE3196" w:rsidP="00BE3196">
      <w:pPr>
        <w:rPr>
          <w:bCs/>
          <w:iCs/>
        </w:rPr>
      </w:pPr>
      <w:r w:rsidRPr="00BE3196">
        <w:t>EHSV vyzýva Európsku komisiu, aby:</w:t>
      </w:r>
    </w:p>
    <w:p w14:paraId="2179AA26" w14:textId="10797CA9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zabezpečila splnenie cieľov financovania biodiverzity stanovených</w:t>
      </w:r>
      <w:r>
        <w:t xml:space="preserve"> v </w:t>
      </w:r>
      <w:r w:rsidRPr="00BE3196">
        <w:t>Globálnom rámci pre biodiverzitu. Vyžaduje si to dostatočné, stabilné</w:t>
      </w:r>
      <w:r>
        <w:t xml:space="preserve"> a </w:t>
      </w:r>
      <w:r w:rsidRPr="00BE3196">
        <w:t>včasné verejné finančné prostriedky,</w:t>
      </w:r>
      <w:r>
        <w:t xml:space="preserve"> a </w:t>
      </w:r>
      <w:r w:rsidRPr="00BE3196">
        <w:t>to aj</w:t>
      </w:r>
      <w:r>
        <w:t xml:space="preserve"> z </w:t>
      </w:r>
      <w:r w:rsidRPr="00BE3196">
        <w:t>rozpočtu EÚ,</w:t>
      </w:r>
      <w:r>
        <w:t xml:space="preserve"> a </w:t>
      </w:r>
      <w:r w:rsidRPr="00BE3196">
        <w:t>postupné zrušenie dotácií škodlivých pre životné prostredie, ako sú dotácie na fosílne palivá. Prírodné kredity môžu byť nástrojom, ktorý pomôže preklenúť medzeru vo financovaní</w:t>
      </w:r>
      <w:r>
        <w:t xml:space="preserve"> a </w:t>
      </w:r>
      <w:r w:rsidRPr="00BE3196">
        <w:t>mobilizovať súkromné financovanie, pričom doplnia, no nenahradia verejné finančné prostriedky;</w:t>
      </w:r>
    </w:p>
    <w:p w14:paraId="538132E5" w14:textId="0B700630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zaistila presadzovanie právnych predpisov</w:t>
      </w:r>
      <w:r>
        <w:t xml:space="preserve"> v </w:t>
      </w:r>
      <w:r w:rsidRPr="00BE3196">
        <w:t>oblasti životného prostredia</w:t>
      </w:r>
      <w:r>
        <w:t xml:space="preserve"> a </w:t>
      </w:r>
      <w:r w:rsidRPr="00BE3196">
        <w:t>základných zásad ako účinného nástroja na zabezpečenie dosiahnutia cieľov</w:t>
      </w:r>
      <w:r>
        <w:t xml:space="preserve"> v </w:t>
      </w:r>
      <w:r w:rsidRPr="00BE3196">
        <w:t>oblasti biodiverzity</w:t>
      </w:r>
      <w:r>
        <w:t xml:space="preserve"> a </w:t>
      </w:r>
      <w:r w:rsidRPr="00BE3196">
        <w:t>na odstránenie medzier vo financovaní</w:t>
      </w:r>
      <w:r>
        <w:t xml:space="preserve"> a </w:t>
      </w:r>
      <w:r w:rsidRPr="00BE3196">
        <w:t>ako základu dôveryhodného rámca pre prírodné kredity;</w:t>
      </w:r>
    </w:p>
    <w:p w14:paraId="1E8A52C9" w14:textId="38A2C7F1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zabezpečila, aby bol rámec pre prírodné kredity založený na prísnych zásadách vysokej integrity spolu</w:t>
      </w:r>
      <w:r>
        <w:t xml:space="preserve"> s </w:t>
      </w:r>
      <w:r w:rsidRPr="00BE3196">
        <w:t>hierarchiou zmierňovania</w:t>
      </w:r>
      <w:r>
        <w:t xml:space="preserve"> a </w:t>
      </w:r>
      <w:r w:rsidRPr="00BE3196">
        <w:t>inými environmentálnymi, klimatickými</w:t>
      </w:r>
      <w:r>
        <w:t xml:space="preserve"> a </w:t>
      </w:r>
      <w:r w:rsidRPr="00BE3196">
        <w:t>sociálnymi zárukami,</w:t>
      </w:r>
      <w:r>
        <w:t xml:space="preserve"> a </w:t>
      </w:r>
      <w:r w:rsidRPr="00BE3196">
        <w:t>systematicky posudzovala súlad projektov</w:t>
      </w:r>
      <w:r>
        <w:t xml:space="preserve"> s </w:t>
      </w:r>
      <w:r w:rsidRPr="00BE3196">
        <w:t>týmito zásadami. Použité metodiky by mali byť holistické</w:t>
      </w:r>
      <w:r>
        <w:t xml:space="preserve"> a </w:t>
      </w:r>
      <w:r w:rsidRPr="00BE3196">
        <w:t>vedecké</w:t>
      </w:r>
      <w:r>
        <w:t xml:space="preserve"> a </w:t>
      </w:r>
      <w:r w:rsidRPr="00BE3196">
        <w:t>mali by sa opierať</w:t>
      </w:r>
      <w:r>
        <w:t xml:space="preserve"> o </w:t>
      </w:r>
      <w:r w:rsidRPr="00BE3196">
        <w:t>ekologicky integrovaný postup založený na výsledkoch;</w:t>
      </w:r>
    </w:p>
    <w:p w14:paraId="3B96A975" w14:textId="3E148359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zabezpečila, aby bol rámec riadenia trhu</w:t>
      </w:r>
      <w:r>
        <w:t xml:space="preserve"> s </w:t>
      </w:r>
      <w:r w:rsidRPr="00BE3196">
        <w:t>prírodnými kreditmi vedecky podložený, inkluzívny, transparentný</w:t>
      </w:r>
      <w:r>
        <w:t xml:space="preserve"> a </w:t>
      </w:r>
      <w:proofErr w:type="spellStart"/>
      <w:r w:rsidRPr="00BE3196">
        <w:t>participatívny</w:t>
      </w:r>
      <w:proofErr w:type="spellEnd"/>
      <w:r w:rsidRPr="00BE3196">
        <w:t>, so silným zameraním na zapojenie subjektov</w:t>
      </w:r>
      <w:r>
        <w:t xml:space="preserve"> s </w:t>
      </w:r>
      <w:r w:rsidRPr="00BE3196">
        <w:t>potenciálom obnoviť</w:t>
      </w:r>
      <w:r>
        <w:t xml:space="preserve"> a </w:t>
      </w:r>
      <w:r w:rsidRPr="00BE3196">
        <w:t>zachovať prírodu, ako aj zraniteľných</w:t>
      </w:r>
      <w:r>
        <w:t xml:space="preserve"> a </w:t>
      </w:r>
      <w:r w:rsidRPr="00BE3196">
        <w:t>marginalizovaných skupín, ako sú mladí ľudia, ženy, vidiecke komunity</w:t>
      </w:r>
      <w:r>
        <w:t xml:space="preserve"> a </w:t>
      </w:r>
      <w:r w:rsidRPr="00BE3196">
        <w:t>pôvodné obyvateľstvo. Mala by sa zabezpečiť transparentná</w:t>
      </w:r>
      <w:r>
        <w:t xml:space="preserve"> a </w:t>
      </w:r>
      <w:r w:rsidRPr="00BE3196">
        <w:t>spravodlivá správa údajov</w:t>
      </w:r>
      <w:r>
        <w:t xml:space="preserve"> a </w:t>
      </w:r>
      <w:r w:rsidRPr="00BE3196">
        <w:t>vlastníctvo;</w:t>
      </w:r>
    </w:p>
    <w:p w14:paraId="1DEFCF70" w14:textId="73268931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k potrebe smernice alebo nariadenia pristupovala opatrne, keďže zriaďovanie prírodných kreditov by malo zostať dobrovoľné</w:t>
      </w:r>
      <w:r>
        <w:t xml:space="preserve"> a </w:t>
      </w:r>
      <w:r w:rsidRPr="00BE3196">
        <w:t>zároveň by malo byť</w:t>
      </w:r>
      <w:r>
        <w:t xml:space="preserve"> v </w:t>
      </w:r>
      <w:r w:rsidRPr="00BE3196">
        <w:t>súlade</w:t>
      </w:r>
      <w:r>
        <w:t xml:space="preserve"> s </w:t>
      </w:r>
      <w:r w:rsidRPr="00BE3196">
        <w:t>prísnymi pravidlami</w:t>
      </w:r>
      <w:r>
        <w:t xml:space="preserve"> a </w:t>
      </w:r>
      <w:r w:rsidRPr="00BE3196">
        <w:t>kritériami. Rámec by sa mal zamerať najmä na pozitívne príspevky, zatiaľ čo využívanie kompenzácie by sa malo ponechať na rozhodnutí členských štátov, aby sa neoslabili existujúce ambiciózne iniciatívy na vnútroštátnej úrovni;</w:t>
      </w:r>
    </w:p>
    <w:p w14:paraId="13F5BEAD" w14:textId="1D2365E8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objasnila zosúladenie prírodných kreditov</w:t>
      </w:r>
      <w:r>
        <w:t xml:space="preserve"> s </w:t>
      </w:r>
      <w:r w:rsidRPr="00BE3196">
        <w:t xml:space="preserve">inými politikami, ako je SPP. Prírodné kredity musia byť vybudované tak, aby umožnili </w:t>
      </w:r>
      <w:proofErr w:type="spellStart"/>
      <w:r w:rsidRPr="00BE3196">
        <w:t>biohospodárstvu</w:t>
      </w:r>
      <w:proofErr w:type="spellEnd"/>
      <w:r w:rsidRPr="00BE3196">
        <w:t>, obehovému hospodárstvu, udržateľnej výrobe potravín</w:t>
      </w:r>
      <w:r>
        <w:t xml:space="preserve"> a </w:t>
      </w:r>
      <w:r w:rsidRPr="00BE3196">
        <w:t>lesnému hospodárstvu prosperovať</w:t>
      </w:r>
      <w:r>
        <w:t xml:space="preserve"> v </w:t>
      </w:r>
      <w:r w:rsidRPr="00BE3196">
        <w:t>EÚ. Rámec by mal zabrániť zbytočnému administratívnemu zaťaženiu aktérov</w:t>
      </w:r>
      <w:r>
        <w:t xml:space="preserve"> z </w:t>
      </w:r>
      <w:r w:rsidRPr="00BE3196">
        <w:t>praxe, najmä tých malých,</w:t>
      </w:r>
      <w:r>
        <w:t xml:space="preserve"> a </w:t>
      </w:r>
      <w:r w:rsidRPr="00BE3196">
        <w:t>zároveň zabezpečiť vysokú integritu</w:t>
      </w:r>
      <w:r>
        <w:t xml:space="preserve"> a </w:t>
      </w:r>
      <w:r w:rsidRPr="00BE3196">
        <w:t>vedecky podložený prístup;</w:t>
      </w:r>
    </w:p>
    <w:p w14:paraId="55A0B528" w14:textId="423D23E3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 xml:space="preserve">zabezpečila, aby prírodné kredity neviedli ku </w:t>
      </w:r>
      <w:proofErr w:type="spellStart"/>
      <w:r w:rsidRPr="00BE3196">
        <w:t>komodifikácii</w:t>
      </w:r>
      <w:proofErr w:type="spellEnd"/>
      <w:r w:rsidRPr="00BE3196">
        <w:t>. Za každú cenu by sa malo zabrániť zaberaniu pôdy</w:t>
      </w:r>
      <w:r>
        <w:t xml:space="preserve"> a </w:t>
      </w:r>
      <w:r w:rsidRPr="00BE3196">
        <w:t>špekuláciám. Prírodné kredity by mali vždy uprednostňovať integritu pred krátkodobou ziskovosťou, ako aj spravodlivé rozdelenie prínosov</w:t>
      </w:r>
      <w:r>
        <w:t xml:space="preserve"> a </w:t>
      </w:r>
      <w:r w:rsidRPr="00BE3196">
        <w:t>pomáhať znižovať nerovnosti;</w:t>
      </w:r>
    </w:p>
    <w:p w14:paraId="1152B639" w14:textId="7D67EA8B" w:rsidR="00BE3196" w:rsidRPr="00BE3196" w:rsidRDefault="00BE3196" w:rsidP="00290850">
      <w:pPr>
        <w:pStyle w:val="ListParagraph"/>
        <w:numPr>
          <w:ilvl w:val="0"/>
          <w:numId w:val="3"/>
        </w:numPr>
        <w:ind w:left="567" w:hanging="567"/>
      </w:pPr>
      <w:r w:rsidRPr="00BE3196">
        <w:t>sa obozretne zapájala do projektov mimo EÚ</w:t>
      </w:r>
      <w:r>
        <w:t xml:space="preserve"> a </w:t>
      </w:r>
      <w:r w:rsidRPr="00BE3196">
        <w:t>mala pritom na pamäti, že metodiky</w:t>
      </w:r>
      <w:r>
        <w:t xml:space="preserve"> a </w:t>
      </w:r>
      <w:r w:rsidRPr="00BE3196">
        <w:t>rámce riadenia vyvinuté</w:t>
      </w:r>
      <w:r>
        <w:t xml:space="preserve"> v </w:t>
      </w:r>
      <w:r w:rsidRPr="00BE3196">
        <w:t>Európe nemusia vyhovovať sociálnemu, kultúrnemu, právnemu, politickému</w:t>
      </w:r>
      <w:r>
        <w:t xml:space="preserve"> a </w:t>
      </w:r>
      <w:r w:rsidRPr="00BE3196">
        <w:t>ekologickému kontextu</w:t>
      </w:r>
      <w:r>
        <w:t xml:space="preserve"> v </w:t>
      </w:r>
      <w:r w:rsidRPr="00BE3196">
        <w:t>zahraničí. Zároveň by mali vytvárať pozitívne vplyvy na prírodu vo svojich hodnotových reťazcoch mimo EÚ.</w:t>
      </w:r>
    </w:p>
    <w:p w14:paraId="2D255165" w14:textId="77777777" w:rsidR="00BE3196" w:rsidRPr="00BE3196" w:rsidRDefault="00BE3196" w:rsidP="00BE3196">
      <w:pPr>
        <w:widowControl w:val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BE3196" w:rsidRPr="00BE3196" w14:paraId="3BBCA352" w14:textId="77777777" w:rsidTr="002C16D8">
        <w:tc>
          <w:tcPr>
            <w:tcW w:w="1077" w:type="pct"/>
          </w:tcPr>
          <w:p w14:paraId="0BB05B5F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</w:t>
            </w:r>
          </w:p>
        </w:tc>
        <w:tc>
          <w:tcPr>
            <w:tcW w:w="3923" w:type="pct"/>
          </w:tcPr>
          <w:p w14:paraId="07AE1086" w14:textId="77777777" w:rsidR="00BE3196" w:rsidRPr="00BE3196" w:rsidRDefault="00BE3196" w:rsidP="002C16D8">
            <w:pPr>
              <w:rPr>
                <w:i/>
              </w:rPr>
            </w:pPr>
            <w:proofErr w:type="spellStart"/>
            <w:r w:rsidRPr="00BE3196">
              <w:rPr>
                <w:i/>
              </w:rPr>
              <w:t>Gaia</w:t>
            </w:r>
            <w:proofErr w:type="spellEnd"/>
            <w:r w:rsidRPr="00BE3196">
              <w:rPr>
                <w:i/>
              </w:rPr>
              <w:t xml:space="preserve"> BOTTONI</w:t>
            </w:r>
          </w:p>
        </w:tc>
      </w:tr>
      <w:tr w:rsidR="00BE3196" w:rsidRPr="00BE3196" w14:paraId="0C1E2299" w14:textId="77777777" w:rsidTr="002C16D8">
        <w:tc>
          <w:tcPr>
            <w:tcW w:w="1077" w:type="pct"/>
          </w:tcPr>
          <w:p w14:paraId="4ED254EF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3923" w:type="pct"/>
          </w:tcPr>
          <w:p w14:paraId="76112DFC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i/>
              </w:rPr>
              <w:t>+32 25469447</w:t>
            </w:r>
          </w:p>
        </w:tc>
      </w:tr>
      <w:tr w:rsidR="00BE3196" w:rsidRPr="00BE3196" w14:paraId="3B00A50F" w14:textId="77777777" w:rsidTr="002C16D8">
        <w:tc>
          <w:tcPr>
            <w:tcW w:w="1077" w:type="pct"/>
          </w:tcPr>
          <w:p w14:paraId="7B21F968" w14:textId="77777777" w:rsidR="00BE3196" w:rsidRPr="00BE3196" w:rsidRDefault="00BE3196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3923" w:type="pct"/>
          </w:tcPr>
          <w:p w14:paraId="616A02F7" w14:textId="77777777" w:rsidR="00BE3196" w:rsidRPr="00BE3196" w:rsidRDefault="00BE3196" w:rsidP="002C16D8">
            <w:pPr>
              <w:rPr>
                <w:i/>
              </w:rPr>
            </w:pPr>
            <w:hyperlink r:id="rId34" w:history="1">
              <w:r w:rsidRPr="00BE3196">
                <w:rPr>
                  <w:rStyle w:val="Hyperlink"/>
                  <w:i/>
                </w:rPr>
                <w:t>Gaia.Bottoni@eesc.europa.eu</w:t>
              </w:r>
            </w:hyperlink>
            <w:r w:rsidRPr="00BE3196">
              <w:rPr>
                <w:i/>
              </w:rPr>
              <w:t xml:space="preserve"> </w:t>
            </w:r>
          </w:p>
        </w:tc>
      </w:tr>
    </w:tbl>
    <w:p w14:paraId="715DB2BD" w14:textId="77777777" w:rsidR="007F5784" w:rsidRPr="00BE3196" w:rsidRDefault="007F5784" w:rsidP="00100EF9">
      <w:pPr>
        <w:jc w:val="left"/>
      </w:pPr>
      <w:r w:rsidRPr="00BE3196">
        <w:br w:type="page"/>
      </w:r>
    </w:p>
    <w:p w14:paraId="528C73AA" w14:textId="46DE726B" w:rsidR="006D2C8A" w:rsidRPr="00BE3196" w:rsidRDefault="006D2C8A" w:rsidP="00100EF9">
      <w:pPr>
        <w:pStyle w:val="Heading1"/>
        <w:rPr>
          <w:b/>
        </w:rPr>
      </w:pPr>
      <w:bookmarkStart w:id="9" w:name="_Toc223518458"/>
      <w:r w:rsidRPr="00BE3196">
        <w:rPr>
          <w:b/>
          <w:color w:val="222A35" w:themeColor="text2" w:themeShade="80"/>
        </w:rPr>
        <w:t>PORADNÁ KOMISIA PRE PRIEMYSELNÉ ZMENY</w:t>
      </w:r>
      <w:bookmarkEnd w:id="9"/>
    </w:p>
    <w:p w14:paraId="713E272F" w14:textId="77777777" w:rsidR="006D2C8A" w:rsidRPr="00BE3196" w:rsidRDefault="006D2C8A" w:rsidP="00100EF9"/>
    <w:p w14:paraId="3CC91A48" w14:textId="084C68AF" w:rsidR="003534E0" w:rsidRPr="00BE3196" w:rsidRDefault="008E67CA" w:rsidP="00180F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5" w:history="1">
        <w:r w:rsidR="003534E0" w:rsidRPr="00BE3196">
          <w:rPr>
            <w:b/>
            <w:i/>
            <w:color w:val="0000FF"/>
            <w:sz w:val="28"/>
            <w:u w:val="single"/>
          </w:rPr>
          <w:t>Zmena nariadenia (EÚ) 2024/1252 (akt</w:t>
        </w:r>
        <w:r w:rsidR="00BE3196">
          <w:rPr>
            <w:b/>
            <w:i/>
            <w:color w:val="0000FF"/>
            <w:sz w:val="28"/>
            <w:u w:val="single"/>
          </w:rPr>
          <w:t xml:space="preserve"> o </w:t>
        </w:r>
        <w:r w:rsidR="003534E0" w:rsidRPr="00BE3196">
          <w:rPr>
            <w:b/>
            <w:i/>
            <w:color w:val="0000FF"/>
            <w:sz w:val="28"/>
            <w:u w:val="single"/>
          </w:rPr>
          <w:t>kritických surovinách)</w:t>
        </w:r>
      </w:hyperlink>
    </w:p>
    <w:p w14:paraId="4BAFD485" w14:textId="77777777" w:rsidR="009277D3" w:rsidRPr="00BE3196" w:rsidRDefault="009277D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14:paraId="32B27E07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04999E00" w14:textId="77777777" w:rsidR="002D4268" w:rsidRPr="00BE3196" w:rsidRDefault="002D4268" w:rsidP="002D4268">
      <w:pPr>
        <w:widowControl w:val="0"/>
        <w:rPr>
          <w:bCs/>
          <w:iCs/>
        </w:rPr>
      </w:pPr>
    </w:p>
    <w:p w14:paraId="144F161B" w14:textId="271D0173" w:rsidR="002D4268" w:rsidRPr="00BE3196" w:rsidRDefault="002D4268" w:rsidP="002D4268">
      <w:pPr>
        <w:widowControl w:val="0"/>
        <w:rPr>
          <w:bCs/>
          <w:iCs/>
        </w:rPr>
      </w:pPr>
      <w:r w:rsidRPr="00BE3196">
        <w:t>Keďže výbor usúdil, že návrh je úplne uspokojivý,</w:t>
      </w:r>
      <w:r w:rsidR="00BE3196">
        <w:t xml:space="preserve"> a </w:t>
      </w:r>
      <w:r w:rsidRPr="00BE3196">
        <w:t>vzhľadom na to, že sa už</w:t>
      </w:r>
      <w:r w:rsidR="00BE3196">
        <w:t xml:space="preserve"> k </w:t>
      </w:r>
      <w:r w:rsidRPr="00BE3196">
        <w:t xml:space="preserve">obsahu návrhu vyjadril vo </w:t>
      </w:r>
      <w:hyperlink r:id="rId36" w:history="1">
        <w:r w:rsidRPr="00BE3196">
          <w:rPr>
            <w:rStyle w:val="Hyperlink"/>
          </w:rPr>
          <w:t>svojom stanovisku</w:t>
        </w:r>
        <w:r w:rsidR="00BE3196">
          <w:rPr>
            <w:rStyle w:val="Hyperlink"/>
          </w:rPr>
          <w:t xml:space="preserve"> o </w:t>
        </w:r>
        <w:r w:rsidRPr="00BE3196">
          <w:rPr>
            <w:rStyle w:val="Hyperlink"/>
          </w:rPr>
          <w:t>nariadení</w:t>
        </w:r>
        <w:r w:rsidR="00BE3196">
          <w:rPr>
            <w:rStyle w:val="Hyperlink"/>
          </w:rPr>
          <w:t xml:space="preserve"> o </w:t>
        </w:r>
        <w:r w:rsidRPr="00BE3196">
          <w:rPr>
            <w:rStyle w:val="Hyperlink"/>
          </w:rPr>
          <w:t xml:space="preserve">kritických surovinách </w:t>
        </w:r>
      </w:hyperlink>
      <w:r w:rsidRPr="00BE3196">
        <w:t>, ktoré bolo prijaté 12</w:t>
      </w:r>
      <w:r w:rsidR="00BE3196">
        <w:t>. júla</w:t>
      </w:r>
      <w:r w:rsidRPr="00BE3196">
        <w:t xml:space="preserve"> 2023, rozhodol sa zaujať</w:t>
      </w:r>
      <w:r w:rsidR="00BE3196">
        <w:t xml:space="preserve"> k </w:t>
      </w:r>
      <w:r w:rsidRPr="00BE3196">
        <w:t>predmetnému textu kladné stanovisko</w:t>
      </w:r>
      <w:r w:rsidR="00BE3196">
        <w:t xml:space="preserve"> a </w:t>
      </w:r>
      <w:r w:rsidRPr="00BE3196">
        <w:t>odkázať na postoj, ktorý zaujal</w:t>
      </w:r>
      <w:r w:rsidR="00BE3196">
        <w:t xml:space="preserve"> v </w:t>
      </w:r>
      <w:r w:rsidRPr="00BE3196">
        <w:t>spomínanom dokumente.</w:t>
      </w:r>
    </w:p>
    <w:p w14:paraId="390FD4D0" w14:textId="77777777" w:rsidR="002D4268" w:rsidRPr="00BE3196" w:rsidRDefault="002D4268" w:rsidP="002D4268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D4268" w:rsidRPr="00BE3196" w14:paraId="3A2255B2" w14:textId="77777777" w:rsidTr="002C16D8">
        <w:tc>
          <w:tcPr>
            <w:tcW w:w="1077" w:type="pct"/>
          </w:tcPr>
          <w:p w14:paraId="2F640296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2AC3F1DC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Adam DORYWALSKI</w:t>
            </w:r>
          </w:p>
        </w:tc>
      </w:tr>
      <w:tr w:rsidR="002D4268" w:rsidRPr="00BE3196" w14:paraId="028884E1" w14:textId="77777777" w:rsidTr="002C16D8">
        <w:tc>
          <w:tcPr>
            <w:tcW w:w="1077" w:type="pct"/>
          </w:tcPr>
          <w:p w14:paraId="523E6029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Tel:</w:t>
            </w:r>
          </w:p>
        </w:tc>
        <w:tc>
          <w:tcPr>
            <w:tcW w:w="3923" w:type="pct"/>
          </w:tcPr>
          <w:p w14:paraId="3DFBDE36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+32 25469397</w:t>
            </w:r>
          </w:p>
        </w:tc>
      </w:tr>
      <w:tr w:rsidR="002D4268" w:rsidRPr="00BE3196" w14:paraId="38ACFD9A" w14:textId="77777777" w:rsidTr="002C16D8">
        <w:tc>
          <w:tcPr>
            <w:tcW w:w="1077" w:type="pct"/>
          </w:tcPr>
          <w:p w14:paraId="4A5E5540" w14:textId="77777777" w:rsidR="002D4268" w:rsidRPr="00BE3196" w:rsidRDefault="002D4268" w:rsidP="002C16D8">
            <w:pPr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3923" w:type="pct"/>
          </w:tcPr>
          <w:p w14:paraId="1FF943DB" w14:textId="77777777" w:rsidR="002D4268" w:rsidRPr="00BE3196" w:rsidRDefault="002D4268" w:rsidP="002C16D8">
            <w:pPr>
              <w:rPr>
                <w:i/>
              </w:rPr>
            </w:pPr>
            <w:hyperlink r:id="rId37" w:history="1">
              <w:r w:rsidRPr="00BE3196">
                <w:rPr>
                  <w:rStyle w:val="Hyperlink"/>
                  <w:i/>
                </w:rPr>
                <w:t>Adam.Dorywalski@eesc.europa.eu</w:t>
              </w:r>
            </w:hyperlink>
          </w:p>
        </w:tc>
      </w:tr>
    </w:tbl>
    <w:p w14:paraId="3FA9F92E" w14:textId="77777777" w:rsidR="00E25EB4" w:rsidRPr="00BE3196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5D7A6973" w14:textId="77777777" w:rsidR="004C4CDB" w:rsidRPr="00BE3196" w:rsidRDefault="004C4CDB" w:rsidP="00100EF9">
      <w:pPr>
        <w:jc w:val="left"/>
      </w:pPr>
      <w:r w:rsidRPr="00BE3196">
        <w:br w:type="page"/>
      </w:r>
    </w:p>
    <w:p w14:paraId="4E1C48EE" w14:textId="715648B9" w:rsidR="00E25EB4" w:rsidRPr="00BE3196" w:rsidRDefault="008E67CA" w:rsidP="00180FD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rFonts w:ascii="Calibri" w:hAnsi="Calibri"/>
          <w:b/>
          <w:bCs/>
        </w:rPr>
      </w:pPr>
      <w:hyperlink r:id="rId38" w:tooltip="Enhancing EU strategic autonomy and developing a greener and bluer economy: the potential of the sodium battery manufacturing sector" w:history="1">
        <w:r w:rsidR="00E235D3" w:rsidRPr="00BE3196">
          <w:rPr>
            <w:b/>
            <w:i/>
            <w:color w:val="0000FF"/>
            <w:sz w:val="28"/>
            <w:u w:val="single"/>
          </w:rPr>
          <w:t>Posilnenie strategickej autonómie EÚ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8"/>
            <w:u w:val="single"/>
          </w:rPr>
          <w:t>rozvoj ekologickejšieho</w:t>
        </w:r>
        <w:r w:rsidR="00BE3196">
          <w:rPr>
            <w:b/>
            <w:i/>
            <w:color w:val="0000FF"/>
            <w:sz w:val="28"/>
            <w:u w:val="single"/>
          </w:rPr>
          <w:t xml:space="preserve"> a </w:t>
        </w:r>
        <w:r w:rsidR="00E235D3" w:rsidRPr="00BE3196">
          <w:rPr>
            <w:b/>
            <w:i/>
            <w:color w:val="0000FF"/>
            <w:sz w:val="28"/>
            <w:u w:val="single"/>
          </w:rPr>
          <w:t>modrejšieho hospodárstva: potenciál odvetvia výroby sodíkových batérií</w:t>
        </w:r>
      </w:hyperlink>
    </w:p>
    <w:p w14:paraId="2E26A662" w14:textId="77777777" w:rsidR="00E25EB4" w:rsidRPr="00BE3196" w:rsidRDefault="00E25EB4" w:rsidP="00100EF9">
      <w:pPr>
        <w:widowControl w:val="0"/>
        <w:ind w:left="567"/>
        <w:contextualSpacing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5670"/>
      </w:tblGrid>
      <w:tr w:rsidR="002D4268" w:rsidRPr="00BE3196" w14:paraId="3CFB6C80" w14:textId="77777777" w:rsidTr="002C16D8">
        <w:tc>
          <w:tcPr>
            <w:tcW w:w="1701" w:type="dxa"/>
          </w:tcPr>
          <w:p w14:paraId="429B93E2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Spravodajca</w:t>
            </w:r>
          </w:p>
        </w:tc>
        <w:tc>
          <w:tcPr>
            <w:tcW w:w="5670" w:type="dxa"/>
          </w:tcPr>
          <w:p w14:paraId="65851174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>Paul RÜBIG (skupina Zamestnávatelia – AT)</w:t>
            </w:r>
          </w:p>
        </w:tc>
      </w:tr>
      <w:tr w:rsidR="002D4268" w:rsidRPr="00BE3196" w14:paraId="56FE1A08" w14:textId="77777777" w:rsidTr="002C16D8">
        <w:tc>
          <w:tcPr>
            <w:tcW w:w="1701" w:type="dxa"/>
          </w:tcPr>
          <w:p w14:paraId="147E50C8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E3196">
              <w:rPr>
                <w:b/>
              </w:rPr>
              <w:t>Spoluspravodajca</w:t>
            </w:r>
          </w:p>
        </w:tc>
        <w:tc>
          <w:tcPr>
            <w:tcW w:w="5670" w:type="dxa"/>
          </w:tcPr>
          <w:p w14:paraId="4CEDB9CF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proofErr w:type="spellStart"/>
            <w:r w:rsidRPr="00BE3196">
              <w:t>Hervé</w:t>
            </w:r>
            <w:proofErr w:type="spellEnd"/>
            <w:r w:rsidRPr="00BE3196">
              <w:t xml:space="preserve"> JEANNIN (skupina Pracovníci – FR)</w:t>
            </w:r>
          </w:p>
        </w:tc>
      </w:tr>
      <w:tr w:rsidR="002D4268" w:rsidRPr="00BE3196" w14:paraId="5394C1FA" w14:textId="77777777" w:rsidTr="002C16D8">
        <w:tc>
          <w:tcPr>
            <w:tcW w:w="7371" w:type="dxa"/>
            <w:gridSpan w:val="2"/>
          </w:tcPr>
          <w:p w14:paraId="6D398AF5" w14:textId="77777777" w:rsidR="002D4268" w:rsidRPr="00BE3196" w:rsidRDefault="002D4268" w:rsidP="002C16D8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="002D4268" w:rsidRPr="00BE3196" w14:paraId="34532CAB" w14:textId="77777777" w:rsidTr="002C16D8">
        <w:tc>
          <w:tcPr>
            <w:tcW w:w="1701" w:type="dxa"/>
            <w:vMerge w:val="restart"/>
          </w:tcPr>
          <w:p w14:paraId="0CE28018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E3196">
              <w:rPr>
                <w:b/>
              </w:rPr>
              <w:t>Ref</w:t>
            </w:r>
            <w:proofErr w:type="spellEnd"/>
            <w:r w:rsidRPr="00BE3196">
              <w:rPr>
                <w:b/>
              </w:rPr>
              <w:t>. dok.:</w:t>
            </w:r>
          </w:p>
        </w:tc>
        <w:tc>
          <w:tcPr>
            <w:tcW w:w="5670" w:type="dxa"/>
          </w:tcPr>
          <w:p w14:paraId="6858DE40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  <w:r w:rsidRPr="00BE3196">
              <w:t>EESC-2025-02464-00-00-AC</w:t>
            </w:r>
          </w:p>
        </w:tc>
      </w:tr>
      <w:tr w:rsidR="002D4268" w:rsidRPr="00BE3196" w14:paraId="17A5E186" w14:textId="77777777" w:rsidTr="002C16D8">
        <w:tc>
          <w:tcPr>
            <w:tcW w:w="1701" w:type="dxa"/>
            <w:vMerge/>
          </w:tcPr>
          <w:p w14:paraId="75E579C7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5670" w:type="dxa"/>
          </w:tcPr>
          <w:p w14:paraId="7F7DC971" w14:textId="77777777" w:rsidR="002D4268" w:rsidRPr="00BE3196" w:rsidRDefault="002D4268" w:rsidP="002C16D8">
            <w:pPr>
              <w:tabs>
                <w:tab w:val="center" w:pos="284"/>
              </w:tabs>
              <w:ind w:left="266" w:hanging="266"/>
            </w:pPr>
          </w:p>
        </w:tc>
      </w:tr>
    </w:tbl>
    <w:p w14:paraId="51C993B1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/>
        </w:rPr>
      </w:pPr>
      <w:r w:rsidRPr="00BE3196">
        <w:rPr>
          <w:b/>
        </w:rPr>
        <w:t>Hlavné body</w:t>
      </w:r>
    </w:p>
    <w:p w14:paraId="3D33C81D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0690E013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Cs/>
        </w:rPr>
      </w:pPr>
      <w:r w:rsidRPr="00BE3196">
        <w:t>EHSV:</w:t>
      </w:r>
    </w:p>
    <w:p w14:paraId="7EF0DCB7" w14:textId="77777777" w:rsidR="002D4268" w:rsidRPr="00BE3196" w:rsidRDefault="002D4268" w:rsidP="002D4268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795051F0" w14:textId="001AA646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  <w:rPr>
          <w:color w:val="333333"/>
        </w:rPr>
      </w:pPr>
      <w:r w:rsidRPr="00290850">
        <w:t>považuje sodíkové batérie za strategickú technológiu</w:t>
      </w:r>
      <w:r w:rsidR="00BE3196" w:rsidRPr="00290850">
        <w:t xml:space="preserve"> a </w:t>
      </w:r>
      <w:r w:rsidRPr="00290850">
        <w:t>vidí veľký potenciál Európy stať sa technologickým lídrom</w:t>
      </w:r>
      <w:r w:rsidR="00BE3196" w:rsidRPr="00290850">
        <w:t xml:space="preserve"> v </w:t>
      </w:r>
      <w:r w:rsidRPr="00290850">
        <w:t>oblasti systémov batérií na báze sodíka</w:t>
      </w:r>
      <w:r w:rsidR="00BE3196" w:rsidRPr="00290850">
        <w:t xml:space="preserve"> a </w:t>
      </w:r>
      <w:r w:rsidRPr="00290850">
        <w:t>slanej vody;</w:t>
      </w:r>
    </w:p>
    <w:p w14:paraId="19644EF7" w14:textId="74066099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  <w:rPr>
          <w:color w:val="333333"/>
        </w:rPr>
      </w:pPr>
      <w:r w:rsidRPr="00290850">
        <w:t>zdôrazňuje potenciál sodíkových batérií ako prostriedkov na dosiahnutie cieľov priemyselnej politiky EÚ: podporujú ciele Európskej zelenej dohody</w:t>
      </w:r>
      <w:r w:rsidR="00BE3196" w:rsidRPr="00290850">
        <w:t xml:space="preserve"> a </w:t>
      </w:r>
      <w:r w:rsidRPr="00290850">
        <w:t>európskej modrej dohody, môžu byť kľúčovými nástrojmi na dosiahnutie strategickej autonómie</w:t>
      </w:r>
      <w:r w:rsidR="00BE3196" w:rsidRPr="00290850">
        <w:t xml:space="preserve"> a </w:t>
      </w:r>
      <w:r w:rsidRPr="00290850">
        <w:t>zriadenie gigatovární na výrobu sodíkových batérií by posilnilo konkurencieschopnosť</w:t>
      </w:r>
      <w:r w:rsidR="00BE3196" w:rsidRPr="00290850">
        <w:t xml:space="preserve"> a </w:t>
      </w:r>
      <w:r w:rsidRPr="00290850">
        <w:t>vytvorilo pracovné miesta</w:t>
      </w:r>
      <w:r w:rsidR="00BE3196" w:rsidRPr="00290850">
        <w:t xml:space="preserve"> v </w:t>
      </w:r>
      <w:r w:rsidRPr="00290850">
        <w:t>celom hodnotovom reťazci;</w:t>
      </w:r>
    </w:p>
    <w:p w14:paraId="38360710" w14:textId="7F525436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  <w:rPr>
          <w:color w:val="333333"/>
        </w:rPr>
      </w:pPr>
      <w:r w:rsidRPr="00290850">
        <w:t>podčiarkuje, že sodíkové batérie možno vyrábať výlučne</w:t>
      </w:r>
      <w:r w:rsidR="00BE3196" w:rsidRPr="00290850">
        <w:t xml:space="preserve"> z </w:t>
      </w:r>
      <w:r w:rsidRPr="00290850">
        <w:t>európskych surovín, keďže sodík sa</w:t>
      </w:r>
      <w:r w:rsidR="00BE3196" w:rsidRPr="00290850">
        <w:t xml:space="preserve"> v </w:t>
      </w:r>
      <w:r w:rsidRPr="00290850">
        <w:t>Európe nachádza vo veľkom množstve</w:t>
      </w:r>
      <w:r w:rsidR="00BE3196" w:rsidRPr="00290850">
        <w:t xml:space="preserve"> a </w:t>
      </w:r>
      <w:r w:rsidRPr="00290850">
        <w:t xml:space="preserve">európsky </w:t>
      </w:r>
      <w:proofErr w:type="spellStart"/>
      <w:r w:rsidRPr="00290850">
        <w:t>odsoľovací</w:t>
      </w:r>
      <w:proofErr w:type="spellEnd"/>
      <w:r w:rsidRPr="00290850">
        <w:t xml:space="preserve"> priemysel má rastúci potenciál,</w:t>
      </w:r>
      <w:r w:rsidR="00BE3196" w:rsidRPr="00290850">
        <w:t xml:space="preserve"> a </w:t>
      </w:r>
      <w:r w:rsidRPr="00290850">
        <w:t>preto môže znížiť spotrebu kritických surovín;</w:t>
      </w:r>
    </w:p>
    <w:p w14:paraId="0BB9C689" w14:textId="7F51F42C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  <w:rPr>
          <w:color w:val="333333"/>
        </w:rPr>
      </w:pPr>
      <w:r w:rsidRPr="00290850">
        <w:t>vyzýva na rozhodné</w:t>
      </w:r>
      <w:r w:rsidR="00BE3196" w:rsidRPr="00290850">
        <w:t xml:space="preserve"> a </w:t>
      </w:r>
      <w:r w:rsidRPr="00290850">
        <w:t>koordinované opatrenia EÚ na vytvorenie konkurencieschopného odvetvia výroby sodíkových batérií, keďže sodíkové batérie napredujú na celom svete, ale Európe hrozí, že rozdiely sa budú zväčšovať;</w:t>
      </w:r>
    </w:p>
    <w:p w14:paraId="71022173" w14:textId="44317086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  <w:rPr>
          <w:color w:val="333333"/>
        </w:rPr>
      </w:pPr>
      <w:r w:rsidRPr="00290850">
        <w:t>odporúča, aby sa aktualizoval priemyselný postup pre batérie, ktorý zahŕňa lítium aj sodík</w:t>
      </w:r>
      <w:r w:rsidR="00BE3196" w:rsidRPr="00290850">
        <w:t xml:space="preserve"> a </w:t>
      </w:r>
      <w:r w:rsidRPr="00290850">
        <w:t>ktorý by mal zahŕňať plán zameraný na pracovnú silu</w:t>
      </w:r>
      <w:r w:rsidR="00BE3196" w:rsidRPr="00290850">
        <w:t xml:space="preserve"> a </w:t>
      </w:r>
      <w:r w:rsidRPr="00290850">
        <w:t>sociálne potreby</w:t>
      </w:r>
      <w:r w:rsidR="00BE3196" w:rsidRPr="00290850">
        <w:t xml:space="preserve"> s </w:t>
      </w:r>
      <w:r w:rsidRPr="00290850">
        <w:t>investíciami do zručností, mobility pracovnej sily</w:t>
      </w:r>
      <w:r w:rsidR="00BE3196" w:rsidRPr="00290850">
        <w:t xml:space="preserve"> a </w:t>
      </w:r>
      <w:r w:rsidRPr="00290850">
        <w:t>strategického zapojenia MSP;</w:t>
      </w:r>
    </w:p>
    <w:p w14:paraId="79CA3501" w14:textId="76119B09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</w:pPr>
      <w:r w:rsidRPr="00290850">
        <w:t>trvá na tom, že je dôležité prelomiť politické bariéry</w:t>
      </w:r>
      <w:r w:rsidR="00BE3196" w:rsidRPr="00290850">
        <w:t xml:space="preserve"> a </w:t>
      </w:r>
      <w:r w:rsidRPr="00290850">
        <w:t>zosúladiť kľúčové stratégie EÚ (Kompas konkurencieschopnosti, Európska stratégia únie pripravenosti, akčný plán pre obehové hospodárstvo</w:t>
      </w:r>
      <w:r w:rsidR="00BE3196" w:rsidRPr="00290850">
        <w:t xml:space="preserve"> a </w:t>
      </w:r>
      <w:r w:rsidRPr="00290850">
        <w:t>Stratégia pre odolnosť</w:t>
      </w:r>
      <w:r w:rsidR="00BE3196" w:rsidRPr="00290850">
        <w:t xml:space="preserve"> v </w:t>
      </w:r>
      <w:r w:rsidRPr="00290850">
        <w:t>oblasti vody)</w:t>
      </w:r>
      <w:r w:rsidR="00BE3196" w:rsidRPr="00290850">
        <w:t xml:space="preserve"> s </w:t>
      </w:r>
      <w:r w:rsidRPr="00290850">
        <w:t>cieľom vytvoriť európsky hodnotový reťazec sodíkových batérií, ktorý slúži strategickým cieľom Európy;</w:t>
      </w:r>
    </w:p>
    <w:p w14:paraId="5D606DDC" w14:textId="6582C1AB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  <w:rPr>
          <w:color w:val="333333"/>
        </w:rPr>
      </w:pPr>
      <w:r w:rsidRPr="00290850">
        <w:t>odporúča investičné dotácie, daňové úľavy, cielené výzvy na predkladanie projektov, investičné kupóny na spoluprácu priemyselných odvetví</w:t>
      </w:r>
      <w:r w:rsidR="00BE3196" w:rsidRPr="00290850">
        <w:t xml:space="preserve"> s </w:t>
      </w:r>
      <w:r w:rsidRPr="00290850">
        <w:t>organizáciami pre výskum</w:t>
      </w:r>
      <w:r w:rsidR="00BE3196" w:rsidRPr="00290850">
        <w:t xml:space="preserve"> a </w:t>
      </w:r>
      <w:r w:rsidRPr="00290850">
        <w:t>technológiu;</w:t>
      </w:r>
    </w:p>
    <w:p w14:paraId="57636C8F" w14:textId="294CEC2C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</w:pPr>
      <w:r w:rsidRPr="00290850">
        <w:t>vyzýva na flexibilnú verejnú podporu, ktorá zabráni predčasnej odkázanosti na určitého dodávateľa,</w:t>
      </w:r>
      <w:r w:rsidR="00BE3196" w:rsidRPr="00290850">
        <w:t xml:space="preserve"> a </w:t>
      </w:r>
      <w:r w:rsidRPr="00290850">
        <w:t>na posilnenie spolupráce</w:t>
      </w:r>
      <w:r w:rsidR="00BE3196" w:rsidRPr="00290850">
        <w:t xml:space="preserve"> v </w:t>
      </w:r>
      <w:r w:rsidRPr="00290850">
        <w:t>oblasti výskumu</w:t>
      </w:r>
      <w:r w:rsidR="00BE3196" w:rsidRPr="00290850">
        <w:t xml:space="preserve"> a </w:t>
      </w:r>
      <w:r w:rsidRPr="00290850">
        <w:t>vývoja, spolufinancovanej vládami</w:t>
      </w:r>
      <w:r w:rsidR="00BE3196" w:rsidRPr="00290850">
        <w:t xml:space="preserve"> a </w:t>
      </w:r>
      <w:r w:rsidRPr="00290850">
        <w:t>priemyselnými odvetviami;</w:t>
      </w:r>
    </w:p>
    <w:p w14:paraId="1C488969" w14:textId="1EB53410" w:rsidR="002D4268" w:rsidRPr="00290850" w:rsidRDefault="002D4268" w:rsidP="00290850">
      <w:pPr>
        <w:pStyle w:val="ListParagraph"/>
        <w:numPr>
          <w:ilvl w:val="0"/>
          <w:numId w:val="3"/>
        </w:numPr>
        <w:ind w:left="567" w:hanging="567"/>
      </w:pPr>
      <w:r w:rsidRPr="00290850">
        <w:t>uznáva potenciál premeny priemyselných areálov, ktoré sú</w:t>
      </w:r>
      <w:r w:rsidR="00BE3196" w:rsidRPr="00290850">
        <w:t xml:space="preserve"> v </w:t>
      </w:r>
      <w:r w:rsidRPr="00290850">
        <w:t>súčasnosti nevyužívané alebo sa zatvárajú, na gigatovárne na výrobu sodíkových batérií ako efektívne</w:t>
      </w:r>
      <w:r w:rsidR="00BE3196" w:rsidRPr="00290850">
        <w:t xml:space="preserve"> a </w:t>
      </w:r>
      <w:r w:rsidRPr="00290850">
        <w:t>ekologicky zodpovedné využitie existujúcej infraštruktúry;</w:t>
      </w:r>
    </w:p>
    <w:p w14:paraId="25CC445B" w14:textId="5C66F7E4" w:rsidR="002D4268" w:rsidRPr="00BE3196" w:rsidRDefault="002D4268" w:rsidP="00290850">
      <w:pPr>
        <w:pStyle w:val="ListParagraph"/>
        <w:numPr>
          <w:ilvl w:val="0"/>
          <w:numId w:val="3"/>
        </w:numPr>
        <w:ind w:left="567" w:hanging="567"/>
      </w:pPr>
      <w:r w:rsidRPr="00290850">
        <w:t xml:space="preserve">uznáva význam začlenenia </w:t>
      </w:r>
      <w:proofErr w:type="spellStart"/>
      <w:r w:rsidRPr="00290850">
        <w:t>ekodizajnu</w:t>
      </w:r>
      <w:proofErr w:type="spellEnd"/>
      <w:r w:rsidR="00BE3196" w:rsidRPr="00290850">
        <w:t xml:space="preserve"> a </w:t>
      </w:r>
      <w:r w:rsidRPr="00290850">
        <w:t>recyklácie do tohto výrobného odvetvia, čím sa podporí obehový hodnotový reťazec sodíkových batérií</w:t>
      </w:r>
      <w:r w:rsidRPr="00BE3196">
        <w:t>.</w:t>
      </w:r>
    </w:p>
    <w:p w14:paraId="28672E47" w14:textId="77777777" w:rsidR="002D4268" w:rsidRPr="00BE3196" w:rsidRDefault="002D4268" w:rsidP="00CE5C1E">
      <w:pPr>
        <w:keepNext/>
        <w:keepLines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D4268" w:rsidRPr="00BE3196" w14:paraId="6087E8FE" w14:textId="77777777" w:rsidTr="002C16D8">
        <w:tc>
          <w:tcPr>
            <w:tcW w:w="1418" w:type="dxa"/>
          </w:tcPr>
          <w:p w14:paraId="19671DC1" w14:textId="77777777" w:rsidR="002D4268" w:rsidRPr="00BE3196" w:rsidRDefault="002D4268" w:rsidP="00CE5C1E">
            <w:pPr>
              <w:keepNext/>
              <w:keepLines/>
              <w:spacing w:line="240" w:lineRule="auto"/>
              <w:rPr>
                <w:i/>
              </w:rPr>
            </w:pPr>
            <w:r w:rsidRPr="00BE3196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14:paraId="23ED454A" w14:textId="77777777" w:rsidR="002D4268" w:rsidRPr="00BE3196" w:rsidRDefault="002D4268" w:rsidP="00CE5C1E">
            <w:pPr>
              <w:keepNext/>
              <w:keepLines/>
              <w:spacing w:line="240" w:lineRule="auto"/>
              <w:rPr>
                <w:b/>
                <w:i/>
              </w:rPr>
            </w:pPr>
            <w:proofErr w:type="spellStart"/>
            <w:r w:rsidRPr="00BE3196">
              <w:rPr>
                <w:b/>
                <w:i/>
              </w:rPr>
              <w:t>Luís</w:t>
            </w:r>
            <w:proofErr w:type="spellEnd"/>
            <w:r w:rsidRPr="00BE3196">
              <w:rPr>
                <w:b/>
                <w:i/>
              </w:rPr>
              <w:t xml:space="preserve"> BARBOSA E SILVA</w:t>
            </w:r>
          </w:p>
        </w:tc>
      </w:tr>
      <w:tr w:rsidR="002D4268" w:rsidRPr="00BE3196" w14:paraId="5149694D" w14:textId="77777777" w:rsidTr="002C16D8">
        <w:tc>
          <w:tcPr>
            <w:tcW w:w="1418" w:type="dxa"/>
          </w:tcPr>
          <w:p w14:paraId="5902528E" w14:textId="77777777" w:rsidR="002D4268" w:rsidRPr="00BE3196" w:rsidRDefault="002D4268" w:rsidP="00CE5C1E">
            <w:pPr>
              <w:keepNext/>
              <w:keepLines/>
              <w:spacing w:line="240" w:lineRule="auto"/>
              <w:rPr>
                <w:i/>
              </w:rPr>
            </w:pPr>
            <w:r w:rsidRPr="00BE3196">
              <w:rPr>
                <w:i/>
              </w:rPr>
              <w:t>Tel.:</w:t>
            </w:r>
          </w:p>
        </w:tc>
        <w:tc>
          <w:tcPr>
            <w:tcW w:w="5670" w:type="dxa"/>
          </w:tcPr>
          <w:p w14:paraId="4925FC35" w14:textId="77777777" w:rsidR="002D4268" w:rsidRPr="00BE3196" w:rsidRDefault="002D4268" w:rsidP="00CE5C1E">
            <w:pPr>
              <w:keepNext/>
              <w:keepLines/>
              <w:spacing w:line="240" w:lineRule="auto"/>
              <w:rPr>
                <w:i/>
              </w:rPr>
            </w:pPr>
            <w:r w:rsidRPr="00BE3196">
              <w:rPr>
                <w:i/>
              </w:rPr>
              <w:t>+32 25468846</w:t>
            </w:r>
          </w:p>
        </w:tc>
      </w:tr>
      <w:tr w:rsidR="002D4268" w:rsidRPr="00BE3196" w14:paraId="42DED057" w14:textId="77777777" w:rsidTr="002C16D8">
        <w:trPr>
          <w:trHeight w:val="244"/>
        </w:trPr>
        <w:tc>
          <w:tcPr>
            <w:tcW w:w="1418" w:type="dxa"/>
          </w:tcPr>
          <w:p w14:paraId="085985F8" w14:textId="77777777" w:rsidR="002D4268" w:rsidRPr="00BE3196" w:rsidRDefault="002D4268" w:rsidP="00CE5C1E">
            <w:pPr>
              <w:keepNext/>
              <w:keepLines/>
              <w:spacing w:line="240" w:lineRule="auto"/>
              <w:rPr>
                <w:i/>
              </w:rPr>
            </w:pPr>
            <w:r w:rsidRPr="00BE3196"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6D752A25" w14:textId="77777777" w:rsidR="002D4268" w:rsidRPr="00BE3196" w:rsidRDefault="002D4268" w:rsidP="00CE5C1E">
            <w:pPr>
              <w:keepNext/>
              <w:keepLines/>
              <w:spacing w:line="240" w:lineRule="auto"/>
            </w:pPr>
            <w:hyperlink r:id="rId39" w:history="1">
              <w:r w:rsidRPr="00BE3196">
                <w:rPr>
                  <w:rStyle w:val="Hyperlink"/>
                </w:rPr>
                <w:t>Luis.BarbosaESilva@eesc.europa.eu</w:t>
              </w:r>
            </w:hyperlink>
          </w:p>
        </w:tc>
      </w:tr>
    </w:tbl>
    <w:p w14:paraId="2E28EF19" w14:textId="299918AB" w:rsidR="000D394D" w:rsidRPr="00BE3196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BE3196">
        <w:t>_____________</w:t>
      </w:r>
    </w:p>
    <w:sectPr w:rsidR="000D394D" w:rsidRPr="00BE3196" w:rsidSect="00153E0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D88F" w14:textId="77777777" w:rsidR="00711298" w:rsidRDefault="00711298" w:rsidP="00B518C9">
      <w:pPr>
        <w:spacing w:line="240" w:lineRule="auto"/>
      </w:pPr>
      <w:r>
        <w:separator/>
      </w:r>
    </w:p>
  </w:endnote>
  <w:endnote w:type="continuationSeparator" w:id="0">
    <w:p w14:paraId="276450BF" w14:textId="77777777" w:rsidR="00711298" w:rsidRDefault="0071129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1EF32E47" w:rsidR="00B518C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235D3">
      <w:t>1</w:t>
    </w:r>
    <w:r>
      <w:fldChar w:fldCharType="end"/>
    </w:r>
    <w:r>
      <w:t>/</w:t>
    </w:r>
    <w:r w:rsidR="008E67CA">
      <w:fldChar w:fldCharType="begin"/>
    </w:r>
    <w:r w:rsidR="008E67CA">
      <w:instrText xml:space="preserve"> NUMPAGES </w:instrText>
    </w:r>
    <w:r w:rsidR="008E67CA">
      <w:fldChar w:fldCharType="separate"/>
    </w:r>
    <w:r w:rsidR="00E235D3">
      <w:t>15</w:t>
    </w:r>
    <w:r w:rsidR="008E67C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E809" w14:textId="77777777" w:rsidR="00153E09" w:rsidRPr="00153E09" w:rsidRDefault="00153E09" w:rsidP="00153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7402" w14:textId="0C6B551C" w:rsidR="00153E0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526DA">
      <w:t>15</w:t>
    </w:r>
    <w:r>
      <w:fldChar w:fldCharType="end"/>
    </w:r>
    <w:r>
      <w:t>/</w:t>
    </w:r>
    <w:r w:rsidR="008E67CA">
      <w:fldChar w:fldCharType="begin"/>
    </w:r>
    <w:r w:rsidR="008E67CA">
      <w:instrText xml:space="preserve"> NUMPAGES </w:instrText>
    </w:r>
    <w:r w:rsidR="008E67CA">
      <w:fldChar w:fldCharType="separate"/>
    </w:r>
    <w:r w:rsidR="007526DA">
      <w:t>15</w:t>
    </w:r>
    <w:r w:rsidR="008E67CA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43FF" w14:textId="77777777" w:rsidR="00153E09" w:rsidRPr="00153E09" w:rsidRDefault="00153E09" w:rsidP="0015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C4B1" w14:textId="77777777" w:rsidR="00711298" w:rsidRDefault="00711298" w:rsidP="00B518C9">
      <w:pPr>
        <w:spacing w:line="240" w:lineRule="auto"/>
      </w:pPr>
      <w:r>
        <w:separator/>
      </w:r>
    </w:p>
  </w:footnote>
  <w:footnote w:type="continuationSeparator" w:id="0">
    <w:p w14:paraId="67149419" w14:textId="77777777" w:rsidR="00711298" w:rsidRDefault="00711298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52BE" w14:textId="77777777" w:rsidR="00153E09" w:rsidRPr="00153E09" w:rsidRDefault="00153E09" w:rsidP="0015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AA39" w14:textId="04F245DB" w:rsidR="00153E09" w:rsidRPr="00153E09" w:rsidRDefault="00153E09" w:rsidP="0015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9C97" w14:textId="77777777" w:rsidR="00153E09" w:rsidRPr="00153E09" w:rsidRDefault="00153E09" w:rsidP="0015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ABEA5F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1D08466C"/>
    <w:lvl w:ilvl="0">
      <w:numFmt w:val="decimal"/>
      <w:lvlText w:val="*"/>
      <w:lvlJc w:val="left"/>
    </w:lvl>
  </w:abstractNum>
  <w:abstractNum w:abstractNumId="2" w15:restartNumberingAfterBreak="0">
    <w:nsid w:val="1129786E"/>
    <w:multiLevelType w:val="hybridMultilevel"/>
    <w:tmpl w:val="2960A99E"/>
    <w:lvl w:ilvl="0" w:tplc="C760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D630B"/>
    <w:multiLevelType w:val="hybridMultilevel"/>
    <w:tmpl w:val="B790BB5E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40386"/>
    <w:multiLevelType w:val="hybridMultilevel"/>
    <w:tmpl w:val="9E7C99B6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4364"/>
    <w:rsid w:val="00010A4D"/>
    <w:rsid w:val="00043E7B"/>
    <w:rsid w:val="000638B5"/>
    <w:rsid w:val="00063DFF"/>
    <w:rsid w:val="000D394D"/>
    <w:rsid w:val="000F7206"/>
    <w:rsid w:val="00100EF9"/>
    <w:rsid w:val="00120A45"/>
    <w:rsid w:val="00124E6A"/>
    <w:rsid w:val="001313E0"/>
    <w:rsid w:val="00153E09"/>
    <w:rsid w:val="00156E4F"/>
    <w:rsid w:val="001653D7"/>
    <w:rsid w:val="00167743"/>
    <w:rsid w:val="00180FD9"/>
    <w:rsid w:val="00187E31"/>
    <w:rsid w:val="001A1F1F"/>
    <w:rsid w:val="001A58BD"/>
    <w:rsid w:val="001A7538"/>
    <w:rsid w:val="001E391D"/>
    <w:rsid w:val="00205469"/>
    <w:rsid w:val="00210CBF"/>
    <w:rsid w:val="00250B70"/>
    <w:rsid w:val="00256B74"/>
    <w:rsid w:val="0027149A"/>
    <w:rsid w:val="00274F1A"/>
    <w:rsid w:val="0027678C"/>
    <w:rsid w:val="00290850"/>
    <w:rsid w:val="002A5636"/>
    <w:rsid w:val="002B7981"/>
    <w:rsid w:val="002D4268"/>
    <w:rsid w:val="002D77C8"/>
    <w:rsid w:val="002F4AD1"/>
    <w:rsid w:val="00302594"/>
    <w:rsid w:val="003066BE"/>
    <w:rsid w:val="003066E2"/>
    <w:rsid w:val="003227CC"/>
    <w:rsid w:val="00326237"/>
    <w:rsid w:val="00340FA5"/>
    <w:rsid w:val="003452F9"/>
    <w:rsid w:val="003534E0"/>
    <w:rsid w:val="0037319B"/>
    <w:rsid w:val="0037722B"/>
    <w:rsid w:val="003B6923"/>
    <w:rsid w:val="003E1B8B"/>
    <w:rsid w:val="003F326D"/>
    <w:rsid w:val="003F4F92"/>
    <w:rsid w:val="003F66F7"/>
    <w:rsid w:val="003F79EF"/>
    <w:rsid w:val="00416286"/>
    <w:rsid w:val="00426372"/>
    <w:rsid w:val="0043191A"/>
    <w:rsid w:val="00462F24"/>
    <w:rsid w:val="004A5CD7"/>
    <w:rsid w:val="004C4CDB"/>
    <w:rsid w:val="004C6DA8"/>
    <w:rsid w:val="004D1319"/>
    <w:rsid w:val="004D7AC0"/>
    <w:rsid w:val="00527B47"/>
    <w:rsid w:val="00532089"/>
    <w:rsid w:val="00532F99"/>
    <w:rsid w:val="00557848"/>
    <w:rsid w:val="00586B4B"/>
    <w:rsid w:val="00594237"/>
    <w:rsid w:val="005A0BDA"/>
    <w:rsid w:val="005C2B2F"/>
    <w:rsid w:val="005C357F"/>
    <w:rsid w:val="005C6D36"/>
    <w:rsid w:val="005D3E1C"/>
    <w:rsid w:val="005E7651"/>
    <w:rsid w:val="00621347"/>
    <w:rsid w:val="00625CA3"/>
    <w:rsid w:val="00627FDF"/>
    <w:rsid w:val="00630779"/>
    <w:rsid w:val="00632B12"/>
    <w:rsid w:val="00641262"/>
    <w:rsid w:val="006553ED"/>
    <w:rsid w:val="00660482"/>
    <w:rsid w:val="006B2C49"/>
    <w:rsid w:val="006D23E1"/>
    <w:rsid w:val="006D2C8A"/>
    <w:rsid w:val="006D2D64"/>
    <w:rsid w:val="006E7051"/>
    <w:rsid w:val="00705489"/>
    <w:rsid w:val="00711298"/>
    <w:rsid w:val="00713CC2"/>
    <w:rsid w:val="007526DA"/>
    <w:rsid w:val="00753B41"/>
    <w:rsid w:val="00754027"/>
    <w:rsid w:val="007652C3"/>
    <w:rsid w:val="00766B1A"/>
    <w:rsid w:val="007E284A"/>
    <w:rsid w:val="007F5784"/>
    <w:rsid w:val="008072FE"/>
    <w:rsid w:val="0083671C"/>
    <w:rsid w:val="008402C8"/>
    <w:rsid w:val="00845F24"/>
    <w:rsid w:val="00846483"/>
    <w:rsid w:val="00881A01"/>
    <w:rsid w:val="0088219D"/>
    <w:rsid w:val="00892105"/>
    <w:rsid w:val="008B1A24"/>
    <w:rsid w:val="008B4127"/>
    <w:rsid w:val="008D7FAC"/>
    <w:rsid w:val="009277D3"/>
    <w:rsid w:val="00933300"/>
    <w:rsid w:val="009338FC"/>
    <w:rsid w:val="009348BC"/>
    <w:rsid w:val="00940A7B"/>
    <w:rsid w:val="00950272"/>
    <w:rsid w:val="00974BD0"/>
    <w:rsid w:val="009858F5"/>
    <w:rsid w:val="009A66B9"/>
    <w:rsid w:val="009B3AED"/>
    <w:rsid w:val="00A05217"/>
    <w:rsid w:val="00A0600A"/>
    <w:rsid w:val="00A20E9D"/>
    <w:rsid w:val="00A22C83"/>
    <w:rsid w:val="00A272B2"/>
    <w:rsid w:val="00A3284F"/>
    <w:rsid w:val="00A43668"/>
    <w:rsid w:val="00A4486C"/>
    <w:rsid w:val="00A50553"/>
    <w:rsid w:val="00AD49F5"/>
    <w:rsid w:val="00AD4D97"/>
    <w:rsid w:val="00AF0EB2"/>
    <w:rsid w:val="00AF2146"/>
    <w:rsid w:val="00B203DA"/>
    <w:rsid w:val="00B241B1"/>
    <w:rsid w:val="00B379C2"/>
    <w:rsid w:val="00B458B2"/>
    <w:rsid w:val="00B518C9"/>
    <w:rsid w:val="00B55C6C"/>
    <w:rsid w:val="00B922EA"/>
    <w:rsid w:val="00BA0232"/>
    <w:rsid w:val="00BA6AA9"/>
    <w:rsid w:val="00BC7ED2"/>
    <w:rsid w:val="00BD64BD"/>
    <w:rsid w:val="00BE3196"/>
    <w:rsid w:val="00BE54B3"/>
    <w:rsid w:val="00BE5CBC"/>
    <w:rsid w:val="00BF79AB"/>
    <w:rsid w:val="00C008B4"/>
    <w:rsid w:val="00C17ABD"/>
    <w:rsid w:val="00C26C67"/>
    <w:rsid w:val="00C821A5"/>
    <w:rsid w:val="00CC7D10"/>
    <w:rsid w:val="00CE5C1E"/>
    <w:rsid w:val="00CF196A"/>
    <w:rsid w:val="00D05167"/>
    <w:rsid w:val="00D0608D"/>
    <w:rsid w:val="00D33B4E"/>
    <w:rsid w:val="00D43613"/>
    <w:rsid w:val="00D505CF"/>
    <w:rsid w:val="00D66BF5"/>
    <w:rsid w:val="00D7076A"/>
    <w:rsid w:val="00D81F5E"/>
    <w:rsid w:val="00D92269"/>
    <w:rsid w:val="00DE176A"/>
    <w:rsid w:val="00DF392C"/>
    <w:rsid w:val="00DF7590"/>
    <w:rsid w:val="00DF78D0"/>
    <w:rsid w:val="00E00A6B"/>
    <w:rsid w:val="00E2062A"/>
    <w:rsid w:val="00E235D3"/>
    <w:rsid w:val="00E25EB4"/>
    <w:rsid w:val="00E77899"/>
    <w:rsid w:val="00EC1A28"/>
    <w:rsid w:val="00EE1B31"/>
    <w:rsid w:val="00EF5581"/>
    <w:rsid w:val="00F15673"/>
    <w:rsid w:val="00F172E5"/>
    <w:rsid w:val="00F253CA"/>
    <w:rsid w:val="00F25B2E"/>
    <w:rsid w:val="00F43315"/>
    <w:rsid w:val="00F55F11"/>
    <w:rsid w:val="00F604AD"/>
    <w:rsid w:val="00F83C17"/>
    <w:rsid w:val="00F96D7F"/>
    <w:rsid w:val="00FA7B95"/>
    <w:rsid w:val="00FB4220"/>
    <w:rsid w:val="00FC178B"/>
    <w:rsid w:val="00FC456F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F7206"/>
    <w:pPr>
      <w:tabs>
        <w:tab w:val="left" w:pos="440"/>
        <w:tab w:val="right" w:leader="dot" w:pos="9063"/>
      </w:tabs>
      <w:spacing w:after="100"/>
      <w:ind w:left="426" w:hanging="426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6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5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6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5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CD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066E2"/>
    <w:pPr>
      <w:spacing w:after="100"/>
      <w:ind w:left="220"/>
    </w:p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locked/>
    <w:rsid w:val="002D4268"/>
    <w:rPr>
      <w:rFonts w:ascii="Times New Roman" w:eastAsia="Times New Roman" w:hAnsi="Times New Roman" w:cs="Times New Roman"/>
    </w:rPr>
  </w:style>
  <w:style w:type="table" w:customStyle="1" w:styleId="TableGrid11">
    <w:name w:val="Table Grid11"/>
    <w:basedOn w:val="TableNormal"/>
    <w:next w:val="TableGrid"/>
    <w:rsid w:val="00BE3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esc.europa.eu/sk/our-work/opinions-information-reports/plenary-session-summaries" TargetMode="External"/><Relationship Id="rId18" Type="http://schemas.openxmlformats.org/officeDocument/2006/relationships/hyperlink" Target="https://www.eesc.europa.eu/sk/our-work/opinions-information-reports/opinions/2026-european-semester-autumn-package" TargetMode="External"/><Relationship Id="rId26" Type="http://schemas.openxmlformats.org/officeDocument/2006/relationships/hyperlink" Target="https://www.eesc.europa.eu/sk/our-work/opinions-information-reports/opinions/european-life-science-strategy-along-strategy-research-and-technology-infrastructures-focus-treatment-rare-diseases" TargetMode="External"/><Relationship Id="rId39" Type="http://schemas.openxmlformats.org/officeDocument/2006/relationships/hyperlink" Target="mailto:Luis.BarbosaESilva@eesc.europ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eorgios.Meleas@eesc.europa.eu" TargetMode="External"/><Relationship Id="rId34" Type="http://schemas.openxmlformats.org/officeDocument/2006/relationships/hyperlink" Target="mailto:Gaia.Bottoni@eesc.europa.eu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Juri.Soosaar@eesc.europa.eu" TargetMode="External"/><Relationship Id="rId25" Type="http://schemas.openxmlformats.org/officeDocument/2006/relationships/hyperlink" Target="mailto:gemma.amran@eesc.europa.eu" TargetMode="External"/><Relationship Id="rId33" Type="http://schemas.openxmlformats.org/officeDocument/2006/relationships/hyperlink" Target="https://www.eesc.europa.eu/sk/our-work/opinions-information-reports/opinions/roadmap-towards-nature-credits" TargetMode="External"/><Relationship Id="rId38" Type="http://schemas.openxmlformats.org/officeDocument/2006/relationships/hyperlink" Target="https://www.eesc.europa.eu/sk/our-work/opinions-information-reports/opinions/enhancing-eu-strategic-autonomy-and-developing-greener-and-bluer-economy-potential-sodium-battery-manufacturing-sector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sk/our-work/opinions-information-reports/opinions/eppo-and-olaf-access-vat-information-union-level" TargetMode="External"/><Relationship Id="rId20" Type="http://schemas.openxmlformats.org/officeDocument/2006/relationships/hyperlink" Target="https://www.eesc.europa.eu/sk/our-work/opinions-information-reports/opinions/island-dimension-european-cohesion-competitiveness-and-sustainable-development-policies" TargetMode="External"/><Relationship Id="rId29" Type="http://schemas.openxmlformats.org/officeDocument/2006/relationships/hyperlink" Target="https://health.ec.europa.eu/one-health/overview_e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sk/our-work/opinions-information-reports/opinions/union-support-asylum-migration-and-integration-internal-security-and-integrated-border-management-and-visa-policy" TargetMode="External"/><Relationship Id="rId32" Type="http://schemas.openxmlformats.org/officeDocument/2006/relationships/hyperlink" Target="mailto:GiorgiaAndrea.Bordignon@eesc.europa.eu" TargetMode="External"/><Relationship Id="rId37" Type="http://schemas.openxmlformats.org/officeDocument/2006/relationships/hyperlink" Target="mailto:Adam.Dorywalski@eesc.europa.eu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Juri.Soosaar@eesc.europa.eu" TargetMode="External"/><Relationship Id="rId28" Type="http://schemas.openxmlformats.org/officeDocument/2006/relationships/hyperlink" Target="https://health.ec.europa.eu/publications/tartu-call-healthy-lifestyle-joint-actions-promote-healthy-lifestyles_en" TargetMode="External"/><Relationship Id="rId36" Type="http://schemas.openxmlformats.org/officeDocument/2006/relationships/hyperlink" Target="https://eur-lex.europa.eu/legal-content/SK/TXT/?uri=CELEX%3A52023AE1573&amp;qid=1770668649096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nna.Pantazi@eesc.europa.eu" TargetMode="External"/><Relationship Id="rId31" Type="http://schemas.openxmlformats.org/officeDocument/2006/relationships/hyperlink" Target="https://www.eesc.europa.eu/sk/our-work/opinions-information-reports/opinions/energy-connectivity-electricity-grids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https://www.eesc.europa.eu/sk/our-work/opinions-information-reports/opinions/revision-tobacco-taxation-directive" TargetMode="External"/><Relationship Id="rId27" Type="http://schemas.openxmlformats.org/officeDocument/2006/relationships/hyperlink" Target="https://www.europarl.europa.eu/RegData/etudes/ATAG/2025/779215/EPRS_ATA(2025)779215_EN.pdf" TargetMode="External"/><Relationship Id="rId30" Type="http://schemas.openxmlformats.org/officeDocument/2006/relationships/hyperlink" Target="mailto:Konstantina.Angelopoulou@eesc.europa.eu" TargetMode="External"/><Relationship Id="rId35" Type="http://schemas.openxmlformats.org/officeDocument/2006/relationships/hyperlink" Target="https://www.eesc.europa.eu/sk/our-work/opinions-information-reports/opinions/amending-regulation-eu-20241252-critical-raw-materials-act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VP3JK3XSEPRV-2087481956-3348</_dlc_DocId>
    <_dlc_DocIdUrl xmlns="7d640e6d-779c-472f-a269-6b546787f1c9">
      <Url>http://dm/eesc/2026/_layouts/15/DocIdRedir.aspx?ID=VP3JK3XSEPRV-2087481956-3348</Url>
      <Description>VP3JK3XSEPRV-2087481956-3348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2026-03-04T12:00:00+00:00</ProductionDate>
    <DocumentNumber xmlns="a95533f8-59af-4217-bc7a-c1167744adb0">247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MeetingDate xmlns="7d640e6d-779c-472f-a269-6b546787f1c9">2026-03-18T12:00:00+00:00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300453</FicheNumber>
    <OriginalSender xmlns="7d640e6d-779c-472f-a269-6b546787f1c9">
      <UserInfo>
        <DisplayName>Semancikova Stanislava</DisplayName>
        <AccountId>1499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BB3756-6414-434D-BDC3-1A09B8C1983A}"/>
</file>

<file path=customXml/itemProps3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4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03EBBC-B428-477F-AB6A-163022156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3885</Words>
  <Characters>25604</Characters>
  <Application>Microsoft Office Word</Application>
  <DocSecurity>0</DocSecurity>
  <Lines>624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29195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prijatých stanovísk - 603. plenárne zasadnutie - február 2026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15</cp:revision>
  <dcterms:created xsi:type="dcterms:W3CDTF">2026-02-26T08:13:00Z</dcterms:created>
  <dcterms:modified xsi:type="dcterms:W3CDTF">2026-03-04T11:08:00Z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26/02/2026, 02/05/2022, 02/05/2022, 28/06/2021</vt:lpwstr>
  </property>
  <property fmtid="{D5CDD505-2E9C-101B-9397-08002B2CF9AE}" pid="4" name="Pref_Time">
    <vt:lpwstr>09:12:28,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EESC-2026-00247-00-00-TCD-ORI.docx,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183457c1-dc2f-4fee-9602-6a1768b102ca</vt:lpwstr>
  </property>
  <property fmtid="{D5CDD505-2E9C-101B-9397-08002B2CF9AE}" pid="9" name="AvailableTranslations">
    <vt:lpwstr>60;#EL|6d4f4d51-af9b-4650-94b4-4276bee85c91;#34;#HR|2f555653-ed1a-4fe6-8362-9082d95989e5;#45;#SV|c2ed69e7-a339-43d7-8f22-d93680a92aa0;#43;#BG|1a1b3951-7821-4e6a-85f5-5673fc08bd2c;#37;#HU|6b229040-c589-4408-b4c1-4285663d20a8;#31;#SL|98a412ae-eb01-49e9-ae3d-585a81724cfc;#4;#EN|f2175f21-25d7-44a3-96da-d6a61b075e1b;#30;#SK|46d9fce0-ef79-4f71-b89b-cd6aa82426b8;#12;#ES|e7a6b05b-ae16-40c8-add9-68b64b03aeba;#46;#DA|5d49c027-8956-412b-aa16-e85a0f96ad0e;#32;#PL|1e03da61-4678-4e07-b136-b5024ca9197b;#29;#CS|72f9705b-0217-4fd3-bea2-cbc7ed80e26e;#11;#DE|f6b31e5a-26fa-4935-b661-318e46daf27e;#44;#LT|a7ff5ce7-6123-4f68-865a-a57c31810414;#25;#FI|87606a43-d45f-42d6-b8c9-e1a3457db5b7;#27;#ET|ff6c3f4c-b02c-4c3c-ab07-2c37995a7a0a;#23;#FR|d2afafd3-4c81-4f60-8f52-ee33f2f54ff3;#51;#LV|46f7e311-5d9f-4663-b433-18aeccb7ace7;#36;#NL|55c6556c-b4f4-441d-9acf-c498d4f838bd;#28;#PT|50ccc04a-eadd-42ae-a0cb-acaf45f812ba;#55;#RO|feb747a2-64cd-4299-af12-4833ddc30497;#13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247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34;#HR|2f555653-ed1a-4fe6-8362-9082d95989e5;#32;#PL|1e03da61-4678-4e07-b136-b5024ca9197b;#31;#SL|98a412ae-eb01-49e9-ae3d-585a81724cfc;#55;#RO|feb747a2-64cd-4299-af12-4833ddc30497;#28;#PT|50ccc04a-eadd-42ae-a0cb-acaf45f812ba;#27;#ET|ff6c3f4c-b02c-4c3c-ab07-2c37995a7a0a;#25;#FI|87606a43-d45f-42d6-b8c9-e1a3457db5b7;#44;#LT|a7ff5ce7-6123-4f68-865a-a57c31810414;#23;#FR|d2afafd3-4c81-4f60-8f52-ee33f2f54ff3;#59;#SPL-CES|32d8cb1f-c9ec-4365-95c7-8385a18618ac;#19;#Unrestricted|826e22d7-d029-4ec0-a450-0c28ff673572;#18;#TCD|cd9d6eb6-3f4f-424a-b2d1-57c9d450eaaf;#51;#LV|46f7e311-5d9f-4663-b433-18aeccb7ace7;#13;#IT|0774613c-01ed-4e5d-a25d-11d2388de825;#12;#ES|e7a6b05b-ae16-40c8-add9-68b64b03aeba;#11;#DE|f6b31e5a-26fa-4935-b661-318e46daf27e;#9;#TRA|150d2a88-1431-44e6-a8ca-0bb753ab8672;#7;#Final|ea5e6674-7b27-4bac-b091-73adbb394efe;#43;#BG|1a1b3951-7821-4e6a-85f5-5673fc08bd2c;#4;#EN|f2175f21-25d7-44a3-96da-d6a61b075e1b;#1;#EESC|422833ec-8d7e-4e65-8e4e-8bed07ffb729;#37;#HU|6b229040-c589-4408-b4c1-4285663d20a8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300453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30;#SK|46d9fce0-ef79-4f71-b89b-cd6aa82426b8</vt:lpwstr>
  </property>
  <property fmtid="{D5CDD505-2E9C-101B-9397-08002B2CF9AE}" pid="33" name="AvailableTranslations_0">
    <vt:lpwstr>HR|2f555653-ed1a-4fe6-8362-9082d95989e5;BG|1a1b3951-7821-4e6a-85f5-5673fc08bd2c;HU|6b229040-c589-4408-b4c1-4285663d20a8;SL|98a412ae-eb01-49e9-ae3d-585a81724cfc;EN|f2175f21-25d7-44a3-96da-d6a61b075e1b;ES|e7a6b05b-ae16-40c8-add9-68b64b03aeba;PL|1e03da61-4678-4e07-b136-b5024ca9197b;DE|f6b31e5a-26fa-4935-b661-318e46daf27e;LT|a7ff5ce7-6123-4f68-865a-a57c31810414;FI|87606a43-d45f-42d6-b8c9-e1a3457db5b7;ET|ff6c3f4c-b02c-4c3c-ab07-2c37995a7a0a;FR|d2afafd3-4c81-4f60-8f52-ee33f2f54ff3;LV|46f7e311-5d9f-4663-b433-18aeccb7ace7;PT|50ccc04a-eadd-42ae-a0cb-acaf45f812ba;RO|feb747a2-64cd-4299-af12-4833ddc30497;IT|0774613c-01ed-4e5d-a25d-11d2388de825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604</vt:i4>
  </property>
  <property fmtid="{D5CDD505-2E9C-101B-9397-08002B2CF9AE}" pid="40" name="MeetingDate">
    <vt:filetime>2026-03-18T12:00:00Z</vt:filetime>
  </property>
</Properties>
</file>