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06D830CB" w:rsidR="004D7AC0" w:rsidRDefault="00935968" w:rsidP="00100EF9">
      <w:pPr>
        <w:jc w:val="center"/>
      </w:pPr>
      <w:r>
        <w:rPr>
          <w:noProof/>
        </w:rPr>
        <w:drawing>
          <wp:inline distT="0" distB="0" distL="0" distR="0" wp14:anchorId="13356DD2" wp14:editId="04713A5A">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2ED481A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Bruxelles, 4 martie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A 603-A SESIUNE PLENARĂ</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18 și 19 februarie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t>Prezentul document este disponibil în limbile oficiale ale Uniunii Europene pe site-ul internet al CESE, la adresa:</w:t>
            </w:r>
            <w:r>
              <w:br/>
            </w:r>
            <w:r>
              <w:br/>
            </w:r>
            <w:hyperlink r:id="rId13" w:history="1">
              <w:r>
                <w:rPr>
                  <w:rStyle w:val="Hyperlink"/>
                </w:rPr>
                <w:t>https://www.eesc.europa.eu/ro/our-work/opinions-information-reports/plenary-session-summaries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t>Avizele menționate pot fi consultate online prin intermediul motorului de căutare al CESE:</w:t>
            </w:r>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Pr>
          <w:b/>
        </w:rPr>
        <w:lastRenderedPageBreak/>
        <w:t>Cuprins: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3464561E" w14:textId="2408D70C" w:rsidR="007F5CA4" w:rsidRDefault="004D7AC0">
          <w:pPr>
            <w:pStyle w:val="TOC1"/>
            <w:tabs>
              <w:tab w:val="left" w:pos="440"/>
              <w:tab w:val="right" w:leader="dot" w:pos="9063"/>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223513688" w:history="1">
            <w:r w:rsidR="007F5CA4" w:rsidRPr="003C16FE">
              <w:rPr>
                <w:rStyle w:val="Hyperlink"/>
                <w:bCs/>
                <w:noProof/>
              </w:rPr>
              <w:t>1.</w:t>
            </w:r>
            <w:r w:rsidR="007F5CA4">
              <w:rPr>
                <w:rFonts w:asciiTheme="minorHAnsi" w:eastAsiaTheme="minorEastAsia" w:hAnsiTheme="minorHAnsi" w:cstheme="minorBidi"/>
                <w:noProof/>
                <w:lang w:val="en-GB" w:eastAsia="en-GB"/>
              </w:rPr>
              <w:tab/>
            </w:r>
            <w:r w:rsidR="007F5CA4" w:rsidRPr="003C16FE">
              <w:rPr>
                <w:rStyle w:val="Hyperlink"/>
                <w:b/>
                <w:noProof/>
              </w:rPr>
              <w:t>SECȚIUNEA PENTRU UNIUNEA ECONOMICĂ ȘI MONETARĂ ȘI COEZIUNE ECONOMICĂ ȘI SOCIALĂ</w:t>
            </w:r>
            <w:r w:rsidR="007F5CA4">
              <w:rPr>
                <w:noProof/>
                <w:webHidden/>
              </w:rPr>
              <w:tab/>
            </w:r>
            <w:r w:rsidR="007F5CA4">
              <w:rPr>
                <w:noProof/>
                <w:webHidden/>
              </w:rPr>
              <w:fldChar w:fldCharType="begin"/>
            </w:r>
            <w:r w:rsidR="007F5CA4">
              <w:rPr>
                <w:noProof/>
                <w:webHidden/>
              </w:rPr>
              <w:instrText xml:space="preserve"> PAGEREF _Toc223513688 \h </w:instrText>
            </w:r>
            <w:r w:rsidR="007F5CA4">
              <w:rPr>
                <w:noProof/>
                <w:webHidden/>
              </w:rPr>
            </w:r>
            <w:r w:rsidR="007F5CA4">
              <w:rPr>
                <w:noProof/>
                <w:webHidden/>
              </w:rPr>
              <w:fldChar w:fldCharType="separate"/>
            </w:r>
            <w:r w:rsidR="007F5CA4">
              <w:rPr>
                <w:noProof/>
                <w:webHidden/>
              </w:rPr>
              <w:t>3</w:t>
            </w:r>
            <w:r w:rsidR="007F5CA4">
              <w:rPr>
                <w:noProof/>
                <w:webHidden/>
              </w:rPr>
              <w:fldChar w:fldCharType="end"/>
            </w:r>
          </w:hyperlink>
        </w:p>
        <w:p w14:paraId="084885BC" w14:textId="4F0C87C3" w:rsidR="007F5CA4" w:rsidRDefault="007F5CA4">
          <w:pPr>
            <w:pStyle w:val="TOC1"/>
            <w:tabs>
              <w:tab w:val="left" w:pos="440"/>
              <w:tab w:val="right" w:leader="dot" w:pos="9063"/>
            </w:tabs>
            <w:rPr>
              <w:rFonts w:asciiTheme="minorHAnsi" w:eastAsiaTheme="minorEastAsia" w:hAnsiTheme="minorHAnsi" w:cstheme="minorBidi"/>
              <w:noProof/>
              <w:lang w:val="en-GB" w:eastAsia="en-GB"/>
            </w:rPr>
          </w:pPr>
          <w:hyperlink w:anchor="_Toc223513689" w:history="1">
            <w:r w:rsidRPr="003C16FE">
              <w:rPr>
                <w:rStyle w:val="Hyperlink"/>
                <w:bCs/>
                <w:noProof/>
              </w:rPr>
              <w:t>2.</w:t>
            </w:r>
            <w:r>
              <w:rPr>
                <w:rFonts w:asciiTheme="minorHAnsi" w:eastAsiaTheme="minorEastAsia" w:hAnsiTheme="minorHAnsi" w:cstheme="minorBidi"/>
                <w:noProof/>
                <w:lang w:val="en-GB" w:eastAsia="en-GB"/>
              </w:rPr>
              <w:tab/>
            </w:r>
            <w:r w:rsidRPr="003C16FE">
              <w:rPr>
                <w:rStyle w:val="Hyperlink"/>
                <w:b/>
                <w:noProof/>
              </w:rPr>
              <w:t>SECȚIUNEA PENTRU OCUPAREA FORȚEI DE MUNCĂ, AFACERI SOCIALE ȘI CETĂȚENIE</w:t>
            </w:r>
            <w:r>
              <w:rPr>
                <w:noProof/>
                <w:webHidden/>
              </w:rPr>
              <w:tab/>
            </w:r>
            <w:r>
              <w:rPr>
                <w:noProof/>
                <w:webHidden/>
              </w:rPr>
              <w:fldChar w:fldCharType="begin"/>
            </w:r>
            <w:r>
              <w:rPr>
                <w:noProof/>
                <w:webHidden/>
              </w:rPr>
              <w:instrText xml:space="preserve"> PAGEREF _Toc223513689 \h </w:instrText>
            </w:r>
            <w:r>
              <w:rPr>
                <w:noProof/>
                <w:webHidden/>
              </w:rPr>
            </w:r>
            <w:r>
              <w:rPr>
                <w:noProof/>
                <w:webHidden/>
              </w:rPr>
              <w:fldChar w:fldCharType="separate"/>
            </w:r>
            <w:r>
              <w:rPr>
                <w:noProof/>
                <w:webHidden/>
              </w:rPr>
              <w:t>10</w:t>
            </w:r>
            <w:r>
              <w:rPr>
                <w:noProof/>
                <w:webHidden/>
              </w:rPr>
              <w:fldChar w:fldCharType="end"/>
            </w:r>
          </w:hyperlink>
        </w:p>
        <w:p w14:paraId="613F1FB0" w14:textId="7282ACA6" w:rsidR="007F5CA4" w:rsidRDefault="007F5CA4">
          <w:pPr>
            <w:pStyle w:val="TOC1"/>
            <w:tabs>
              <w:tab w:val="left" w:pos="440"/>
              <w:tab w:val="right" w:leader="dot" w:pos="9063"/>
            </w:tabs>
            <w:rPr>
              <w:rFonts w:asciiTheme="minorHAnsi" w:eastAsiaTheme="minorEastAsia" w:hAnsiTheme="minorHAnsi" w:cstheme="minorBidi"/>
              <w:noProof/>
              <w:lang w:val="en-GB" w:eastAsia="en-GB"/>
            </w:rPr>
          </w:pPr>
          <w:hyperlink w:anchor="_Toc223513690" w:history="1">
            <w:r w:rsidRPr="003C16FE">
              <w:rPr>
                <w:rStyle w:val="Hyperlink"/>
                <w:bCs/>
                <w:noProof/>
              </w:rPr>
              <w:t>3.</w:t>
            </w:r>
            <w:r>
              <w:rPr>
                <w:rFonts w:asciiTheme="minorHAnsi" w:eastAsiaTheme="minorEastAsia" w:hAnsiTheme="minorHAnsi" w:cstheme="minorBidi"/>
                <w:noProof/>
                <w:lang w:val="en-GB" w:eastAsia="en-GB"/>
              </w:rPr>
              <w:tab/>
            </w:r>
            <w:r w:rsidRPr="003C16FE">
              <w:rPr>
                <w:rStyle w:val="Hyperlink"/>
                <w:b/>
                <w:noProof/>
              </w:rPr>
              <w:t>SECȚIUNEA PENTRU TRANSPORTURI, ENERGIE, INFRASTRUCTURĂ ȘI SOCIETATEA INFORMAȚIONALĂ</w:t>
            </w:r>
            <w:r>
              <w:rPr>
                <w:noProof/>
                <w:webHidden/>
              </w:rPr>
              <w:tab/>
            </w:r>
            <w:r>
              <w:rPr>
                <w:noProof/>
                <w:webHidden/>
              </w:rPr>
              <w:fldChar w:fldCharType="begin"/>
            </w:r>
            <w:r>
              <w:rPr>
                <w:noProof/>
                <w:webHidden/>
              </w:rPr>
              <w:instrText xml:space="preserve"> PAGEREF _Toc223513690 \h </w:instrText>
            </w:r>
            <w:r>
              <w:rPr>
                <w:noProof/>
                <w:webHidden/>
              </w:rPr>
            </w:r>
            <w:r>
              <w:rPr>
                <w:noProof/>
                <w:webHidden/>
              </w:rPr>
              <w:fldChar w:fldCharType="separate"/>
            </w:r>
            <w:r>
              <w:rPr>
                <w:noProof/>
                <w:webHidden/>
              </w:rPr>
              <w:t>11</w:t>
            </w:r>
            <w:r>
              <w:rPr>
                <w:noProof/>
                <w:webHidden/>
              </w:rPr>
              <w:fldChar w:fldCharType="end"/>
            </w:r>
          </w:hyperlink>
        </w:p>
        <w:p w14:paraId="4DAF8B16" w14:textId="7B77A294" w:rsidR="007F5CA4" w:rsidRDefault="007F5CA4">
          <w:pPr>
            <w:pStyle w:val="TOC1"/>
            <w:tabs>
              <w:tab w:val="left" w:pos="440"/>
              <w:tab w:val="right" w:leader="dot" w:pos="9063"/>
            </w:tabs>
            <w:rPr>
              <w:rFonts w:asciiTheme="minorHAnsi" w:eastAsiaTheme="minorEastAsia" w:hAnsiTheme="minorHAnsi" w:cstheme="minorBidi"/>
              <w:noProof/>
              <w:lang w:val="en-GB" w:eastAsia="en-GB"/>
            </w:rPr>
          </w:pPr>
          <w:hyperlink w:anchor="_Toc223513691" w:history="1">
            <w:r w:rsidRPr="003C16FE">
              <w:rPr>
                <w:rStyle w:val="Hyperlink"/>
                <w:bCs/>
                <w:noProof/>
              </w:rPr>
              <w:t>4.</w:t>
            </w:r>
            <w:r>
              <w:rPr>
                <w:rFonts w:asciiTheme="minorHAnsi" w:eastAsiaTheme="minorEastAsia" w:hAnsiTheme="minorHAnsi" w:cstheme="minorBidi"/>
                <w:noProof/>
                <w:lang w:val="en-GB" w:eastAsia="en-GB"/>
              </w:rPr>
              <w:tab/>
            </w:r>
            <w:r w:rsidRPr="003C16FE">
              <w:rPr>
                <w:rStyle w:val="Hyperlink"/>
                <w:b/>
                <w:noProof/>
              </w:rPr>
              <w:t>SECȚIUNEA PENTRU AGRICULTURĂ, DEZVOLTARE RURALĂ ȘI PROTECȚIA MEDIULUI</w:t>
            </w:r>
            <w:r>
              <w:rPr>
                <w:noProof/>
                <w:webHidden/>
              </w:rPr>
              <w:tab/>
            </w:r>
            <w:r>
              <w:rPr>
                <w:noProof/>
                <w:webHidden/>
              </w:rPr>
              <w:fldChar w:fldCharType="begin"/>
            </w:r>
            <w:r>
              <w:rPr>
                <w:noProof/>
                <w:webHidden/>
              </w:rPr>
              <w:instrText xml:space="preserve"> PAGEREF _Toc223513691 \h </w:instrText>
            </w:r>
            <w:r>
              <w:rPr>
                <w:noProof/>
                <w:webHidden/>
              </w:rPr>
            </w:r>
            <w:r>
              <w:rPr>
                <w:noProof/>
                <w:webHidden/>
              </w:rPr>
              <w:fldChar w:fldCharType="separate"/>
            </w:r>
            <w:r>
              <w:rPr>
                <w:noProof/>
                <w:webHidden/>
              </w:rPr>
              <w:t>14</w:t>
            </w:r>
            <w:r>
              <w:rPr>
                <w:noProof/>
                <w:webHidden/>
              </w:rPr>
              <w:fldChar w:fldCharType="end"/>
            </w:r>
          </w:hyperlink>
        </w:p>
        <w:p w14:paraId="6277B743" w14:textId="0C1E3E5D" w:rsidR="007F5CA4" w:rsidRDefault="007F5CA4">
          <w:pPr>
            <w:pStyle w:val="TOC1"/>
            <w:tabs>
              <w:tab w:val="left" w:pos="440"/>
              <w:tab w:val="right" w:leader="dot" w:pos="9063"/>
            </w:tabs>
            <w:rPr>
              <w:rFonts w:asciiTheme="minorHAnsi" w:eastAsiaTheme="minorEastAsia" w:hAnsiTheme="minorHAnsi" w:cstheme="minorBidi"/>
              <w:noProof/>
              <w:lang w:val="en-GB" w:eastAsia="en-GB"/>
            </w:rPr>
          </w:pPr>
          <w:hyperlink w:anchor="_Toc223513692" w:history="1">
            <w:r w:rsidRPr="003C16FE">
              <w:rPr>
                <w:rStyle w:val="Hyperlink"/>
                <w:bCs/>
                <w:noProof/>
              </w:rPr>
              <w:t>5.</w:t>
            </w:r>
            <w:r>
              <w:rPr>
                <w:rFonts w:asciiTheme="minorHAnsi" w:eastAsiaTheme="minorEastAsia" w:hAnsiTheme="minorHAnsi" w:cstheme="minorBidi"/>
                <w:noProof/>
                <w:lang w:val="en-GB" w:eastAsia="en-GB"/>
              </w:rPr>
              <w:tab/>
            </w:r>
            <w:r w:rsidRPr="003C16FE">
              <w:rPr>
                <w:rStyle w:val="Hyperlink"/>
                <w:b/>
                <w:noProof/>
              </w:rPr>
              <w:t>COMISIA CONSULTATIVĂ PENTRU MUTAȚII INDUSTRIALE</w:t>
            </w:r>
            <w:r>
              <w:rPr>
                <w:noProof/>
                <w:webHidden/>
              </w:rPr>
              <w:tab/>
            </w:r>
            <w:r>
              <w:rPr>
                <w:noProof/>
                <w:webHidden/>
              </w:rPr>
              <w:fldChar w:fldCharType="begin"/>
            </w:r>
            <w:r>
              <w:rPr>
                <w:noProof/>
                <w:webHidden/>
              </w:rPr>
              <w:instrText xml:space="preserve"> PAGEREF _Toc223513692 \h </w:instrText>
            </w:r>
            <w:r>
              <w:rPr>
                <w:noProof/>
                <w:webHidden/>
              </w:rPr>
            </w:r>
            <w:r>
              <w:rPr>
                <w:noProof/>
                <w:webHidden/>
              </w:rPr>
              <w:fldChar w:fldCharType="separate"/>
            </w:r>
            <w:r>
              <w:rPr>
                <w:noProof/>
                <w:webHidden/>
              </w:rPr>
              <w:t>16</w:t>
            </w:r>
            <w:r>
              <w:rPr>
                <w:noProof/>
                <w:webHidden/>
              </w:rPr>
              <w:fldChar w:fldCharType="end"/>
            </w:r>
          </w:hyperlink>
        </w:p>
        <w:p w14:paraId="4982DD6A" w14:textId="25BE713D" w:rsidR="004D7AC0" w:rsidRDefault="004D7AC0" w:rsidP="00100EF9">
          <w:r>
            <w:rPr>
              <w:b/>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513688"/>
      <w:r>
        <w:rPr>
          <w:b/>
        </w:rPr>
        <w:lastRenderedPageBreak/>
        <w:t>SECȚIUNEA PENTRU UNIUNEA ECONOMICĂ ȘI MONETARĂ ȘI COEZIUNE ECONOMICĂ ȘI SOCIALĂ</w:t>
      </w:r>
      <w:bookmarkEnd w:id="0"/>
    </w:p>
    <w:p w14:paraId="4982DD97" w14:textId="77777777" w:rsidR="004D7AC0" w:rsidRDefault="004D7AC0" w:rsidP="00100EF9">
      <w:pPr>
        <w:pStyle w:val="ListParagraph"/>
        <w:ind w:left="0"/>
      </w:pPr>
    </w:p>
    <w:p w14:paraId="14BFA1D1" w14:textId="1A45DFD8" w:rsidR="001A1F1F" w:rsidRPr="001A1F1F" w:rsidRDefault="00480E26" w:rsidP="00100EF9">
      <w:pPr>
        <w:widowControl w:val="0"/>
        <w:numPr>
          <w:ilvl w:val="0"/>
          <w:numId w:val="4"/>
        </w:numPr>
        <w:overflowPunct w:val="0"/>
        <w:autoSpaceDE w:val="0"/>
        <w:autoSpaceDN w:val="0"/>
        <w:adjustRightInd w:val="0"/>
        <w:ind w:hanging="567"/>
        <w:textAlignment w:val="baseline"/>
        <w:rPr>
          <w:b/>
          <w:i/>
          <w:iCs/>
          <w:sz w:val="28"/>
          <w:szCs w:val="28"/>
        </w:rPr>
      </w:pPr>
      <w:hyperlink r:id="rId21" w:history="1">
        <w:r w:rsidR="00E235D3">
          <w:rPr>
            <w:b/>
            <w:i/>
            <w:color w:val="0000FF"/>
            <w:sz w:val="28"/>
            <w:u w:val="single"/>
          </w:rPr>
          <w:t>Accesul Parchetului European (EPPO) și al Oficiului European de Luptă Antifraudă (OLAF) la informațiile privind TVA la nivelul Uniunii</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Pr>
                <w:b/>
                <w:bCs/>
              </w:rPr>
              <w:t>Raportoare:</w:t>
            </w:r>
          </w:p>
        </w:tc>
        <w:tc>
          <w:tcPr>
            <w:tcW w:w="7479" w:type="dxa"/>
          </w:tcPr>
          <w:p w14:paraId="2016211D" w14:textId="05A91267" w:rsidR="001A1F1F" w:rsidRPr="001A1F1F" w:rsidRDefault="001A1F1F" w:rsidP="00100EF9">
            <w:pPr>
              <w:tabs>
                <w:tab w:val="center" w:pos="284"/>
              </w:tabs>
              <w:overflowPunct w:val="0"/>
              <w:autoSpaceDE w:val="0"/>
              <w:autoSpaceDN w:val="0"/>
              <w:adjustRightInd w:val="0"/>
              <w:ind w:left="266" w:hanging="266"/>
              <w:textAlignment w:val="baseline"/>
            </w:pPr>
            <w:proofErr w:type="spellStart"/>
            <w:r>
              <w:t>Justyna</w:t>
            </w:r>
            <w:proofErr w:type="spellEnd"/>
            <w:r>
              <w:t xml:space="preserve"> </w:t>
            </w:r>
            <w:proofErr w:type="spellStart"/>
            <w:r>
              <w:t>Kalina</w:t>
            </w:r>
            <w:proofErr w:type="spellEnd"/>
            <w:r>
              <w:t xml:space="preserve"> OCHĘDZAN (Grupul „Organizații ale societății civile” – PL)</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7479" w:type="dxa"/>
          </w:tcPr>
          <w:p w14:paraId="7BBCB1FA" w14:textId="42339DFC" w:rsidR="001A1F1F" w:rsidRPr="001A1F1F" w:rsidRDefault="001A1F1F" w:rsidP="00100EF9">
            <w:pPr>
              <w:tabs>
                <w:tab w:val="center" w:pos="321"/>
              </w:tabs>
              <w:overflowPunct w:val="0"/>
              <w:autoSpaceDE w:val="0"/>
              <w:autoSpaceDN w:val="0"/>
              <w:adjustRightInd w:val="0"/>
              <w:textAlignment w:val="baseline"/>
            </w:pPr>
            <w:r>
              <w:t>COM(2025) 685 final</w:t>
            </w:r>
          </w:p>
          <w:p w14:paraId="1104CA65" w14:textId="51409899" w:rsidR="001A1F1F" w:rsidRPr="001A1F1F" w:rsidRDefault="001A1F1F" w:rsidP="00100EF9">
            <w:pPr>
              <w:tabs>
                <w:tab w:val="center" w:pos="284"/>
              </w:tabs>
              <w:overflowPunct w:val="0"/>
              <w:autoSpaceDE w:val="0"/>
              <w:autoSpaceDN w:val="0"/>
              <w:adjustRightInd w:val="0"/>
              <w:ind w:left="266" w:hanging="266"/>
              <w:textAlignment w:val="baseline"/>
            </w:pPr>
            <w: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CESE:</w:t>
      </w:r>
    </w:p>
    <w:p w14:paraId="2A48351A" w14:textId="77777777" w:rsidR="001A1F1F" w:rsidRPr="00153E09" w:rsidRDefault="001A1F1F" w:rsidP="007526DA">
      <w:pPr>
        <w:pStyle w:val="ListParagraph"/>
        <w:numPr>
          <w:ilvl w:val="0"/>
          <w:numId w:val="27"/>
        </w:numPr>
        <w:ind w:left="567" w:hanging="567"/>
      </w:pPr>
      <w:bookmarkStart w:id="1" w:name="_Toc222825813"/>
      <w:r>
        <w:rPr>
          <w:b/>
        </w:rPr>
        <w:t>sprijină</w:t>
      </w:r>
      <w:r>
        <w:t xml:space="preserve"> pe deplin eforturile Comisiei de a promova o abordare globală și mai cuprinzătoare a combaterii fraudei în domeniul TVA, permițând Parchetului European (EPPO) și Oficiului European de Luptă Antifraudă (OLAF) să acceseze datele privind taxa pe valoarea adăugată (TVA) în temeiul Regulamentului (UE) nr. 904/2010 al Consiliului;</w:t>
      </w:r>
      <w:bookmarkEnd w:id="1"/>
    </w:p>
    <w:p w14:paraId="2F29EED4" w14:textId="77777777" w:rsidR="001A1F1F" w:rsidRPr="00153E09" w:rsidRDefault="001A1F1F" w:rsidP="007526DA">
      <w:pPr>
        <w:pStyle w:val="ListParagraph"/>
        <w:numPr>
          <w:ilvl w:val="0"/>
          <w:numId w:val="27"/>
        </w:numPr>
        <w:ind w:left="567" w:hanging="567"/>
      </w:pPr>
      <w:bookmarkStart w:id="2" w:name="_Toc222825814"/>
      <w:r>
        <w:rPr>
          <w:b/>
        </w:rPr>
        <w:t>recunoaște</w:t>
      </w:r>
      <w:r>
        <w:t xml:space="preserve"> că, pentru a combate cele mai semnificative forme de fraudă în domeniul TVA, este necesar ca autoritățile competente să poată colecta și utiliza și să facă trimiteri încrucișate rapide la informațiile relevante în materie de TVA în mai multe state membre, reducând astfel întârzierile în răspunsul autorităților fiscale competente la activități frauduloase;</w:t>
      </w:r>
      <w:bookmarkEnd w:id="2"/>
    </w:p>
    <w:p w14:paraId="76BC0052" w14:textId="77777777" w:rsidR="001A1F1F" w:rsidRPr="00153E09" w:rsidRDefault="001A1F1F" w:rsidP="007526DA">
      <w:pPr>
        <w:pStyle w:val="ListParagraph"/>
        <w:numPr>
          <w:ilvl w:val="0"/>
          <w:numId w:val="27"/>
        </w:numPr>
        <w:ind w:left="567" w:hanging="567"/>
      </w:pPr>
      <w:bookmarkStart w:id="3" w:name="_Toc222825815"/>
      <w:r>
        <w:rPr>
          <w:b/>
        </w:rPr>
        <w:t>apreciază</w:t>
      </w:r>
      <w:r>
        <w:t xml:space="preserve"> că propunerea Comisiei urmează unei evaluări </w:t>
      </w:r>
      <w:r>
        <w:rPr>
          <w:i/>
          <w:iCs/>
        </w:rPr>
        <w:t>ex post</w:t>
      </w:r>
      <w:r>
        <w:t xml:space="preserve"> a normelor aplicabile în temeiul Regulamentului (UE) nr. 904/2010 al Consiliului, ținând seama astfel de feedbackul furnizat de statele membre. CESE subliniază că nu a fost efectuată evaluarea impactului în legătură cu prezenta propunere, deși recunoaște că acest lucru s-a datorat unei solicitări urgente din partea statelor membre;</w:t>
      </w:r>
      <w:bookmarkEnd w:id="3"/>
    </w:p>
    <w:p w14:paraId="25654AAB" w14:textId="77777777" w:rsidR="001A1F1F" w:rsidRPr="00153E09" w:rsidRDefault="001A1F1F" w:rsidP="007526DA">
      <w:pPr>
        <w:pStyle w:val="ListParagraph"/>
        <w:numPr>
          <w:ilvl w:val="0"/>
          <w:numId w:val="27"/>
        </w:numPr>
        <w:ind w:left="567" w:hanging="567"/>
      </w:pPr>
      <w:bookmarkStart w:id="4" w:name="_Toc222825816"/>
      <w:r>
        <w:t xml:space="preserve">salută intenția Comisiei de a consolida cooperarea dintre autoritățile relevante care combat frauda în domeniul TVA, inclusiv posibilitatea de a consolida cooperarea dintre Europol și </w:t>
      </w:r>
      <w:proofErr w:type="spellStart"/>
      <w:r>
        <w:t>Eurofisc</w:t>
      </w:r>
      <w:proofErr w:type="spellEnd"/>
      <w:r>
        <w:t xml:space="preserve"> în cadrul Regulamentului (UE) nr. 904/2010 al Consiliului și îndeamnă să fie consolidată în continuare cooperarea structurată între toate autoritățile competente din statele membre;</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3"/>
      </w:tblGrid>
      <w:tr w:rsidR="001A1F1F" w:rsidRPr="001A1F1F" w14:paraId="33327B63" w14:textId="77777777" w:rsidTr="007F5CA4">
        <w:tc>
          <w:tcPr>
            <w:tcW w:w="1560" w:type="dxa"/>
          </w:tcPr>
          <w:p w14:paraId="04F7E453" w14:textId="77777777" w:rsidR="001A1F1F" w:rsidRPr="001A1F1F" w:rsidRDefault="001A1F1F" w:rsidP="00100EF9">
            <w:pPr>
              <w:overflowPunct w:val="0"/>
              <w:autoSpaceDE w:val="0"/>
              <w:autoSpaceDN w:val="0"/>
              <w:adjustRightInd w:val="0"/>
              <w:textAlignment w:val="baseline"/>
              <w:rPr>
                <w:i/>
              </w:rPr>
            </w:pPr>
            <w:r>
              <w:rPr>
                <w:b/>
                <w:i/>
              </w:rPr>
              <w:t>Date de contact:</w:t>
            </w:r>
          </w:p>
        </w:tc>
        <w:tc>
          <w:tcPr>
            <w:tcW w:w="7513" w:type="dxa"/>
          </w:tcPr>
          <w:p w14:paraId="34FEEF63" w14:textId="62F84E0C" w:rsidR="001A1F1F" w:rsidRPr="001A1F1F" w:rsidRDefault="001A1F1F" w:rsidP="00100EF9">
            <w:pPr>
              <w:overflowPunct w:val="0"/>
              <w:autoSpaceDE w:val="0"/>
              <w:autoSpaceDN w:val="0"/>
              <w:adjustRightInd w:val="0"/>
              <w:textAlignment w:val="baseline"/>
              <w:rPr>
                <w:i/>
              </w:rPr>
            </w:pPr>
            <w:proofErr w:type="spellStart"/>
            <w:r>
              <w:rPr>
                <w:i/>
              </w:rPr>
              <w:t>Jüri</w:t>
            </w:r>
            <w:proofErr w:type="spellEnd"/>
            <w:r>
              <w:rPr>
                <w:i/>
              </w:rPr>
              <w:t xml:space="preserve"> SOOSAAR</w:t>
            </w:r>
          </w:p>
        </w:tc>
      </w:tr>
      <w:tr w:rsidR="001A1F1F" w:rsidRPr="001A1F1F" w14:paraId="7DA1B58C" w14:textId="77777777" w:rsidTr="007F5CA4">
        <w:tc>
          <w:tcPr>
            <w:tcW w:w="1560" w:type="dxa"/>
          </w:tcPr>
          <w:p w14:paraId="32B45750" w14:textId="77777777" w:rsidR="001A1F1F" w:rsidRPr="001A1F1F" w:rsidRDefault="001A1F1F" w:rsidP="00100EF9">
            <w:pPr>
              <w:overflowPunct w:val="0"/>
              <w:autoSpaceDE w:val="0"/>
              <w:autoSpaceDN w:val="0"/>
              <w:adjustRightInd w:val="0"/>
              <w:textAlignment w:val="baseline"/>
              <w:rPr>
                <w:i/>
              </w:rPr>
            </w:pPr>
            <w:r>
              <w:rPr>
                <w:i/>
              </w:rPr>
              <w:t>Tel.:</w:t>
            </w:r>
          </w:p>
        </w:tc>
        <w:tc>
          <w:tcPr>
            <w:tcW w:w="7513" w:type="dxa"/>
          </w:tcPr>
          <w:p w14:paraId="4B866371" w14:textId="51149591" w:rsidR="001A1F1F" w:rsidRPr="001A1F1F" w:rsidRDefault="001A1F1F" w:rsidP="00100EF9">
            <w:pPr>
              <w:overflowPunct w:val="0"/>
              <w:autoSpaceDE w:val="0"/>
              <w:autoSpaceDN w:val="0"/>
              <w:adjustRightInd w:val="0"/>
              <w:textAlignment w:val="baseline"/>
              <w:rPr>
                <w:i/>
              </w:rPr>
            </w:pPr>
            <w:r>
              <w:rPr>
                <w:i/>
              </w:rPr>
              <w:t>+32 25469628</w:t>
            </w:r>
          </w:p>
        </w:tc>
      </w:tr>
      <w:tr w:rsidR="001A1F1F" w:rsidRPr="001A1F1F" w14:paraId="3A08DF12" w14:textId="77777777" w:rsidTr="007F5CA4">
        <w:tc>
          <w:tcPr>
            <w:tcW w:w="1560" w:type="dxa"/>
          </w:tcPr>
          <w:p w14:paraId="3FBEB159" w14:textId="77777777" w:rsidR="001A1F1F" w:rsidRPr="001A1F1F" w:rsidRDefault="001A1F1F" w:rsidP="00100EF9">
            <w:pPr>
              <w:overflowPunct w:val="0"/>
              <w:autoSpaceDE w:val="0"/>
              <w:autoSpaceDN w:val="0"/>
              <w:adjustRightInd w:val="0"/>
              <w:textAlignment w:val="baseline"/>
              <w:rPr>
                <w:i/>
              </w:rPr>
            </w:pPr>
            <w:r>
              <w:rPr>
                <w:i/>
              </w:rPr>
              <w:t>E-mail:</w:t>
            </w:r>
          </w:p>
        </w:tc>
        <w:tc>
          <w:tcPr>
            <w:tcW w:w="7513" w:type="dxa"/>
          </w:tcPr>
          <w:p w14:paraId="11A675FB" w14:textId="4E851F41" w:rsidR="001A1F1F" w:rsidRPr="001A1F1F" w:rsidRDefault="00480E26" w:rsidP="00100EF9">
            <w:pPr>
              <w:overflowPunct w:val="0"/>
              <w:autoSpaceDE w:val="0"/>
              <w:autoSpaceDN w:val="0"/>
              <w:adjustRightInd w:val="0"/>
              <w:textAlignment w:val="baseline"/>
              <w:rPr>
                <w:i/>
                <w:iCs/>
              </w:rPr>
            </w:pPr>
            <w:hyperlink r:id="rId22" w:history="1">
              <w:r w:rsidR="00E235D3">
                <w:rPr>
                  <w:i/>
                  <w:color w:val="0000FF"/>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00D67F94" w:rsidR="00627FDF" w:rsidRPr="00627FDF" w:rsidRDefault="00480E26" w:rsidP="00100EF9">
      <w:pPr>
        <w:widowControl w:val="0"/>
        <w:numPr>
          <w:ilvl w:val="0"/>
          <w:numId w:val="4"/>
        </w:numPr>
        <w:overflowPunct w:val="0"/>
        <w:autoSpaceDE w:val="0"/>
        <w:autoSpaceDN w:val="0"/>
        <w:adjustRightInd w:val="0"/>
        <w:ind w:hanging="567"/>
        <w:textAlignment w:val="baseline"/>
        <w:rPr>
          <w:i/>
          <w:iCs/>
          <w:sz w:val="20"/>
          <w:szCs w:val="20"/>
        </w:rPr>
      </w:pPr>
      <w:hyperlink r:id="rId23" w:history="1">
        <w:r w:rsidR="00E235D3">
          <w:rPr>
            <w:b/>
            <w:i/>
            <w:color w:val="0000FF"/>
            <w:sz w:val="28"/>
            <w:u w:val="single"/>
          </w:rPr>
          <w:t>Semestrul european 2026 – Pachetul de toamnă</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627FDF" w:rsidRPr="00627FDF" w14:paraId="59DBBD6A" w14:textId="77777777" w:rsidTr="00601D8A">
        <w:tc>
          <w:tcPr>
            <w:tcW w:w="1077" w:type="pct"/>
          </w:tcPr>
          <w:p w14:paraId="2CA81E57" w14:textId="77777777" w:rsidR="00627FDF" w:rsidRPr="00627FDF" w:rsidRDefault="00627FDF" w:rsidP="00100EF9">
            <w:pPr>
              <w:tabs>
                <w:tab w:val="center" w:pos="284"/>
              </w:tabs>
              <w:overflowPunct w:val="0"/>
              <w:autoSpaceDE w:val="0"/>
              <w:autoSpaceDN w:val="0"/>
              <w:adjustRightInd w:val="0"/>
              <w:ind w:left="266" w:hanging="266"/>
              <w:textAlignment w:val="baseline"/>
              <w:rPr>
                <w:b/>
              </w:rPr>
            </w:pPr>
            <w:r>
              <w:rPr>
                <w:b/>
                <w:bCs/>
              </w:rPr>
              <w:t>Raportor:</w:t>
            </w:r>
          </w:p>
        </w:tc>
        <w:tc>
          <w:tcPr>
            <w:tcW w:w="3923" w:type="pct"/>
          </w:tcPr>
          <w:p w14:paraId="48A0BF67" w14:textId="3FE90B23" w:rsidR="00627FDF" w:rsidRPr="00627FDF" w:rsidRDefault="00627FDF" w:rsidP="00100EF9">
            <w:pPr>
              <w:tabs>
                <w:tab w:val="center" w:pos="284"/>
              </w:tabs>
              <w:overflowPunct w:val="0"/>
              <w:autoSpaceDE w:val="0"/>
              <w:autoSpaceDN w:val="0"/>
              <w:adjustRightInd w:val="0"/>
              <w:ind w:left="266" w:right="-3091" w:hanging="266"/>
              <w:textAlignment w:val="baseline"/>
            </w:pPr>
            <w:r>
              <w:t>Luca JAHIER (Grupul „Organizații ale societății civile”- IT)</w:t>
            </w:r>
          </w:p>
        </w:tc>
      </w:tr>
      <w:tr w:rsidR="00205469" w:rsidRPr="00627FDF" w14:paraId="6A4A7A00" w14:textId="77777777" w:rsidTr="00601D8A">
        <w:tc>
          <w:tcPr>
            <w:tcW w:w="1077" w:type="pct"/>
          </w:tcPr>
          <w:p w14:paraId="12EA3C9E" w14:textId="77777777" w:rsidR="00205469" w:rsidRPr="00627FDF" w:rsidRDefault="00205469" w:rsidP="00100EF9">
            <w:pPr>
              <w:tabs>
                <w:tab w:val="center" w:pos="284"/>
              </w:tabs>
              <w:overflowPunct w:val="0"/>
              <w:autoSpaceDE w:val="0"/>
              <w:autoSpaceDN w:val="0"/>
              <w:adjustRightInd w:val="0"/>
              <w:ind w:left="266" w:hanging="266"/>
              <w:textAlignment w:val="baseline"/>
              <w:rPr>
                <w:b/>
              </w:rPr>
            </w:pPr>
          </w:p>
        </w:tc>
        <w:tc>
          <w:tcPr>
            <w:tcW w:w="3923" w:type="pct"/>
          </w:tcPr>
          <w:p w14:paraId="3F242FCC" w14:textId="77777777" w:rsidR="00205469" w:rsidRPr="00627FDF" w:rsidRDefault="00205469" w:rsidP="00100EF9">
            <w:pPr>
              <w:tabs>
                <w:tab w:val="center" w:pos="284"/>
              </w:tabs>
              <w:overflowPunct w:val="0"/>
              <w:autoSpaceDE w:val="0"/>
              <w:autoSpaceDN w:val="0"/>
              <w:adjustRightInd w:val="0"/>
              <w:ind w:left="266" w:right="-3091" w:hanging="266"/>
              <w:textAlignment w:val="baseline"/>
              <w:rPr>
                <w:bCs/>
                <w:lang w:val="en-GB"/>
              </w:rPr>
            </w:pPr>
          </w:p>
        </w:tc>
      </w:tr>
      <w:tr w:rsidR="00627FDF" w:rsidRPr="00627FDF" w14:paraId="261B2615" w14:textId="77777777" w:rsidTr="00601D8A">
        <w:tc>
          <w:tcPr>
            <w:tcW w:w="1077" w:type="pct"/>
          </w:tcPr>
          <w:p w14:paraId="5DFE7408" w14:textId="6FA9C295"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3923" w:type="pct"/>
          </w:tcPr>
          <w:p w14:paraId="05B63FA9" w14:textId="3576FDD2" w:rsidR="00627FDF" w:rsidRPr="00627FDF" w:rsidRDefault="00627FDF" w:rsidP="00100EF9">
            <w:pPr>
              <w:tabs>
                <w:tab w:val="center" w:pos="284"/>
              </w:tabs>
              <w:overflowPunct w:val="0"/>
              <w:autoSpaceDE w:val="0"/>
              <w:autoSpaceDN w:val="0"/>
              <w:adjustRightInd w:val="0"/>
              <w:ind w:left="266" w:right="-3091" w:hanging="266"/>
              <w:textAlignment w:val="baseline"/>
            </w:pPr>
            <w:r>
              <w:t>COM(2025) 955 final</w:t>
            </w:r>
          </w:p>
          <w:p w14:paraId="3BB4E753" w14:textId="77777777" w:rsidR="00627FDF" w:rsidRPr="00627FDF" w:rsidRDefault="00627FDF" w:rsidP="00100EF9">
            <w:pPr>
              <w:tabs>
                <w:tab w:val="center" w:pos="284"/>
              </w:tabs>
              <w:overflowPunct w:val="0"/>
              <w:autoSpaceDE w:val="0"/>
              <w:autoSpaceDN w:val="0"/>
              <w:adjustRightInd w:val="0"/>
              <w:ind w:left="266" w:right="-3091" w:hanging="266"/>
              <w:textAlignment w:val="baseline"/>
            </w:pPr>
            <w: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rPr>
      </w:pPr>
      <w:r>
        <w:rPr>
          <w:b/>
        </w:rPr>
        <w:t>Punctele principale</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rPr>
      </w:pPr>
      <w:r>
        <w:t>CESE:</w:t>
      </w:r>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regretă că Comisia a renunțat încă o dată să prezinte </w:t>
      </w:r>
      <w:r>
        <w:rPr>
          <w:b/>
          <w:bCs/>
        </w:rPr>
        <w:t>analiza anuală a creșterii durabile (AACD)</w:t>
      </w:r>
      <w:r>
        <w:t xml:space="preserve"> și subliniază că </w:t>
      </w:r>
      <w:r>
        <w:rPr>
          <w:b/>
          <w:bCs/>
        </w:rPr>
        <w:t>creșterea economică durabilă</w:t>
      </w:r>
      <w:r>
        <w:t xml:space="preserve"> este o condiție necesară pentru ca Europa să își îndeplinească angajamentele multiple; salută </w:t>
      </w:r>
      <w:r>
        <w:rPr>
          <w:b/>
          <w:bCs/>
        </w:rPr>
        <w:t>Raportul macroeconomic european</w:t>
      </w:r>
      <w:r>
        <w:t xml:space="preserve">, care oferă o analiză aprofundată a provocărilor structurale subiacente cu care se confruntă UE și </w:t>
      </w:r>
      <w:r>
        <w:rPr>
          <w:b/>
          <w:bCs/>
        </w:rPr>
        <w:t>noua recomandare privind capitalul uman</w:t>
      </w:r>
      <w:r>
        <w:t>, care este un element esențial pentru eliminarea decalajului tehnologic al UE, ținând seama, de asemenea, de provocarea demografică cu care se confruntă UE;</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CESE își reiterează apelul la crearea unei </w:t>
      </w:r>
      <w:r>
        <w:rPr>
          <w:b/>
          <w:bCs/>
        </w:rPr>
        <w:t>capacități bugetare comune mai solide</w:t>
      </w:r>
      <w:r>
        <w:t>, sprijinite de emisiuni specifice de datorii comune, pentru a contribui la acoperirea acestui deficit tot mai mare de investiții publice, precum și la crearea unor instrumente permanente de stabilizare macroeconomică pentru a aborda șocurile, pe baza experienței dobândite cu Instrumentul european de sprijin temporar pentru atenuarea riscurilor de șomaj într-o situație de urgență (SURE), care ar trebui să devină permanent;</w:t>
      </w:r>
    </w:p>
    <w:p w14:paraId="48F6D6C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rămâne alarmat de f</w:t>
      </w:r>
      <w:r>
        <w:rPr>
          <w:b/>
          <w:bCs/>
        </w:rPr>
        <w:t>ragmentarea piețelor financiare ale UE</w:t>
      </w:r>
      <w:r>
        <w:t xml:space="preserve"> și solicită Comisiei să evalueze dacă </w:t>
      </w:r>
      <w:r>
        <w:rPr>
          <w:b/>
          <w:bCs/>
        </w:rPr>
        <w:t xml:space="preserve">un set de instrumente la nivelul UE, echivalent cu Legea SUA privind îmbunătățirea piețelor valorilor mobiliare (National Securities </w:t>
      </w:r>
      <w:proofErr w:type="spellStart"/>
      <w:r>
        <w:rPr>
          <w:b/>
          <w:bCs/>
        </w:rPr>
        <w:t>Markets</w:t>
      </w:r>
      <w:proofErr w:type="spellEnd"/>
      <w:r>
        <w:rPr>
          <w:b/>
          <w:bCs/>
        </w:rPr>
        <w:t xml:space="preserve"> </w:t>
      </w:r>
      <w:proofErr w:type="spellStart"/>
      <w:r>
        <w:rPr>
          <w:b/>
          <w:bCs/>
        </w:rPr>
        <w:t>Improvement</w:t>
      </w:r>
      <w:proofErr w:type="spellEnd"/>
      <w:r>
        <w:rPr>
          <w:b/>
          <w:bCs/>
        </w:rPr>
        <w:t xml:space="preserve"> Act – NSMIA)</w:t>
      </w:r>
      <w:r>
        <w:t>, ar putea simplifica accesul transfrontalier pe piață, ar putea reduce fragmentarea în materie de conformitate și ar putea sprijini piețe mai active, mai eficiente și mai lichide, menținând în același timp nivelul necesar de securitate existent la ora actuală;</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își reiterează apelul adresat Comisiei de </w:t>
      </w:r>
      <w:r>
        <w:rPr>
          <w:b/>
          <w:bCs/>
        </w:rPr>
        <w:t>a revizui de urgență setul de indicatori propuși pentru monitorizarea procedurii privind dezechilibrele macroeconomice (PDM).</w:t>
      </w:r>
      <w:r>
        <w:t xml:space="preserve"> Monitorizarea evoluției efectului de levier combinat în locul menținerii unei abordări compartimentate ar putea face parte din soluția de îmbunătățire a actualului tablou de bord al PDM;</w:t>
      </w:r>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consideră că este nevoie de o </w:t>
      </w:r>
      <w:r>
        <w:rPr>
          <w:b/>
          <w:bCs/>
        </w:rPr>
        <w:t>utilizare mai raționalizată a tabloului de bord social, de un tablou de bord revizuit al PDM</w:t>
      </w:r>
      <w:r>
        <w:t xml:space="preserve"> și de </w:t>
      </w:r>
      <w:r>
        <w:rPr>
          <w:b/>
          <w:bCs/>
        </w:rPr>
        <w:t>o metodologie revizuită de analiză a sustenabilității datoriei, complementate</w:t>
      </w:r>
      <w:r>
        <w:t xml:space="preserve"> de noii </w:t>
      </w:r>
      <w:r>
        <w:rPr>
          <w:b/>
          <w:bCs/>
        </w:rPr>
        <w:t>indicatori de bunăstare</w:t>
      </w:r>
      <w:r>
        <w:t xml:space="preserve"> propuși de Centrul Comun de Cercetare (JRC);</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solicită Comisiei să trateze </w:t>
      </w:r>
      <w:r>
        <w:rPr>
          <w:b/>
          <w:bCs/>
        </w:rPr>
        <w:t>cadrul de convergență socială ca fiind la același nivel cu cel bugetar și să formuleze în consecință recomandări clare</w:t>
      </w:r>
      <w:r>
        <w:t xml:space="preserve"> pentru fiecare stat membru în următoarea rundă de recomandări specifice fiecărei țări și invită Comisia să propună stimulente concrete pentru ca statele membre să utilizeze într-o măsură mai mare </w:t>
      </w:r>
      <w:r>
        <w:rPr>
          <w:b/>
          <w:bCs/>
        </w:rPr>
        <w:t>clauza de flexibilitate pentru investițiile sociale</w:t>
      </w:r>
      <w:r>
        <w:t>;</w:t>
      </w:r>
    </w:p>
    <w:p w14:paraId="7DBF2201"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își reiterează apelul la o </w:t>
      </w:r>
      <w:r>
        <w:rPr>
          <w:b/>
          <w:bCs/>
        </w:rPr>
        <w:t>analiză aprofundată și clarificări cu privire la legăturile anunțate între semestrul european, instrumentul de coordonare a competitivității</w:t>
      </w:r>
      <w:r>
        <w:t xml:space="preserve"> și viitorul </w:t>
      </w:r>
      <w:r>
        <w:rPr>
          <w:b/>
          <w:bCs/>
        </w:rPr>
        <w:t>cadru financiar multianual</w:t>
      </w:r>
      <w:r>
        <w:t xml:space="preserve"> </w:t>
      </w:r>
      <w:r>
        <w:rPr>
          <w:b/>
          <w:bCs/>
        </w:rPr>
        <w:t>(CFM)</w:t>
      </w:r>
      <w:r>
        <w:t xml:space="preserve"> propus;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lastRenderedPageBreak/>
        <w:t xml:space="preserve">invită </w:t>
      </w:r>
      <w:r>
        <w:rPr>
          <w:b/>
          <w:bCs/>
        </w:rPr>
        <w:t>Parlamentul European să instituie</w:t>
      </w:r>
      <w:r>
        <w:t xml:space="preserve"> – la fel ca în cazul Mecanismului de redresare și reziliență (MRR) – </w:t>
      </w:r>
      <w:r>
        <w:rPr>
          <w:b/>
          <w:bCs/>
        </w:rPr>
        <w:t>o comisie permanentă de monitorizare și evaluare pentru „noul” semestru european, punerea în aplicare și evaluarea anuală a planurilor bugetar-structurale pe termen mediu, a recomandărilor specifice fiecărei țări și a interconexiunilor lor concrete cu viitoarele planuri de parteneriat național și regional</w:t>
      </w:r>
      <w:r>
        <w:t xml:space="preserve"> (PPNR);</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solicită Comisiei </w:t>
      </w:r>
      <w:r>
        <w:rPr>
          <w:b/>
          <w:bCs/>
        </w:rPr>
        <w:t>să încadreze clauza derogatorie mai degrabă ca instrument temporar de urgență</w:t>
      </w:r>
      <w:r>
        <w:t xml:space="preserve"> decât ca substitut pentru o strategie bugetară și de creștere coerentă pe termen lung și invită Comisia să evalueze </w:t>
      </w:r>
      <w:r>
        <w:rPr>
          <w:b/>
          <w:bCs/>
        </w:rPr>
        <w:t>rolul tot mai important care revine cheltuielilor pentru apărare în creșterea sustenabilă a UE</w:t>
      </w:r>
      <w:r>
        <w:t xml:space="preserve"> și impactul acestora asupra ocupării forței de muncă și a stabilității fiscale viitoare;</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își reiterează apelul pentru </w:t>
      </w:r>
      <w:r>
        <w:rPr>
          <w:b/>
          <w:bCs/>
        </w:rPr>
        <w:t>o implicare mai solidă, mai structurată și mai semnificativă a partenerilor sociali și a organizațiilor societății civile la nivel european, național și local</w:t>
      </w:r>
      <w:r>
        <w:t xml:space="preserve"> în punerea în aplicare a ciclului semestrului european.</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7512"/>
      </w:tblGrid>
      <w:tr w:rsidR="00627FDF" w:rsidRPr="00627FDF" w14:paraId="52F142FB" w14:textId="77777777" w:rsidTr="007F5CA4">
        <w:tc>
          <w:tcPr>
            <w:tcW w:w="860" w:type="pct"/>
          </w:tcPr>
          <w:p w14:paraId="605B3F57" w14:textId="77777777" w:rsidR="00627FDF" w:rsidRPr="00627FDF" w:rsidRDefault="00627FDF" w:rsidP="00100EF9">
            <w:pPr>
              <w:overflowPunct w:val="0"/>
              <w:autoSpaceDE w:val="0"/>
              <w:autoSpaceDN w:val="0"/>
              <w:adjustRightInd w:val="0"/>
              <w:textAlignment w:val="baseline"/>
              <w:rPr>
                <w:i/>
              </w:rPr>
            </w:pPr>
            <w:r>
              <w:rPr>
                <w:b/>
                <w:i/>
              </w:rPr>
              <w:t>Date de contact:</w:t>
            </w:r>
          </w:p>
        </w:tc>
        <w:tc>
          <w:tcPr>
            <w:tcW w:w="4140" w:type="pct"/>
          </w:tcPr>
          <w:p w14:paraId="2799D0F0" w14:textId="77777777" w:rsidR="00627FDF" w:rsidRPr="00627FDF" w:rsidRDefault="00627FDF" w:rsidP="00100EF9">
            <w:pPr>
              <w:overflowPunct w:val="0"/>
              <w:autoSpaceDE w:val="0"/>
              <w:autoSpaceDN w:val="0"/>
              <w:adjustRightInd w:val="0"/>
              <w:textAlignment w:val="baseline"/>
              <w:rPr>
                <w:i/>
              </w:rPr>
            </w:pPr>
            <w:r>
              <w:rPr>
                <w:i/>
              </w:rPr>
              <w:t>Anna Pantazi</w:t>
            </w:r>
          </w:p>
        </w:tc>
      </w:tr>
      <w:tr w:rsidR="00627FDF" w:rsidRPr="00627FDF" w14:paraId="2AECF76E" w14:textId="77777777" w:rsidTr="007F5CA4">
        <w:tc>
          <w:tcPr>
            <w:tcW w:w="860" w:type="pct"/>
          </w:tcPr>
          <w:p w14:paraId="0CA36F14" w14:textId="77777777" w:rsidR="00627FDF" w:rsidRPr="00627FDF" w:rsidRDefault="00627FDF" w:rsidP="00100EF9">
            <w:pPr>
              <w:overflowPunct w:val="0"/>
              <w:autoSpaceDE w:val="0"/>
              <w:autoSpaceDN w:val="0"/>
              <w:adjustRightInd w:val="0"/>
              <w:textAlignment w:val="baseline"/>
              <w:rPr>
                <w:i/>
              </w:rPr>
            </w:pPr>
            <w:r>
              <w:rPr>
                <w:i/>
              </w:rPr>
              <w:t>Tel.:</w:t>
            </w:r>
          </w:p>
        </w:tc>
        <w:tc>
          <w:tcPr>
            <w:tcW w:w="4140" w:type="pct"/>
          </w:tcPr>
          <w:p w14:paraId="74E90836" w14:textId="1D42CC9B" w:rsidR="00627FDF" w:rsidRPr="00627FDF" w:rsidRDefault="00627FDF" w:rsidP="00100EF9">
            <w:pPr>
              <w:overflowPunct w:val="0"/>
              <w:autoSpaceDE w:val="0"/>
              <w:autoSpaceDN w:val="0"/>
              <w:adjustRightInd w:val="0"/>
              <w:textAlignment w:val="baseline"/>
              <w:rPr>
                <w:i/>
              </w:rPr>
            </w:pPr>
            <w:r>
              <w:rPr>
                <w:i/>
              </w:rPr>
              <w:t>+32 25469231</w:t>
            </w:r>
          </w:p>
        </w:tc>
      </w:tr>
      <w:tr w:rsidR="00627FDF" w:rsidRPr="00627FDF" w14:paraId="03A39DE3" w14:textId="77777777" w:rsidTr="007F5CA4">
        <w:tc>
          <w:tcPr>
            <w:tcW w:w="860" w:type="pct"/>
          </w:tcPr>
          <w:p w14:paraId="5FDCFB85" w14:textId="77777777" w:rsidR="00627FDF" w:rsidRPr="00627FDF" w:rsidRDefault="00627FDF" w:rsidP="00100EF9">
            <w:pPr>
              <w:overflowPunct w:val="0"/>
              <w:autoSpaceDE w:val="0"/>
              <w:autoSpaceDN w:val="0"/>
              <w:adjustRightInd w:val="0"/>
              <w:textAlignment w:val="baseline"/>
              <w:rPr>
                <w:i/>
              </w:rPr>
            </w:pPr>
            <w:r>
              <w:rPr>
                <w:i/>
              </w:rPr>
              <w:t>E-mail:</w:t>
            </w:r>
          </w:p>
        </w:tc>
        <w:tc>
          <w:tcPr>
            <w:tcW w:w="4140" w:type="pct"/>
          </w:tcPr>
          <w:p w14:paraId="3BA9FEE0" w14:textId="77777777" w:rsidR="00627FDF" w:rsidRPr="00627FDF" w:rsidRDefault="00480E26" w:rsidP="00100EF9">
            <w:pPr>
              <w:overflowPunct w:val="0"/>
              <w:autoSpaceDE w:val="0"/>
              <w:autoSpaceDN w:val="0"/>
              <w:adjustRightInd w:val="0"/>
              <w:textAlignment w:val="baseline"/>
              <w:rPr>
                <w:i/>
              </w:rPr>
            </w:pPr>
            <w:hyperlink r:id="rId24" w:history="1">
              <w:r w:rsidR="00E235D3">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EE86689" w:rsidR="00532F99" w:rsidRPr="00153E09" w:rsidRDefault="00480E26" w:rsidP="00100EF9">
      <w:pPr>
        <w:widowControl w:val="0"/>
        <w:numPr>
          <w:ilvl w:val="0"/>
          <w:numId w:val="6"/>
        </w:numPr>
        <w:overflowPunct w:val="0"/>
        <w:autoSpaceDE w:val="0"/>
        <w:autoSpaceDN w:val="0"/>
        <w:adjustRightInd w:val="0"/>
        <w:ind w:hanging="567"/>
        <w:textAlignment w:val="baseline"/>
        <w:rPr>
          <w:b/>
          <w:i/>
          <w:iCs/>
          <w:sz w:val="28"/>
          <w:szCs w:val="28"/>
        </w:rPr>
      </w:pPr>
      <w:hyperlink r:id="rId25" w:history="1">
        <w:r w:rsidR="00532F99">
          <w:rPr>
            <w:b/>
            <w:i/>
            <w:color w:val="0000FF"/>
            <w:sz w:val="28"/>
            <w:u w:val="single"/>
          </w:rPr>
          <w:t>Dimensiunea insulară în politicile europene de coeziune, competitivitate și dezvoltare durabilă</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bCs/>
              </w:rPr>
              <w:t>Raportor:</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r>
              <w:t>Ioannis VARDAKASTANIS (Grupul „Organizații ale societății civile” – 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7479" w:type="dxa"/>
          </w:tcPr>
          <w:p w14:paraId="23EE8050" w14:textId="0AD297F8" w:rsidR="00532F99" w:rsidRPr="00532F99" w:rsidRDefault="00532F99" w:rsidP="00100EF9">
            <w:pPr>
              <w:tabs>
                <w:tab w:val="center" w:pos="321"/>
              </w:tabs>
              <w:overflowPunct w:val="0"/>
              <w:autoSpaceDE w:val="0"/>
              <w:autoSpaceDN w:val="0"/>
              <w:adjustRightInd w:val="0"/>
              <w:textAlignment w:val="baseline"/>
            </w:pPr>
            <w:r>
              <w:t>Aviz exploratoriu la solicitarea Președinției cipriote a Consiliului UE</w:t>
            </w:r>
          </w:p>
          <w:p w14:paraId="0FBD455F" w14:textId="4C1CCA1A" w:rsidR="00532F99" w:rsidRPr="00532F99" w:rsidRDefault="00532F99" w:rsidP="00100EF9">
            <w:pPr>
              <w:tabs>
                <w:tab w:val="center" w:pos="284"/>
              </w:tabs>
              <w:overflowPunct w:val="0"/>
              <w:autoSpaceDE w:val="0"/>
              <w:autoSpaceDN w:val="0"/>
              <w:adjustRightInd w:val="0"/>
              <w:ind w:left="266" w:hanging="266"/>
              <w:textAlignment w:val="baseline"/>
            </w:pPr>
            <w: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CESE:</w:t>
      </w:r>
    </w:p>
    <w:p w14:paraId="4843EC5E" w14:textId="77777777" w:rsidR="00532F99" w:rsidRPr="00AD4D97" w:rsidRDefault="00532F99" w:rsidP="007526DA">
      <w:pPr>
        <w:pStyle w:val="ListParagraph"/>
        <w:numPr>
          <w:ilvl w:val="0"/>
          <w:numId w:val="28"/>
        </w:numPr>
        <w:ind w:left="567" w:hanging="567"/>
      </w:pPr>
      <w:bookmarkStart w:id="5" w:name="_Toc222825817"/>
      <w:r>
        <w:t xml:space="preserve">consideră că insulele din UE se confruntă cu </w:t>
      </w:r>
      <w:r>
        <w:rPr>
          <w:u w:val="single"/>
        </w:rPr>
        <w:t>dezavantaje structurale persistente</w:t>
      </w:r>
      <w:r>
        <w:t>, și anume constrângeri geografice, economice, demografice și climatice, cum ar fi izolarea, topirea ghețarilor și a calotei glaciare, costurile ridicate ale transportului și energiei, presiunile de pe piața locuințelor, deficitul de forță de muncă și dependența excesivă de turism;</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r>
        <w:t>consideră că insulele sunt esențiale pentru poziționarea geopolitică a UE, gestionarea migrației, securitatea maritimă și tranziția energetică Ecosistemele marine ale insulelor și zonele economice exclusive ale acestora stau la baza obiectivelor în materie de economie albastră și biodiversitate. Deși sunt recunoscute în tratatele UE și în declarații politice, provocările unice cu care se confruntă insulele nu sunt abordate în mod adecvat în politicile sectoriale ale UE. Insulele au potențialul de a deveni laboratoare de inovare și durabilitate, care ar putea demonstra funcționarea unor soluții în materie de adaptare la schimbările climatice, energie din surse regenerabile, conservare a mediului marin și turism durabil;</w:t>
      </w:r>
      <w:bookmarkEnd w:id="6"/>
    </w:p>
    <w:p w14:paraId="67767811" w14:textId="77777777" w:rsidR="00532F99" w:rsidRPr="00AD4D97" w:rsidRDefault="00532F99" w:rsidP="007526DA">
      <w:pPr>
        <w:pStyle w:val="ListParagraph"/>
        <w:numPr>
          <w:ilvl w:val="0"/>
          <w:numId w:val="28"/>
        </w:numPr>
        <w:ind w:left="567" w:hanging="567"/>
      </w:pPr>
      <w:bookmarkStart w:id="7" w:name="_Toc222825819"/>
      <w:r>
        <w:rPr>
          <w:u w:val="single"/>
        </w:rPr>
        <w:t>recunoaște că este necesară o abordare sistemică</w:t>
      </w:r>
      <w:r>
        <w:t xml:space="preserve">. O politică eficace a UE pentru insule și teritoriile insulare în general (inclusiv regiunile </w:t>
      </w:r>
      <w:proofErr w:type="spellStart"/>
      <w:r>
        <w:t>ultraperiferice</w:t>
      </w:r>
      <w:proofErr w:type="spellEnd"/>
      <w:r>
        <w:t xml:space="preserve"> și regiunile lacustre) necesită strategii integrate și </w:t>
      </w:r>
      <w:proofErr w:type="spellStart"/>
      <w:r>
        <w:t>transsectoriale</w:t>
      </w:r>
      <w:proofErr w:type="spellEnd"/>
      <w:r>
        <w:t xml:space="preserve"> care să abordeze conectivitatea, diversificarea economică, coeziunea socială, reziliența ecologică, socială și economică și gradul de pregătire geopolitică;</w:t>
      </w:r>
      <w:bookmarkEnd w:id="7"/>
    </w:p>
    <w:p w14:paraId="46E91099" w14:textId="4E62029C" w:rsidR="00532F99" w:rsidRPr="00AD4D97" w:rsidRDefault="00532F99" w:rsidP="007526DA">
      <w:pPr>
        <w:pStyle w:val="ListParagraph"/>
        <w:numPr>
          <w:ilvl w:val="0"/>
          <w:numId w:val="28"/>
        </w:numPr>
        <w:ind w:left="567" w:hanging="567"/>
      </w:pPr>
      <w:bookmarkStart w:id="8" w:name="_Toc222825820"/>
      <w:r>
        <w:t xml:space="preserve">face apel la instituirea unei strategii a Uniunii special concepute pentru insule (un </w:t>
      </w:r>
      <w:r>
        <w:rPr>
          <w:b/>
        </w:rPr>
        <w:t>pact pentru insule</w:t>
      </w:r>
      <w:r>
        <w:t xml:space="preserve">), care să se sprijine pe un cadru legislativ specific (un </w:t>
      </w:r>
      <w:r>
        <w:rPr>
          <w:b/>
        </w:rPr>
        <w:t>act legislativ privind insulele</w:t>
      </w:r>
      <w:r>
        <w:t xml:space="preserve">). Cadrul respectiv ar trebui să fie însoțit de o strategie formală și să prevadă punerea în aplicare efectivă a unei </w:t>
      </w:r>
      <w:r>
        <w:rPr>
          <w:b/>
        </w:rPr>
        <w:t xml:space="preserve">„clauze de </w:t>
      </w:r>
      <w:proofErr w:type="spellStart"/>
      <w:r>
        <w:rPr>
          <w:b/>
        </w:rPr>
        <w:t>insularitate</w:t>
      </w:r>
      <w:proofErr w:type="spellEnd"/>
      <w:r>
        <w:rPr>
          <w:b/>
        </w:rPr>
        <w:t>”</w:t>
      </w:r>
      <w:r>
        <w:t>, în vederea integrării sistematice a nevoilor și constrângerilor specifice ale insulelor în politicile Uniunii în materie de coeziune, transporturi, energie, ajutoare de stat, mediu și afaceri maritime</w:t>
      </w:r>
      <w:bookmarkEnd w:id="8"/>
      <w:r w:rsidR="007F5CA4">
        <w:t>;</w:t>
      </w:r>
    </w:p>
    <w:p w14:paraId="762E910D" w14:textId="77777777" w:rsidR="00532F99" w:rsidRPr="00AD4D97" w:rsidRDefault="00532F99" w:rsidP="007526DA">
      <w:pPr>
        <w:pStyle w:val="ListParagraph"/>
        <w:numPr>
          <w:ilvl w:val="0"/>
          <w:numId w:val="28"/>
        </w:numPr>
        <w:ind w:left="567" w:hanging="567"/>
      </w:pPr>
      <w:bookmarkStart w:id="9" w:name="_Toc222825821"/>
      <w:r>
        <w:t>subliniază insistent că îmbunătățirea conectivității și a infrastructurii în teritoriile insulare este esențială pentru coeziunea teritorială și solicită îmbunătățirea sistemelor de transport și de mobilitate publică, a conectivității digitale și a rezilienței rețelelor energetice, cu un accent clar pe decarbonizare și autonomie energetică;</w:t>
      </w:r>
      <w:bookmarkEnd w:id="9"/>
    </w:p>
    <w:p w14:paraId="737F86E5" w14:textId="77777777" w:rsidR="00532F99" w:rsidRPr="00AD4D97" w:rsidRDefault="00532F99" w:rsidP="007526DA">
      <w:pPr>
        <w:pStyle w:val="ListParagraph"/>
        <w:numPr>
          <w:ilvl w:val="0"/>
          <w:numId w:val="28"/>
        </w:numPr>
        <w:ind w:left="567" w:hanging="567"/>
      </w:pPr>
      <w:bookmarkStart w:id="10" w:name="_Toc222825822"/>
      <w:r>
        <w:t>subliniază insistent că regiunile insulare ar trebui să își diversifice economiile, folosindu-și atuurile unice, cum ar fi resursele marine, potențialul de energie din surse regenerabile, turismul, patrimoniul cultural și industriile creative, pentru dezvoltarea unei economii albastre durabile și competitive;</w:t>
      </w:r>
      <w:bookmarkEnd w:id="10"/>
    </w:p>
    <w:p w14:paraId="7E670409" w14:textId="77777777" w:rsidR="00532F99" w:rsidRPr="00AD4D97" w:rsidRDefault="00532F99" w:rsidP="007526DA">
      <w:pPr>
        <w:pStyle w:val="ListParagraph"/>
        <w:numPr>
          <w:ilvl w:val="0"/>
          <w:numId w:val="28"/>
        </w:numPr>
        <w:ind w:left="567" w:hanging="567"/>
      </w:pPr>
      <w:bookmarkStart w:id="11" w:name="_Toc222825823"/>
      <w:r>
        <w:t xml:space="preserve">pune în evidență că coeziunea socială și dezvoltarea capitalului uman sunt esențiale pentru durabilitatea pe termen lung a comunităților insulare. cere ca deficitul de locuințe, neconcordanțele dintre cerere și ofertă pe piața forței de muncă, lacunele în materie de competențe și emigrarea tinerilor să fie remediate prin politici specifice care să cuprindă sisteme de educație </w:t>
      </w:r>
      <w:r>
        <w:lastRenderedPageBreak/>
        <w:t>favorabile incluziunii, oportunități de locuri de muncă de calitate și soluții de locuințe la prețuri accesibile, adaptate la caracteristicile specifice ale insulelor;</w:t>
      </w:r>
      <w:bookmarkEnd w:id="11"/>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r>
        <w:t>subliniază că este urgent să se realizeze progrese în domeniul protecției mediului și al rezilienței la schimbările climatice în teritoriile insulare, care sunt expuse în mod disproporționat la schimbările climatice;</w:t>
      </w:r>
      <w:bookmarkEnd w:id="12"/>
    </w:p>
    <w:p w14:paraId="59AC2957" w14:textId="77777777" w:rsidR="00532F99" w:rsidRPr="00AD4D97" w:rsidRDefault="00532F99" w:rsidP="007526DA">
      <w:pPr>
        <w:pStyle w:val="ListParagraph"/>
        <w:numPr>
          <w:ilvl w:val="0"/>
          <w:numId w:val="28"/>
        </w:numPr>
        <w:ind w:left="567" w:hanging="567"/>
      </w:pPr>
      <w:bookmarkStart w:id="13" w:name="_Toc222825825"/>
      <w:r>
        <w:t xml:space="preserve">cere să se includă formal în politicile insulare monitorizarea, analiza prospectivă și guvernanța participativă, propunând ca principalii indicatori demografici, economici, sociali și de mediu să fie urmăriți în cadrul unui </w:t>
      </w:r>
      <w:r>
        <w:rPr>
          <w:b/>
        </w:rPr>
        <w:t>raport periodic de punere în aplicare în insule</w:t>
      </w:r>
      <w:r>
        <w:t>;</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r>
        <w:t>consideră că insulele UE nu mai trebuie tratate ca teritorii periferice; Sunt regiuni din prima linie pentru suveranitatea, reziliența și capacitatea de inovare a Europei. Pentru transformarea insulelor în motoare ale creșterii durabile, ale rezilienței la schimbările climatice și ale securității geopolitice ar fi esențială o strategie a UE specifică, sistemică și ancorată juridic pentru insule (</w:t>
      </w:r>
      <w:r>
        <w:rPr>
          <w:b/>
        </w:rPr>
        <w:t>pactul pentru insule</w:t>
      </w:r>
      <w:r>
        <w:t>), prin care să se asigure capacitatea comunităților insulare de a prospera și să se consolideze în același timp autonomia strategică și coeziunea Europei. Această temă a fost de curând pusă în lumină de rolul geopolitic central jucat de Groenlanda în dinamica securității arctice, în relațiile transatlantice și în concurența marilor puteri, precum și de relevanța sa pentru autonomia strategică a Europei în domeniul apărării.</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2F99" w14:paraId="51FA2FFC" w14:textId="77777777" w:rsidTr="00D0608D">
        <w:tc>
          <w:tcPr>
            <w:tcW w:w="1526" w:type="dxa"/>
          </w:tcPr>
          <w:p w14:paraId="549BED47" w14:textId="77777777" w:rsidR="00532F99" w:rsidRPr="00532F99" w:rsidRDefault="00532F99" w:rsidP="00D0608D">
            <w:pPr>
              <w:overflowPunct w:val="0"/>
              <w:autoSpaceDE w:val="0"/>
              <w:autoSpaceDN w:val="0"/>
              <w:adjustRightInd w:val="0"/>
              <w:ind w:right="-77"/>
              <w:textAlignment w:val="baseline"/>
              <w:rPr>
                <w:i/>
              </w:rPr>
            </w:pPr>
            <w:r>
              <w:rPr>
                <w:b/>
                <w:i/>
              </w:rPr>
              <w:t>Date de contact:</w:t>
            </w:r>
          </w:p>
        </w:tc>
        <w:tc>
          <w:tcPr>
            <w:tcW w:w="7688" w:type="dxa"/>
          </w:tcPr>
          <w:p w14:paraId="7CEAACF5" w14:textId="0581C1FF" w:rsidR="00532F99" w:rsidRPr="00532F99" w:rsidRDefault="00532F99" w:rsidP="00100EF9">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00532F99" w:rsidRPr="00532F99" w14:paraId="0AEF2AEB" w14:textId="77777777" w:rsidTr="00D0608D">
        <w:tc>
          <w:tcPr>
            <w:tcW w:w="1526" w:type="dxa"/>
          </w:tcPr>
          <w:p w14:paraId="060FAF7E" w14:textId="77777777" w:rsidR="00532F99" w:rsidRPr="00532F99" w:rsidRDefault="00532F99" w:rsidP="00100EF9">
            <w:pPr>
              <w:overflowPunct w:val="0"/>
              <w:autoSpaceDE w:val="0"/>
              <w:autoSpaceDN w:val="0"/>
              <w:adjustRightInd w:val="0"/>
              <w:textAlignment w:val="baseline"/>
              <w:rPr>
                <w:i/>
              </w:rPr>
            </w:pPr>
            <w:r>
              <w:rPr>
                <w:i/>
              </w:rPr>
              <w:t>Tel.:</w:t>
            </w:r>
          </w:p>
        </w:tc>
        <w:tc>
          <w:tcPr>
            <w:tcW w:w="7688" w:type="dxa"/>
          </w:tcPr>
          <w:p w14:paraId="22CC1931" w14:textId="49FE5AFE" w:rsidR="00532F99" w:rsidRPr="00532F99" w:rsidRDefault="00532F99" w:rsidP="00100EF9">
            <w:pPr>
              <w:overflowPunct w:val="0"/>
              <w:autoSpaceDE w:val="0"/>
              <w:autoSpaceDN w:val="0"/>
              <w:adjustRightInd w:val="0"/>
              <w:textAlignment w:val="baseline"/>
              <w:rPr>
                <w:i/>
              </w:rPr>
            </w:pPr>
            <w:r>
              <w:rPr>
                <w:i/>
              </w:rPr>
              <w:t>+32 25469795</w:t>
            </w:r>
          </w:p>
        </w:tc>
      </w:tr>
      <w:tr w:rsidR="00532F99" w:rsidRPr="00532F99" w14:paraId="20E9D1C8" w14:textId="77777777" w:rsidTr="00D0608D">
        <w:tc>
          <w:tcPr>
            <w:tcW w:w="1526" w:type="dxa"/>
          </w:tcPr>
          <w:p w14:paraId="144E431B" w14:textId="64663E9D" w:rsidR="00532F99" w:rsidRPr="00532F99" w:rsidRDefault="0037319B" w:rsidP="00100EF9">
            <w:pPr>
              <w:overflowPunct w:val="0"/>
              <w:autoSpaceDE w:val="0"/>
              <w:autoSpaceDN w:val="0"/>
              <w:adjustRightInd w:val="0"/>
              <w:textAlignment w:val="baseline"/>
              <w:rPr>
                <w:i/>
              </w:rPr>
            </w:pPr>
            <w:r>
              <w:rPr>
                <w:i/>
              </w:rPr>
              <w:t>E-mail:</w:t>
            </w:r>
          </w:p>
        </w:tc>
        <w:tc>
          <w:tcPr>
            <w:tcW w:w="7688" w:type="dxa"/>
          </w:tcPr>
          <w:p w14:paraId="19710C19" w14:textId="1ECFC656" w:rsidR="00532F99" w:rsidRPr="00532F99" w:rsidRDefault="00480E26" w:rsidP="00100EF9">
            <w:pPr>
              <w:overflowPunct w:val="0"/>
              <w:autoSpaceDE w:val="0"/>
              <w:autoSpaceDN w:val="0"/>
              <w:adjustRightInd w:val="0"/>
              <w:textAlignment w:val="baseline"/>
              <w:rPr>
                <w:i/>
                <w:iCs/>
              </w:rPr>
            </w:pPr>
            <w:hyperlink r:id="rId26" w:history="1">
              <w:r w:rsidR="00E235D3">
                <w:rPr>
                  <w:i/>
                  <w:color w:val="0000FF"/>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718F1B93" w:rsidR="007652C3" w:rsidRPr="007652C3" w:rsidRDefault="00480E26" w:rsidP="00100EF9">
      <w:pPr>
        <w:widowControl w:val="0"/>
        <w:numPr>
          <w:ilvl w:val="0"/>
          <w:numId w:val="6"/>
        </w:numPr>
        <w:overflowPunct w:val="0"/>
        <w:autoSpaceDE w:val="0"/>
        <w:autoSpaceDN w:val="0"/>
        <w:adjustRightInd w:val="0"/>
        <w:ind w:hanging="567"/>
        <w:textAlignment w:val="baseline"/>
        <w:rPr>
          <w:b/>
          <w:i/>
          <w:iCs/>
          <w:sz w:val="28"/>
          <w:szCs w:val="28"/>
        </w:rPr>
      </w:pPr>
      <w:hyperlink r:id="rId27" w:history="1">
        <w:r w:rsidR="00E235D3">
          <w:rPr>
            <w:b/>
            <w:i/>
            <w:color w:val="0000FF"/>
            <w:sz w:val="28"/>
            <w:u w:val="single"/>
          </w:rPr>
          <w:t>Revizuirea Directivei privind impozitarea tutunului</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bCs/>
              </w:rPr>
              <w:t>Raportor:</w:t>
            </w:r>
          </w:p>
        </w:tc>
        <w:tc>
          <w:tcPr>
            <w:tcW w:w="7547" w:type="dxa"/>
          </w:tcPr>
          <w:p w14:paraId="574348C8" w14:textId="1A21DC9A" w:rsidR="00FC4D6F" w:rsidRPr="007652C3" w:rsidRDefault="007652C3" w:rsidP="00100EF9">
            <w:pPr>
              <w:tabs>
                <w:tab w:val="center" w:pos="284"/>
              </w:tabs>
              <w:overflowPunct w:val="0"/>
              <w:autoSpaceDE w:val="0"/>
              <w:autoSpaceDN w:val="0"/>
              <w:adjustRightInd w:val="0"/>
              <w:ind w:left="266" w:hanging="266"/>
              <w:textAlignment w:val="baseline"/>
            </w:pPr>
            <w:r>
              <w:t xml:space="preserve">Matteo </w:t>
            </w:r>
            <w:proofErr w:type="spellStart"/>
            <w:r>
              <w:t>Carlo</w:t>
            </w:r>
            <w:proofErr w:type="spellEnd"/>
            <w:r>
              <w:t xml:space="preserve"> BORSANI (Grupul „Angajatori”- IT)</w:t>
            </w:r>
          </w:p>
        </w:tc>
      </w:tr>
      <w:tr w:rsidR="00205469" w:rsidRPr="007652C3" w14:paraId="6586AC35" w14:textId="77777777" w:rsidTr="00D0608D">
        <w:tc>
          <w:tcPr>
            <w:tcW w:w="1526" w:type="dxa"/>
          </w:tcPr>
          <w:p w14:paraId="6C41B8BD" w14:textId="77777777" w:rsidR="00205469" w:rsidRPr="007F5CA4" w:rsidRDefault="00205469" w:rsidP="00100EF9">
            <w:pPr>
              <w:tabs>
                <w:tab w:val="center" w:pos="284"/>
              </w:tabs>
              <w:overflowPunct w:val="0"/>
              <w:autoSpaceDE w:val="0"/>
              <w:autoSpaceDN w:val="0"/>
              <w:adjustRightInd w:val="0"/>
              <w:ind w:left="266" w:hanging="266"/>
              <w:textAlignment w:val="baseline"/>
              <w:rPr>
                <w:b/>
                <w:sz w:val="16"/>
                <w:szCs w:val="16"/>
              </w:rPr>
            </w:pPr>
          </w:p>
        </w:tc>
        <w:tc>
          <w:tcPr>
            <w:tcW w:w="7547" w:type="dxa"/>
          </w:tcPr>
          <w:p w14:paraId="30591BA7" w14:textId="77777777" w:rsidR="00205469" w:rsidRPr="007F5CA4" w:rsidRDefault="00205469" w:rsidP="00100EF9">
            <w:pPr>
              <w:tabs>
                <w:tab w:val="center" w:pos="284"/>
              </w:tabs>
              <w:overflowPunct w:val="0"/>
              <w:autoSpaceDE w:val="0"/>
              <w:autoSpaceDN w:val="0"/>
              <w:adjustRightInd w:val="0"/>
              <w:ind w:left="266" w:hanging="266"/>
              <w:textAlignment w:val="baseline"/>
              <w:rPr>
                <w:bCs/>
                <w:sz w:val="16"/>
                <w:szCs w:val="16"/>
              </w:rPr>
            </w:pPr>
          </w:p>
        </w:tc>
      </w:tr>
      <w:tr w:rsidR="007652C3" w:rsidRPr="00100EF9"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7547" w:type="dxa"/>
          </w:tcPr>
          <w:p w14:paraId="28D63311" w14:textId="2018BFB6" w:rsidR="007652C3" w:rsidRPr="007652C3" w:rsidRDefault="007652C3" w:rsidP="00100EF9">
            <w:pPr>
              <w:tabs>
                <w:tab w:val="center" w:pos="284"/>
              </w:tabs>
              <w:overflowPunct w:val="0"/>
              <w:autoSpaceDE w:val="0"/>
              <w:autoSpaceDN w:val="0"/>
              <w:adjustRightInd w:val="0"/>
              <w:ind w:left="266" w:hanging="266"/>
              <w:textAlignment w:val="baseline"/>
            </w:pPr>
            <w:r>
              <w:t>COM(2025) 580 final</w:t>
            </w:r>
          </w:p>
          <w:p w14:paraId="3C71E1DA" w14:textId="707F72B2" w:rsidR="007652C3" w:rsidRPr="007652C3" w:rsidRDefault="007652C3" w:rsidP="00100EF9">
            <w:pPr>
              <w:tabs>
                <w:tab w:val="center" w:pos="284"/>
              </w:tabs>
              <w:overflowPunct w:val="0"/>
              <w:autoSpaceDE w:val="0"/>
              <w:autoSpaceDN w:val="0"/>
              <w:adjustRightInd w:val="0"/>
              <w:ind w:left="266" w:hanging="266"/>
              <w:textAlignment w:val="baseline"/>
            </w:pPr>
            <w:r>
              <w:t>COM(2025) 581 final</w:t>
            </w:r>
          </w:p>
          <w:p w14:paraId="77F23764" w14:textId="645FFEBD" w:rsidR="007652C3" w:rsidRPr="007652C3" w:rsidRDefault="007652C3" w:rsidP="00100EF9">
            <w:pPr>
              <w:tabs>
                <w:tab w:val="center" w:pos="284"/>
              </w:tabs>
              <w:overflowPunct w:val="0"/>
              <w:autoSpaceDE w:val="0"/>
              <w:autoSpaceDN w:val="0"/>
              <w:adjustRightInd w:val="0"/>
              <w:ind w:left="266" w:hanging="266"/>
              <w:textAlignment w:val="baseline"/>
            </w:pPr>
            <w:r>
              <w:t>EESC-2025-02514-00-00-AC</w:t>
            </w:r>
          </w:p>
        </w:tc>
      </w:tr>
    </w:tbl>
    <w:p w14:paraId="24734E78" w14:textId="77777777" w:rsidR="007652C3" w:rsidRPr="007F5CA4" w:rsidRDefault="007652C3" w:rsidP="00100EF9">
      <w:pPr>
        <w:tabs>
          <w:tab w:val="center" w:pos="284"/>
        </w:tabs>
        <w:overflowPunct w:val="0"/>
        <w:autoSpaceDE w:val="0"/>
        <w:autoSpaceDN w:val="0"/>
        <w:adjustRightInd w:val="0"/>
        <w:ind w:left="266" w:hanging="266"/>
        <w:textAlignment w:val="baseline"/>
        <w:rPr>
          <w:sz w:val="18"/>
          <w:szCs w:val="18"/>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CESE:</w:t>
      </w:r>
    </w:p>
    <w:p w14:paraId="3447BDD3" w14:textId="77777777" w:rsidR="007652C3" w:rsidRPr="00205469" w:rsidRDefault="007652C3" w:rsidP="007526DA">
      <w:pPr>
        <w:pStyle w:val="ListParagraph"/>
        <w:numPr>
          <w:ilvl w:val="0"/>
          <w:numId w:val="30"/>
        </w:numPr>
        <w:ind w:left="567" w:hanging="567"/>
      </w:pPr>
      <w:r>
        <w:rPr>
          <w:b/>
        </w:rPr>
        <w:t>sprijină</w:t>
      </w:r>
      <w:r>
        <w:t xml:space="preserve"> revizuirea Directivei privind impozitarea tutunului, recunoscând necesitatea de a adapta cadrul privind accizele la evoluțiile pieței, la noile produse și la obiectivele de sănătate publică, subliniind, în același timp, că reforma trebuie să rămână proporțională, previzibilă și durabilă din punct de vedere economic;</w:t>
      </w:r>
    </w:p>
    <w:p w14:paraId="3F4A26E3" w14:textId="77777777" w:rsidR="007652C3" w:rsidRPr="00205469" w:rsidRDefault="007652C3" w:rsidP="007526DA">
      <w:pPr>
        <w:pStyle w:val="ListParagraph"/>
        <w:numPr>
          <w:ilvl w:val="0"/>
          <w:numId w:val="30"/>
        </w:numPr>
        <w:ind w:left="567" w:hanging="567"/>
      </w:pPr>
      <w:bookmarkStart w:id="15" w:name="_Toc222825827"/>
      <w:r>
        <w:rPr>
          <w:b/>
        </w:rPr>
        <w:t>lansează un avertisment</w:t>
      </w:r>
      <w:r>
        <w:t xml:space="preserve"> cu privire la creșterile bruște sau excesive ale accizelor, care riscă să alimenteze comerțul ilicit, să submineze veniturile fiscale și să slăbească rezultatele în materie de sănătate publică; </w:t>
      </w:r>
      <w:r>
        <w:rPr>
          <w:b/>
        </w:rPr>
        <w:t>recomandă</w:t>
      </w:r>
      <w:r>
        <w:t xml:space="preserve"> ca ajustările accizelor să se facă treptat, fiind însoțite de măsuri consolidate de asigurare a respectării legislației, de cooperare vamală și de combatere a contrabandei transfrontaliere;</w:t>
      </w:r>
      <w:bookmarkEnd w:id="15"/>
    </w:p>
    <w:p w14:paraId="1AC2A723" w14:textId="77777777" w:rsidR="007652C3" w:rsidRPr="00205469" w:rsidRDefault="007652C3" w:rsidP="007526DA">
      <w:pPr>
        <w:pStyle w:val="ListParagraph"/>
        <w:numPr>
          <w:ilvl w:val="0"/>
          <w:numId w:val="30"/>
        </w:numPr>
        <w:ind w:left="567" w:hanging="567"/>
      </w:pPr>
      <w:bookmarkStart w:id="16" w:name="_Toc222825828"/>
      <w:r>
        <w:rPr>
          <w:b/>
        </w:rPr>
        <w:t>solicită</w:t>
      </w:r>
      <w:r>
        <w:t xml:space="preserve"> aplicarea consecventă a unei impozitări proporționale cu riscurile, asigurându-se că produsele necombustibile și cu risc redus nu sunt impozitate la fel ca produsele din tutun combustibile, în conformitate cu principiul „mai puține prejudicii, mai puține impozite” și cu obiectivele Planului european de combatere a cancerului;</w:t>
      </w:r>
      <w:bookmarkEnd w:id="16"/>
    </w:p>
    <w:p w14:paraId="3892A6EF" w14:textId="77777777" w:rsidR="007652C3" w:rsidRPr="00205469" w:rsidRDefault="007652C3" w:rsidP="007526DA">
      <w:pPr>
        <w:pStyle w:val="ListParagraph"/>
        <w:numPr>
          <w:ilvl w:val="0"/>
          <w:numId w:val="30"/>
        </w:numPr>
        <w:ind w:left="567" w:hanging="567"/>
      </w:pPr>
      <w:bookmarkStart w:id="17" w:name="_Toc222825829"/>
      <w:r>
        <w:rPr>
          <w:b/>
          <w:bCs/>
        </w:rPr>
        <w:t>recomandă</w:t>
      </w:r>
      <w:r>
        <w:t xml:space="preserve"> îmbunătățirea clarității juridice și armonizarea definițiilor produselor, în special prin definirea explicită a produselor din tutun încălzit, prin diferențierea clară a acestora de produsele combustibile;</w:t>
      </w:r>
      <w:bookmarkEnd w:id="17"/>
    </w:p>
    <w:p w14:paraId="6D1AE1A8" w14:textId="77777777" w:rsidR="007652C3" w:rsidRPr="00205469" w:rsidRDefault="007652C3" w:rsidP="007526DA">
      <w:pPr>
        <w:pStyle w:val="ListParagraph"/>
        <w:numPr>
          <w:ilvl w:val="0"/>
          <w:numId w:val="30"/>
        </w:numPr>
        <w:ind w:left="567" w:hanging="567"/>
      </w:pPr>
      <w:bookmarkStart w:id="18" w:name="_Toc222825830"/>
      <w:r>
        <w:rPr>
          <w:b/>
        </w:rPr>
        <w:t>invită</w:t>
      </w:r>
      <w:r>
        <w:t xml:space="preserve"> Comisia să îmbunătățească concordanța dintre definițiile accizelor și Nomenclatura combinată (NC) prin actualizarea tabelelor de corespondență și prin furnizarea de orientări interpretative ori de câte ori modificările aduse clasificărilor vamale afectează categoriile de accize;</w:t>
      </w:r>
      <w:bookmarkEnd w:id="18"/>
    </w:p>
    <w:p w14:paraId="3B4FEB22" w14:textId="77777777" w:rsidR="007652C3" w:rsidRPr="00205469" w:rsidRDefault="007652C3" w:rsidP="007526DA">
      <w:pPr>
        <w:pStyle w:val="ListParagraph"/>
        <w:numPr>
          <w:ilvl w:val="0"/>
          <w:numId w:val="30"/>
        </w:numPr>
        <w:ind w:left="567" w:hanging="567"/>
      </w:pPr>
      <w:bookmarkStart w:id="19" w:name="_Toc222825831"/>
      <w:r>
        <w:rPr>
          <w:b/>
        </w:rPr>
        <w:t>solicită</w:t>
      </w:r>
      <w:r>
        <w:t xml:space="preserve"> o flexibilitate suficientă în structurile accizelor pentru statele membre, inclusiv posibilitatea de a alege între impozitarea la bucată sau la greutate pentru produsele din tutun încălzit, în scopul de a reflecta condițiile de piață la nivel național, respectând în același timp nivelurile minime din întreaga UE;</w:t>
      </w:r>
      <w:bookmarkEnd w:id="19"/>
    </w:p>
    <w:p w14:paraId="03FC4FFF" w14:textId="77777777" w:rsidR="007652C3" w:rsidRPr="00205469" w:rsidRDefault="007652C3" w:rsidP="007526DA">
      <w:pPr>
        <w:pStyle w:val="ListParagraph"/>
        <w:numPr>
          <w:ilvl w:val="0"/>
          <w:numId w:val="30"/>
        </w:numPr>
        <w:ind w:left="567" w:hanging="567"/>
      </w:pPr>
      <w:bookmarkStart w:id="20" w:name="_Toc222825832"/>
      <w:r>
        <w:rPr>
          <w:b/>
          <w:bCs/>
        </w:rPr>
        <w:t>solicită</w:t>
      </w:r>
      <w:r>
        <w:t xml:space="preserve"> să se efectueze o cartografiere cuprinzătoare și detaliată a locurilor de muncă și a competențelor existente în acest sector, însoțită de o evaluare a scenariilor pe termen mediu și lung pe care le implică propunerea și de elaborarea de prognoze clare ale impactului pe care aceasta îl va avea asupra ocupării forței de muncă;</w:t>
      </w:r>
      <w:bookmarkEnd w:id="20"/>
    </w:p>
    <w:p w14:paraId="0195988C" w14:textId="77777777" w:rsidR="007652C3" w:rsidRPr="00205469" w:rsidRDefault="007652C3" w:rsidP="007526DA">
      <w:pPr>
        <w:pStyle w:val="ListParagraph"/>
        <w:numPr>
          <w:ilvl w:val="0"/>
          <w:numId w:val="30"/>
        </w:numPr>
        <w:ind w:left="567" w:hanging="567"/>
      </w:pPr>
      <w:bookmarkStart w:id="21" w:name="_Toc222825833"/>
      <w:r>
        <w:rPr>
          <w:b/>
          <w:bCs/>
        </w:rPr>
        <w:t>solicită</w:t>
      </w:r>
      <w:r>
        <w:t xml:space="preserve"> utilizarea previzibilă și limitată a actelor delegate, care să se limiteze strict la ajustările tehnice la inflație, în concordanță cu principiul subsidiarității și cu suveranitatea fiscală a statelor membre.</w:t>
      </w:r>
      <w:bookmarkEnd w:id="21"/>
    </w:p>
    <w:p w14:paraId="6309DB18" w14:textId="77777777" w:rsidR="007652C3" w:rsidRPr="007F5CA4" w:rsidRDefault="007652C3" w:rsidP="00100EF9">
      <w:pPr>
        <w:ind w:left="567" w:hanging="567"/>
        <w:rPr>
          <w:sz w:val="18"/>
          <w:szCs w:val="18"/>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652C3" w:rsidRPr="007652C3" w14:paraId="7534B913" w14:textId="77777777" w:rsidTr="007F5CA4">
        <w:tc>
          <w:tcPr>
            <w:tcW w:w="1701" w:type="dxa"/>
          </w:tcPr>
          <w:p w14:paraId="0C271651" w14:textId="77777777" w:rsidR="007652C3" w:rsidRPr="007652C3" w:rsidRDefault="007652C3" w:rsidP="007F5CA4">
            <w:pPr>
              <w:overflowPunct w:val="0"/>
              <w:autoSpaceDE w:val="0"/>
              <w:autoSpaceDN w:val="0"/>
              <w:adjustRightInd w:val="0"/>
              <w:spacing w:line="276" w:lineRule="auto"/>
              <w:textAlignment w:val="baseline"/>
              <w:rPr>
                <w:i/>
              </w:rPr>
            </w:pPr>
            <w:r>
              <w:rPr>
                <w:b/>
                <w:i/>
              </w:rPr>
              <w:t>Date de contact:</w:t>
            </w:r>
          </w:p>
        </w:tc>
        <w:tc>
          <w:tcPr>
            <w:tcW w:w="7371" w:type="dxa"/>
          </w:tcPr>
          <w:p w14:paraId="528FE443" w14:textId="5FF87165" w:rsidR="007652C3" w:rsidRPr="007652C3" w:rsidRDefault="007652C3" w:rsidP="007F5CA4">
            <w:pPr>
              <w:overflowPunct w:val="0"/>
              <w:autoSpaceDE w:val="0"/>
              <w:autoSpaceDN w:val="0"/>
              <w:adjustRightInd w:val="0"/>
              <w:spacing w:line="276" w:lineRule="auto"/>
              <w:textAlignment w:val="baseline"/>
              <w:rPr>
                <w:i/>
              </w:rPr>
            </w:pPr>
            <w:proofErr w:type="spellStart"/>
            <w:r>
              <w:rPr>
                <w:i/>
              </w:rPr>
              <w:t>Jüri</w:t>
            </w:r>
            <w:proofErr w:type="spellEnd"/>
            <w:r>
              <w:rPr>
                <w:i/>
              </w:rPr>
              <w:t xml:space="preserve"> SOOSAAR</w:t>
            </w:r>
          </w:p>
        </w:tc>
      </w:tr>
      <w:tr w:rsidR="007652C3" w:rsidRPr="007652C3" w14:paraId="6D9C46AC" w14:textId="77777777" w:rsidTr="007F5CA4">
        <w:tc>
          <w:tcPr>
            <w:tcW w:w="1701" w:type="dxa"/>
          </w:tcPr>
          <w:p w14:paraId="02AD0CD6" w14:textId="77777777" w:rsidR="007652C3" w:rsidRPr="007652C3" w:rsidRDefault="007652C3" w:rsidP="007F5CA4">
            <w:pPr>
              <w:overflowPunct w:val="0"/>
              <w:autoSpaceDE w:val="0"/>
              <w:autoSpaceDN w:val="0"/>
              <w:adjustRightInd w:val="0"/>
              <w:spacing w:line="276" w:lineRule="auto"/>
              <w:textAlignment w:val="baseline"/>
              <w:rPr>
                <w:i/>
              </w:rPr>
            </w:pPr>
            <w:r>
              <w:rPr>
                <w:i/>
              </w:rPr>
              <w:t>Tel.:</w:t>
            </w:r>
          </w:p>
        </w:tc>
        <w:tc>
          <w:tcPr>
            <w:tcW w:w="7371" w:type="dxa"/>
          </w:tcPr>
          <w:p w14:paraId="43D215D4" w14:textId="14B49C37" w:rsidR="007652C3" w:rsidRPr="007652C3" w:rsidRDefault="007652C3" w:rsidP="007F5CA4">
            <w:pPr>
              <w:overflowPunct w:val="0"/>
              <w:autoSpaceDE w:val="0"/>
              <w:autoSpaceDN w:val="0"/>
              <w:adjustRightInd w:val="0"/>
              <w:spacing w:line="276" w:lineRule="auto"/>
              <w:textAlignment w:val="baseline"/>
              <w:rPr>
                <w:i/>
              </w:rPr>
            </w:pPr>
            <w:r>
              <w:rPr>
                <w:i/>
              </w:rPr>
              <w:t>+32 25469628</w:t>
            </w:r>
          </w:p>
        </w:tc>
      </w:tr>
      <w:tr w:rsidR="007652C3" w:rsidRPr="007652C3" w14:paraId="5C3011C3" w14:textId="77777777" w:rsidTr="007F5CA4">
        <w:tc>
          <w:tcPr>
            <w:tcW w:w="1701" w:type="dxa"/>
          </w:tcPr>
          <w:p w14:paraId="1F503178" w14:textId="77777777" w:rsidR="007652C3" w:rsidRPr="007652C3" w:rsidRDefault="007652C3" w:rsidP="007F5CA4">
            <w:pPr>
              <w:overflowPunct w:val="0"/>
              <w:autoSpaceDE w:val="0"/>
              <w:autoSpaceDN w:val="0"/>
              <w:adjustRightInd w:val="0"/>
              <w:spacing w:line="276" w:lineRule="auto"/>
              <w:textAlignment w:val="baseline"/>
              <w:rPr>
                <w:i/>
              </w:rPr>
            </w:pPr>
            <w:r>
              <w:rPr>
                <w:i/>
              </w:rPr>
              <w:t>E-mail:</w:t>
            </w:r>
          </w:p>
        </w:tc>
        <w:tc>
          <w:tcPr>
            <w:tcW w:w="7371" w:type="dxa"/>
          </w:tcPr>
          <w:p w14:paraId="62867B2B" w14:textId="5E2EB6F6" w:rsidR="007652C3" w:rsidRPr="007652C3" w:rsidRDefault="00480E26" w:rsidP="007F5CA4">
            <w:pPr>
              <w:overflowPunct w:val="0"/>
              <w:autoSpaceDE w:val="0"/>
              <w:autoSpaceDN w:val="0"/>
              <w:adjustRightInd w:val="0"/>
              <w:spacing w:line="276" w:lineRule="auto"/>
              <w:textAlignment w:val="baseline"/>
              <w:rPr>
                <w:i/>
                <w:iCs/>
              </w:rPr>
            </w:pPr>
            <w:hyperlink r:id="rId28" w:history="1">
              <w:r w:rsidR="00E235D3">
                <w:rPr>
                  <w:i/>
                  <w:color w:val="0000FF"/>
                  <w:u w:val="single"/>
                </w:rPr>
                <w:t>Juri.Soosaar@eesc.europa.eu</w:t>
              </w:r>
            </w:hyperlink>
          </w:p>
        </w:tc>
      </w:tr>
    </w:tbl>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3513689"/>
      <w:r>
        <w:rPr>
          <w:b/>
        </w:rPr>
        <w:lastRenderedPageBreak/>
        <w:t>SECȚIUNEA PENTRU OCUPAREA FORȚEI DE MUNCĂ, AFACERI SOCIALE ȘI CETĂȚENIE</w:t>
      </w:r>
      <w:bookmarkEnd w:id="22"/>
      <w:bookmarkEnd w:id="23"/>
    </w:p>
    <w:p w14:paraId="4982DD9A" w14:textId="77777777" w:rsidR="004D7AC0" w:rsidRPr="00153E09" w:rsidRDefault="004D7AC0" w:rsidP="00100EF9"/>
    <w:p w14:paraId="095440CA" w14:textId="6E6558FC" w:rsidR="001653D7" w:rsidRPr="001653D7" w:rsidRDefault="00480E26" w:rsidP="00100EF9">
      <w:pPr>
        <w:widowControl w:val="0"/>
        <w:numPr>
          <w:ilvl w:val="0"/>
          <w:numId w:val="6"/>
        </w:numPr>
        <w:ind w:hanging="567"/>
        <w:rPr>
          <w:sz w:val="24"/>
          <w:szCs w:val="24"/>
        </w:rPr>
      </w:pPr>
      <w:hyperlink r:id="rId29" w:history="1">
        <w:r w:rsidR="00E235D3">
          <w:rPr>
            <w:b/>
            <w:i/>
            <w:color w:val="0000FF"/>
            <w:sz w:val="28"/>
            <w:u w:val="single"/>
          </w:rPr>
          <w:t>Sprijinul Uniunii pentru azil, migrație și integrare; securitatea internă; gestionarea europeană integrată a frontierelor și politica în domeniul vizelor</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7378"/>
      </w:tblGrid>
      <w:tr w:rsidR="001653D7" w:rsidRPr="00100EF9" w14:paraId="47B2AE04" w14:textId="77777777" w:rsidTr="00D0608D">
        <w:tc>
          <w:tcPr>
            <w:tcW w:w="1559" w:type="dxa"/>
          </w:tcPr>
          <w:p w14:paraId="0F6809D8" w14:textId="4113B348" w:rsidR="001653D7" w:rsidRPr="001653D7" w:rsidRDefault="001653D7" w:rsidP="007526DA">
            <w:pPr>
              <w:tabs>
                <w:tab w:val="center" w:pos="284"/>
              </w:tabs>
              <w:ind w:left="266" w:right="206" w:hanging="374"/>
              <w:rPr>
                <w:b/>
              </w:rPr>
            </w:pPr>
            <w:r>
              <w:rPr>
                <w:b/>
                <w:bCs/>
              </w:rPr>
              <w:t>Raportor:</w:t>
            </w:r>
          </w:p>
        </w:tc>
        <w:tc>
          <w:tcPr>
            <w:tcW w:w="7479" w:type="dxa"/>
          </w:tcPr>
          <w:p w14:paraId="4C613172" w14:textId="2BD1B530" w:rsidR="001653D7" w:rsidRPr="001653D7" w:rsidRDefault="001653D7" w:rsidP="007526DA">
            <w:pPr>
              <w:tabs>
                <w:tab w:val="center" w:pos="284"/>
              </w:tabs>
              <w:ind w:left="266" w:hanging="374"/>
            </w:pPr>
            <w:r>
              <w:t>José Antonio MORENO DÍAZ (Grupul „Lucrători” – ES)</w:t>
            </w:r>
          </w:p>
        </w:tc>
      </w:tr>
      <w:tr w:rsidR="00205469" w:rsidRPr="00100EF9" w14:paraId="60304579" w14:textId="77777777" w:rsidTr="00D0608D">
        <w:tc>
          <w:tcPr>
            <w:tcW w:w="1559" w:type="dxa"/>
          </w:tcPr>
          <w:p w14:paraId="2F580098" w14:textId="77777777" w:rsidR="00205469" w:rsidRPr="003F66F7" w:rsidRDefault="00205469" w:rsidP="00100EF9">
            <w:pPr>
              <w:tabs>
                <w:tab w:val="center" w:pos="284"/>
              </w:tabs>
              <w:ind w:left="266" w:hanging="374"/>
              <w:rPr>
                <w:b/>
                <w:lang w:val="es-ES"/>
              </w:rPr>
            </w:pPr>
          </w:p>
        </w:tc>
        <w:tc>
          <w:tcPr>
            <w:tcW w:w="7479" w:type="dxa"/>
          </w:tcPr>
          <w:p w14:paraId="5E1B80FD" w14:textId="77777777" w:rsidR="00205469" w:rsidRPr="001653D7" w:rsidRDefault="00205469" w:rsidP="00100EF9">
            <w:pPr>
              <w:tabs>
                <w:tab w:val="center" w:pos="284"/>
              </w:tabs>
              <w:ind w:left="266" w:hanging="374"/>
              <w:rPr>
                <w:lang w:val="es-ES"/>
              </w:rPr>
            </w:pPr>
          </w:p>
        </w:tc>
      </w:tr>
      <w:tr w:rsidR="001653D7" w:rsidRPr="00153E09" w14:paraId="396210B3" w14:textId="77777777" w:rsidTr="00D0608D">
        <w:tc>
          <w:tcPr>
            <w:tcW w:w="1559" w:type="dxa"/>
          </w:tcPr>
          <w:p w14:paraId="2CCAB3DC" w14:textId="20B51A7D" w:rsidR="001653D7" w:rsidRPr="001653D7" w:rsidRDefault="007F5CA4" w:rsidP="007526DA">
            <w:pPr>
              <w:tabs>
                <w:tab w:val="center" w:pos="284"/>
              </w:tabs>
              <w:ind w:left="266" w:hanging="374"/>
              <w:rPr>
                <w:b/>
              </w:rPr>
            </w:pPr>
            <w:r>
              <w:rPr>
                <w:b/>
              </w:rPr>
              <w:t>R</w:t>
            </w:r>
            <w:r w:rsidR="001653D7">
              <w:rPr>
                <w:b/>
              </w:rPr>
              <w:t>eferinț</w:t>
            </w:r>
            <w:r>
              <w:rPr>
                <w:b/>
              </w:rPr>
              <w:t>e</w:t>
            </w:r>
            <w:r w:rsidR="001653D7">
              <w:rPr>
                <w:b/>
              </w:rPr>
              <w:t>:</w:t>
            </w:r>
          </w:p>
        </w:tc>
        <w:tc>
          <w:tcPr>
            <w:tcW w:w="7479" w:type="dxa"/>
          </w:tcPr>
          <w:p w14:paraId="7762C1AE" w14:textId="23946629" w:rsidR="001653D7" w:rsidRPr="001653D7" w:rsidRDefault="001653D7" w:rsidP="007526DA">
            <w:pPr>
              <w:tabs>
                <w:tab w:val="center" w:pos="284"/>
              </w:tabs>
              <w:ind w:left="266" w:hanging="374"/>
            </w:pPr>
            <w:r>
              <w:t>COM(2025) 540 final</w:t>
            </w:r>
          </w:p>
          <w:p w14:paraId="22AD2A59" w14:textId="56B0125B" w:rsidR="001653D7" w:rsidRPr="001653D7" w:rsidRDefault="001653D7" w:rsidP="007526DA">
            <w:pPr>
              <w:tabs>
                <w:tab w:val="center" w:pos="284"/>
              </w:tabs>
              <w:ind w:left="266" w:hanging="374"/>
            </w:pPr>
            <w:r>
              <w:t>COM(2025) 541 final</w:t>
            </w:r>
          </w:p>
          <w:p w14:paraId="63B53E3C" w14:textId="5CBBC2DD" w:rsidR="001653D7" w:rsidRDefault="001653D7" w:rsidP="00100EF9">
            <w:pPr>
              <w:tabs>
                <w:tab w:val="center" w:pos="284"/>
              </w:tabs>
              <w:ind w:left="266" w:hanging="374"/>
            </w:pPr>
            <w:r>
              <w:t>COM(2025) 542 final</w:t>
            </w:r>
          </w:p>
          <w:p w14:paraId="683E4ECE" w14:textId="10942A06" w:rsidR="00205469" w:rsidRPr="001653D7" w:rsidRDefault="00205469" w:rsidP="00100EF9">
            <w:pPr>
              <w:tabs>
                <w:tab w:val="center" w:pos="284"/>
              </w:tabs>
              <w:ind w:left="266" w:hanging="374"/>
            </w:pPr>
            <w:r>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Pr>
          <w:b/>
        </w:rPr>
        <w:t>Punctele principale</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t>CESE:</w:t>
      </w:r>
    </w:p>
    <w:p w14:paraId="2EB60443" w14:textId="6C1CCA6C" w:rsidR="001653D7" w:rsidRPr="001653D7" w:rsidRDefault="001653D7" w:rsidP="007526DA">
      <w:pPr>
        <w:numPr>
          <w:ilvl w:val="0"/>
          <w:numId w:val="19"/>
        </w:numPr>
        <w:ind w:left="567" w:hanging="567"/>
        <w:contextualSpacing/>
        <w:rPr>
          <w:bCs/>
          <w:iCs/>
        </w:rPr>
      </w:pPr>
      <w:r>
        <w:t xml:space="preserve">subliniază că este necesar să se instituie fără întârziere o politică în domeniul imigrației care să ofere căi legale, sigure și eficace de acces în UE. Această poziție se aliniază la avizele sale anterioare, în care CESE a subliniat că este important să se asigure căi legale de intrare în UE, protejând drepturile fundamentale ale </w:t>
      </w:r>
      <w:proofErr w:type="spellStart"/>
      <w:r>
        <w:t>migranților</w:t>
      </w:r>
      <w:proofErr w:type="spellEnd"/>
      <w:r>
        <w:t xml:space="preserve"> și îmbunătățind gestionarea mobilității în cadrul UE</w:t>
      </w:r>
      <w:r w:rsidR="007F5CA4">
        <w:t>;</w:t>
      </w:r>
    </w:p>
    <w:p w14:paraId="17CE5961" w14:textId="77777777" w:rsidR="001653D7" w:rsidRPr="001653D7" w:rsidRDefault="001653D7" w:rsidP="007526DA">
      <w:pPr>
        <w:numPr>
          <w:ilvl w:val="0"/>
          <w:numId w:val="19"/>
        </w:numPr>
        <w:ind w:left="567" w:hanging="567"/>
        <w:contextualSpacing/>
        <w:rPr>
          <w:bCs/>
          <w:iCs/>
        </w:rPr>
      </w:pPr>
      <w:r>
        <w:t>observă că cele trei regulamente, privite în ansamblu, evidențiază o reorientare structurală a priorităților UE, cu o schimbare semnificativă în direcția controlului și a securității. Accentul puternic pus pe securitate, atât la nivel intern, cât și extern, tinde să neglijeze măsurile de sprijin pentru integrare și incluziune. CESE subliniază că politica în domeniul migrației nu poate fi redusă la o abordare bazată pe securitate;</w:t>
      </w:r>
    </w:p>
    <w:p w14:paraId="6247AC50" w14:textId="2196DCA5" w:rsidR="001653D7" w:rsidRPr="001653D7" w:rsidRDefault="001653D7" w:rsidP="007526DA">
      <w:pPr>
        <w:numPr>
          <w:ilvl w:val="0"/>
          <w:numId w:val="19"/>
        </w:numPr>
        <w:ind w:left="567" w:hanging="567"/>
        <w:contextualSpacing/>
        <w:rPr>
          <w:bCs/>
          <w:iCs/>
        </w:rPr>
      </w:pPr>
      <w:r>
        <w:t>observă că un set complet de instrumente și de mecanisme de gestionare a migrației legale și de evitare a neregulilor constituie o componentă esențială a unui sistem de migrație funcțional (inclusiv de returnare, după caz), și în deplină conformitate cu dreptul UE și cu dreptul internațional. Cu toate acestea, punerea lor în aplicare trebuie să fie atent echilibrată, și să respecte drepturile fundamentale, în special dreptul la protecție individuală</w:t>
      </w:r>
      <w:r w:rsidR="007F5CA4">
        <w:t>;</w:t>
      </w:r>
    </w:p>
    <w:p w14:paraId="72AA5D3D" w14:textId="77777777" w:rsidR="001653D7" w:rsidRPr="001653D7" w:rsidRDefault="001653D7" w:rsidP="007526DA">
      <w:pPr>
        <w:numPr>
          <w:ilvl w:val="0"/>
          <w:numId w:val="19"/>
        </w:numPr>
        <w:ind w:left="567" w:hanging="567"/>
        <w:contextualSpacing/>
        <w:rPr>
          <w:bCs/>
          <w:iCs/>
        </w:rPr>
      </w:pPr>
      <w:r>
        <w:t>consideră că este esențial să se îmbunătățească mecanismele de monitorizare independentă a drepturilor fundamentale și a condițiilor umanitare la frontiere, cu ajutorul unor mecanisme de raportare transparente;</w:t>
      </w:r>
    </w:p>
    <w:p w14:paraId="0CC7E7BF" w14:textId="77777777" w:rsidR="001653D7" w:rsidRPr="001653D7" w:rsidRDefault="001653D7" w:rsidP="007526DA">
      <w:pPr>
        <w:numPr>
          <w:ilvl w:val="0"/>
          <w:numId w:val="19"/>
        </w:numPr>
        <w:ind w:left="567" w:hanging="567"/>
        <w:contextualSpacing/>
        <w:rPr>
          <w:bCs/>
          <w:iCs/>
        </w:rPr>
      </w:pPr>
      <w:r>
        <w:t>consideră că cele trei regulamente adoptate împreună pentru perioada 2028-2034 pun un accent puternic pe măsurile de securitate și pe externalizarea controlului la frontiere și ridică semne de întrebare cu privire la potențialele riscuri la adresa drepturilor fundamentale. Este esențial să se garanteze, totodată, că drepturile fundamentale ale omului sunt protejate.</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4"/>
      </w:tblGrid>
      <w:tr w:rsidR="001653D7" w:rsidRPr="001653D7" w14:paraId="211429B1" w14:textId="77777777" w:rsidTr="007F5CA4">
        <w:tc>
          <w:tcPr>
            <w:tcW w:w="937" w:type="pct"/>
          </w:tcPr>
          <w:p w14:paraId="13CD8E19" w14:textId="77777777" w:rsidR="001653D7" w:rsidRPr="001653D7" w:rsidRDefault="001653D7" w:rsidP="00100EF9">
            <w:pPr>
              <w:rPr>
                <w:i/>
              </w:rPr>
            </w:pPr>
            <w:r>
              <w:rPr>
                <w:b/>
                <w:i/>
              </w:rPr>
              <w:t>Date de contact:</w:t>
            </w:r>
          </w:p>
        </w:tc>
        <w:tc>
          <w:tcPr>
            <w:tcW w:w="4063" w:type="pct"/>
          </w:tcPr>
          <w:p w14:paraId="4FD1075C" w14:textId="32E95F9F" w:rsidR="001653D7" w:rsidRPr="00D05167" w:rsidRDefault="001653D7" w:rsidP="00100EF9">
            <w:pPr>
              <w:rPr>
                <w:i/>
              </w:rPr>
            </w:pPr>
            <w:proofErr w:type="spellStart"/>
            <w:r>
              <w:rPr>
                <w:i/>
              </w:rPr>
              <w:t>Gemma</w:t>
            </w:r>
            <w:proofErr w:type="spellEnd"/>
            <w:r>
              <w:rPr>
                <w:i/>
              </w:rPr>
              <w:t xml:space="preserve"> </w:t>
            </w:r>
            <w:proofErr w:type="spellStart"/>
            <w:r>
              <w:rPr>
                <w:i/>
              </w:rPr>
              <w:t>Amran</w:t>
            </w:r>
            <w:proofErr w:type="spellEnd"/>
          </w:p>
        </w:tc>
      </w:tr>
      <w:tr w:rsidR="001653D7" w:rsidRPr="001653D7" w14:paraId="3BC05E8A" w14:textId="77777777" w:rsidTr="007F5CA4">
        <w:tc>
          <w:tcPr>
            <w:tcW w:w="937" w:type="pct"/>
          </w:tcPr>
          <w:p w14:paraId="1D9039E7" w14:textId="77777777" w:rsidR="001653D7" w:rsidRPr="001653D7" w:rsidRDefault="001653D7" w:rsidP="00100EF9">
            <w:pPr>
              <w:rPr>
                <w:i/>
              </w:rPr>
            </w:pPr>
            <w:r>
              <w:rPr>
                <w:i/>
              </w:rPr>
              <w:t>Tel.:</w:t>
            </w:r>
          </w:p>
        </w:tc>
        <w:tc>
          <w:tcPr>
            <w:tcW w:w="4063" w:type="pct"/>
          </w:tcPr>
          <w:p w14:paraId="410A1B26" w14:textId="0CC1E8ED" w:rsidR="001653D7" w:rsidRPr="00D05167" w:rsidRDefault="001653D7" w:rsidP="00100EF9">
            <w:pPr>
              <w:rPr>
                <w:i/>
              </w:rPr>
            </w:pPr>
            <w:r>
              <w:rPr>
                <w:i/>
              </w:rPr>
              <w:t>+32 25469415</w:t>
            </w:r>
          </w:p>
        </w:tc>
      </w:tr>
      <w:tr w:rsidR="001653D7" w:rsidRPr="001653D7" w14:paraId="653F335D" w14:textId="77777777" w:rsidTr="007F5CA4">
        <w:tc>
          <w:tcPr>
            <w:tcW w:w="937" w:type="pct"/>
          </w:tcPr>
          <w:p w14:paraId="5DF7B6E3" w14:textId="77777777" w:rsidR="001653D7" w:rsidRPr="001653D7" w:rsidRDefault="001653D7" w:rsidP="00100EF9">
            <w:pPr>
              <w:rPr>
                <w:i/>
              </w:rPr>
            </w:pPr>
            <w:r>
              <w:rPr>
                <w:i/>
              </w:rPr>
              <w:t>E-mail:</w:t>
            </w:r>
          </w:p>
        </w:tc>
        <w:tc>
          <w:tcPr>
            <w:tcW w:w="4063" w:type="pct"/>
          </w:tcPr>
          <w:p w14:paraId="03300BBE" w14:textId="77777777" w:rsidR="001653D7" w:rsidRPr="001653D7" w:rsidRDefault="00480E26" w:rsidP="00100EF9">
            <w:pPr>
              <w:rPr>
                <w:i/>
              </w:rPr>
            </w:pPr>
            <w:hyperlink r:id="rId30" w:history="1">
              <w:r w:rsidR="00E235D3">
                <w:rPr>
                  <w:i/>
                  <w:color w:val="0000FF"/>
                  <w:u w:val="single"/>
                </w:rPr>
                <w:t>Gemma.Amran@eesc.europa.eu</w:t>
              </w:r>
            </w:hyperlink>
          </w:p>
        </w:tc>
      </w:tr>
    </w:tbl>
    <w:p w14:paraId="4982DDC4" w14:textId="77777777" w:rsidR="004D7AC0" w:rsidRPr="00803CA6" w:rsidRDefault="004D7AC0" w:rsidP="00100EF9">
      <w:pPr>
        <w:pStyle w:val="ListParagraph"/>
        <w:ind w:left="0"/>
      </w:pPr>
    </w:p>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3513690"/>
      <w:r>
        <w:rPr>
          <w:b/>
        </w:rPr>
        <w:lastRenderedPageBreak/>
        <w:t>SECȚIUNEA PENTRU TRANSPORTURI, ENERGIE, INFRASTRUCTURĂ ȘI SOCIETATEA INFORMAȚIONALĂ</w:t>
      </w:r>
      <w:bookmarkEnd w:id="24"/>
      <w:bookmarkEnd w:id="25"/>
      <w:bookmarkEnd w:id="26"/>
    </w:p>
    <w:p w14:paraId="4982DDC7" w14:textId="77777777" w:rsidR="004D7AC0" w:rsidRDefault="004D7AC0" w:rsidP="00100EF9"/>
    <w:p w14:paraId="33F22FD2" w14:textId="2A2F8B4D" w:rsidR="00B55C6C" w:rsidRPr="00B55C6C" w:rsidRDefault="00480E26" w:rsidP="00100EF9">
      <w:pPr>
        <w:widowControl w:val="0"/>
        <w:numPr>
          <w:ilvl w:val="0"/>
          <w:numId w:val="6"/>
        </w:numPr>
        <w:ind w:hanging="567"/>
        <w:rPr>
          <w:sz w:val="24"/>
          <w:szCs w:val="24"/>
        </w:rPr>
      </w:pPr>
      <w:hyperlink r:id="rId31" w:history="1">
        <w:r w:rsidR="00E235D3">
          <w:rPr>
            <w:b/>
            <w:i/>
            <w:color w:val="0000FF"/>
            <w:sz w:val="24"/>
            <w:u w:val="single"/>
          </w:rPr>
          <w:t>Strategia în domeniul științelor vieții din Europa și Strategia privind infrastructurile de cercetare și tehnologie cu accent pe tratamentul bolilor rare</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Pr>
                <w:b/>
                <w:bCs/>
              </w:rPr>
              <w:t>Raportoare:</w:t>
            </w:r>
          </w:p>
        </w:tc>
        <w:tc>
          <w:tcPr>
            <w:tcW w:w="7400" w:type="dxa"/>
          </w:tcPr>
          <w:p w14:paraId="2077B4EE" w14:textId="7CFFDBD7" w:rsidR="0027149A" w:rsidRPr="00B55C6C" w:rsidRDefault="00B55C6C" w:rsidP="00100EF9">
            <w:pPr>
              <w:tabs>
                <w:tab w:val="center" w:pos="284"/>
              </w:tabs>
              <w:ind w:left="266" w:hanging="266"/>
            </w:pPr>
            <w:r>
              <w:t>Milena ANGELOVA (Grupul „Angajatori” – 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Pr>
                <w:b/>
              </w:rPr>
              <w:t xml:space="preserve">Referință: </w:t>
            </w:r>
          </w:p>
        </w:tc>
        <w:tc>
          <w:tcPr>
            <w:tcW w:w="7400" w:type="dxa"/>
          </w:tcPr>
          <w:p w14:paraId="6387FA0F" w14:textId="29179DE5" w:rsidR="00B55C6C" w:rsidRPr="00B55C6C" w:rsidRDefault="00B55C6C" w:rsidP="00100EF9">
            <w:pPr>
              <w:tabs>
                <w:tab w:val="center" w:pos="284"/>
              </w:tabs>
              <w:ind w:left="266" w:right="-108" w:hanging="266"/>
              <w:jc w:val="left"/>
            </w:pPr>
            <w:r>
              <w:t>Aviz exploratoriu la solicitarea Președinției cipriote a Consiliului UE</w:t>
            </w:r>
          </w:p>
          <w:p w14:paraId="72910B0E" w14:textId="77777777" w:rsidR="00B55C6C" w:rsidRPr="00B55C6C" w:rsidRDefault="00B55C6C" w:rsidP="00100EF9">
            <w:pPr>
              <w:tabs>
                <w:tab w:val="center" w:pos="284"/>
              </w:tabs>
              <w:ind w:left="266" w:hanging="266"/>
            </w:pPr>
            <w: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Punctele principale</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CESE:</w:t>
      </w:r>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r>
        <w:rPr>
          <w:color w:val="242424"/>
        </w:rPr>
        <w:t xml:space="preserve">salută strategia în domeniul științelor vieții din Europa și subliniază că asigurarea unei </w:t>
      </w:r>
      <w:r>
        <w:rPr>
          <w:b/>
          <w:bCs/>
          <w:color w:val="242424"/>
        </w:rPr>
        <w:t>abordări holistice</w:t>
      </w:r>
      <w:r>
        <w:rPr>
          <w:color w:val="242424"/>
        </w:rPr>
        <w:t xml:space="preserve"> și a unui mediu propice poate face din Europa </w:t>
      </w:r>
      <w:r>
        <w:rPr>
          <w:b/>
          <w:bCs/>
          <w:color w:val="242424"/>
        </w:rPr>
        <w:t>un lider mondial în domeniul științelor vieții</w:t>
      </w:r>
      <w:r>
        <w:rPr>
          <w:color w:val="242424"/>
        </w:rPr>
        <w:t xml:space="preserve"> (în special în ceea ce privește bolile rare și </w:t>
      </w:r>
      <w:proofErr w:type="spellStart"/>
      <w:r>
        <w:rPr>
          <w:color w:val="242424"/>
        </w:rPr>
        <w:t>genomica</w:t>
      </w:r>
      <w:proofErr w:type="spellEnd"/>
      <w:r>
        <w:rPr>
          <w:color w:val="242424"/>
        </w:rPr>
        <w:t>).</w:t>
      </w:r>
      <w:r>
        <w:rPr>
          <w:color w:val="242424"/>
          <w:u w:val="single"/>
        </w:rPr>
        <w:t xml:space="preserve"> O astfel de </w:t>
      </w:r>
      <w:r>
        <w:rPr>
          <w:b/>
          <w:bCs/>
          <w:color w:val="242424"/>
          <w:u w:val="single"/>
        </w:rPr>
        <w:t>abordare</w:t>
      </w:r>
      <w:r>
        <w:rPr>
          <w:color w:val="242424"/>
          <w:u w:val="single"/>
        </w:rPr>
        <w:t xml:space="preserve"> implică:</w:t>
      </w:r>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metode științifice și bazate pe date cuprinzătoare pentru diagnosticarea și înțelegerea cauzelor bolilor (de exemplu, genetică, obiceiuri și stiluri de viață nesănătoase, poluare, stres etc.);</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difuzarea de informații privind prevenția și diagnosticarea precoce;</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screening, tratament eficace și accesibil;</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îngrijire de înaltă calitate și o infrastructură de sprijin accesibilă pentru pacienți și familiile acestora.</w:t>
      </w:r>
    </w:p>
    <w:p w14:paraId="65EEE98A" w14:textId="6241E09C"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sprijină apelul Parlamentului European pentru adoptarea rapidă a unui </w:t>
      </w:r>
      <w:hyperlink r:id="rId32">
        <w:r>
          <w:rPr>
            <w:b/>
            <w:bCs/>
            <w:color w:val="242424"/>
            <w:u w:val="single"/>
          </w:rPr>
          <w:t xml:space="preserve">plan </w:t>
        </w:r>
        <w:r>
          <w:rPr>
            <w:b/>
            <w:bCs/>
            <w:color w:val="242424"/>
            <w:u w:val="single"/>
          </w:rPr>
          <w:t>d</w:t>
        </w:r>
        <w:r>
          <w:rPr>
            <w:b/>
            <w:bCs/>
            <w:color w:val="242424"/>
            <w:u w:val="single"/>
          </w:rPr>
          <w:t>e acțiune al UE privind bolile rare</w:t>
        </w:r>
      </w:hyperlink>
      <w:r>
        <w:t xml:space="preserve"> prin relansarea și dezvoltarea în continuare a </w:t>
      </w:r>
      <w:hyperlink r:id="rId33">
        <w:r>
          <w:rPr>
            <w:b/>
            <w:bCs/>
            <w:color w:val="242424"/>
            <w:u w:val="single"/>
          </w:rPr>
          <w:t xml:space="preserve">Apelului de la </w:t>
        </w:r>
        <w:r>
          <w:rPr>
            <w:b/>
            <w:bCs/>
            <w:color w:val="242424"/>
            <w:u w:val="single"/>
          </w:rPr>
          <w:t>T</w:t>
        </w:r>
        <w:r>
          <w:rPr>
            <w:b/>
            <w:bCs/>
            <w:color w:val="242424"/>
            <w:u w:val="single"/>
          </w:rPr>
          <w:t>artu pentru un stil de viață sănătos</w:t>
        </w:r>
      </w:hyperlink>
      <w:r>
        <w:t xml:space="preserve"> și prin adoptarea </w:t>
      </w:r>
      <w:hyperlink r:id="rId34">
        <w:r>
          <w:rPr>
            <w:b/>
            <w:bCs/>
            <w:color w:val="242424"/>
            <w:u w:val="single"/>
          </w:rPr>
          <w:t>abord</w:t>
        </w:r>
        <w:r>
          <w:rPr>
            <w:b/>
            <w:bCs/>
            <w:color w:val="242424"/>
            <w:u w:val="single"/>
          </w:rPr>
          <w:t>ă</w:t>
        </w:r>
        <w:r>
          <w:rPr>
            <w:b/>
            <w:bCs/>
            <w:color w:val="242424"/>
            <w:u w:val="single"/>
          </w:rPr>
          <w:t>rii „O singură sănătate”</w:t>
        </w:r>
      </w:hyperlink>
      <w:r>
        <w:rPr>
          <w:b/>
          <w:bCs/>
        </w:rPr>
        <w:t>;</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consideră că infrastructura de cercetare și tehnologică (inclusiv cea axată pe bolile rare) este un factor-cheie pentru dezvoltarea științelor vieții și a economiei longevității și că ar trebui să includă </w:t>
      </w:r>
      <w:r>
        <w:rPr>
          <w:b/>
          <w:bCs/>
          <w:color w:val="242424"/>
        </w:rPr>
        <w:t>întreaga cultură a longevității</w:t>
      </w:r>
      <w:r>
        <w:rPr>
          <w:color w:val="242424"/>
        </w:rPr>
        <w:t xml:space="preserve"> (inclusiv prevenția, alimentația sănătoasă, stilul de viață, tratamentele balneare și recreerea, sănătatea fizică și mintală și multe alte elemente), dincolo de diagnosticarea și tratarea bolilor;</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recomandă înființarea unor </w:t>
      </w:r>
      <w:r>
        <w:rPr>
          <w:b/>
          <w:bCs/>
          <w:color w:val="242424"/>
        </w:rPr>
        <w:t>centre translaționale pentru bolile rare în fiecare stat membru</w:t>
      </w:r>
      <w:r>
        <w:rPr>
          <w:color w:val="242424"/>
        </w:rPr>
        <w:t>, coordonate la nivelul UE, din motive de coerență;</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subliniază că parteneriatele europene sunt vitale pentru promovarea implicării semnificative și structurate a întregului spectru de părți interesate și solicită mecanisme formalizate pentru participarea acestora;</w:t>
      </w:r>
    </w:p>
    <w:p w14:paraId="007C9EE2" w14:textId="77777777"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pledează pentru </w:t>
      </w:r>
      <w:r>
        <w:rPr>
          <w:b/>
          <w:bCs/>
          <w:color w:val="242424"/>
        </w:rPr>
        <w:t>reprezentarea obligatorie a organizațiilor pacienților, a partenerilor sociali și a societății civile în organismele de guvernanță</w:t>
      </w:r>
      <w:r>
        <w:rPr>
          <w:color w:val="242424"/>
        </w:rPr>
        <w:t>, care, printr-o implicare structurată, transparentă și sistematică, va permite definirea priorităților și a protocoalelor de date, a cerințelor de transparență privind deciziile și utilizarea datelor, precum și a unui mecanism care să asigure integrarea efectivă a contribuțiilor lor.</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B55C6C" w14:paraId="1B7BB807" w14:textId="77777777" w:rsidTr="00D0608D">
        <w:tc>
          <w:tcPr>
            <w:tcW w:w="1668" w:type="dxa"/>
          </w:tcPr>
          <w:p w14:paraId="28C13E10" w14:textId="77777777" w:rsidR="00B55C6C" w:rsidRPr="00B55C6C" w:rsidRDefault="00B55C6C" w:rsidP="00100EF9">
            <w:pPr>
              <w:rPr>
                <w:i/>
              </w:rPr>
            </w:pPr>
            <w:r>
              <w:rPr>
                <w:b/>
                <w:i/>
              </w:rPr>
              <w:t>Date de contact:</w:t>
            </w:r>
          </w:p>
        </w:tc>
        <w:tc>
          <w:tcPr>
            <w:tcW w:w="7404" w:type="dxa"/>
          </w:tcPr>
          <w:p w14:paraId="1876AA9B" w14:textId="77777777" w:rsidR="00B55C6C" w:rsidRPr="00B55C6C" w:rsidRDefault="00B55C6C" w:rsidP="00100EF9">
            <w:pPr>
              <w:rPr>
                <w:i/>
              </w:rPr>
            </w:pPr>
            <w:proofErr w:type="spellStart"/>
            <w:r>
              <w:rPr>
                <w:i/>
              </w:rPr>
              <w:t>Konstantina</w:t>
            </w:r>
            <w:proofErr w:type="spellEnd"/>
            <w:r>
              <w:rPr>
                <w:i/>
              </w:rPr>
              <w:t xml:space="preserve"> </w:t>
            </w:r>
            <w:proofErr w:type="spellStart"/>
            <w:r>
              <w:rPr>
                <w:i/>
              </w:rPr>
              <w:t>Angelopoulou</w:t>
            </w:r>
            <w:proofErr w:type="spellEnd"/>
          </w:p>
        </w:tc>
      </w:tr>
      <w:tr w:rsidR="00B55C6C" w:rsidRPr="00B55C6C" w14:paraId="3A6228E8" w14:textId="77777777" w:rsidTr="00D0608D">
        <w:tc>
          <w:tcPr>
            <w:tcW w:w="1668" w:type="dxa"/>
          </w:tcPr>
          <w:p w14:paraId="744FB576" w14:textId="77777777" w:rsidR="00B55C6C" w:rsidRPr="00B55C6C" w:rsidRDefault="00B55C6C" w:rsidP="00100EF9">
            <w:pPr>
              <w:rPr>
                <w:i/>
              </w:rPr>
            </w:pPr>
            <w:r>
              <w:rPr>
                <w:i/>
              </w:rPr>
              <w:t>Tel.:</w:t>
            </w:r>
          </w:p>
        </w:tc>
        <w:tc>
          <w:tcPr>
            <w:tcW w:w="7404" w:type="dxa"/>
          </w:tcPr>
          <w:p w14:paraId="30F176AA" w14:textId="69662FEA" w:rsidR="00B55C6C" w:rsidRPr="00B55C6C" w:rsidRDefault="00B55C6C" w:rsidP="00100EF9">
            <w:pPr>
              <w:rPr>
                <w:i/>
              </w:rPr>
            </w:pPr>
            <w:r>
              <w:rPr>
                <w:i/>
              </w:rPr>
              <w:t>+32 25469747</w:t>
            </w:r>
          </w:p>
        </w:tc>
      </w:tr>
      <w:tr w:rsidR="00B55C6C" w:rsidRPr="00B55C6C" w14:paraId="3F5E6411" w14:textId="77777777" w:rsidTr="00D0608D">
        <w:tc>
          <w:tcPr>
            <w:tcW w:w="1668" w:type="dxa"/>
          </w:tcPr>
          <w:p w14:paraId="62C81B41" w14:textId="1E9E1B5D" w:rsidR="00B55C6C" w:rsidRPr="00B55C6C" w:rsidRDefault="00256B74" w:rsidP="00100EF9">
            <w:pPr>
              <w:rPr>
                <w:i/>
              </w:rPr>
            </w:pPr>
            <w:r>
              <w:rPr>
                <w:i/>
              </w:rPr>
              <w:t>E-mail:</w:t>
            </w:r>
          </w:p>
        </w:tc>
        <w:tc>
          <w:tcPr>
            <w:tcW w:w="7404" w:type="dxa"/>
          </w:tcPr>
          <w:p w14:paraId="31CA77B0" w14:textId="77777777" w:rsidR="00B55C6C" w:rsidRPr="00B55C6C" w:rsidRDefault="00480E26" w:rsidP="00100EF9">
            <w:pPr>
              <w:rPr>
                <w:i/>
                <w:iCs/>
              </w:rPr>
            </w:pPr>
            <w:hyperlink r:id="rId35" w:history="1">
              <w:r w:rsidR="00E235D3">
                <w:rPr>
                  <w:i/>
                  <w:color w:val="0000FF"/>
                  <w:u w:val="single"/>
                </w:rPr>
                <w:t>Konstantina.Angelopoulou@eesc.europa.eu</w:t>
              </w:r>
            </w:hyperlink>
          </w:p>
        </w:tc>
      </w:tr>
    </w:tbl>
    <w:p w14:paraId="4483536B" w14:textId="77777777" w:rsidR="00EE1B31" w:rsidRDefault="00EE1B31" w:rsidP="00100EF9">
      <w:pPr>
        <w:jc w:val="left"/>
      </w:pPr>
      <w:r>
        <w:br w:type="page"/>
      </w:r>
    </w:p>
    <w:p w14:paraId="20E4C813" w14:textId="328C87C4" w:rsidR="00594237" w:rsidRPr="00594237" w:rsidRDefault="00480E26" w:rsidP="00100EF9">
      <w:pPr>
        <w:widowControl w:val="0"/>
        <w:numPr>
          <w:ilvl w:val="0"/>
          <w:numId w:val="6"/>
        </w:numPr>
        <w:overflowPunct w:val="0"/>
        <w:autoSpaceDE w:val="0"/>
        <w:autoSpaceDN w:val="0"/>
        <w:adjustRightInd w:val="0"/>
        <w:ind w:hanging="567"/>
        <w:textAlignment w:val="baseline"/>
        <w:rPr>
          <w:sz w:val="20"/>
          <w:szCs w:val="20"/>
        </w:rPr>
      </w:pPr>
      <w:hyperlink r:id="rId36" w:history="1">
        <w:r w:rsidR="00E235D3">
          <w:rPr>
            <w:b/>
            <w:i/>
            <w:color w:val="0000FF"/>
            <w:sz w:val="28"/>
            <w:u w:val="single"/>
          </w:rPr>
          <w:t>Interconexiuni energetice, rețele electrice</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Pr>
                <w:b/>
                <w:bCs/>
              </w:rPr>
              <w:t>Raportor:</w:t>
            </w:r>
          </w:p>
        </w:tc>
        <w:tc>
          <w:tcPr>
            <w:tcW w:w="7405" w:type="dxa"/>
          </w:tcPr>
          <w:p w14:paraId="01328C57" w14:textId="544140E5" w:rsidR="00F172E5" w:rsidRPr="00594237" w:rsidRDefault="00594237" w:rsidP="00100EF9">
            <w:pPr>
              <w:tabs>
                <w:tab w:val="center" w:pos="284"/>
              </w:tabs>
              <w:overflowPunct w:val="0"/>
              <w:autoSpaceDE w:val="0"/>
              <w:autoSpaceDN w:val="0"/>
              <w:adjustRightInd w:val="0"/>
              <w:ind w:left="266" w:hanging="266"/>
              <w:textAlignment w:val="baseline"/>
            </w:pPr>
            <w:proofErr w:type="spellStart"/>
            <w:r>
              <w:t>Christophe</w:t>
            </w:r>
            <w:proofErr w:type="spellEnd"/>
            <w:r>
              <w:t xml:space="preserve"> BÉGUINET (Grupul „Lucrători” –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t>Aviz exploratoriu la solicitarea Președinției cipriote a Consiliului UE</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CESE:</w:t>
      </w:r>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subliniază că sectorul european al energiei electrice trebuie să aibă capacitatea de a prevedea necesitățile sistemului energetic la nivelul UE și în țările partenere, pe baza unui scenariu energetic comun stabilit de Comisie și de operatori naționali de sisteme;</w:t>
      </w:r>
    </w:p>
    <w:p w14:paraId="61E86BFD" w14:textId="42AD665A"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observă că valoarea interconexiunilor ar trebui privită fie din perspectiva unui beneficiu împărțit între două țări, într-o abordare bilaterală, fie din perspectiva căutării unui beneficiu global pentru sistem, dincolo de cele două țări care găzduiesc interconexiunea. Pentru acest al doilea caz, trebuie să apară noi modele economice ca urmare a colaborării dintre Agenția UE pentru Cooperarea Autorităților de Reglementare din Domeniul Energiei (ACER), autoritățile naționale de reglementare și operatorii de rețea</w:t>
      </w:r>
      <w:r w:rsidR="007F5CA4">
        <w:t>;</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subliniază că, pentru ca interconexiunile să fie eficiente, dezvoltarea lor trebuie să fie însoțită de dezvoltarea infrastructurilor naționale relevante, în special la nivelul operatorilor de transport și de distribuție. Crearea capacității de interconexiune trebuie să constituie o oportunitate de a promova solidaritatea europeană în raport cu rețelele de energie electrică;</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subliniază că optimizarea economică a sistemului european de energie electrică necesită instalarea pe scară largă de contoare inteligente, investiții suplimentare în rețelele de transport și distribuție și asigurarea accesibilității datelor privind fluxul de energie;</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subliniază că securitatea sistemului de energie electrică reprezintă o prioritate, în raport cu schimbările climatice, atacurile fizice, actele de sabotaj, riscurile cibernetice și riscul legat de echilibrarea sistemului;</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solicită optimizarea infrastructurii existente trebuie considerate prioritară înainte de a lua în considerare posibilitatea dezvoltării unei noi infrastructuri.</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7423"/>
      </w:tblGrid>
      <w:tr w:rsidR="00594237" w:rsidRPr="00594237" w14:paraId="0AB1B93A" w14:textId="77777777" w:rsidTr="00D0608D">
        <w:tc>
          <w:tcPr>
            <w:tcW w:w="1668" w:type="dxa"/>
          </w:tcPr>
          <w:p w14:paraId="07D8992D" w14:textId="77777777" w:rsidR="00594237" w:rsidRPr="00594237" w:rsidRDefault="00594237" w:rsidP="00100EF9">
            <w:pPr>
              <w:overflowPunct w:val="0"/>
              <w:autoSpaceDE w:val="0"/>
              <w:autoSpaceDN w:val="0"/>
              <w:adjustRightInd w:val="0"/>
              <w:textAlignment w:val="baseline"/>
              <w:rPr>
                <w:i/>
              </w:rPr>
            </w:pPr>
            <w:r>
              <w:rPr>
                <w:b/>
                <w:i/>
              </w:rPr>
              <w:t>Date de contact:</w:t>
            </w:r>
          </w:p>
        </w:tc>
        <w:tc>
          <w:tcPr>
            <w:tcW w:w="7512" w:type="dxa"/>
          </w:tcPr>
          <w:p w14:paraId="1B78F73E" w14:textId="78914975" w:rsidR="00594237" w:rsidRPr="00594237" w:rsidRDefault="00594237" w:rsidP="00100EF9">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594237" w:rsidRPr="00594237" w14:paraId="6912C935" w14:textId="77777777" w:rsidTr="00D0608D">
        <w:tc>
          <w:tcPr>
            <w:tcW w:w="1668" w:type="dxa"/>
          </w:tcPr>
          <w:p w14:paraId="5F1BA648" w14:textId="77777777" w:rsidR="00594237" w:rsidRPr="00594237" w:rsidRDefault="00594237" w:rsidP="00100EF9">
            <w:pPr>
              <w:overflowPunct w:val="0"/>
              <w:autoSpaceDE w:val="0"/>
              <w:autoSpaceDN w:val="0"/>
              <w:adjustRightInd w:val="0"/>
              <w:textAlignment w:val="baseline"/>
              <w:rPr>
                <w:i/>
              </w:rPr>
            </w:pPr>
            <w:r>
              <w:rPr>
                <w:i/>
              </w:rPr>
              <w:t>Tel.:</w:t>
            </w:r>
          </w:p>
        </w:tc>
        <w:tc>
          <w:tcPr>
            <w:tcW w:w="7512" w:type="dxa"/>
          </w:tcPr>
          <w:p w14:paraId="42C70B8C" w14:textId="0FF6B91B" w:rsidR="00594237" w:rsidRPr="00594237" w:rsidRDefault="00594237" w:rsidP="00100EF9">
            <w:pPr>
              <w:overflowPunct w:val="0"/>
              <w:autoSpaceDE w:val="0"/>
              <w:autoSpaceDN w:val="0"/>
              <w:adjustRightInd w:val="0"/>
              <w:textAlignment w:val="baseline"/>
              <w:rPr>
                <w:i/>
              </w:rPr>
            </w:pPr>
            <w:r>
              <w:rPr>
                <w:i/>
              </w:rPr>
              <w:t>+32 25468535</w:t>
            </w:r>
          </w:p>
        </w:tc>
      </w:tr>
      <w:tr w:rsidR="00594237" w:rsidRPr="00594237" w14:paraId="2BBC59B6" w14:textId="77777777" w:rsidTr="00D0608D">
        <w:tc>
          <w:tcPr>
            <w:tcW w:w="1668" w:type="dxa"/>
          </w:tcPr>
          <w:p w14:paraId="10BDDDCF" w14:textId="77777777" w:rsidR="00594237" w:rsidRPr="00594237" w:rsidRDefault="00594237" w:rsidP="00100EF9">
            <w:pPr>
              <w:overflowPunct w:val="0"/>
              <w:autoSpaceDE w:val="0"/>
              <w:autoSpaceDN w:val="0"/>
              <w:adjustRightInd w:val="0"/>
              <w:textAlignment w:val="baseline"/>
              <w:rPr>
                <w:i/>
              </w:rPr>
            </w:pPr>
            <w:r>
              <w:rPr>
                <w:i/>
              </w:rPr>
              <w:t>E-mail:</w:t>
            </w:r>
          </w:p>
        </w:tc>
        <w:tc>
          <w:tcPr>
            <w:tcW w:w="7512" w:type="dxa"/>
          </w:tcPr>
          <w:p w14:paraId="5EF302B9" w14:textId="77777777" w:rsidR="00594237" w:rsidRPr="00594237" w:rsidRDefault="00480E26" w:rsidP="00100EF9">
            <w:pPr>
              <w:overflowPunct w:val="0"/>
              <w:autoSpaceDE w:val="0"/>
              <w:autoSpaceDN w:val="0"/>
              <w:adjustRightInd w:val="0"/>
              <w:textAlignment w:val="baseline"/>
              <w:rPr>
                <w:i/>
              </w:rPr>
            </w:pPr>
            <w:hyperlink r:id="rId37" w:history="1">
              <w:r w:rsidR="00E235D3">
                <w:rPr>
                  <w:i/>
                  <w:color w:val="0000FF"/>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513691"/>
      <w:r>
        <w:rPr>
          <w:b/>
        </w:rPr>
        <w:lastRenderedPageBreak/>
        <w:t>SECȚIUNEA PENTRU AGRICULTURĂ, DEZVOLTARE RURALĂ ȘI PROTECȚIA MEDIULUI</w:t>
      </w:r>
      <w:bookmarkEnd w:id="27"/>
      <w:bookmarkEnd w:id="28"/>
      <w:bookmarkEnd w:id="29"/>
    </w:p>
    <w:p w14:paraId="4982DE20" w14:textId="77777777" w:rsidR="004D7AC0" w:rsidRDefault="004D7AC0" w:rsidP="00100EF9"/>
    <w:p w14:paraId="2C76C141" w14:textId="0727FF4D" w:rsidR="00621347" w:rsidRPr="00621347" w:rsidRDefault="00480E26" w:rsidP="00100EF9">
      <w:pPr>
        <w:widowControl w:val="0"/>
        <w:numPr>
          <w:ilvl w:val="0"/>
          <w:numId w:val="6"/>
        </w:numPr>
        <w:overflowPunct w:val="0"/>
        <w:autoSpaceDE w:val="0"/>
        <w:autoSpaceDN w:val="0"/>
        <w:adjustRightInd w:val="0"/>
        <w:ind w:hanging="567"/>
        <w:textAlignment w:val="baseline"/>
        <w:rPr>
          <w:i/>
          <w:iCs/>
          <w:sz w:val="28"/>
          <w:szCs w:val="28"/>
        </w:rPr>
      </w:pPr>
      <w:hyperlink r:id="rId38" w:history="1">
        <w:r w:rsidR="00E235D3">
          <w:rPr>
            <w:b/>
            <w:i/>
            <w:color w:val="0000FF"/>
            <w:sz w:val="28"/>
            <w:u w:val="single"/>
          </w:rPr>
          <w:t>Foaie de parcurs către credite pentru natură</w:t>
        </w:r>
      </w:hyperlink>
    </w:p>
    <w:p w14:paraId="62E0B68C"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443"/>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bCs/>
              </w:rPr>
              <w:t>Raportor:</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r>
              <w:t>Arnaud SCHWARTZ (Grupul „Organizații ale societății civile” – FR)</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Coraportor:</w:t>
            </w:r>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proofErr w:type="spellStart"/>
            <w:r>
              <w:t>Teppo</w:t>
            </w:r>
            <w:proofErr w:type="spellEnd"/>
            <w:r>
              <w:t xml:space="preserve"> SÄKKINEN (Grupul „Angajatori” – FI)</w:t>
            </w:r>
          </w:p>
        </w:tc>
      </w:tr>
      <w:tr w:rsidR="00205469" w:rsidRPr="00621347" w14:paraId="778CD321" w14:textId="77777777" w:rsidTr="00D0608D">
        <w:tc>
          <w:tcPr>
            <w:tcW w:w="898" w:type="pct"/>
          </w:tcPr>
          <w:p w14:paraId="7759C9B9" w14:textId="77777777" w:rsidR="00205469" w:rsidRPr="003F66F7" w:rsidRDefault="00205469" w:rsidP="00100EF9">
            <w:pPr>
              <w:tabs>
                <w:tab w:val="center" w:pos="284"/>
              </w:tabs>
              <w:overflowPunct w:val="0"/>
              <w:autoSpaceDE w:val="0"/>
              <w:autoSpaceDN w:val="0"/>
              <w:adjustRightInd w:val="0"/>
              <w:ind w:left="266" w:hanging="266"/>
              <w:textAlignment w:val="baseline"/>
              <w:rPr>
                <w:b/>
                <w:lang w:val="en-G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 xml:space="preserve">Referință: </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pPr>
            <w:r>
              <w:t>COM(2025) 374 final</w:t>
            </w:r>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Comitetul solicită Comisiei Europene:</w:t>
      </w:r>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r>
        <w:t>asigurarea îndeplinirii obiectivelor de finanțare a biodiversității stabilite de cadrul global pentru biodiversitate. Acest lucru necesită o finanțare publică suficientă, stabilă și în timp util, inclusiv din bugetul UE, și eliminarea treptată a subvențiilor dăunătoare mediului, cum ar fi subvențiile pentru combustibilii fosili. Creditele pentru natură pot fi un instrument care contribuie la eliminarea deficitului de finanțare și la mobilizarea finanțării private, completând fondurile publice, fără însă a le înlocui;</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r>
        <w:t>asigurarea respectării legislației de mediu și a principiilor fundamentale, ca instrument eficient de asigurare a atingerii obiectivelor în materie de biodiversitate, a deficitului de finanțare și a unui cadru fiabil de credite pentru natură;</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r>
        <w:t>să garanteze că la baza cadrului pentru creditele pentru natură și pentru piețe se află principii stricte de înaltă integritate, precum și ierarhia măsurilor de atenuare și alte garanții sociale, în materie de climă și de mediu, și să evalueze în mod sistematic conformitatea proiectelor cu acestea. Metodologiile utilizate ar trebui să fie globale și științifice, și ar trebui să se fondeze pe o abordare integrată din punct de vedere ecologic, bazată pe rezultate;</w:t>
      </w:r>
      <w:bookmarkEnd w:id="35"/>
    </w:p>
    <w:p w14:paraId="6AA0E980" w14:textId="56B8789E" w:rsidR="00621347" w:rsidRPr="00F43315" w:rsidRDefault="00621347" w:rsidP="007526DA">
      <w:pPr>
        <w:pStyle w:val="ListParagraph"/>
        <w:numPr>
          <w:ilvl w:val="0"/>
          <w:numId w:val="29"/>
        </w:numPr>
        <w:ind w:left="567" w:hanging="578"/>
        <w:rPr>
          <w:szCs w:val="20"/>
        </w:rPr>
      </w:pPr>
      <w:bookmarkStart w:id="36" w:name="_Toc222825840"/>
      <w:r>
        <w:t>să se asigure că cadrul de guvernanță pentru piața creditelor pentru natură este bazat pe date științifice, favorabil incluziunii, transparent și participativ, cu un accent puternic pe actorii cu potențial de refacere și conservare a naturii, precum și pe grupurile vulnerabile și marginalizate, cum ar fi tinerii, femeile, comunitățile rurale și popoarele indigene. Ar trebui să se asigure gestionarea și proprietatea transparentă și echitabilă a datelor</w:t>
      </w:r>
      <w:bookmarkEnd w:id="36"/>
      <w:r w:rsidR="007F5CA4">
        <w:t>;</w:t>
      </w:r>
    </w:p>
    <w:p w14:paraId="3A2AC039" w14:textId="2F75D698" w:rsidR="00621347" w:rsidRPr="00F43315" w:rsidRDefault="00621347" w:rsidP="007526DA">
      <w:pPr>
        <w:pStyle w:val="ListParagraph"/>
        <w:numPr>
          <w:ilvl w:val="0"/>
          <w:numId w:val="29"/>
        </w:numPr>
        <w:ind w:left="567" w:hanging="578"/>
        <w:rPr>
          <w:szCs w:val="20"/>
        </w:rPr>
      </w:pPr>
      <w:bookmarkStart w:id="37" w:name="_Toc222825841"/>
      <w:r>
        <w:t>să abordeze cu prudență necesitatea unei directive sau a unui regulament, având în vedere că stabilirea de credite pentru natură ar trebui să rămână voluntară, respectând în același timp norme și criterii stricte. Cadrul ar trebui să se concentreze în principal asupra contribuțiilor pozitive, în timp ce recurgerea la compensare ar trebui lăsată la latitudinea statelor membre, astfel încât să nu submineze inițiativele ambițioase existente la nivel național;</w:t>
      </w:r>
      <w:bookmarkEnd w:id="37"/>
    </w:p>
    <w:p w14:paraId="151D13B1" w14:textId="3080CBDB" w:rsidR="00621347" w:rsidRPr="00F43315" w:rsidRDefault="00621347" w:rsidP="007526DA">
      <w:pPr>
        <w:pStyle w:val="ListParagraph"/>
        <w:numPr>
          <w:ilvl w:val="0"/>
          <w:numId w:val="29"/>
        </w:numPr>
        <w:ind w:left="567" w:hanging="578"/>
        <w:rPr>
          <w:szCs w:val="20"/>
        </w:rPr>
      </w:pPr>
      <w:bookmarkStart w:id="38" w:name="_Toc222825842"/>
      <w:r>
        <w:t>clarificarea alinierii creditelor pentru natură la alte politici, cum ar fi PAC. Creditele pentru natură trebuie create în așa fel încât să permită bioeconomiei, economiei circulare, producției alimentare sustenabile și silviculturii să prospere în UE; Cadrul ar trebui să evite adăugarea unei sarcini administrative inutile pentru operatorii din acest sector, în special pentru micii operatori, asigurând în același timp un nivel ridicat de integritate și o abordare bazată pe date științifice;</w:t>
      </w:r>
      <w:bookmarkEnd w:id="38"/>
    </w:p>
    <w:p w14:paraId="17891DA2" w14:textId="173A8059" w:rsidR="00621347" w:rsidRPr="00F43315" w:rsidRDefault="00621347" w:rsidP="007526DA">
      <w:pPr>
        <w:pStyle w:val="ListParagraph"/>
        <w:numPr>
          <w:ilvl w:val="0"/>
          <w:numId w:val="29"/>
        </w:numPr>
        <w:ind w:left="567" w:hanging="578"/>
        <w:rPr>
          <w:szCs w:val="20"/>
        </w:rPr>
      </w:pPr>
      <w:bookmarkStart w:id="39" w:name="_Toc222825843"/>
      <w:r>
        <w:t xml:space="preserve">să se asigure că creditele pentru natură nu duc la mercantilizare. Acapararea terenurilor și speculațiile ar trebui prevenite cu orice preț. Creditele pentru natură ar trebui să acorde </w:t>
      </w:r>
      <w:r>
        <w:lastRenderedPageBreak/>
        <w:t>întotdeauna prioritate integrității în detrimentul profitabilității pe termen scurt, precum și distribuirii echitabile a beneficiilor și să contribuie la reducerea inegalităților;</w:t>
      </w:r>
      <w:bookmarkEnd w:id="39"/>
    </w:p>
    <w:p w14:paraId="02428967" w14:textId="77777777" w:rsidR="00621347" w:rsidRPr="00F43315" w:rsidRDefault="00621347" w:rsidP="007526DA">
      <w:pPr>
        <w:pStyle w:val="ListParagraph"/>
        <w:numPr>
          <w:ilvl w:val="0"/>
          <w:numId w:val="29"/>
        </w:numPr>
        <w:ind w:left="567" w:hanging="578"/>
        <w:rPr>
          <w:szCs w:val="20"/>
        </w:rPr>
      </w:pPr>
      <w:bookmarkStart w:id="40" w:name="_Toc222825844"/>
      <w:r>
        <w:t>să se implice cu prudență în proiecte din afara UE, ținând seama de faptul că este posibil ca metodologiile și cadrele de guvernanță elaborate în Europa să nu corespundă contextelor sociale, culturale, juridice, politice și ecologice din străinătate, generând efecte pozitive asupra naturii în lanțurile lor valorice din afara UE.</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443"/>
      </w:tblGrid>
      <w:tr w:rsidR="00621347" w:rsidRPr="00621347" w14:paraId="4C4EEF76" w14:textId="77777777" w:rsidTr="00D0608D">
        <w:tc>
          <w:tcPr>
            <w:tcW w:w="898" w:type="pct"/>
          </w:tcPr>
          <w:p w14:paraId="3AF62EF9" w14:textId="77777777" w:rsidR="00621347" w:rsidRPr="00621347" w:rsidRDefault="00621347" w:rsidP="00100EF9">
            <w:pPr>
              <w:overflowPunct w:val="0"/>
              <w:autoSpaceDE w:val="0"/>
              <w:autoSpaceDN w:val="0"/>
              <w:adjustRightInd w:val="0"/>
              <w:textAlignment w:val="baseline"/>
              <w:rPr>
                <w:i/>
              </w:rPr>
            </w:pPr>
            <w:r>
              <w:rPr>
                <w:b/>
                <w:i/>
              </w:rPr>
              <w:t>Date de contact:</w:t>
            </w:r>
          </w:p>
        </w:tc>
        <w:tc>
          <w:tcPr>
            <w:tcW w:w="4102" w:type="pct"/>
          </w:tcPr>
          <w:p w14:paraId="1174E3AC" w14:textId="582EC194" w:rsidR="00621347" w:rsidRPr="00621347" w:rsidRDefault="00621347" w:rsidP="00100EF9">
            <w:pPr>
              <w:overflowPunct w:val="0"/>
              <w:autoSpaceDE w:val="0"/>
              <w:autoSpaceDN w:val="0"/>
              <w:adjustRightInd w:val="0"/>
              <w:textAlignment w:val="baseline"/>
              <w:rPr>
                <w:i/>
              </w:rPr>
            </w:pPr>
            <w:r>
              <w:rPr>
                <w:i/>
              </w:rPr>
              <w:t xml:space="preserve">Gaia </w:t>
            </w:r>
            <w:proofErr w:type="spellStart"/>
            <w:r>
              <w:rPr>
                <w:i/>
              </w:rPr>
              <w:t>Bottoni</w:t>
            </w:r>
            <w:proofErr w:type="spellEnd"/>
          </w:p>
        </w:tc>
      </w:tr>
      <w:tr w:rsidR="00621347" w:rsidRPr="00621347" w14:paraId="60C3DC59" w14:textId="77777777" w:rsidTr="00D0608D">
        <w:tc>
          <w:tcPr>
            <w:tcW w:w="898" w:type="pct"/>
          </w:tcPr>
          <w:p w14:paraId="0B4561A1" w14:textId="77777777" w:rsidR="00621347" w:rsidRPr="00621347" w:rsidRDefault="00621347" w:rsidP="00100EF9">
            <w:pPr>
              <w:overflowPunct w:val="0"/>
              <w:autoSpaceDE w:val="0"/>
              <w:autoSpaceDN w:val="0"/>
              <w:adjustRightInd w:val="0"/>
              <w:textAlignment w:val="baseline"/>
              <w:rPr>
                <w:i/>
              </w:rPr>
            </w:pPr>
            <w:r>
              <w:rPr>
                <w:i/>
              </w:rPr>
              <w:t>Tel.:</w:t>
            </w:r>
          </w:p>
        </w:tc>
        <w:tc>
          <w:tcPr>
            <w:tcW w:w="4102" w:type="pct"/>
          </w:tcPr>
          <w:p w14:paraId="7FBF1635" w14:textId="73B5954C" w:rsidR="00621347" w:rsidRPr="00621347" w:rsidRDefault="00621347" w:rsidP="00100EF9">
            <w:pPr>
              <w:overflowPunct w:val="0"/>
              <w:autoSpaceDE w:val="0"/>
              <w:autoSpaceDN w:val="0"/>
              <w:adjustRightInd w:val="0"/>
              <w:textAlignment w:val="baseline"/>
              <w:rPr>
                <w:i/>
              </w:rPr>
            </w:pPr>
            <w:r>
              <w:rPr>
                <w:i/>
              </w:rPr>
              <w:t>+32 25469447</w:t>
            </w:r>
          </w:p>
        </w:tc>
      </w:tr>
      <w:tr w:rsidR="00621347" w:rsidRPr="00621347" w14:paraId="5D7F6D2E" w14:textId="77777777" w:rsidTr="00D0608D">
        <w:tc>
          <w:tcPr>
            <w:tcW w:w="898" w:type="pct"/>
          </w:tcPr>
          <w:p w14:paraId="54E92E27" w14:textId="77777777" w:rsidR="00621347" w:rsidRPr="00621347" w:rsidRDefault="00621347" w:rsidP="00100EF9">
            <w:pPr>
              <w:overflowPunct w:val="0"/>
              <w:autoSpaceDE w:val="0"/>
              <w:autoSpaceDN w:val="0"/>
              <w:adjustRightInd w:val="0"/>
              <w:textAlignment w:val="baseline"/>
              <w:rPr>
                <w:i/>
              </w:rPr>
            </w:pPr>
            <w:r>
              <w:rPr>
                <w:i/>
              </w:rPr>
              <w:t>E-mail:</w:t>
            </w:r>
          </w:p>
        </w:tc>
        <w:tc>
          <w:tcPr>
            <w:tcW w:w="4102" w:type="pct"/>
          </w:tcPr>
          <w:p w14:paraId="109C769F" w14:textId="6021F70A" w:rsidR="00621347" w:rsidRPr="00621347" w:rsidRDefault="00480E26" w:rsidP="00100EF9">
            <w:pPr>
              <w:overflowPunct w:val="0"/>
              <w:autoSpaceDE w:val="0"/>
              <w:autoSpaceDN w:val="0"/>
              <w:adjustRightInd w:val="0"/>
              <w:textAlignment w:val="baseline"/>
              <w:rPr>
                <w:i/>
              </w:rPr>
            </w:pPr>
            <w:hyperlink r:id="rId39" w:history="1">
              <w:r w:rsidR="00E235D3">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513692"/>
      <w:r>
        <w:rPr>
          <w:b/>
          <w:color w:val="222A35" w:themeColor="text2" w:themeShade="80"/>
        </w:rPr>
        <w:lastRenderedPageBreak/>
        <w:t>COMISIA CONSULTATIVĂ PENTRU MUTAȚII INDUSTRIALE</w:t>
      </w:r>
      <w:bookmarkEnd w:id="41"/>
    </w:p>
    <w:p w14:paraId="713E272F" w14:textId="77777777" w:rsidR="006D2C8A" w:rsidRDefault="006D2C8A" w:rsidP="00100EF9"/>
    <w:p w14:paraId="3CC91A48" w14:textId="77009B70" w:rsidR="003534E0" w:rsidRPr="00153E09" w:rsidRDefault="00480E26" w:rsidP="00100EF9">
      <w:pPr>
        <w:widowControl w:val="0"/>
        <w:numPr>
          <w:ilvl w:val="0"/>
          <w:numId w:val="6"/>
        </w:numPr>
        <w:overflowPunct w:val="0"/>
        <w:autoSpaceDE w:val="0"/>
        <w:autoSpaceDN w:val="0"/>
        <w:adjustRightInd w:val="0"/>
        <w:ind w:hanging="567"/>
        <w:textAlignment w:val="baseline"/>
        <w:rPr>
          <w:sz w:val="20"/>
          <w:szCs w:val="20"/>
        </w:rPr>
      </w:pPr>
      <w:hyperlink r:id="rId40" w:history="1">
        <w:r w:rsidR="003534E0">
          <w:rPr>
            <w:b/>
            <w:i/>
            <w:color w:val="0000FF"/>
            <w:sz w:val="28"/>
            <w:u w:val="single"/>
          </w:rPr>
          <w:t>Modificarea Regulamentului (UE) 2024/1252 (Regulamentul privind materiile prime critice)</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rPr>
            </w:pPr>
            <w:r>
              <w:rPr>
                <w:b/>
                <w:sz w:val="20"/>
              </w:rPr>
              <w:t xml:space="preserve">Referință: </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rPr>
            </w:pPr>
            <w:r>
              <w:rPr>
                <w:sz w:val="20"/>
              </w:rPr>
              <w:t>COM(2025) 946 final</w:t>
            </w:r>
          </w:p>
          <w:p w14:paraId="5F1938C2" w14:textId="40D8E2D3" w:rsidR="00153E09" w:rsidRDefault="00153E09" w:rsidP="00100EF9">
            <w:pPr>
              <w:tabs>
                <w:tab w:val="center" w:pos="284"/>
              </w:tabs>
              <w:overflowPunct w:val="0"/>
              <w:autoSpaceDE w:val="0"/>
              <w:autoSpaceDN w:val="0"/>
              <w:adjustRightInd w:val="0"/>
              <w:textAlignment w:val="baseline"/>
              <w:rPr>
                <w:b/>
              </w:rPr>
            </w:pPr>
            <w:r>
              <w:rPr>
                <w:sz w:val="20"/>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rPr>
      </w:pPr>
      <w:r>
        <w:t xml:space="preserve">Întrucât, în opinia sa, conținutul propunerii este satisfăcător, iar acesta a făcut deja obiectul </w:t>
      </w:r>
      <w:hyperlink r:id="rId41" w:history="1">
        <w:r>
          <w:rPr>
            <w:color w:val="0000FF"/>
            <w:u w:val="single"/>
          </w:rPr>
          <w:t>avizului referitor la Regulamentul privind materiile prime critice</w:t>
        </w:r>
      </w:hyperlink>
      <w:r>
        <w:t>, adoptat la 12 iulie 2023, Comitetul a hotărât să emită un aviz favorabil cu privire la textul propus și să facă trimitere la poziția pe care a susținut-o în documentul anterior.</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7267"/>
      </w:tblGrid>
      <w:tr w:rsidR="003534E0" w:rsidRPr="003534E0" w14:paraId="1ABE88A2" w14:textId="77777777" w:rsidTr="007F5CA4">
        <w:tc>
          <w:tcPr>
            <w:tcW w:w="884" w:type="pct"/>
          </w:tcPr>
          <w:p w14:paraId="148D5606" w14:textId="77777777" w:rsidR="003534E0" w:rsidRPr="003534E0" w:rsidRDefault="003534E0" w:rsidP="007526DA">
            <w:pPr>
              <w:overflowPunct w:val="0"/>
              <w:autoSpaceDE w:val="0"/>
              <w:autoSpaceDN w:val="0"/>
              <w:adjustRightInd w:val="0"/>
              <w:ind w:hanging="110"/>
              <w:textAlignment w:val="baseline"/>
              <w:rPr>
                <w:i/>
              </w:rPr>
            </w:pPr>
            <w:r>
              <w:rPr>
                <w:b/>
                <w:i/>
              </w:rPr>
              <w:t>Date de contact:</w:t>
            </w:r>
          </w:p>
        </w:tc>
        <w:tc>
          <w:tcPr>
            <w:tcW w:w="4116" w:type="pct"/>
          </w:tcPr>
          <w:p w14:paraId="0D29E18D" w14:textId="5491D9AB" w:rsidR="003534E0" w:rsidRPr="003534E0" w:rsidRDefault="003534E0" w:rsidP="007526DA">
            <w:pPr>
              <w:overflowPunct w:val="0"/>
              <w:autoSpaceDE w:val="0"/>
              <w:autoSpaceDN w:val="0"/>
              <w:adjustRightInd w:val="0"/>
              <w:ind w:hanging="110"/>
              <w:textAlignment w:val="baseline"/>
              <w:rPr>
                <w:i/>
              </w:rPr>
            </w:pPr>
            <w:r>
              <w:rPr>
                <w:i/>
              </w:rPr>
              <w:t xml:space="preserve">Adam </w:t>
            </w:r>
            <w:proofErr w:type="spellStart"/>
            <w:r>
              <w:rPr>
                <w:i/>
              </w:rPr>
              <w:t>Dorywalski</w:t>
            </w:r>
            <w:proofErr w:type="spellEnd"/>
          </w:p>
        </w:tc>
      </w:tr>
      <w:tr w:rsidR="003534E0" w:rsidRPr="003534E0" w14:paraId="29310390" w14:textId="77777777" w:rsidTr="007F5CA4">
        <w:tc>
          <w:tcPr>
            <w:tcW w:w="884" w:type="pct"/>
          </w:tcPr>
          <w:p w14:paraId="1A8C815A" w14:textId="77777777" w:rsidR="003534E0" w:rsidRPr="003534E0" w:rsidRDefault="003534E0" w:rsidP="007526DA">
            <w:pPr>
              <w:overflowPunct w:val="0"/>
              <w:autoSpaceDE w:val="0"/>
              <w:autoSpaceDN w:val="0"/>
              <w:adjustRightInd w:val="0"/>
              <w:ind w:hanging="110"/>
              <w:textAlignment w:val="baseline"/>
              <w:rPr>
                <w:i/>
              </w:rPr>
            </w:pPr>
            <w:r>
              <w:rPr>
                <w:i/>
              </w:rPr>
              <w:t>Tel.:</w:t>
            </w:r>
          </w:p>
        </w:tc>
        <w:tc>
          <w:tcPr>
            <w:tcW w:w="4116" w:type="pct"/>
          </w:tcPr>
          <w:p w14:paraId="1B4B0CA6" w14:textId="23FF8050" w:rsidR="003534E0" w:rsidRPr="003534E0" w:rsidRDefault="003534E0" w:rsidP="007526DA">
            <w:pPr>
              <w:overflowPunct w:val="0"/>
              <w:autoSpaceDE w:val="0"/>
              <w:autoSpaceDN w:val="0"/>
              <w:adjustRightInd w:val="0"/>
              <w:ind w:hanging="110"/>
              <w:textAlignment w:val="baseline"/>
              <w:rPr>
                <w:i/>
              </w:rPr>
            </w:pPr>
            <w:r>
              <w:rPr>
                <w:i/>
              </w:rPr>
              <w:t>+32 25469397</w:t>
            </w:r>
          </w:p>
        </w:tc>
      </w:tr>
      <w:tr w:rsidR="003534E0" w:rsidRPr="003534E0" w14:paraId="4800E009" w14:textId="77777777" w:rsidTr="007F5CA4">
        <w:tc>
          <w:tcPr>
            <w:tcW w:w="884" w:type="pct"/>
          </w:tcPr>
          <w:p w14:paraId="58627B2F" w14:textId="77777777" w:rsidR="003534E0" w:rsidRPr="003534E0" w:rsidRDefault="003534E0" w:rsidP="007526DA">
            <w:pPr>
              <w:overflowPunct w:val="0"/>
              <w:autoSpaceDE w:val="0"/>
              <w:autoSpaceDN w:val="0"/>
              <w:adjustRightInd w:val="0"/>
              <w:ind w:hanging="110"/>
              <w:textAlignment w:val="baseline"/>
              <w:rPr>
                <w:i/>
              </w:rPr>
            </w:pPr>
            <w:r>
              <w:rPr>
                <w:i/>
              </w:rPr>
              <w:t>E-mail:</w:t>
            </w:r>
          </w:p>
        </w:tc>
        <w:tc>
          <w:tcPr>
            <w:tcW w:w="4116" w:type="pct"/>
          </w:tcPr>
          <w:p w14:paraId="551CAC0A" w14:textId="548021BC" w:rsidR="00E25EB4" w:rsidRPr="00153E09" w:rsidRDefault="00480E26" w:rsidP="007526DA">
            <w:pPr>
              <w:overflowPunct w:val="0"/>
              <w:autoSpaceDE w:val="0"/>
              <w:autoSpaceDN w:val="0"/>
              <w:adjustRightInd w:val="0"/>
              <w:ind w:hanging="110"/>
              <w:textAlignment w:val="baseline"/>
            </w:pPr>
            <w:hyperlink r:id="rId42" w:history="1">
              <w:r w:rsidR="003534E0">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6377872A" w:rsidR="00E25EB4" w:rsidRPr="00E25EB4" w:rsidRDefault="00480E26" w:rsidP="007F5CA4">
      <w:pPr>
        <w:widowControl w:val="0"/>
        <w:numPr>
          <w:ilvl w:val="0"/>
          <w:numId w:val="12"/>
        </w:numPr>
        <w:overflowPunct w:val="0"/>
        <w:autoSpaceDE w:val="0"/>
        <w:autoSpaceDN w:val="0"/>
        <w:adjustRightInd w:val="0"/>
        <w:ind w:left="567" w:hanging="567"/>
        <w:contextualSpacing/>
        <w:textAlignment w:val="baseline"/>
        <w:rPr>
          <w:rFonts w:ascii="Calibri" w:hAnsi="Calibri"/>
          <w:b/>
          <w:bCs/>
        </w:rPr>
      </w:pPr>
      <w:hyperlink r:id="rId43" w:tooltip="Consolidarea autonomiei strategice a UE și dezvoltarea unei economii mai ecologice și mai albastre: potențialul sectorului producției de baterii de sodiu" w:history="1">
        <w:r w:rsidR="00E235D3">
          <w:rPr>
            <w:b/>
            <w:i/>
            <w:color w:val="0000FF"/>
            <w:sz w:val="28"/>
            <w:u w:val="single"/>
          </w:rPr>
          <w:t>Consolidarea autonomiei strategice a UE și dezvoltarea unei economii mai ecologice și mai albastre: potențialul sectorului producției de baterii de sodiu</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bCs/>
              </w:rPr>
              <w:t>Raportor:</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r>
              <w:t>Paul RÜBIG (Grupul „Angajatori”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Coraportor:</w:t>
            </w:r>
          </w:p>
        </w:tc>
        <w:tc>
          <w:tcPr>
            <w:tcW w:w="7371" w:type="dxa"/>
          </w:tcPr>
          <w:p w14:paraId="4F795EAE" w14:textId="03919F06" w:rsidR="00E25EB4" w:rsidRPr="00E25EB4" w:rsidRDefault="00E25EB4" w:rsidP="00100EF9">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(Cat. 2 </w:t>
            </w:r>
            <w:r w:rsidR="007F5CA4">
              <w:t>–</w:t>
            </w:r>
            <w:r>
              <w:t xml:space="preserve"> FR)</w:t>
            </w:r>
          </w:p>
        </w:tc>
      </w:tr>
      <w:tr w:rsidR="00E25EB4" w:rsidRPr="00E25EB4" w14:paraId="4AD82EE5" w14:textId="77777777" w:rsidTr="00153E09">
        <w:tc>
          <w:tcPr>
            <w:tcW w:w="9072" w:type="dxa"/>
            <w:gridSpan w:val="2"/>
          </w:tcPr>
          <w:p w14:paraId="63F1B5CC" w14:textId="77777777" w:rsidR="00E25EB4" w:rsidRPr="00E25EB4" w:rsidRDefault="00E25EB4" w:rsidP="00100EF9">
            <w:pPr>
              <w:tabs>
                <w:tab w:val="center" w:pos="284"/>
              </w:tabs>
              <w:overflowPunct w:val="0"/>
              <w:autoSpaceDE w:val="0"/>
              <w:autoSpaceDN w:val="0"/>
              <w:adjustRightInd w:val="0"/>
              <w:ind w:left="266" w:hanging="266"/>
              <w:textAlignment w:val="baseline"/>
            </w:pPr>
          </w:p>
        </w:tc>
      </w:tr>
      <w:tr w:rsidR="00E25EB4" w:rsidRPr="00E25EB4" w14:paraId="758D199D" w14:textId="77777777" w:rsidTr="00153E09">
        <w:tc>
          <w:tcPr>
            <w:tcW w:w="1701" w:type="dxa"/>
          </w:tcPr>
          <w:p w14:paraId="628BF496" w14:textId="0E3B5E47" w:rsidR="00E25EB4" w:rsidRPr="00E25EB4" w:rsidRDefault="007F5CA4" w:rsidP="00100EF9">
            <w:pPr>
              <w:tabs>
                <w:tab w:val="center" w:pos="284"/>
              </w:tabs>
              <w:overflowPunct w:val="0"/>
              <w:autoSpaceDE w:val="0"/>
              <w:autoSpaceDN w:val="0"/>
              <w:adjustRightInd w:val="0"/>
              <w:ind w:left="266" w:hanging="266"/>
              <w:textAlignment w:val="baseline"/>
              <w:rPr>
                <w:b/>
              </w:rPr>
            </w:pPr>
            <w:r>
              <w:rPr>
                <w:b/>
              </w:rPr>
              <w:t>R</w:t>
            </w:r>
            <w:r w:rsidR="00E25EB4">
              <w:rPr>
                <w:b/>
              </w:rPr>
              <w:t>eferință:</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pPr>
            <w:r>
              <w:t>Aviz exploratoriu la solicitarea Comisiei Europene</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Punctele principale</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CESE:</w:t>
      </w:r>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consideră că bateriile cu sodiu reprezintă o tehnologie strategică și consideră că Europa are un potențial puternic de a-și asuma un rol de lider tehnologic în ceea ce privește sistemele de baterii cu apă sărată cu sodiu;</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subliniază potențialul bateriilor cu sodiu ca factori care contribuie la realizarea obiectivelor politicii industriale a UE: acestea susțin obiectivele Pactului verde al UE și ale Pactului albastru al UE, pot fi instrumente esențiale pentru atingerea autonomiei strategice, iar înființarea de giga fabrici de baterii cu sodiu ar stimula competitivitatea și ar crea locuri de muncă de-a lungul întregului lanț valoric;</w:t>
      </w:r>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subliniază că bateriile cu sodiu pot fi produse în întregime din materii prime europene, deoarece sodiul este disponibil din abundență pe continent și există un potențial tot mai mare pentru o industrie europeană de desalinizare și, prin urmare, poate reduce utilizarea materiilor prime critice;</w:t>
      </w:r>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solicită acțiuni decisive și coordonate la nivelul UE pentru a institui o industrie competitivă de fabricare a bateriilor cu sodiu, pe măsură ce bateriile cu sodiu avansează la nivel mondial, iar Europa riscă să adâncească decalajul;</w:t>
      </w:r>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recomandă o actualizare a parcursului industrial pentru baterii – care să acopere atât litiul, cât și sodiul, și care ar trebui să includă o foaie de parcurs care să abordeze nevoile forței de muncă și nevoile sociale, cu investiții în competențe, mobilitatea forței de muncă și implicarea strategică a IMM-urilor;</w:t>
      </w:r>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insistă asupra importanței eliminării compartimentării politicilor și a alinierii principalelor strategii ale UE (Busola pentru competitivitate, Strategia privind o Uniune a pregătirii, Planul de acțiune privind economia circulară și Strategia privind reziliența în domeniul apei) pentru a dezvolta un lanț valoric european al bateriilor cu sodiu care să servească obiectivelor strategice ale Europei;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recomandă subvenții pentru investiții, credite fiscale pentru producție, cereri de proiecte specifice, cupoane de investiții pentru cooperarea industriei cu organizațiile de cercetare și tehnologie;</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 xml:space="preserve">solicită un sprijin public flexibil, care să evite blocajele premature, și o mai bună activitate </w:t>
      </w:r>
      <w:proofErr w:type="spellStart"/>
      <w:r>
        <w:t>colaborativă</w:t>
      </w:r>
      <w:proofErr w:type="spellEnd"/>
      <w:r>
        <w:t xml:space="preserve"> de cercetare și dezvoltare, cofinanțată de guverne și industrie;</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 xml:space="preserve">recunoaște potențialul reconversiei siturilor industriale care sunt în prezent inactive sau care se închid în </w:t>
      </w:r>
      <w:proofErr w:type="spellStart"/>
      <w:r>
        <w:t>gigafabrici</w:t>
      </w:r>
      <w:proofErr w:type="spellEnd"/>
      <w:r>
        <w:t xml:space="preserve"> de baterii cu sodiu, ca o utilizare eficientă și responsabilă din punctul de vedere al mediului a infrastructurii existente;</w:t>
      </w:r>
    </w:p>
    <w:p w14:paraId="5946BDB2" w14:textId="77777777"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lastRenderedPageBreak/>
        <w:t>recunoaște importanța integrării proiectării ecologice și a reciclării în această industrie prelucrătoare, promovând un lanț valoric circular al bateriilor cu sodiu.</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7421"/>
      </w:tblGrid>
      <w:tr w:rsidR="00E25EB4" w:rsidRPr="00E25EB4" w14:paraId="3DADE2B6" w14:textId="77777777" w:rsidTr="00D0608D">
        <w:tc>
          <w:tcPr>
            <w:tcW w:w="1668" w:type="dxa"/>
          </w:tcPr>
          <w:p w14:paraId="16410084" w14:textId="77777777" w:rsidR="00E25EB4" w:rsidRPr="00E25EB4" w:rsidRDefault="00E25EB4" w:rsidP="00100EF9">
            <w:pPr>
              <w:overflowPunct w:val="0"/>
              <w:autoSpaceDE w:val="0"/>
              <w:autoSpaceDN w:val="0"/>
              <w:adjustRightInd w:val="0"/>
              <w:textAlignment w:val="baseline"/>
              <w:rPr>
                <w:i/>
              </w:rPr>
            </w:pPr>
            <w:r>
              <w:rPr>
                <w:b/>
                <w:i/>
              </w:rPr>
              <w:t>Date de contact:</w:t>
            </w:r>
          </w:p>
        </w:tc>
        <w:tc>
          <w:tcPr>
            <w:tcW w:w="7512" w:type="dxa"/>
          </w:tcPr>
          <w:p w14:paraId="56BD77E8" w14:textId="5D11D232" w:rsidR="00E25EB4" w:rsidRPr="00153E09" w:rsidRDefault="00E25EB4" w:rsidP="00100EF9">
            <w:pPr>
              <w:overflowPunct w:val="0"/>
              <w:autoSpaceDE w:val="0"/>
              <w:autoSpaceDN w:val="0"/>
              <w:adjustRightInd w:val="0"/>
              <w:textAlignment w:val="baseline"/>
              <w:rPr>
                <w:bCs/>
                <w:i/>
              </w:rPr>
            </w:pPr>
            <w:proofErr w:type="spellStart"/>
            <w:r>
              <w:rPr>
                <w:i/>
              </w:rPr>
              <w:t>Luís</w:t>
            </w:r>
            <w:proofErr w:type="spellEnd"/>
            <w:r>
              <w:rPr>
                <w:i/>
              </w:rPr>
              <w:t xml:space="preserve"> </w:t>
            </w:r>
            <w:proofErr w:type="spellStart"/>
            <w:r>
              <w:rPr>
                <w:i/>
              </w:rPr>
              <w:t>Barbosa</w:t>
            </w:r>
            <w:proofErr w:type="spellEnd"/>
            <w:r>
              <w:rPr>
                <w:i/>
              </w:rPr>
              <w:t xml:space="preserve"> E Silva</w:t>
            </w:r>
          </w:p>
        </w:tc>
      </w:tr>
      <w:tr w:rsidR="00E25EB4" w:rsidRPr="00E25EB4" w14:paraId="6AE7CB28" w14:textId="77777777" w:rsidTr="00D0608D">
        <w:tc>
          <w:tcPr>
            <w:tcW w:w="1668" w:type="dxa"/>
          </w:tcPr>
          <w:p w14:paraId="52DF3B61" w14:textId="77777777" w:rsidR="00E25EB4" w:rsidRPr="00E25EB4" w:rsidRDefault="00E25EB4" w:rsidP="00100EF9">
            <w:pPr>
              <w:overflowPunct w:val="0"/>
              <w:autoSpaceDE w:val="0"/>
              <w:autoSpaceDN w:val="0"/>
              <w:adjustRightInd w:val="0"/>
              <w:textAlignment w:val="baseline"/>
              <w:rPr>
                <w:i/>
              </w:rPr>
            </w:pPr>
            <w:r>
              <w:rPr>
                <w:i/>
              </w:rPr>
              <w:t>Tel.:</w:t>
            </w:r>
          </w:p>
        </w:tc>
        <w:tc>
          <w:tcPr>
            <w:tcW w:w="7512" w:type="dxa"/>
          </w:tcPr>
          <w:p w14:paraId="58F5DB38" w14:textId="05F56609" w:rsidR="00E25EB4" w:rsidRPr="00E25EB4" w:rsidRDefault="00E25EB4" w:rsidP="00100EF9">
            <w:pPr>
              <w:overflowPunct w:val="0"/>
              <w:autoSpaceDE w:val="0"/>
              <w:autoSpaceDN w:val="0"/>
              <w:adjustRightInd w:val="0"/>
              <w:textAlignment w:val="baseline"/>
              <w:rPr>
                <w:i/>
              </w:rPr>
            </w:pPr>
            <w:r>
              <w:rPr>
                <w:i/>
              </w:rPr>
              <w:t>+32 25468846</w:t>
            </w:r>
          </w:p>
        </w:tc>
      </w:tr>
      <w:tr w:rsidR="00E25EB4" w:rsidRPr="00E25EB4" w14:paraId="7DB45FE9" w14:textId="77777777" w:rsidTr="00D0608D">
        <w:trPr>
          <w:trHeight w:val="244"/>
        </w:trPr>
        <w:tc>
          <w:tcPr>
            <w:tcW w:w="1668" w:type="dxa"/>
          </w:tcPr>
          <w:p w14:paraId="5969B93D" w14:textId="77777777" w:rsidR="00E25EB4" w:rsidRPr="00E25EB4" w:rsidRDefault="00E25EB4" w:rsidP="00100EF9">
            <w:pPr>
              <w:overflowPunct w:val="0"/>
              <w:autoSpaceDE w:val="0"/>
              <w:autoSpaceDN w:val="0"/>
              <w:adjustRightInd w:val="0"/>
              <w:textAlignment w:val="baseline"/>
              <w:rPr>
                <w:i/>
              </w:rPr>
            </w:pPr>
            <w:r>
              <w:rPr>
                <w:i/>
              </w:rPr>
              <w:t>E-mail:</w:t>
            </w:r>
          </w:p>
        </w:tc>
        <w:tc>
          <w:tcPr>
            <w:tcW w:w="7512" w:type="dxa"/>
          </w:tcPr>
          <w:p w14:paraId="47F42ECE" w14:textId="789F877A" w:rsidR="00187E31" w:rsidRPr="00153E09" w:rsidRDefault="00480E26" w:rsidP="00100EF9">
            <w:pPr>
              <w:overflowPunct w:val="0"/>
              <w:autoSpaceDE w:val="0"/>
              <w:autoSpaceDN w:val="0"/>
              <w:adjustRightInd w:val="0"/>
              <w:textAlignment w:val="baseline"/>
              <w:rPr>
                <w:i/>
                <w:iCs/>
              </w:rPr>
            </w:pPr>
            <w:hyperlink r:id="rId44" w:history="1">
              <w:r w:rsidR="00E235D3">
                <w:rPr>
                  <w:i/>
                  <w:color w:val="0000FF"/>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r w:rsidR="00480E26">
      <w:fldChar w:fldCharType="begin"/>
    </w:r>
    <w:r w:rsidR="00480E26">
      <w:instrText xml:space="preserve"> NUMPAGES </w:instrText>
    </w:r>
    <w:r w:rsidR="00480E26">
      <w:fldChar w:fldCharType="separate"/>
    </w:r>
    <w:r w:rsidR="00E235D3">
      <w:t>15</w:t>
    </w:r>
    <w:r w:rsidR="00480E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r w:rsidR="00480E26">
      <w:fldChar w:fldCharType="begin"/>
    </w:r>
    <w:r w:rsidR="00480E26">
      <w:instrText xml:space="preserve"> NUMPAGES </w:instrText>
    </w:r>
    <w:r w:rsidR="00480E26">
      <w:fldChar w:fldCharType="separate"/>
    </w:r>
    <w:r w:rsidR="007526DA">
      <w:t>15</w:t>
    </w:r>
    <w:r w:rsidR="00480E2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4364"/>
    <w:rsid w:val="00010A4D"/>
    <w:rsid w:val="00043E7B"/>
    <w:rsid w:val="000638B5"/>
    <w:rsid w:val="00063DFF"/>
    <w:rsid w:val="000D394D"/>
    <w:rsid w:val="00100EF9"/>
    <w:rsid w:val="00120A45"/>
    <w:rsid w:val="00124E6A"/>
    <w:rsid w:val="001313E0"/>
    <w:rsid w:val="00153E09"/>
    <w:rsid w:val="001653D7"/>
    <w:rsid w:val="00167743"/>
    <w:rsid w:val="00187E31"/>
    <w:rsid w:val="001A1F1F"/>
    <w:rsid w:val="001A58BD"/>
    <w:rsid w:val="001A7538"/>
    <w:rsid w:val="001E391D"/>
    <w:rsid w:val="00205469"/>
    <w:rsid w:val="00210CBF"/>
    <w:rsid w:val="00250B70"/>
    <w:rsid w:val="00256B74"/>
    <w:rsid w:val="0027149A"/>
    <w:rsid w:val="00274F1A"/>
    <w:rsid w:val="0027678C"/>
    <w:rsid w:val="002A5636"/>
    <w:rsid w:val="002B7981"/>
    <w:rsid w:val="002D77C8"/>
    <w:rsid w:val="002F4AD1"/>
    <w:rsid w:val="00302594"/>
    <w:rsid w:val="003066BE"/>
    <w:rsid w:val="003066E2"/>
    <w:rsid w:val="003227CC"/>
    <w:rsid w:val="00323326"/>
    <w:rsid w:val="00326237"/>
    <w:rsid w:val="00340FA5"/>
    <w:rsid w:val="003452F9"/>
    <w:rsid w:val="003534E0"/>
    <w:rsid w:val="0037319B"/>
    <w:rsid w:val="0037722B"/>
    <w:rsid w:val="003B6923"/>
    <w:rsid w:val="003E1B8B"/>
    <w:rsid w:val="003F326D"/>
    <w:rsid w:val="003F4F92"/>
    <w:rsid w:val="003F66F7"/>
    <w:rsid w:val="003F79EF"/>
    <w:rsid w:val="00416286"/>
    <w:rsid w:val="00426372"/>
    <w:rsid w:val="0043191A"/>
    <w:rsid w:val="00462F24"/>
    <w:rsid w:val="004720FF"/>
    <w:rsid w:val="004A5CD7"/>
    <w:rsid w:val="004C4CDB"/>
    <w:rsid w:val="004C6DA8"/>
    <w:rsid w:val="004D1319"/>
    <w:rsid w:val="004D7AC0"/>
    <w:rsid w:val="00527B47"/>
    <w:rsid w:val="00532089"/>
    <w:rsid w:val="00532F99"/>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E284A"/>
    <w:rsid w:val="007F5784"/>
    <w:rsid w:val="007F5CA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35968"/>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5EB4"/>
    <w:rsid w:val="00E77899"/>
    <w:rsid w:val="00EE1B31"/>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ro/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3" Type="http://schemas.openxmlformats.org/officeDocument/2006/relationships/customXml" Target="../customXml/item3.xml"/><Relationship Id="rId21" Type="http://schemas.openxmlformats.org/officeDocument/2006/relationships/hyperlink" Target="https://www.eesc.europa.eu/en/our-work/opinions-information-reports/opinions/eppo-and-olaf-access-vat-information-union-level" TargetMode="External"/><Relationship Id="rId34" Type="http://schemas.openxmlformats.org/officeDocument/2006/relationships/hyperlink" Target="https://health.ec.europa.eu/one-health/overview_en"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island-dimension-european-cohesion-competitiveness-and-sustainable-development-policies" TargetMode="External"/><Relationship Id="rId33" Type="http://schemas.openxmlformats.org/officeDocument/2006/relationships/hyperlink" Target="https://health.ec.europa.eu/publications/tartu-call-healthy-lifestyle-joint-actions-promote-healthy-lifestyles_en" TargetMode="External"/><Relationship Id="rId38" Type="http://schemas.openxmlformats.org/officeDocument/2006/relationships/hyperlink" Target="https://www.eesc.europa.eu/en/our-work/opinions-information-reports/opinions/roadmap-towards-nature-credits"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esc.europa.eu/en/our-work/opinions-information-reports/opinions/union-support-asylum-migration-and-integration-internal-security-and-integrated-border-management-and-visa-policy" TargetMode="External"/><Relationship Id="rId41" Type="http://schemas.openxmlformats.org/officeDocument/2006/relationships/hyperlink" Target="https://eur-lex.europa.eu/legal-content/RO/TXT/?uri=CELEX%3A52023AE1573&amp;qid=177066864909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ro/our-work/opinions-information-reports/opinions/2026-european-semester-autumn-packag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en/our-work/opinions-information-reports/opinions/energy-connectivity-electricity-grid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en/our-work/opinions-information-reports/opinions/european-life-science-strategy-along-strategy-research-and-technology-infrastructures-focus-treatment-rare-diseases"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en/our-work/opinions-information-reports/opinions/revision-tobacco-taxation-directive"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en/our-work/opinions-information-reports/opinions/enhancing-eu-strategic-autonomy-and-developing-greener-and-bluer-economy-potential-sodium-battery-manufacturing-sector"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VP3JK3XSEPRV-2087481956-3337</_dlc_DocId>
    <_dlc_DocIdUrl xmlns="7d640e6d-779c-472f-a269-6b546787f1c9">
      <Url>http://dm/eesc/2026/_layouts/15/DocIdRedir.aspx?ID=VP3JK3XSEPRV-2087481956-3337</Url>
      <Description>VP3JK3XSEPRV-2087481956-3337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Soldan Aureliana Cristiana</DisplayName>
        <AccountId>1412</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2.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3.xml><?xml version="1.0" encoding="utf-8"?>
<ds:datastoreItem xmlns:ds="http://schemas.openxmlformats.org/officeDocument/2006/customXml" ds:itemID="{B84DA0DC-56D5-477D-9D25-96BD3EFA9953}"/>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A5982D98-2B49-4D8D-9E82-3A196D630916}">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603-a sesiune plenară - februarie 2026</dc:title>
  <dc:subject>ADMIN</dc:subject>
  <dc:creator/>
  <cp:keywords>COR-EESC-2022-02583-00-00-ADMIN-TRA-EN</cp:keywords>
  <dc:description>Rapporteur:  - Original language: EN - Date of document: 20/05/2022 - Date of meeting:  - External documents:  - Administrator:  SUCIU Serban</dc:description>
  <cp:lastModifiedBy/>
  <cp:revision>7</cp:revision>
  <dcterms:created xsi:type="dcterms:W3CDTF">2026-03-04T09:47:00Z</dcterms:created>
  <dcterms:modified xsi:type="dcterms:W3CDTF">2026-03-04T09:58:00Z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a83c4da7-e98d-4dc3-971b-f77b6faa30b1</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34;#HR|2f555653-ed1a-4fe6-8362-9082d95989e5;#31;#SL|98a412ae-eb01-49e9-ae3d-585a81724cfc;#28;#PT|50ccc04a-eadd-42ae-a0cb-acaf45f812ba;#27;#ET|ff6c3f4c-b02c-4c3c-ab07-2c37995a7a0a;#25;#FI|87606a43-d45f-42d6-b8c9-e1a3457db5b7;#44;#LT|a7ff5ce7-6123-4f68-865a-a57c31810414;#59;#SPL-CES|32d8cb1f-c9ec-4365-95c7-8385a18618ac;#19;#Unrestricted|826e22d7-d029-4ec0-a450-0c28ff673572;#18;#TCD|cd9d6eb6-3f4f-424a-b2d1-57c9d450eaaf;#51;#LV|46f7e311-5d9f-4663-b433-18aeccb7ace7;#13;#IT|0774613c-01ed-4e5d-a25d-11d2388de825;#12;#ES|e7a6b05b-ae16-40c8-add9-68b64b03aeba;#11;#DE|f6b31e5a-26fa-4935-b661-318e46daf27e;#9;#TRA|150d2a88-1431-44e6-a8ca-0bb753ab8672;#7;#Final|ea5e6674-7b27-4bac-b091-73adbb394efe;#43;#BG|1a1b3951-7821-4e6a-85f5-5673fc08bd2c;#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55;#RO|feb747a2-64cd-4299-af12-4833ddc30497</vt:lpwstr>
  </property>
  <property fmtid="{D5CDD505-2E9C-101B-9397-08002B2CF9AE}" pid="33" name="AvailableTranslations_0">
    <vt:lpwstr>HR|2f555653-ed1a-4fe6-8362-9082d95989e5;BG|1a1b3951-7821-4e6a-85f5-5673fc08bd2c;SL|98a412ae-eb01-49e9-ae3d-585a81724cfc;EN|f2175f21-25d7-44a3-96da-d6a61b075e1b;ES|e7a6b05b-ae16-40c8-add9-68b64b03aeba;DE|f6b31e5a-26fa-4935-b661-318e46daf27e;LT|a7ff5ce7-6123-4f68-865a-a57c31810414;FI|87606a43-d45f-42d6-b8c9-e1a3457db5b7;ET|ff6c3f4c-b02c-4c3c-ab07-2c37995a7a0a;LV|46f7e311-5d9f-4663-b433-18aeccb7ace7;PT|50ccc04a-eadd-42ae-a0cb-acaf45f812ba;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