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42A8D08F" w:rsidR="004D7AC0" w:rsidRDefault="009A5F4C" w:rsidP="00100EF9">
      <w:pPr>
        <w:jc w:val="center"/>
      </w:pPr>
      <w:r>
        <w:rPr>
          <w:noProof/>
        </w:rPr>
        <w:drawing>
          <wp:inline distT="0" distB="0" distL="0" distR="0" wp14:anchorId="23B92E0A" wp14:editId="19E35E64">
            <wp:extent cx="1792605" cy="1239520"/>
            <wp:effectExtent l="0" t="0" r="0" b="0"/>
            <wp:docPr id="1" name="Picture 1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6155DA8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100EF9"/>
    <w:p w14:paraId="4982DD4F" w14:textId="7AA8E975" w:rsidR="004D7AC0" w:rsidRDefault="004D7AC0" w:rsidP="00100EF9">
      <w:pPr>
        <w:jc w:val="right"/>
      </w:pPr>
      <w:r>
        <w:t>Bruxelas, 4 de março de 2026</w:t>
      </w:r>
    </w:p>
    <w:p w14:paraId="4982DD50" w14:textId="77777777" w:rsidR="004D7AC0" w:rsidRDefault="004D7AC0" w:rsidP="00100EF9"/>
    <w:p w14:paraId="4982DD51" w14:textId="77777777" w:rsidR="004D7AC0" w:rsidRDefault="004D7AC0" w:rsidP="00100EF9"/>
    <w:p w14:paraId="4982DD52" w14:textId="77777777" w:rsidR="004D7AC0" w:rsidRDefault="004D7AC0" w:rsidP="00100EF9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5E869ADC" w:rsidR="003066BE" w:rsidRDefault="004C4CDB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603.ª REUNIÃO PLENÁRIA</w:t>
            </w:r>
          </w:p>
          <w:p w14:paraId="4982DD54" w14:textId="77777777" w:rsidR="003066BE" w:rsidRDefault="003066BE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6CEFC9D4" w:rsidR="003066BE" w:rsidRDefault="003066E2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18 e 19 de fevereiro de 2026</w:t>
            </w:r>
          </w:p>
          <w:p w14:paraId="4982DD56" w14:textId="77777777" w:rsidR="003066BE" w:rsidRDefault="003066BE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100EF9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SÍNTESE DOS PARECERES, RESOLUÇÕES E RELATÓRIOS DE INFORMAÇÃO E AVALIAÇÃO ADOTADOS</w:t>
            </w:r>
          </w:p>
          <w:p w14:paraId="4982DD58" w14:textId="77777777" w:rsidR="004D7AC0" w:rsidRDefault="004D7AC0" w:rsidP="00100EF9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81153B" w:rsidRDefault="004D7AC0" w:rsidP="00100EF9">
            <w:pPr>
              <w:snapToGrid w:val="0"/>
              <w:jc w:val="center"/>
            </w:pPr>
            <w:r>
              <w:t>O presente documento pode ser consultado nas línguas oficiais da União Europeia no sítio Web do CESE, no seguinte endereço: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https://www.eesc.europa.eu/pt/our-work/opinions-information-reports/plenary-session-summaries</w:t>
              </w:r>
            </w:hyperlink>
          </w:p>
          <w:p w14:paraId="4982DD5B" w14:textId="77777777" w:rsidR="004D7AC0" w:rsidRPr="0081153B" w:rsidRDefault="004D7AC0" w:rsidP="00100EF9">
            <w:pPr>
              <w:snapToGrid w:val="0"/>
              <w:jc w:val="center"/>
            </w:pPr>
          </w:p>
          <w:p w14:paraId="4982DD5C" w14:textId="77777777" w:rsidR="004D7AC0" w:rsidRPr="0081153B" w:rsidRDefault="004D7AC0" w:rsidP="00100EF9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044561" w:rsidRDefault="004D7AC0" w:rsidP="00100EF9">
            <w:pPr>
              <w:snapToGrid w:val="0"/>
              <w:jc w:val="center"/>
            </w:pPr>
            <w:r>
              <w:t>Os pareceres mencionados podem ser consultados em linha através do motor de busca do CESE: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100EF9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100EF9"/>
    <w:p w14:paraId="4982DD61" w14:textId="77777777" w:rsidR="004D7AC0" w:rsidRDefault="004D7AC0" w:rsidP="00100EF9"/>
    <w:p w14:paraId="4982DD62" w14:textId="77777777" w:rsidR="004D7AC0" w:rsidRDefault="004D7AC0" w:rsidP="00100EF9">
      <w:pPr>
        <w:sectPr w:rsidR="004D7AC0" w:rsidSect="00153E09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 w:rsidP="00100EF9">
      <w:pPr>
        <w:rPr>
          <w:b/>
        </w:rPr>
      </w:pPr>
      <w:r>
        <w:rPr>
          <w:b/>
        </w:rPr>
        <w:lastRenderedPageBreak/>
        <w:t>Índice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100EF9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482431FF" w14:textId="5A75950A" w:rsidR="00997F66" w:rsidRDefault="004D7AC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015638" w:history="1">
            <w:r w:rsidR="00997F66" w:rsidRPr="00906CD1">
              <w:rPr>
                <w:rStyle w:val="Hyperlink"/>
                <w:bCs/>
                <w:noProof/>
              </w:rPr>
              <w:t>1.</w:t>
            </w:r>
            <w:r w:rsidR="00997F66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997F66" w:rsidRPr="00906CD1">
              <w:rPr>
                <w:rStyle w:val="Hyperlink"/>
                <w:b/>
                <w:noProof/>
              </w:rPr>
              <w:t>UNIÃO ECONÓMICA E MONETÁRIA E COESÃO ECONÓMICA E SOCIAL</w:t>
            </w:r>
            <w:r w:rsidR="00997F66">
              <w:rPr>
                <w:noProof/>
                <w:webHidden/>
              </w:rPr>
              <w:tab/>
            </w:r>
            <w:r w:rsidR="00997F66">
              <w:rPr>
                <w:noProof/>
                <w:webHidden/>
              </w:rPr>
              <w:fldChar w:fldCharType="begin"/>
            </w:r>
            <w:r w:rsidR="00997F66">
              <w:rPr>
                <w:noProof/>
                <w:webHidden/>
              </w:rPr>
              <w:instrText xml:space="preserve"> PAGEREF _Toc223015638 \h </w:instrText>
            </w:r>
            <w:r w:rsidR="00997F66">
              <w:rPr>
                <w:noProof/>
                <w:webHidden/>
              </w:rPr>
            </w:r>
            <w:r w:rsidR="00997F66">
              <w:rPr>
                <w:noProof/>
                <w:webHidden/>
              </w:rPr>
              <w:fldChar w:fldCharType="separate"/>
            </w:r>
            <w:r w:rsidR="00997F66">
              <w:rPr>
                <w:noProof/>
                <w:webHidden/>
              </w:rPr>
              <w:t>3</w:t>
            </w:r>
            <w:r w:rsidR="00997F66">
              <w:rPr>
                <w:noProof/>
                <w:webHidden/>
              </w:rPr>
              <w:fldChar w:fldCharType="end"/>
            </w:r>
          </w:hyperlink>
        </w:p>
        <w:p w14:paraId="2F9ECEF1" w14:textId="27958FDF" w:rsidR="00997F66" w:rsidRDefault="00F53A6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23015639" w:history="1">
            <w:r w:rsidR="00997F66" w:rsidRPr="00906CD1">
              <w:rPr>
                <w:rStyle w:val="Hyperlink"/>
                <w:bCs/>
                <w:noProof/>
              </w:rPr>
              <w:t>2.</w:t>
            </w:r>
            <w:r w:rsidR="00997F66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997F66" w:rsidRPr="00906CD1">
              <w:rPr>
                <w:rStyle w:val="Hyperlink"/>
                <w:b/>
                <w:noProof/>
              </w:rPr>
              <w:t>EMPREGO, ASSUNTOS SOCIAIS E CIDADANIA</w:t>
            </w:r>
            <w:r w:rsidR="00997F66">
              <w:rPr>
                <w:noProof/>
                <w:webHidden/>
              </w:rPr>
              <w:tab/>
            </w:r>
            <w:r w:rsidR="00997F66">
              <w:rPr>
                <w:noProof/>
                <w:webHidden/>
              </w:rPr>
              <w:fldChar w:fldCharType="begin"/>
            </w:r>
            <w:r w:rsidR="00997F66">
              <w:rPr>
                <w:noProof/>
                <w:webHidden/>
              </w:rPr>
              <w:instrText xml:space="preserve"> PAGEREF _Toc223015639 \h </w:instrText>
            </w:r>
            <w:r w:rsidR="00997F66">
              <w:rPr>
                <w:noProof/>
                <w:webHidden/>
              </w:rPr>
            </w:r>
            <w:r w:rsidR="00997F66">
              <w:rPr>
                <w:noProof/>
                <w:webHidden/>
              </w:rPr>
              <w:fldChar w:fldCharType="separate"/>
            </w:r>
            <w:r w:rsidR="00997F66">
              <w:rPr>
                <w:noProof/>
                <w:webHidden/>
              </w:rPr>
              <w:t>9</w:t>
            </w:r>
            <w:r w:rsidR="00997F66">
              <w:rPr>
                <w:noProof/>
                <w:webHidden/>
              </w:rPr>
              <w:fldChar w:fldCharType="end"/>
            </w:r>
          </w:hyperlink>
        </w:p>
        <w:p w14:paraId="7A75BC14" w14:textId="47180167" w:rsidR="00997F66" w:rsidRDefault="00F53A6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23015640" w:history="1">
            <w:r w:rsidR="00997F66" w:rsidRPr="00906CD1">
              <w:rPr>
                <w:rStyle w:val="Hyperlink"/>
                <w:bCs/>
                <w:noProof/>
              </w:rPr>
              <w:t>3.</w:t>
            </w:r>
            <w:r w:rsidR="00997F66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997F66" w:rsidRPr="00997F66">
              <w:rPr>
                <w:rStyle w:val="Hyperlink"/>
                <w:b/>
                <w:noProof/>
                <w:sz w:val="21"/>
                <w:szCs w:val="21"/>
              </w:rPr>
              <w:t>TRANSPORTES, ENERGIA, INFRAESTRUTURAS E SOCIEDADE DA INFORMAÇÃO</w:t>
            </w:r>
            <w:r w:rsidR="00997F66">
              <w:rPr>
                <w:noProof/>
                <w:webHidden/>
              </w:rPr>
              <w:tab/>
            </w:r>
            <w:r w:rsidR="00997F66">
              <w:rPr>
                <w:noProof/>
                <w:webHidden/>
              </w:rPr>
              <w:fldChar w:fldCharType="begin"/>
            </w:r>
            <w:r w:rsidR="00997F66">
              <w:rPr>
                <w:noProof/>
                <w:webHidden/>
              </w:rPr>
              <w:instrText xml:space="preserve"> PAGEREF _Toc223015640 \h </w:instrText>
            </w:r>
            <w:r w:rsidR="00997F66">
              <w:rPr>
                <w:noProof/>
                <w:webHidden/>
              </w:rPr>
            </w:r>
            <w:r w:rsidR="00997F66">
              <w:rPr>
                <w:noProof/>
                <w:webHidden/>
              </w:rPr>
              <w:fldChar w:fldCharType="separate"/>
            </w:r>
            <w:r w:rsidR="00997F66">
              <w:rPr>
                <w:noProof/>
                <w:webHidden/>
              </w:rPr>
              <w:t>10</w:t>
            </w:r>
            <w:r w:rsidR="00997F66">
              <w:rPr>
                <w:noProof/>
                <w:webHidden/>
              </w:rPr>
              <w:fldChar w:fldCharType="end"/>
            </w:r>
          </w:hyperlink>
        </w:p>
        <w:p w14:paraId="11BD44E1" w14:textId="7E4557F3" w:rsidR="00997F66" w:rsidRDefault="00F53A6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23015641" w:history="1">
            <w:r w:rsidR="00997F66" w:rsidRPr="00906CD1">
              <w:rPr>
                <w:rStyle w:val="Hyperlink"/>
                <w:bCs/>
                <w:noProof/>
              </w:rPr>
              <w:t>4.</w:t>
            </w:r>
            <w:r w:rsidR="00997F66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997F66" w:rsidRPr="00906CD1">
              <w:rPr>
                <w:rStyle w:val="Hyperlink"/>
                <w:b/>
                <w:noProof/>
              </w:rPr>
              <w:t>AGRICULTURA, DESENVOLVIMENTO RURAL E AMBIENTE</w:t>
            </w:r>
            <w:r w:rsidR="00997F66">
              <w:rPr>
                <w:noProof/>
                <w:webHidden/>
              </w:rPr>
              <w:tab/>
            </w:r>
            <w:r w:rsidR="00997F66">
              <w:rPr>
                <w:noProof/>
                <w:webHidden/>
              </w:rPr>
              <w:fldChar w:fldCharType="begin"/>
            </w:r>
            <w:r w:rsidR="00997F66">
              <w:rPr>
                <w:noProof/>
                <w:webHidden/>
              </w:rPr>
              <w:instrText xml:space="preserve"> PAGEREF _Toc223015641 \h </w:instrText>
            </w:r>
            <w:r w:rsidR="00997F66">
              <w:rPr>
                <w:noProof/>
                <w:webHidden/>
              </w:rPr>
            </w:r>
            <w:r w:rsidR="00997F66">
              <w:rPr>
                <w:noProof/>
                <w:webHidden/>
              </w:rPr>
              <w:fldChar w:fldCharType="separate"/>
            </w:r>
            <w:r w:rsidR="00997F66">
              <w:rPr>
                <w:noProof/>
                <w:webHidden/>
              </w:rPr>
              <w:t>13</w:t>
            </w:r>
            <w:r w:rsidR="00997F66">
              <w:rPr>
                <w:noProof/>
                <w:webHidden/>
              </w:rPr>
              <w:fldChar w:fldCharType="end"/>
            </w:r>
          </w:hyperlink>
        </w:p>
        <w:p w14:paraId="250817B9" w14:textId="4F07440E" w:rsidR="00997F66" w:rsidRDefault="00F53A68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223015642" w:history="1">
            <w:r w:rsidR="00997F66" w:rsidRPr="00906CD1">
              <w:rPr>
                <w:rStyle w:val="Hyperlink"/>
                <w:bCs/>
                <w:noProof/>
              </w:rPr>
              <w:t>5.</w:t>
            </w:r>
            <w:r w:rsidR="00997F66"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="00997F66" w:rsidRPr="00906CD1">
              <w:rPr>
                <w:rStyle w:val="Hyperlink"/>
                <w:b/>
                <w:noProof/>
              </w:rPr>
              <w:t>COMISSÃO CONSULTIVA DAS MUTAÇÕES INDUSTRIAIS</w:t>
            </w:r>
            <w:r w:rsidR="00997F66">
              <w:rPr>
                <w:noProof/>
                <w:webHidden/>
              </w:rPr>
              <w:tab/>
            </w:r>
            <w:r w:rsidR="00997F66">
              <w:rPr>
                <w:noProof/>
                <w:webHidden/>
              </w:rPr>
              <w:fldChar w:fldCharType="begin"/>
            </w:r>
            <w:r w:rsidR="00997F66">
              <w:rPr>
                <w:noProof/>
                <w:webHidden/>
              </w:rPr>
              <w:instrText xml:space="preserve"> PAGEREF _Toc223015642 \h </w:instrText>
            </w:r>
            <w:r w:rsidR="00997F66">
              <w:rPr>
                <w:noProof/>
                <w:webHidden/>
              </w:rPr>
            </w:r>
            <w:r w:rsidR="00997F66">
              <w:rPr>
                <w:noProof/>
                <w:webHidden/>
              </w:rPr>
              <w:fldChar w:fldCharType="separate"/>
            </w:r>
            <w:r w:rsidR="00997F66">
              <w:rPr>
                <w:noProof/>
                <w:webHidden/>
              </w:rPr>
              <w:t>15</w:t>
            </w:r>
            <w:r w:rsidR="00997F66">
              <w:rPr>
                <w:noProof/>
                <w:webHidden/>
              </w:rPr>
              <w:fldChar w:fldCharType="end"/>
            </w:r>
          </w:hyperlink>
        </w:p>
        <w:p w14:paraId="4982DD6A" w14:textId="4282DF96" w:rsidR="004D7AC0" w:rsidRDefault="004D7AC0" w:rsidP="00100EF9">
          <w:r>
            <w:rPr>
              <w:b/>
            </w:rPr>
            <w:fldChar w:fldCharType="end"/>
          </w:r>
        </w:p>
      </w:sdtContent>
    </w:sdt>
    <w:p w14:paraId="4982DD6B" w14:textId="77777777" w:rsidR="004D7AC0" w:rsidRDefault="004D7AC0" w:rsidP="00100EF9"/>
    <w:p w14:paraId="4982DD6C" w14:textId="77777777" w:rsidR="004D7AC0" w:rsidRDefault="004D7AC0" w:rsidP="00100EF9">
      <w:pPr>
        <w:jc w:val="left"/>
      </w:pPr>
      <w:r>
        <w:br w:type="page"/>
      </w:r>
    </w:p>
    <w:p w14:paraId="4982DD6D" w14:textId="77777777" w:rsidR="004D7AC0" w:rsidRDefault="004D7AC0" w:rsidP="00100EF9">
      <w:pPr>
        <w:pStyle w:val="Heading1"/>
        <w:rPr>
          <w:b/>
        </w:rPr>
      </w:pPr>
      <w:bookmarkStart w:id="0" w:name="_Toc223015638"/>
      <w:r>
        <w:rPr>
          <w:b/>
        </w:rPr>
        <w:lastRenderedPageBreak/>
        <w:t>UNIÃO ECONÓMICA E MONETÁRIA E COESÃO ECONÓMICA E SOCIAL</w:t>
      </w:r>
      <w:bookmarkEnd w:id="0"/>
    </w:p>
    <w:p w14:paraId="4982DD97" w14:textId="77777777" w:rsidR="004D7AC0" w:rsidRDefault="004D7AC0" w:rsidP="00100EF9">
      <w:pPr>
        <w:pStyle w:val="ListParagraph"/>
        <w:ind w:left="0"/>
      </w:pPr>
    </w:p>
    <w:p w14:paraId="14BFA1D1" w14:textId="1A45DFD8" w:rsidR="001A1F1F" w:rsidRPr="001A1F1F" w:rsidRDefault="00F53A68" w:rsidP="00100EF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16" w:history="1">
        <w:r w:rsidR="00E235D3">
          <w:rPr>
            <w:b/>
            <w:i/>
            <w:color w:val="0000FF"/>
            <w:sz w:val="28"/>
            <w:u w:val="single"/>
          </w:rPr>
          <w:t>Acesso da Procuradoria Europeia e do OLAF às informações sobre o IVA a nível da União</w:t>
        </w:r>
      </w:hyperlink>
    </w:p>
    <w:p w14:paraId="16AF8D1E" w14:textId="77777777" w:rsidR="001A1F1F" w:rsidRPr="00AC4C75" w:rsidRDefault="001A1F1F" w:rsidP="00100EF9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</w:rPr>
      </w:pPr>
    </w:p>
    <w:tbl>
      <w:tblPr>
        <w:tblStyle w:val="TableGrid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="001A1F1F" w:rsidRPr="001A1F1F" w14:paraId="0C010C9C" w14:textId="77777777" w:rsidTr="00601D8A">
        <w:tc>
          <w:tcPr>
            <w:tcW w:w="1701" w:type="dxa"/>
          </w:tcPr>
          <w:p w14:paraId="67C58898" w14:textId="77777777" w:rsidR="001A1F1F" w:rsidRPr="001A1F1F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7479" w:type="dxa"/>
          </w:tcPr>
          <w:p w14:paraId="2016211D" w14:textId="05A91267" w:rsidR="001A1F1F" w:rsidRPr="001A1F1F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Justyna Kalina Ochędzan (PL – Grupo das Organizações da Sociedade Civil)</w:t>
            </w:r>
          </w:p>
        </w:tc>
      </w:tr>
      <w:tr w:rsidR="00205469" w:rsidRPr="001A1F1F" w14:paraId="2E27DAF9" w14:textId="77777777" w:rsidTr="00601D8A">
        <w:tc>
          <w:tcPr>
            <w:tcW w:w="1701" w:type="dxa"/>
          </w:tcPr>
          <w:p w14:paraId="2C056183" w14:textId="77777777" w:rsidR="00205469" w:rsidRPr="001A1F1F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14:paraId="657AAC10" w14:textId="77777777" w:rsidR="00205469" w:rsidRPr="001A1F1F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1A1F1F" w:rsidRPr="001A1F1F" w14:paraId="7FD540DB" w14:textId="77777777" w:rsidTr="00601D8A">
        <w:tc>
          <w:tcPr>
            <w:tcW w:w="1701" w:type="dxa"/>
          </w:tcPr>
          <w:p w14:paraId="1F4D838E" w14:textId="0EE217C2" w:rsidR="001A1F1F" w:rsidRPr="001A1F1F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7479" w:type="dxa"/>
          </w:tcPr>
          <w:p w14:paraId="7BBCB1FA" w14:textId="42339DFC" w:rsidR="001A1F1F" w:rsidRPr="001A1F1F" w:rsidRDefault="001A1F1F" w:rsidP="00100EF9">
            <w:pPr>
              <w:tabs>
                <w:tab w:val="center" w:pos="32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COM(2025) 685 final</w:t>
            </w:r>
          </w:p>
          <w:p w14:paraId="1104CA65" w14:textId="51409899" w:rsidR="001A1F1F" w:rsidRPr="001A1F1F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EESC-2025-04282-00-00-AC</w:t>
            </w:r>
          </w:p>
        </w:tc>
      </w:tr>
    </w:tbl>
    <w:p w14:paraId="33260C4B" w14:textId="77777777" w:rsidR="001A1F1F" w:rsidRPr="001A1F1F" w:rsidRDefault="001A1F1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14:paraId="55B2611A" w14:textId="77777777" w:rsidR="001A1F1F" w:rsidRPr="001A1F1F" w:rsidRDefault="001A1F1F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374403B4" w14:textId="77777777" w:rsidR="001A1F1F" w:rsidRPr="001A1F1F" w:rsidRDefault="001A1F1F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74EE163" w14:textId="77777777" w:rsidR="001A1F1F" w:rsidRPr="001A1F1F" w:rsidRDefault="001A1F1F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14:paraId="2A48351A" w14:textId="77777777" w:rsidR="001A1F1F" w:rsidRPr="00153E09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1" w:name="_Toc222825813"/>
      <w:r>
        <w:rPr>
          <w:b/>
        </w:rPr>
        <w:t>apoia</w:t>
      </w:r>
      <w:r>
        <w:t xml:space="preserve"> plenamente os esforços da Comissão no sentido de promover uma abordagem mais abrangente e holística da luta contra a fraude ao imposto sobre o valor acrescentado (IVA), permitindo à Procuradoria Europeia e ao Organismo Europeu de Luta Antifraude (OLAF) ter acesso aos dados relativos ao IVA ao abrigo do Regulamento (UE) n.º 904/2010 do Conselho;</w:t>
      </w:r>
      <w:bookmarkEnd w:id="1"/>
    </w:p>
    <w:p w14:paraId="2F29EED4" w14:textId="77777777" w:rsidR="001A1F1F" w:rsidRPr="00153E09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2" w:name="_Toc222825814"/>
      <w:r>
        <w:rPr>
          <w:b/>
        </w:rPr>
        <w:t>assinala</w:t>
      </w:r>
      <w:r>
        <w:t xml:space="preserve"> que, para lutar contra as formas mais significativas de fraude ao IVA, é necessário que as autoridades competentes possam recolher, utilizar e cruzar rapidamente informações pertinentes relativas ao IVA em vários Estados-Membros, reduzindo assim os atrasos na resposta das autoridades fiscais competentes a atividades fraudulentas;</w:t>
      </w:r>
      <w:bookmarkEnd w:id="2"/>
    </w:p>
    <w:p w14:paraId="76BC0052" w14:textId="77777777" w:rsidR="001A1F1F" w:rsidRPr="00153E09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3" w:name="_Toc222825815"/>
      <w:r>
        <w:rPr>
          <w:b/>
        </w:rPr>
        <w:t>congratula-se</w:t>
      </w:r>
      <w:r>
        <w:t xml:space="preserve"> com o facto de a proposta da Comissão ser apresentada na sequência de uma avaliação </w:t>
      </w:r>
      <w:r>
        <w:rPr>
          <w:i/>
        </w:rPr>
        <w:t>ex post</w:t>
      </w:r>
      <w:r>
        <w:t xml:space="preserve"> das regras aplicáveis ao abrigo do Regulamento (UE) n.º 904/2010 do Conselho e levando em linha de conta as reações dos Estados-Membros; </w:t>
      </w:r>
      <w:r>
        <w:rPr>
          <w:b/>
        </w:rPr>
        <w:t>salienta</w:t>
      </w:r>
      <w:r>
        <w:t xml:space="preserve"> o facto de a proposta em apreço não ter sido objeto de uma avaliação de impacto, embora esteja ciente de que tal se deveu a um pedido urgente dos Estados-Membros;</w:t>
      </w:r>
      <w:bookmarkEnd w:id="3"/>
    </w:p>
    <w:p w14:paraId="25654AAB" w14:textId="77777777" w:rsidR="001A1F1F" w:rsidRPr="00153E09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4" w:name="_Toc222825816"/>
      <w:r>
        <w:rPr>
          <w:b/>
        </w:rPr>
        <w:t>aplaude</w:t>
      </w:r>
      <w:r>
        <w:t xml:space="preserve"> a intenção da Comissão de reforçar a cooperação entre as autoridades competentes que lutam contra a fraude ao IVA, incluindo a possibilidade de intensificar a cooperação entre a Agência da União Europeia para a Cooperação Policial (Europol) e a Eurofisc no âmbito do quadro do Regulamento (UE) n.º 904/2010 do Conselho, e insta a um maior reforço da cooperação estruturada entre todas as autoridades competentes dos Estados-Membros.</w:t>
      </w:r>
      <w:bookmarkEnd w:id="4"/>
    </w:p>
    <w:p w14:paraId="39EE45C8" w14:textId="77777777" w:rsidR="001A1F1F" w:rsidRPr="00AC4C75" w:rsidRDefault="001A1F1F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A1F1F" w:rsidRPr="001A1F1F" w14:paraId="33327B63" w14:textId="77777777" w:rsidTr="00AC4C75">
        <w:tc>
          <w:tcPr>
            <w:tcW w:w="1951" w:type="dxa"/>
          </w:tcPr>
          <w:p w14:paraId="04F7E453" w14:textId="77777777" w:rsidR="001A1F1F" w:rsidRPr="001A1F1F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7229" w:type="dxa"/>
          </w:tcPr>
          <w:p w14:paraId="34FEEF63" w14:textId="62F84E0C" w:rsidR="001A1F1F" w:rsidRPr="001A1F1F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Jüri Soosaar</w:t>
            </w:r>
          </w:p>
        </w:tc>
      </w:tr>
      <w:tr w:rsidR="001A1F1F" w:rsidRPr="001A1F1F" w14:paraId="7DA1B58C" w14:textId="77777777" w:rsidTr="00AC4C75">
        <w:tc>
          <w:tcPr>
            <w:tcW w:w="1951" w:type="dxa"/>
          </w:tcPr>
          <w:p w14:paraId="32B45750" w14:textId="77777777" w:rsidR="001A1F1F" w:rsidRPr="001A1F1F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7229" w:type="dxa"/>
          </w:tcPr>
          <w:p w14:paraId="4B866371" w14:textId="51149591" w:rsidR="001A1F1F" w:rsidRPr="001A1F1F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+32 2 546 96 28</w:t>
            </w:r>
          </w:p>
        </w:tc>
      </w:tr>
      <w:tr w:rsidR="001A1F1F" w:rsidRPr="001A1F1F" w14:paraId="3A08DF12" w14:textId="77777777" w:rsidTr="00AC4C75">
        <w:tc>
          <w:tcPr>
            <w:tcW w:w="1951" w:type="dxa"/>
          </w:tcPr>
          <w:p w14:paraId="3FBEB159" w14:textId="77777777" w:rsidR="001A1F1F" w:rsidRPr="001A1F1F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7229" w:type="dxa"/>
          </w:tcPr>
          <w:p w14:paraId="11A675FB" w14:textId="4E851F41" w:rsidR="001A1F1F" w:rsidRPr="001A1F1F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17" w:history="1">
              <w:r w:rsidR="00E235D3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14:paraId="78F085C8" w14:textId="47013726" w:rsidR="00627FDF" w:rsidRDefault="00627FDF" w:rsidP="00100EF9">
      <w:pPr>
        <w:pStyle w:val="ListParagraph"/>
        <w:ind w:left="0"/>
      </w:pPr>
    </w:p>
    <w:p w14:paraId="14AD7ACF" w14:textId="77777777" w:rsidR="00627FDF" w:rsidRDefault="00627FDF" w:rsidP="00100EF9">
      <w:pPr>
        <w:jc w:val="left"/>
      </w:pPr>
      <w:r>
        <w:br w:type="page"/>
      </w:r>
    </w:p>
    <w:p w14:paraId="5B5A0FF1" w14:textId="00D67F94" w:rsidR="00627FDF" w:rsidRPr="00627FDF" w:rsidRDefault="00F53A68" w:rsidP="00100EF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0"/>
          <w:szCs w:val="20"/>
        </w:rPr>
      </w:pPr>
      <w:hyperlink r:id="rId18" w:history="1">
        <w:r w:rsidR="00E235D3">
          <w:rPr>
            <w:b/>
            <w:i/>
            <w:color w:val="0000FF"/>
            <w:sz w:val="28"/>
            <w:u w:val="single"/>
          </w:rPr>
          <w:t>Semestre Europeu de 2026 – Pacote de outono</w:t>
        </w:r>
      </w:hyperlink>
    </w:p>
    <w:p w14:paraId="2922872A" w14:textId="77777777" w:rsidR="00627FDF" w:rsidRPr="00AC4C75" w:rsidRDefault="00627FD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2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627FDF" w:rsidRPr="00627FDF" w14:paraId="59DBBD6A" w14:textId="77777777" w:rsidTr="00601D8A">
        <w:tc>
          <w:tcPr>
            <w:tcW w:w="1077" w:type="pct"/>
          </w:tcPr>
          <w:p w14:paraId="2CA81E57" w14:textId="77777777" w:rsidR="00627FDF" w:rsidRPr="00627FDF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923" w:type="pct"/>
          </w:tcPr>
          <w:p w14:paraId="48A0BF67" w14:textId="3FE90B23" w:rsidR="00627FDF" w:rsidRPr="00627FDF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Luca Jahier (IT – Grupo das Organizações da Sociedade Civil)</w:t>
            </w:r>
          </w:p>
        </w:tc>
      </w:tr>
      <w:tr w:rsidR="00205469" w:rsidRPr="00627FDF" w14:paraId="6A4A7A00" w14:textId="77777777" w:rsidTr="00601D8A">
        <w:tc>
          <w:tcPr>
            <w:tcW w:w="1077" w:type="pct"/>
          </w:tcPr>
          <w:p w14:paraId="12EA3C9E" w14:textId="77777777" w:rsidR="00205469" w:rsidRPr="00627FDF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23" w:type="pct"/>
          </w:tcPr>
          <w:p w14:paraId="3F242FCC" w14:textId="77777777" w:rsidR="00205469" w:rsidRPr="00AC4C75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bCs/>
              </w:rPr>
            </w:pPr>
          </w:p>
        </w:tc>
      </w:tr>
      <w:tr w:rsidR="00627FDF" w:rsidRPr="00627FDF" w14:paraId="261B2615" w14:textId="77777777" w:rsidTr="00601D8A">
        <w:tc>
          <w:tcPr>
            <w:tcW w:w="1077" w:type="pct"/>
          </w:tcPr>
          <w:p w14:paraId="5DFE7408" w14:textId="6FA9C295" w:rsidR="00627FDF" w:rsidRPr="00627FDF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3923" w:type="pct"/>
          </w:tcPr>
          <w:p w14:paraId="05B63FA9" w14:textId="3576FDD2" w:rsidR="00627FDF" w:rsidRPr="00627FDF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COM(2025) 955 final</w:t>
            </w:r>
          </w:p>
          <w:p w14:paraId="3BB4E753" w14:textId="77777777" w:rsidR="00627FDF" w:rsidRPr="00627FDF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EESC-2025-03794-00-00-AC</w:t>
            </w:r>
          </w:p>
        </w:tc>
      </w:tr>
    </w:tbl>
    <w:p w14:paraId="7A90BFAE" w14:textId="77777777" w:rsidR="00627FDF" w:rsidRPr="00100EF9" w:rsidRDefault="00627FD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14:paraId="1E165E10" w14:textId="77777777" w:rsidR="00627FDF" w:rsidRDefault="00627FDF" w:rsidP="00100EF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Pontos principais</w:t>
      </w:r>
    </w:p>
    <w:p w14:paraId="6A1E467B" w14:textId="77777777" w:rsidR="002F4AD1" w:rsidRPr="00627FDF" w:rsidRDefault="002F4AD1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B235C5C" w14:textId="77777777" w:rsidR="00627FDF" w:rsidRDefault="00627FDF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14:paraId="769B1960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lamenta que a Comissão se tenha novamente abstido de apresentar a Análise Anual do Crescimento Sustentável e salienta que o </w:t>
      </w:r>
      <w:r>
        <w:rPr>
          <w:b/>
        </w:rPr>
        <w:t>crescimento económico sustentável</w:t>
      </w:r>
      <w:r>
        <w:t xml:space="preserve"> é uma condição necessária para o cumprimento dos vários compromissos assumidos a nível europeu; congratula-se com o </w:t>
      </w:r>
      <w:r>
        <w:rPr>
          <w:b/>
        </w:rPr>
        <w:t>relatório macroeconómico europeu</w:t>
      </w:r>
      <w:r>
        <w:t xml:space="preserve">, que apresenta uma análise aprofundada sobre os desafios estruturais subjacentes que a UE enfrenta e com a </w:t>
      </w:r>
      <w:r>
        <w:rPr>
          <w:b/>
        </w:rPr>
        <w:t>nova recomendação sobre o capital humano</w:t>
      </w:r>
      <w:r>
        <w:t>, que constitui um elemento fundamental para colmatar o défice tecnológico da UE, tendo igualmente em conta o desafio demográfico;</w:t>
      </w:r>
    </w:p>
    <w:p w14:paraId="37295D8E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reitera o seu apelo para uma </w:t>
      </w:r>
      <w:r>
        <w:rPr>
          <w:b/>
        </w:rPr>
        <w:t xml:space="preserve">capacidade orçamental comum </w:t>
      </w:r>
      <w:r>
        <w:t xml:space="preserve">mais </w:t>
      </w:r>
      <w:r>
        <w:rPr>
          <w:b/>
        </w:rPr>
        <w:t>forte</w:t>
      </w:r>
      <w:r>
        <w:t>, apoiada por emissões pontuais de dívida conjunta, a fim de ajudar a colmatar esta lacuna crescente em matéria de investimento público, e preconiza instrumentos permanentes de estabilização macroeconómica para fazer face a choques, com base na experiência com o Instrumento Europeu de Apoio Temporário para Atenuar os Riscos de Desemprego numa Situação de Emergência (SURE), que se deve tornar permanente;</w:t>
      </w:r>
    </w:p>
    <w:p w14:paraId="48F6D6CB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reitera a sua preocupação com a </w:t>
      </w:r>
      <w:r>
        <w:rPr>
          <w:b/>
        </w:rPr>
        <w:t>fragmentação dos mercados financeiros da UE</w:t>
      </w:r>
      <w:r>
        <w:t xml:space="preserve"> e insta a Comissão a avaliar se um</w:t>
      </w:r>
      <w:r>
        <w:rPr>
          <w:b/>
        </w:rPr>
        <w:t xml:space="preserve"> conjunto de instrumentos a nível da UE, equivalente à lei sobre a melhoria dos mercados de valores mobiliários dos Estados Unidos da América (EUA)</w:t>
      </w:r>
      <w:r>
        <w:t>, poderia simplificar o acesso transfronteiriço ao mercado, reduzir a fragmentação do cumprimento e apoiar mercados mais integrados, mais eficientes e mais líquidos, mantendo simultaneamente o nível necessário de segurança atual;</w:t>
      </w:r>
    </w:p>
    <w:p w14:paraId="409B0B27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rPr>
          <w:b/>
        </w:rPr>
        <w:t>reitera</w:t>
      </w:r>
      <w:r>
        <w:t xml:space="preserve"> o seu apelo à Comissão para que </w:t>
      </w:r>
      <w:r>
        <w:rPr>
          <w:b/>
        </w:rPr>
        <w:t>reveja</w:t>
      </w:r>
      <w:r>
        <w:t xml:space="preserve">, com caráter de urgência, </w:t>
      </w:r>
      <w:r>
        <w:rPr>
          <w:b/>
        </w:rPr>
        <w:t>o conjunto de indicadores propostos para acompanhar o procedimento relativo aos desequilíbrios macroeconómicos (PDM)</w:t>
      </w:r>
      <w:r>
        <w:t>. A solução para melhorar o atual painel de avaliação do PDM poderia passar pelo acompanhamento da evolução do efeito de alavanca combinado, em vez de se insistir numa abordagem compartimentada;</w:t>
      </w:r>
    </w:p>
    <w:p w14:paraId="1707B61B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considera necessário uma </w:t>
      </w:r>
      <w:r>
        <w:rPr>
          <w:b/>
        </w:rPr>
        <w:t>utilização mais racionalizada do painel de indicadores sociais</w:t>
      </w:r>
      <w:r>
        <w:t xml:space="preserve">, </w:t>
      </w:r>
      <w:r>
        <w:rPr>
          <w:b/>
        </w:rPr>
        <w:t xml:space="preserve">um painel de avaliação do PDM revisto </w:t>
      </w:r>
      <w:r>
        <w:t>e</w:t>
      </w:r>
      <w:r>
        <w:rPr>
          <w:b/>
        </w:rPr>
        <w:t xml:space="preserve"> uma metodologia de análise da sustentabilidade da dívida revista</w:t>
      </w:r>
      <w:r>
        <w:t>,</w:t>
      </w:r>
      <w:r>
        <w:rPr>
          <w:b/>
        </w:rPr>
        <w:t xml:space="preserve"> complementados pelos </w:t>
      </w:r>
      <w:r>
        <w:t xml:space="preserve">novos </w:t>
      </w:r>
      <w:r>
        <w:rPr>
          <w:b/>
        </w:rPr>
        <w:t>indicadores de bem-estar</w:t>
      </w:r>
      <w:r>
        <w:t xml:space="preserve"> propostos pelo Centro Comum de Investigação (JRC);</w:t>
      </w:r>
    </w:p>
    <w:p w14:paraId="1DE1E29B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solicita à Comissão que trate o </w:t>
      </w:r>
      <w:r>
        <w:rPr>
          <w:b/>
        </w:rPr>
        <w:t>Quadro de Convergência Social ao mesmo nível que o quadro orçamental e que formule recomendações claras</w:t>
      </w:r>
      <w:r>
        <w:t xml:space="preserve"> a cada Estado-Membro, tendo isso em conta, no âmbito das próximas recomendações específicas por país e insta a Comissão a propor incentivos concretos para que os Estados-Membros utilizem mais a </w:t>
      </w:r>
      <w:r>
        <w:rPr>
          <w:b/>
        </w:rPr>
        <w:t>cláusula de flexibilidade para investimentos sociais</w:t>
      </w:r>
      <w:r>
        <w:t>;</w:t>
      </w:r>
    </w:p>
    <w:p w14:paraId="7DBF2201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reitera o seu apelo para um</w:t>
      </w:r>
      <w:r>
        <w:rPr>
          <w:b/>
        </w:rPr>
        <w:t xml:space="preserve">a análise aprofundada e esclarecimentos sobre as ligações anunciadas entre o Semestre Europeu, a Ferramenta de Coordenação da Competitividade </w:t>
      </w:r>
      <w:r>
        <w:lastRenderedPageBreak/>
        <w:t>e o futuro</w:t>
      </w:r>
      <w:r>
        <w:rPr>
          <w:b/>
        </w:rPr>
        <w:t xml:space="preserve"> Quadro Financeiro Plurianual (QFP)</w:t>
      </w:r>
      <w:r>
        <w:t xml:space="preserve"> proposto; </w:t>
      </w:r>
    </w:p>
    <w:p w14:paraId="28888E6E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exorta o</w:t>
      </w:r>
      <w:r>
        <w:rPr>
          <w:b/>
        </w:rPr>
        <w:t xml:space="preserve"> Parlamento Europeu a criar </w:t>
      </w:r>
      <w:r>
        <w:t>– tal como no caso do Mecanismo de Recuperação e Resiliência (MRR) –</w:t>
      </w:r>
      <w:r>
        <w:rPr>
          <w:b/>
        </w:rPr>
        <w:t xml:space="preserve"> um órgão de acompanhamento e avaliação permanente para o «novo» Semestre Europeu, a execução e avaliação anual dos planos orçamentais e estruturais de médio prazo, as recomendações específicas por país e as suas interligações concretas com os futuros planos de parceria nacional e regional</w:t>
      </w:r>
      <w:r>
        <w:t xml:space="preserve"> (PPNR);</w:t>
      </w:r>
    </w:p>
    <w:p w14:paraId="19CCD46D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exorta a Comissão a </w:t>
      </w:r>
      <w:r>
        <w:rPr>
          <w:b/>
        </w:rPr>
        <w:t>estabelecer a cláusula de derrogação como um instrumento de emergência temporário</w:t>
      </w:r>
      <w:r>
        <w:t xml:space="preserve"> e não um substituto de uma estratégia orçamental e de crescimento coerente a longo prazo e insta a Comissão a avaliar o </w:t>
      </w:r>
      <w:r>
        <w:rPr>
          <w:b/>
        </w:rPr>
        <w:t>papel crescente das despesas com a defesa no crescimento sustentável da UE</w:t>
      </w:r>
      <w:r>
        <w:t xml:space="preserve"> e o seu impacto no emprego e na estabilidade orçamental futura;</w:t>
      </w:r>
    </w:p>
    <w:p w14:paraId="61FE117E" w14:textId="77777777" w:rsidR="00627FDF" w:rsidRPr="00627FDF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reitera os seus apelos em prol de uma </w:t>
      </w:r>
      <w:r>
        <w:rPr>
          <w:b/>
        </w:rPr>
        <w:t xml:space="preserve">participação </w:t>
      </w:r>
      <w:r>
        <w:t xml:space="preserve">mais </w:t>
      </w:r>
      <w:r>
        <w:rPr>
          <w:b/>
        </w:rPr>
        <w:t xml:space="preserve">forte, </w:t>
      </w:r>
      <w:r>
        <w:t xml:space="preserve">mais </w:t>
      </w:r>
      <w:r>
        <w:rPr>
          <w:b/>
        </w:rPr>
        <w:t xml:space="preserve">estruturada e </w:t>
      </w:r>
      <w:r>
        <w:t xml:space="preserve">mais </w:t>
      </w:r>
      <w:r>
        <w:rPr>
          <w:b/>
        </w:rPr>
        <w:t>significativa dos parceiros sociais e das organizações da sociedade civil a nível europeu, nacional e local</w:t>
      </w:r>
      <w:r>
        <w:t xml:space="preserve"> na execução do ciclo do Semestre Europeu.</w:t>
      </w:r>
    </w:p>
    <w:p w14:paraId="6AF1FBF1" w14:textId="77777777" w:rsidR="00627FDF" w:rsidRPr="00AC4C75" w:rsidRDefault="00627FDF" w:rsidP="00100EF9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iCs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8"/>
      </w:tblGrid>
      <w:tr w:rsidR="00627FDF" w:rsidRPr="00627FDF" w14:paraId="52F142FB" w14:textId="77777777" w:rsidTr="00AC4C75">
        <w:tc>
          <w:tcPr>
            <w:tcW w:w="1050" w:type="pct"/>
          </w:tcPr>
          <w:p w14:paraId="605B3F57" w14:textId="77777777" w:rsidR="00627FDF" w:rsidRPr="00627FDF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950" w:type="pct"/>
          </w:tcPr>
          <w:p w14:paraId="2799D0F0" w14:textId="77777777" w:rsidR="00627FDF" w:rsidRPr="00627FDF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Anna Pantazi</w:t>
            </w:r>
          </w:p>
        </w:tc>
      </w:tr>
      <w:tr w:rsidR="00627FDF" w:rsidRPr="00627FDF" w14:paraId="2AECF76E" w14:textId="77777777" w:rsidTr="00AC4C75">
        <w:tc>
          <w:tcPr>
            <w:tcW w:w="1050" w:type="pct"/>
          </w:tcPr>
          <w:p w14:paraId="0CA36F14" w14:textId="77777777" w:rsidR="00627FDF" w:rsidRPr="00627FDF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950" w:type="pct"/>
          </w:tcPr>
          <w:p w14:paraId="74E90836" w14:textId="1D42CC9B" w:rsidR="00627FDF" w:rsidRPr="00627FDF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+32 2 546 92 31</w:t>
            </w:r>
          </w:p>
        </w:tc>
      </w:tr>
      <w:tr w:rsidR="00627FDF" w:rsidRPr="00627FDF" w14:paraId="03A39DE3" w14:textId="77777777" w:rsidTr="00AC4C75">
        <w:tc>
          <w:tcPr>
            <w:tcW w:w="1050" w:type="pct"/>
          </w:tcPr>
          <w:p w14:paraId="5FDCFB85" w14:textId="77777777" w:rsidR="00627FDF" w:rsidRPr="00627FDF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950" w:type="pct"/>
          </w:tcPr>
          <w:p w14:paraId="3BA9FEE0" w14:textId="77777777" w:rsidR="00627FDF" w:rsidRPr="00627FDF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19" w:history="1">
              <w:r w:rsidR="00E235D3">
                <w:rPr>
                  <w:i/>
                  <w:color w:val="0000FF"/>
                  <w:u w:val="single"/>
                </w:rPr>
                <w:t>Anna.Pantazi@eesc.europa.eu</w:t>
              </w:r>
            </w:hyperlink>
          </w:p>
        </w:tc>
      </w:tr>
    </w:tbl>
    <w:p w14:paraId="69D261DC" w14:textId="6E0384BF" w:rsidR="00557848" w:rsidRDefault="00557848" w:rsidP="00100EF9">
      <w:pPr>
        <w:pStyle w:val="ListParagraph"/>
        <w:ind w:left="0"/>
      </w:pPr>
    </w:p>
    <w:p w14:paraId="18087D90" w14:textId="77777777" w:rsidR="00557848" w:rsidRDefault="00557848" w:rsidP="00100EF9">
      <w:pPr>
        <w:jc w:val="left"/>
      </w:pPr>
      <w:r>
        <w:br w:type="page"/>
      </w:r>
    </w:p>
    <w:p w14:paraId="1CFC3C7D" w14:textId="4EE86689" w:rsidR="00532F99" w:rsidRPr="00153E09" w:rsidRDefault="00F53A68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0" w:history="1">
        <w:r w:rsidR="00532F99">
          <w:rPr>
            <w:b/>
            <w:i/>
            <w:color w:val="0000FF"/>
            <w:sz w:val="28"/>
            <w:u w:val="single"/>
          </w:rPr>
          <w:t>A dimensão insular nas políticas europeias de coesão, de competitividade e de desenvolvimento sustentável</w:t>
        </w:r>
      </w:hyperlink>
    </w:p>
    <w:p w14:paraId="6D45E35E" w14:textId="77777777" w:rsidR="00153E09" w:rsidRPr="00153E09" w:rsidRDefault="00153E09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="00532F99" w:rsidRPr="00532F99" w14:paraId="67745AC7" w14:textId="77777777" w:rsidTr="00D0608D">
        <w:tc>
          <w:tcPr>
            <w:tcW w:w="1701" w:type="dxa"/>
          </w:tcPr>
          <w:p w14:paraId="61C2DFEA" w14:textId="77777777" w:rsidR="00532F99" w:rsidRPr="00532F99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479" w:type="dxa"/>
          </w:tcPr>
          <w:p w14:paraId="1D4B2919" w14:textId="1644A7FE" w:rsidR="00153E09" w:rsidRPr="00532F99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Ioannis Vardakastanis (EL</w:t>
            </w:r>
            <w:r w:rsidR="00AC4C75">
              <w:t xml:space="preserve"> – </w:t>
            </w:r>
            <w:r>
              <w:t>Grupo das Organizações da Sociedade Civil)</w:t>
            </w:r>
          </w:p>
        </w:tc>
      </w:tr>
      <w:tr w:rsidR="00205469" w:rsidRPr="00532F99" w14:paraId="1E28C030" w14:textId="77777777" w:rsidTr="00D0608D">
        <w:tc>
          <w:tcPr>
            <w:tcW w:w="1701" w:type="dxa"/>
          </w:tcPr>
          <w:p w14:paraId="6556B0F0" w14:textId="77777777" w:rsidR="00205469" w:rsidRPr="00532F9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14:paraId="49CED0B0" w14:textId="77777777" w:rsidR="00205469" w:rsidRPr="00532F9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532F99" w:rsidRPr="00532F99" w14:paraId="6B1B0BDA" w14:textId="77777777" w:rsidTr="00D0608D">
        <w:tc>
          <w:tcPr>
            <w:tcW w:w="1701" w:type="dxa"/>
          </w:tcPr>
          <w:p w14:paraId="2C89221D" w14:textId="77777777" w:rsidR="00532F99" w:rsidRPr="00532F99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7479" w:type="dxa"/>
          </w:tcPr>
          <w:p w14:paraId="23EE8050" w14:textId="0AD297F8" w:rsidR="00532F99" w:rsidRPr="00532F99" w:rsidRDefault="00532F99" w:rsidP="00100EF9">
            <w:pPr>
              <w:tabs>
                <w:tab w:val="center" w:pos="32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Parecer exploratório a pedido da Presidência cipriota do Conselho da UE</w:t>
            </w:r>
          </w:p>
          <w:p w14:paraId="0FBD455F" w14:textId="4C1CCA1A" w:rsidR="00532F99" w:rsidRPr="00532F99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EESC-2025-03598-00-00-AC</w:t>
            </w:r>
          </w:p>
        </w:tc>
      </w:tr>
    </w:tbl>
    <w:p w14:paraId="68AC2034" w14:textId="77777777" w:rsidR="00153E09" w:rsidRDefault="00153E0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7A288D5" w14:textId="6C112457" w:rsidR="00532F99" w:rsidRPr="00532F99" w:rsidRDefault="00532F9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016816BE" w14:textId="77777777" w:rsidR="00532F99" w:rsidRPr="00532F99" w:rsidRDefault="00532F9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13D35D1" w14:textId="77777777" w:rsidR="00532F99" w:rsidRPr="00532F99" w:rsidRDefault="00532F99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14:paraId="4843EC5E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5" w:name="_Toc222825817"/>
      <w:r>
        <w:t xml:space="preserve">considera que as ilhas da União Europeia (UE) enfrentam </w:t>
      </w:r>
      <w:r>
        <w:rPr>
          <w:u w:val="single"/>
        </w:rPr>
        <w:t>desvantagens estruturais persistentes</w:t>
      </w:r>
      <w:r>
        <w:t>, ou seja, condicionalismos geográficos, económicos, demográficos e relacionados com o clima, como o isolamento, o degelo, os elevados custos dos transportes e da energia, a pressão sobre a habitação, a escassez de mão de obra e a dependência excessiva do turismo;</w:t>
      </w:r>
      <w:bookmarkEnd w:id="5"/>
    </w:p>
    <w:p w14:paraId="70CF9AE7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  <w:rPr>
          <w:u w:val="single"/>
        </w:rPr>
      </w:pPr>
      <w:bookmarkStart w:id="6" w:name="_Toc222825818"/>
      <w:r>
        <w:t>considera que as ilhas são essenciais para o posicionamento geopolítico, a gestão da migração, a segurança marítima e a transição energética da UE. Os seus ecossistemas marinhos e as zonas económicas exclusivas (ZEE) estão na base dos objetivos da economia azul e da biodiversidade. Apesar do reconhecimento nos Tratados da UE e nas declarações políticas, os desafios únicos das ilhas não são devidamente abordados nas políticas setoriais da UE. As ilhas têm potencial para serem laboratórios de inovação e sustentabilidade, demonstrando soluções para a adaptação às alterações climáticas, as energias renováveis, a conservação marinha e o turismo sustentável;</w:t>
      </w:r>
      <w:bookmarkEnd w:id="6"/>
    </w:p>
    <w:p w14:paraId="67767811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7" w:name="_Toc222825819"/>
      <w:r>
        <w:rPr>
          <w:u w:val="single"/>
        </w:rPr>
        <w:t>reconhece a necessidade de uma abordagem sistémica</w:t>
      </w:r>
      <w:r>
        <w:t>. Uma política eficaz da UE para as ilhas e os territórios insulares em geral (incluindo as regiões ultraperiféricas e as regiões lacustres) exige estratégias integradas e intersetoriais que abordem a conectividade, a diversificação económica, a coesão social, a resiliência ecológica, social e económica e a prontidão geopolítica;</w:t>
      </w:r>
      <w:bookmarkEnd w:id="7"/>
    </w:p>
    <w:p w14:paraId="46E91099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8" w:name="_Toc222825820"/>
      <w:r>
        <w:t>apela para a criação de uma estratégia específica da União para as ilhas (</w:t>
      </w:r>
      <w:r>
        <w:rPr>
          <w:b/>
        </w:rPr>
        <w:t>pacto das ilhas</w:t>
      </w:r>
      <w:r>
        <w:t>), apoiada por um quadro legislativo específico (</w:t>
      </w:r>
      <w:r>
        <w:rPr>
          <w:b/>
        </w:rPr>
        <w:t>ato legislativo relativo às ilhas</w:t>
      </w:r>
      <w:r>
        <w:t>). Tal quadro deve ser acompanhado de uma estratégia formal e prever a aplicação efetiva de uma «</w:t>
      </w:r>
      <w:r>
        <w:rPr>
          <w:b/>
        </w:rPr>
        <w:t>cláusula de insularidade</w:t>
      </w:r>
      <w:r>
        <w:t>», com vista a integrar sistematicamente as necessidades e os condicionalismos específicos das ilhas nas políticas da União em matéria de coesão, transportes, energia, auxílios estatais, ambiente e assuntos marítimos;</w:t>
      </w:r>
      <w:bookmarkEnd w:id="8"/>
    </w:p>
    <w:p w14:paraId="762E910D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9" w:name="_Toc222825821"/>
      <w:r>
        <w:t>salienta que a melhoria da conectividade e das infraestruturas nos territórios insulares é essencial para a coesão territorial, pelo que insta à melhoria dos sistemas de transportes e de mobilidade pública, ao reforço da conectividade digital e a redes energéticas mais resilientes, com uma clara ênfase na descarbonização e na autonomia energética;</w:t>
      </w:r>
      <w:bookmarkEnd w:id="9"/>
    </w:p>
    <w:p w14:paraId="737F86E5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0" w:name="_Toc222825822"/>
      <w:r>
        <w:t>frisa que as regiões insulares devem diversificar as suas economias através do desenvolvimento de uma economia azul sustentável e competitiva, assente nos seus ativos únicos, tais como os recursos marinhos, o potencial das energias renováveis, o turismo, o património cultural e as indústrias criativas;</w:t>
      </w:r>
      <w:bookmarkEnd w:id="10"/>
    </w:p>
    <w:p w14:paraId="7E670409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1" w:name="_Toc222825823"/>
      <w:r>
        <w:t xml:space="preserve">salienta que a coesão social e o desenvolvimento do capital humano são fundamentais para a sustentabilidade a longo prazo das comunidades insulares; solicita a adoção de políticas específicas para fazer face à escassez de habitação, às assimetrias do mercado de trabalho, às lacunas de competências e à emigração dos jovens, incorporando o ensino inclusivo, </w:t>
      </w:r>
      <w:r>
        <w:lastRenderedPageBreak/>
        <w:t>oportunidades de emprego de qualidade e soluções de habitação a preços acessíveis adaptadas às características específicas das ilhas;</w:t>
      </w:r>
      <w:bookmarkEnd w:id="11"/>
    </w:p>
    <w:p w14:paraId="5112CF6B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  <w:rPr>
          <w:sz w:val="24"/>
          <w:szCs w:val="24"/>
        </w:rPr>
      </w:pPr>
      <w:bookmarkStart w:id="12" w:name="_Toc222825824"/>
      <w:r>
        <w:t>salienta que é urgente realizar progressos na proteção do ambiente e na resiliência às alterações climáticas nos territórios insulares, que estão desproporcionadamente expostos às alterações climáticas;</w:t>
      </w:r>
      <w:bookmarkEnd w:id="12"/>
    </w:p>
    <w:p w14:paraId="59AC2957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3" w:name="_Toc222825825"/>
      <w:r>
        <w:t xml:space="preserve">apela para a integração formal do acompanhamento, da prospetiva e da governação participativa nas políticas insulares, propondo um </w:t>
      </w:r>
      <w:r>
        <w:rPr>
          <w:b/>
        </w:rPr>
        <w:t>relatório periódico sobre a aplicação da legislação nas ilhas</w:t>
      </w:r>
      <w:r>
        <w:t>, a fim de acompanhar os principais indicadores demográficos, económicos, sociais e ambientais;</w:t>
      </w:r>
      <w:bookmarkEnd w:id="13"/>
      <w:r>
        <w:t xml:space="preserve"> </w:t>
      </w:r>
    </w:p>
    <w:p w14:paraId="3CBAD6E8" w14:textId="77777777" w:rsidR="00532F99" w:rsidRPr="00AD4D97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4" w:name="_Toc222825826"/>
      <w:r>
        <w:t>estima que as ilhas da UE devem deixar de ser tratadas como territórios periféricos. São regiões de primeira linha para a soberania, a resiliência e a capacidade de inovação da Europa. Uma estratégia da UE para as ilhas, orientada, sistémica e juridicamente ancorada (</w:t>
      </w:r>
      <w:r>
        <w:rPr>
          <w:b/>
        </w:rPr>
        <w:t>pacto das ilhas</w:t>
      </w:r>
      <w:r>
        <w:t>), seria essencial para transformar as ilhas em motores de crescimento sustentável, de resistência às alterações climáticas e de segurança geopolítica, assegurando que as comunidades insulares possam prosperar e, simultaneamente, reforçando a autonomia estratégica e a coesão da Europa. Tal foi destacado recentemente pela centralidade geopolítica da Gronelândia na dinâmica de segurança do Ártico, nas relações transatlânticas e na concorrência entre grandes potências, bem como pela sua importância para a autonomia estratégica da Europa em matéria de defesa.</w:t>
      </w:r>
      <w:bookmarkEnd w:id="14"/>
    </w:p>
    <w:p w14:paraId="66D35620" w14:textId="77777777" w:rsidR="00532F99" w:rsidRPr="00AC4C75" w:rsidRDefault="00532F99" w:rsidP="00100EF9">
      <w:pPr>
        <w:ind w:left="284" w:hanging="284"/>
        <w:rPr>
          <w:bCs/>
          <w:iCs/>
        </w:rPr>
      </w:pPr>
    </w:p>
    <w:tbl>
      <w:tblPr>
        <w:tblStyle w:val="TableGrid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21"/>
      </w:tblGrid>
      <w:tr w:rsidR="00532F99" w:rsidRPr="00532F99" w14:paraId="51FA2FFC" w14:textId="77777777" w:rsidTr="00AC4C75">
        <w:tc>
          <w:tcPr>
            <w:tcW w:w="2093" w:type="dxa"/>
          </w:tcPr>
          <w:p w14:paraId="549BED47" w14:textId="77777777" w:rsidR="00532F99" w:rsidRPr="00532F99" w:rsidRDefault="00532F99" w:rsidP="00D0608D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7121" w:type="dxa"/>
          </w:tcPr>
          <w:p w14:paraId="7CEAACF5" w14:textId="0581C1FF" w:rsidR="00532F99" w:rsidRPr="00532F99" w:rsidRDefault="00532F9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Georgios Meleas</w:t>
            </w:r>
          </w:p>
        </w:tc>
      </w:tr>
      <w:tr w:rsidR="00532F99" w:rsidRPr="00532F99" w14:paraId="0AEF2AEB" w14:textId="77777777" w:rsidTr="00AC4C75">
        <w:tc>
          <w:tcPr>
            <w:tcW w:w="2093" w:type="dxa"/>
          </w:tcPr>
          <w:p w14:paraId="060FAF7E" w14:textId="77777777" w:rsidR="00532F99" w:rsidRPr="00532F99" w:rsidRDefault="00532F9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7121" w:type="dxa"/>
          </w:tcPr>
          <w:p w14:paraId="22CC1931" w14:textId="49FE5AFE" w:rsidR="00532F99" w:rsidRPr="00532F99" w:rsidRDefault="00532F9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+32 2 546 97 95</w:t>
            </w:r>
          </w:p>
        </w:tc>
      </w:tr>
      <w:tr w:rsidR="00532F99" w:rsidRPr="00532F99" w14:paraId="20E9D1C8" w14:textId="77777777" w:rsidTr="00AC4C75">
        <w:tc>
          <w:tcPr>
            <w:tcW w:w="2093" w:type="dxa"/>
          </w:tcPr>
          <w:p w14:paraId="144E431B" w14:textId="64663E9D" w:rsidR="00532F99" w:rsidRPr="00532F99" w:rsidRDefault="0037319B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7121" w:type="dxa"/>
          </w:tcPr>
          <w:p w14:paraId="19710C19" w14:textId="1ECFC656" w:rsidR="00532F99" w:rsidRPr="00532F99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1" w:history="1">
              <w:r w:rsidR="00E235D3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14:paraId="3016994A" w14:textId="77777777" w:rsidR="007652C3" w:rsidRDefault="007652C3" w:rsidP="00100EF9">
      <w:pPr>
        <w:pStyle w:val="ListParagraph"/>
        <w:ind w:left="0"/>
      </w:pPr>
    </w:p>
    <w:p w14:paraId="28F747AB" w14:textId="77777777" w:rsidR="007652C3" w:rsidRDefault="007652C3" w:rsidP="00100EF9">
      <w:pPr>
        <w:jc w:val="left"/>
      </w:pPr>
      <w:r>
        <w:br w:type="page"/>
      </w:r>
    </w:p>
    <w:p w14:paraId="71EC6247" w14:textId="718F1B93" w:rsidR="007652C3" w:rsidRPr="007652C3" w:rsidRDefault="00F53A68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2" w:history="1">
        <w:r w:rsidR="00E235D3">
          <w:rPr>
            <w:b/>
            <w:i/>
            <w:color w:val="0000FF"/>
            <w:sz w:val="28"/>
            <w:u w:val="single"/>
          </w:rPr>
          <w:t>Revisão da Diretiva Tributação do Tabaco</w:t>
        </w:r>
      </w:hyperlink>
    </w:p>
    <w:p w14:paraId="14832C64" w14:textId="77777777" w:rsidR="007652C3" w:rsidRPr="00AC4C75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547"/>
      </w:tblGrid>
      <w:tr w:rsidR="007652C3" w:rsidRPr="007652C3" w14:paraId="4B4C09EE" w14:textId="77777777" w:rsidTr="00D0608D">
        <w:tc>
          <w:tcPr>
            <w:tcW w:w="1526" w:type="dxa"/>
          </w:tcPr>
          <w:p w14:paraId="074AAFB4" w14:textId="77777777" w:rsidR="007652C3" w:rsidRPr="007652C3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547" w:type="dxa"/>
          </w:tcPr>
          <w:p w14:paraId="574348C8" w14:textId="1A21DC9A" w:rsidR="00FC4D6F" w:rsidRPr="007652C3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Matteo Carlo Borsani (IT – Grupo dos Empregadores)</w:t>
            </w:r>
          </w:p>
        </w:tc>
      </w:tr>
      <w:tr w:rsidR="00205469" w:rsidRPr="007652C3" w14:paraId="6586AC35" w14:textId="77777777" w:rsidTr="00D0608D">
        <w:tc>
          <w:tcPr>
            <w:tcW w:w="1526" w:type="dxa"/>
          </w:tcPr>
          <w:p w14:paraId="6C41B8BD" w14:textId="77777777" w:rsidR="00205469" w:rsidRPr="007652C3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547" w:type="dxa"/>
          </w:tcPr>
          <w:p w14:paraId="30591BA7" w14:textId="77777777" w:rsidR="00205469" w:rsidRPr="007652C3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7652C3" w:rsidRPr="00100EF9" w14:paraId="2243F74F" w14:textId="77777777" w:rsidTr="00D0608D">
        <w:tc>
          <w:tcPr>
            <w:tcW w:w="1526" w:type="dxa"/>
          </w:tcPr>
          <w:p w14:paraId="3F25D12B" w14:textId="77777777" w:rsidR="007652C3" w:rsidRPr="007652C3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7547" w:type="dxa"/>
          </w:tcPr>
          <w:p w14:paraId="28D63311" w14:textId="2018BFB6" w:rsidR="007652C3" w:rsidRPr="007652C3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COM(2025) 580 final</w:t>
            </w:r>
          </w:p>
          <w:p w14:paraId="3C71E1DA" w14:textId="707F72B2" w:rsidR="007652C3" w:rsidRPr="007652C3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COM(2025) 581 final</w:t>
            </w:r>
          </w:p>
          <w:p w14:paraId="77F23764" w14:textId="645FFEBD" w:rsidR="007652C3" w:rsidRPr="007652C3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EESC-2025-02514-00-00-AC</w:t>
            </w:r>
          </w:p>
        </w:tc>
      </w:tr>
    </w:tbl>
    <w:p w14:paraId="24734E78" w14:textId="77777777" w:rsidR="007652C3" w:rsidRPr="00153E09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769610FB" w14:textId="77777777" w:rsidR="007652C3" w:rsidRPr="007652C3" w:rsidRDefault="007652C3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761660A5" w14:textId="77777777" w:rsidR="007652C3" w:rsidRPr="00AC4C75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</w:rPr>
      </w:pPr>
    </w:p>
    <w:p w14:paraId="538696B2" w14:textId="77777777" w:rsidR="007652C3" w:rsidRPr="007652C3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iCs/>
        </w:rPr>
      </w:pPr>
      <w:r>
        <w:t>O Comité Económico e Social Europeu:</w:t>
      </w:r>
    </w:p>
    <w:p w14:paraId="3447BDD3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r>
        <w:rPr>
          <w:b/>
        </w:rPr>
        <w:t>apoia</w:t>
      </w:r>
      <w:r>
        <w:t xml:space="preserve"> a revisão da Diretiva Tributação do Tabaco, reconhecendo a necessidade de adaptar o quadro dos impostos especiais de consumo à evolução do mercado, aos novos produtos e aos objetivos de saúde pública, salientando simultaneamente que a reforma deve ser proporcionada, previsível e economicamente sustentável;</w:t>
      </w:r>
    </w:p>
    <w:p w14:paraId="3F4A26E3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5" w:name="_Toc222825827"/>
      <w:r>
        <w:rPr>
          <w:b/>
        </w:rPr>
        <w:t>adverte</w:t>
      </w:r>
      <w:r>
        <w:t xml:space="preserve"> contra os aumentos bruscos ou excessivos dos impostos especiais de consumo, que podem alimentar o comércio ilícito, comprometer as receitas fiscais e prejudicar os resultados em matéria de saúde pública; </w:t>
      </w:r>
      <w:r>
        <w:rPr>
          <w:b/>
        </w:rPr>
        <w:t>recomenda</w:t>
      </w:r>
      <w:r>
        <w:t>, por conseguinte, que os ajustamentos dos impostos especiais de consumo sejam graduais e acompanhados de um reforço da aplicação da legislação, da cooperação aduaneira e das medidas transfronteiriças de combate ao contrabando;</w:t>
      </w:r>
      <w:bookmarkEnd w:id="15"/>
    </w:p>
    <w:p w14:paraId="1AC2A723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6" w:name="_Toc222825828"/>
      <w:r>
        <w:rPr>
          <w:b/>
        </w:rPr>
        <w:t>apela</w:t>
      </w:r>
      <w:r>
        <w:t xml:space="preserve"> para a aplicação coerente de uma tributação proporcional ao risco, assegurando que os produtos não combustíveis e de risco reduzido não são tributados da mesma forma que os produtos do tabaco combustíveis, em consonância com o princípio «menos malefícios, menos impostos» e os objetivos do Plano Europeu de Luta contra o Cancro;</w:t>
      </w:r>
      <w:bookmarkEnd w:id="16"/>
    </w:p>
    <w:p w14:paraId="3892A6EF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7" w:name="_Toc222825829"/>
      <w:r>
        <w:rPr>
          <w:b/>
        </w:rPr>
        <w:t>recomenda</w:t>
      </w:r>
      <w:r>
        <w:t xml:space="preserve"> melhorar a clareza jurídica e a harmonização das definições dos produtos, em especial definindo explicitamente os produtos de tabaco aquecido, distinguindo-os claramente dos produtos combustíveis;</w:t>
      </w:r>
      <w:bookmarkEnd w:id="17"/>
    </w:p>
    <w:p w14:paraId="6D1AE1A8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8" w:name="_Toc222825830"/>
      <w:r>
        <w:rPr>
          <w:b/>
        </w:rPr>
        <w:t>apela</w:t>
      </w:r>
      <w:r>
        <w:t xml:space="preserve"> à Comissão para que reforce a coerência entre as definições de impostos especiais de consumo e a Nomenclatura Combinada (NC), mantendo quadros de correspondência atualizados e fornecendo orientações interpretativas sempre que as alterações das classificações pautais afetem a categorização dos impostos especiais de consumo;</w:t>
      </w:r>
      <w:bookmarkEnd w:id="18"/>
    </w:p>
    <w:p w14:paraId="3B4FEB22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9" w:name="_Toc222825831"/>
      <w:r>
        <w:rPr>
          <w:b/>
        </w:rPr>
        <w:t>solicita</w:t>
      </w:r>
      <w:r>
        <w:t xml:space="preserve"> que se conceda flexibilidade suficiente aos Estados-Membros no que diz respeito às estruturas dos impostos especiais de consumo, designadamente a possibilidade de escolher entre uma tributação baseada na unidade ou no peso para os produtos de tabaco aquecido, a fim de refletir as condições do mercado nacional, respeitando simultaneamente os níveis mínimos em toda a UE;</w:t>
      </w:r>
      <w:bookmarkEnd w:id="19"/>
    </w:p>
    <w:p w14:paraId="03FC4FFF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20" w:name="_Toc222825832"/>
      <w:r>
        <w:rPr>
          <w:b/>
          <w:bCs/>
        </w:rPr>
        <w:t>apela para</w:t>
      </w:r>
      <w:r>
        <w:t xml:space="preserve"> a elaboração de uma cartografia abrangente e pormenorizada dos atuais empregos e competências no setor, a par de uma avaliação dos cenários a médio e longo prazo decorrentes da proposta e de previsões claras sobre o seu impacto no emprego;</w:t>
      </w:r>
      <w:bookmarkEnd w:id="20"/>
    </w:p>
    <w:p w14:paraId="0195988C" w14:textId="77777777" w:rsidR="007652C3" w:rsidRPr="00205469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21" w:name="_Toc222825833"/>
      <w:r>
        <w:t>apela a uma utilização previsível e limitada dos atos delegados, estritamente confinada a ajustamentos técnicos relacionados com a inflação, em consonância com o princípio da subsidiariedade e a soberania fiscal dos Estados-Membros.</w:t>
      </w:r>
      <w:bookmarkEnd w:id="21"/>
    </w:p>
    <w:p w14:paraId="6309DB18" w14:textId="77777777" w:rsidR="007652C3" w:rsidRPr="00B922EA" w:rsidRDefault="007652C3" w:rsidP="00100EF9">
      <w:pPr>
        <w:ind w:left="567" w:hanging="567"/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79"/>
      </w:tblGrid>
      <w:tr w:rsidR="007652C3" w:rsidRPr="007652C3" w14:paraId="7534B913" w14:textId="77777777" w:rsidTr="00AC4C75">
        <w:tc>
          <w:tcPr>
            <w:tcW w:w="2093" w:type="dxa"/>
          </w:tcPr>
          <w:p w14:paraId="0C271651" w14:textId="77777777" w:rsidR="007652C3" w:rsidRPr="007652C3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6979" w:type="dxa"/>
          </w:tcPr>
          <w:p w14:paraId="528FE443" w14:textId="5FF87165" w:rsidR="007652C3" w:rsidRPr="007652C3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Jüri Soosaar</w:t>
            </w:r>
          </w:p>
        </w:tc>
      </w:tr>
      <w:tr w:rsidR="007652C3" w:rsidRPr="007652C3" w14:paraId="6D9C46AC" w14:textId="77777777" w:rsidTr="00AC4C75">
        <w:tc>
          <w:tcPr>
            <w:tcW w:w="2093" w:type="dxa"/>
          </w:tcPr>
          <w:p w14:paraId="02AD0CD6" w14:textId="77777777" w:rsidR="007652C3" w:rsidRPr="007652C3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6979" w:type="dxa"/>
          </w:tcPr>
          <w:p w14:paraId="43D215D4" w14:textId="14B49C37" w:rsidR="007652C3" w:rsidRPr="007652C3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+32 2 546 96 28</w:t>
            </w:r>
          </w:p>
        </w:tc>
      </w:tr>
      <w:tr w:rsidR="007652C3" w:rsidRPr="007652C3" w14:paraId="5C3011C3" w14:textId="77777777" w:rsidTr="00AC4C75">
        <w:tc>
          <w:tcPr>
            <w:tcW w:w="2093" w:type="dxa"/>
          </w:tcPr>
          <w:p w14:paraId="1F503178" w14:textId="77777777" w:rsidR="007652C3" w:rsidRPr="007652C3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6979" w:type="dxa"/>
          </w:tcPr>
          <w:p w14:paraId="62867B2B" w14:textId="5E2EB6F6" w:rsidR="007652C3" w:rsidRPr="007652C3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3" w:history="1">
              <w:r w:rsidR="00E235D3"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14:paraId="4982DD98" w14:textId="11429B92" w:rsidR="00302594" w:rsidRDefault="00302594" w:rsidP="00100EF9">
      <w:pPr>
        <w:jc w:val="left"/>
      </w:pPr>
    </w:p>
    <w:p w14:paraId="4982DD99" w14:textId="77777777" w:rsidR="004D7AC0" w:rsidRDefault="004D7AC0" w:rsidP="00100EF9">
      <w:pPr>
        <w:pStyle w:val="Heading1"/>
        <w:rPr>
          <w:b/>
        </w:rPr>
      </w:pPr>
      <w:bookmarkStart w:id="22" w:name="_Toc75527081"/>
      <w:bookmarkStart w:id="23" w:name="_Toc223015639"/>
      <w:r>
        <w:rPr>
          <w:b/>
        </w:rPr>
        <w:t>EMPREGO, ASSUNTOS SOCIAIS E CIDADANIA</w:t>
      </w:r>
      <w:bookmarkEnd w:id="22"/>
      <w:bookmarkEnd w:id="23"/>
    </w:p>
    <w:p w14:paraId="4982DD9A" w14:textId="77777777" w:rsidR="004D7AC0" w:rsidRPr="00153E09" w:rsidRDefault="004D7AC0" w:rsidP="00100EF9"/>
    <w:p w14:paraId="095440CA" w14:textId="6E6558FC" w:rsidR="001653D7" w:rsidRPr="001653D7" w:rsidRDefault="00F53A68" w:rsidP="00100EF9">
      <w:pPr>
        <w:widowControl w:val="0"/>
        <w:numPr>
          <w:ilvl w:val="0"/>
          <w:numId w:val="6"/>
        </w:numPr>
        <w:ind w:hanging="567"/>
        <w:rPr>
          <w:sz w:val="24"/>
          <w:szCs w:val="24"/>
        </w:rPr>
      </w:pPr>
      <w:hyperlink r:id="rId24" w:history="1">
        <w:r w:rsidR="00E235D3">
          <w:rPr>
            <w:b/>
            <w:i/>
            <w:color w:val="0000FF"/>
            <w:sz w:val="28"/>
            <w:u w:val="single"/>
          </w:rPr>
          <w:t>Apoio da União ao asilo, à migração e à integração; à segurança interna; à gestão integrada das fronteiras e à política de vistos</w:t>
        </w:r>
      </w:hyperlink>
    </w:p>
    <w:p w14:paraId="00463498" w14:textId="77777777" w:rsidR="001653D7" w:rsidRPr="001653D7" w:rsidRDefault="001653D7" w:rsidP="00100EF9">
      <w:pPr>
        <w:tabs>
          <w:tab w:val="center" w:pos="284"/>
        </w:tabs>
        <w:ind w:left="266" w:hanging="266"/>
        <w:rPr>
          <w:b/>
          <w:sz w:val="20"/>
          <w:szCs w:val="20"/>
        </w:rPr>
      </w:pPr>
    </w:p>
    <w:tbl>
      <w:tblPr>
        <w:tblStyle w:val="TableGrid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479"/>
      </w:tblGrid>
      <w:tr w:rsidR="001653D7" w:rsidRPr="00100EF9" w14:paraId="47B2AE04" w14:textId="77777777" w:rsidTr="00D0608D">
        <w:tc>
          <w:tcPr>
            <w:tcW w:w="1559" w:type="dxa"/>
          </w:tcPr>
          <w:p w14:paraId="0F6809D8" w14:textId="4113B348" w:rsidR="001653D7" w:rsidRPr="001653D7" w:rsidRDefault="001653D7" w:rsidP="007526DA">
            <w:pPr>
              <w:tabs>
                <w:tab w:val="center" w:pos="284"/>
              </w:tabs>
              <w:ind w:left="266" w:right="206" w:hanging="374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479" w:type="dxa"/>
          </w:tcPr>
          <w:p w14:paraId="4C613172" w14:textId="2BD1B530" w:rsidR="001653D7" w:rsidRPr="001653D7" w:rsidRDefault="001653D7" w:rsidP="007526DA">
            <w:pPr>
              <w:tabs>
                <w:tab w:val="center" w:pos="284"/>
              </w:tabs>
              <w:ind w:left="266" w:hanging="374"/>
            </w:pPr>
            <w:r>
              <w:t>José Antonio Moreno Díaz (ES – Grupo dos Trabalhadores)</w:t>
            </w:r>
          </w:p>
        </w:tc>
      </w:tr>
      <w:tr w:rsidR="00205469" w:rsidRPr="00100EF9" w14:paraId="60304579" w14:textId="77777777" w:rsidTr="00D0608D">
        <w:tc>
          <w:tcPr>
            <w:tcW w:w="1559" w:type="dxa"/>
          </w:tcPr>
          <w:p w14:paraId="2F580098" w14:textId="77777777" w:rsidR="00205469" w:rsidRPr="003F66F7" w:rsidRDefault="00205469" w:rsidP="00100EF9">
            <w:pPr>
              <w:tabs>
                <w:tab w:val="center" w:pos="284"/>
              </w:tabs>
              <w:ind w:left="266" w:hanging="374"/>
              <w:rPr>
                <w:b/>
                <w:lang w:val="es-ES"/>
              </w:rPr>
            </w:pPr>
          </w:p>
        </w:tc>
        <w:tc>
          <w:tcPr>
            <w:tcW w:w="7479" w:type="dxa"/>
          </w:tcPr>
          <w:p w14:paraId="5E1B80FD" w14:textId="77777777" w:rsidR="00205469" w:rsidRPr="001653D7" w:rsidRDefault="00205469" w:rsidP="00100EF9">
            <w:pPr>
              <w:tabs>
                <w:tab w:val="center" w:pos="284"/>
              </w:tabs>
              <w:ind w:left="266" w:hanging="374"/>
              <w:rPr>
                <w:lang w:val="es-ES"/>
              </w:rPr>
            </w:pPr>
          </w:p>
        </w:tc>
      </w:tr>
      <w:tr w:rsidR="001653D7" w:rsidRPr="00153E09" w14:paraId="396210B3" w14:textId="77777777" w:rsidTr="00D0608D">
        <w:tc>
          <w:tcPr>
            <w:tcW w:w="1559" w:type="dxa"/>
          </w:tcPr>
          <w:p w14:paraId="2CCAB3DC" w14:textId="2720B8B9" w:rsidR="001653D7" w:rsidRPr="001653D7" w:rsidRDefault="001653D7" w:rsidP="007526DA">
            <w:pPr>
              <w:tabs>
                <w:tab w:val="center" w:pos="284"/>
              </w:tabs>
              <w:ind w:left="266" w:hanging="374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7479" w:type="dxa"/>
          </w:tcPr>
          <w:p w14:paraId="7762C1AE" w14:textId="23946629" w:rsidR="001653D7" w:rsidRPr="001653D7" w:rsidRDefault="001653D7" w:rsidP="007526DA">
            <w:pPr>
              <w:tabs>
                <w:tab w:val="center" w:pos="284"/>
              </w:tabs>
              <w:ind w:left="266" w:hanging="374"/>
            </w:pPr>
            <w:r>
              <w:t>COM(2025) 540 final</w:t>
            </w:r>
          </w:p>
          <w:p w14:paraId="22AD2A59" w14:textId="56B0125B" w:rsidR="001653D7" w:rsidRPr="001653D7" w:rsidRDefault="001653D7" w:rsidP="007526DA">
            <w:pPr>
              <w:tabs>
                <w:tab w:val="center" w:pos="284"/>
              </w:tabs>
              <w:ind w:left="266" w:hanging="374"/>
            </w:pPr>
            <w:r>
              <w:t>COM(2025) 541 final</w:t>
            </w:r>
          </w:p>
          <w:p w14:paraId="63B53E3C" w14:textId="5CBBC2DD" w:rsidR="001653D7" w:rsidRDefault="001653D7" w:rsidP="00100EF9">
            <w:pPr>
              <w:tabs>
                <w:tab w:val="center" w:pos="284"/>
              </w:tabs>
              <w:ind w:left="266" w:hanging="374"/>
            </w:pPr>
            <w:r>
              <w:t>COM(2025) 542 final</w:t>
            </w:r>
          </w:p>
          <w:p w14:paraId="683E4ECE" w14:textId="10942A06" w:rsidR="00205469" w:rsidRPr="001653D7" w:rsidRDefault="00205469" w:rsidP="00100EF9">
            <w:pPr>
              <w:tabs>
                <w:tab w:val="center" w:pos="284"/>
              </w:tabs>
              <w:ind w:left="266" w:hanging="374"/>
            </w:pPr>
            <w:r>
              <w:t>EESC-2025-03434-00-00-AC</w:t>
            </w:r>
          </w:p>
        </w:tc>
      </w:tr>
    </w:tbl>
    <w:p w14:paraId="0460B2E8" w14:textId="77777777" w:rsidR="001653D7" w:rsidRPr="001653D7" w:rsidRDefault="001653D7" w:rsidP="00100EF9">
      <w:pPr>
        <w:tabs>
          <w:tab w:val="center" w:pos="284"/>
        </w:tabs>
        <w:ind w:left="266" w:hanging="266"/>
        <w:rPr>
          <w:sz w:val="20"/>
          <w:szCs w:val="20"/>
        </w:rPr>
      </w:pPr>
    </w:p>
    <w:p w14:paraId="0CBC1DF0" w14:textId="77777777" w:rsidR="001653D7" w:rsidRPr="001653D7" w:rsidRDefault="001653D7" w:rsidP="00100EF9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Pontos principais</w:t>
      </w:r>
    </w:p>
    <w:p w14:paraId="27D547BF" w14:textId="77777777" w:rsidR="001653D7" w:rsidRPr="001653D7" w:rsidRDefault="001653D7" w:rsidP="00100EF9">
      <w:pPr>
        <w:keepNext/>
        <w:keepLines/>
        <w:tabs>
          <w:tab w:val="center" w:pos="284"/>
        </w:tabs>
        <w:ind w:left="266" w:hanging="266"/>
        <w:rPr>
          <w:bCs/>
          <w:sz w:val="20"/>
          <w:szCs w:val="20"/>
        </w:rPr>
      </w:pPr>
    </w:p>
    <w:p w14:paraId="3C2E2FC5" w14:textId="77777777" w:rsidR="001653D7" w:rsidRPr="001653D7" w:rsidRDefault="001653D7" w:rsidP="00100EF9">
      <w:pPr>
        <w:rPr>
          <w:bCs/>
          <w:iCs/>
        </w:rPr>
      </w:pPr>
      <w:r>
        <w:t>O Comité Económico e Social Europeu:</w:t>
      </w:r>
    </w:p>
    <w:p w14:paraId="2EB60443" w14:textId="77777777" w:rsidR="001653D7" w:rsidRPr="001653D7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salienta a necessidade urgente de estabelecer uma política de imigração que proporcione canais de acesso à UE legais, seguros e eficazes. Esta posição está em consonância com os seus pareceres anteriores, nos quais sublinhou a importância de assegurar vias legais de entrada na UE, proteger os direitos fundamentais dos migrantes e melhorar a gestão da mobilidade na UE;</w:t>
      </w:r>
    </w:p>
    <w:p w14:paraId="17CE5961" w14:textId="77777777" w:rsidR="001653D7" w:rsidRPr="001653D7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assinala que os três regulamentos, no seu conjunto, revelam uma reorientação estrutural das prioridades da UE, com uma mudança acentuada no sentido do controlo e da segurança. A forte ênfase na segurança, tanto interna como externa, tende a ignorar as medidas de apoio à integração e à inclusão; salienta que a política de migração não pode ser reduzida a uma abordagem focada na segurança ;</w:t>
      </w:r>
    </w:p>
    <w:p w14:paraId="6247AC50" w14:textId="77777777" w:rsidR="001653D7" w:rsidRPr="001653D7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sublinha que um conjunto completo de ferramentas e instrumentos para gerir a migração legal e evitar irregularidades é um elemento importante de um sistema de migração plenamente operacional (incluindo o regresso, se for caso disso) e em plena conformidade com o direito da UE e o direito internacional. No entanto, a sua aplicação deve ser cuidadosamente ponderada, no respeito dos direitos fundamentais, em particular o direito à proteção individual;</w:t>
      </w:r>
    </w:p>
    <w:p w14:paraId="72AA5D3D" w14:textId="77777777" w:rsidR="001653D7" w:rsidRPr="001653D7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considera essencial melhorar os mecanismos de controlo independente dos direitos fundamentais e das condições humanitárias nas fronteiras, prevendo mecanismos transparentes de comunicação de informações;</w:t>
      </w:r>
    </w:p>
    <w:p w14:paraId="0CC7E7BF" w14:textId="77777777" w:rsidR="001653D7" w:rsidRPr="001653D7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considera que os três regulamentos adotados em conjunto para 2028-2034 colocam uma forte ênfase nas medidas de segurança e na externalização do controlo das fronteiras e suscitam preocupações quanto aos potenciais riscos para os direitos fundamentais. É essencial garantir simultaneamente a proteção dos direitos humanos fundamentais.</w:t>
      </w:r>
    </w:p>
    <w:p w14:paraId="6C124427" w14:textId="77777777" w:rsidR="001653D7" w:rsidRPr="001653D7" w:rsidRDefault="001653D7" w:rsidP="00100EF9">
      <w:pPr>
        <w:widowControl w:val="0"/>
        <w:ind w:left="709"/>
        <w:rPr>
          <w:sz w:val="20"/>
        </w:rPr>
      </w:pPr>
    </w:p>
    <w:tbl>
      <w:tblPr>
        <w:tblStyle w:val="TableGrid7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7199"/>
      </w:tblGrid>
      <w:tr w:rsidR="001653D7" w:rsidRPr="001653D7" w14:paraId="211429B1" w14:textId="77777777" w:rsidTr="00AC4C75">
        <w:tc>
          <w:tcPr>
            <w:tcW w:w="1126" w:type="pct"/>
          </w:tcPr>
          <w:p w14:paraId="13CD8E19" w14:textId="77777777" w:rsidR="001653D7" w:rsidRPr="001653D7" w:rsidRDefault="001653D7" w:rsidP="00100EF9">
            <w:pPr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874" w:type="pct"/>
          </w:tcPr>
          <w:p w14:paraId="4FD1075C" w14:textId="32E95F9F" w:rsidR="001653D7" w:rsidRPr="00D05167" w:rsidRDefault="001653D7" w:rsidP="00100EF9">
            <w:pPr>
              <w:rPr>
                <w:i/>
              </w:rPr>
            </w:pPr>
            <w:r>
              <w:rPr>
                <w:i/>
              </w:rPr>
              <w:t>Gemma Amran</w:t>
            </w:r>
          </w:p>
        </w:tc>
      </w:tr>
      <w:tr w:rsidR="001653D7" w:rsidRPr="001653D7" w14:paraId="3BC05E8A" w14:textId="77777777" w:rsidTr="00AC4C75">
        <w:tc>
          <w:tcPr>
            <w:tcW w:w="1126" w:type="pct"/>
          </w:tcPr>
          <w:p w14:paraId="1D9039E7" w14:textId="77777777" w:rsidR="001653D7" w:rsidRPr="001653D7" w:rsidRDefault="001653D7" w:rsidP="00100EF9">
            <w:pPr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874" w:type="pct"/>
          </w:tcPr>
          <w:p w14:paraId="410A1B26" w14:textId="0CC1E8ED" w:rsidR="001653D7" w:rsidRPr="00D05167" w:rsidRDefault="001653D7" w:rsidP="00100EF9">
            <w:pPr>
              <w:rPr>
                <w:i/>
              </w:rPr>
            </w:pPr>
            <w:r>
              <w:rPr>
                <w:i/>
              </w:rPr>
              <w:t>+32 2 546 94 15</w:t>
            </w:r>
          </w:p>
        </w:tc>
      </w:tr>
      <w:tr w:rsidR="001653D7" w:rsidRPr="001653D7" w14:paraId="653F335D" w14:textId="77777777" w:rsidTr="00AC4C75">
        <w:tc>
          <w:tcPr>
            <w:tcW w:w="1126" w:type="pct"/>
          </w:tcPr>
          <w:p w14:paraId="5DF7B6E3" w14:textId="77777777" w:rsidR="001653D7" w:rsidRPr="001653D7" w:rsidRDefault="001653D7" w:rsidP="00100EF9">
            <w:pPr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874" w:type="pct"/>
          </w:tcPr>
          <w:p w14:paraId="03300BBE" w14:textId="77777777" w:rsidR="001653D7" w:rsidRPr="001653D7" w:rsidRDefault="00F53A68" w:rsidP="00100EF9">
            <w:pPr>
              <w:rPr>
                <w:i/>
              </w:rPr>
            </w:pPr>
            <w:hyperlink r:id="rId25" w:history="1">
              <w:r w:rsidR="00E235D3">
                <w:rPr>
                  <w:i/>
                  <w:color w:val="0000FF"/>
                  <w:u w:val="single"/>
                </w:rPr>
                <w:t>Gemma.Amran@eesc.europa.eu</w:t>
              </w:r>
            </w:hyperlink>
          </w:p>
        </w:tc>
      </w:tr>
    </w:tbl>
    <w:p w14:paraId="4982DDC4" w14:textId="77777777" w:rsidR="004D7AC0" w:rsidRPr="00803CA6" w:rsidRDefault="004D7AC0" w:rsidP="00100EF9">
      <w:pPr>
        <w:pStyle w:val="ListParagraph"/>
        <w:ind w:left="0"/>
      </w:pPr>
    </w:p>
    <w:p w14:paraId="4982DDC5" w14:textId="77777777" w:rsidR="004D7AC0" w:rsidRDefault="004D7AC0" w:rsidP="00100EF9">
      <w:pPr>
        <w:jc w:val="left"/>
      </w:pPr>
      <w:r>
        <w:br w:type="page"/>
      </w:r>
    </w:p>
    <w:p w14:paraId="4982DDC6" w14:textId="77777777" w:rsidR="004D7AC0" w:rsidRDefault="004D7AC0" w:rsidP="00100EF9">
      <w:pPr>
        <w:pStyle w:val="Heading1"/>
        <w:rPr>
          <w:b/>
        </w:rPr>
      </w:pPr>
      <w:bookmarkStart w:id="24" w:name="_Toc24617160"/>
      <w:bookmarkStart w:id="25" w:name="_Toc75527082"/>
      <w:bookmarkStart w:id="26" w:name="_Toc223015640"/>
      <w:r>
        <w:rPr>
          <w:b/>
        </w:rPr>
        <w:lastRenderedPageBreak/>
        <w:t>TRANSPORTES, ENERGIA, INFRAESTRUTURAS E SOCIEDADE DA INFORMAÇÃO</w:t>
      </w:r>
      <w:bookmarkEnd w:id="24"/>
      <w:bookmarkEnd w:id="25"/>
      <w:bookmarkEnd w:id="26"/>
    </w:p>
    <w:p w14:paraId="4982DDC7" w14:textId="77777777" w:rsidR="004D7AC0" w:rsidRDefault="004D7AC0" w:rsidP="00100EF9"/>
    <w:p w14:paraId="33F22FD2" w14:textId="2A2F8B4D" w:rsidR="00B55C6C" w:rsidRPr="00B55C6C" w:rsidRDefault="00F53A68" w:rsidP="00100EF9">
      <w:pPr>
        <w:widowControl w:val="0"/>
        <w:numPr>
          <w:ilvl w:val="0"/>
          <w:numId w:val="6"/>
        </w:numPr>
        <w:ind w:hanging="567"/>
        <w:rPr>
          <w:sz w:val="24"/>
          <w:szCs w:val="24"/>
        </w:rPr>
      </w:pPr>
      <w:hyperlink r:id="rId26" w:history="1">
        <w:r w:rsidR="00E235D3">
          <w:rPr>
            <w:b/>
            <w:i/>
            <w:color w:val="0000FF"/>
            <w:sz w:val="24"/>
            <w:u w:val="single"/>
          </w:rPr>
          <w:t>Estratégia Europeia para as Ciências da Vida e Estratégia Europeia para as Infraestruturas de Investigação e Tecnologia, com destaque para o tratamento de doenças raras</w:t>
        </w:r>
      </w:hyperlink>
    </w:p>
    <w:p w14:paraId="6D214F19" w14:textId="77777777" w:rsidR="00B55C6C" w:rsidRPr="00B55C6C" w:rsidRDefault="00B55C6C" w:rsidP="00100EF9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400"/>
      </w:tblGrid>
      <w:tr w:rsidR="00B55C6C" w:rsidRPr="00B55C6C" w14:paraId="2B64E1A2" w14:textId="77777777" w:rsidTr="00D0608D">
        <w:tc>
          <w:tcPr>
            <w:tcW w:w="1673" w:type="dxa"/>
          </w:tcPr>
          <w:p w14:paraId="31E45AAF" w14:textId="77777777" w:rsidR="00B55C6C" w:rsidRPr="00B55C6C" w:rsidRDefault="00B55C6C" w:rsidP="00100EF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7400" w:type="dxa"/>
          </w:tcPr>
          <w:p w14:paraId="2077B4EE" w14:textId="7CFFDBD7" w:rsidR="0027149A" w:rsidRPr="00B55C6C" w:rsidRDefault="00B55C6C" w:rsidP="00100EF9">
            <w:pPr>
              <w:tabs>
                <w:tab w:val="center" w:pos="284"/>
              </w:tabs>
              <w:ind w:left="266" w:hanging="266"/>
            </w:pPr>
            <w:r>
              <w:t>Milena Angelova (BG – Grupo dos Empregadores)</w:t>
            </w:r>
          </w:p>
        </w:tc>
      </w:tr>
      <w:tr w:rsidR="00205469" w:rsidRPr="00B55C6C" w14:paraId="035AE27D" w14:textId="77777777" w:rsidTr="00D0608D">
        <w:tc>
          <w:tcPr>
            <w:tcW w:w="1673" w:type="dxa"/>
          </w:tcPr>
          <w:p w14:paraId="582588EB" w14:textId="77777777" w:rsidR="00205469" w:rsidRPr="00B55C6C" w:rsidRDefault="00205469" w:rsidP="00100EF9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7400" w:type="dxa"/>
          </w:tcPr>
          <w:p w14:paraId="33028952" w14:textId="77777777" w:rsidR="00205469" w:rsidRPr="00B55C6C" w:rsidRDefault="00205469" w:rsidP="00100EF9">
            <w:pPr>
              <w:tabs>
                <w:tab w:val="center" w:pos="284"/>
              </w:tabs>
              <w:ind w:left="266" w:hanging="266"/>
            </w:pPr>
          </w:p>
        </w:tc>
      </w:tr>
      <w:tr w:rsidR="00B55C6C" w:rsidRPr="00B55C6C" w14:paraId="416210B9" w14:textId="77777777" w:rsidTr="00D0608D">
        <w:tc>
          <w:tcPr>
            <w:tcW w:w="1673" w:type="dxa"/>
          </w:tcPr>
          <w:p w14:paraId="5830CF27" w14:textId="77777777" w:rsidR="00B55C6C" w:rsidRPr="00B55C6C" w:rsidRDefault="00B55C6C" w:rsidP="00100EF9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7400" w:type="dxa"/>
          </w:tcPr>
          <w:p w14:paraId="6387FA0F" w14:textId="29179DE5" w:rsidR="00B55C6C" w:rsidRPr="00B55C6C" w:rsidRDefault="00B55C6C" w:rsidP="00100EF9">
            <w:pPr>
              <w:tabs>
                <w:tab w:val="center" w:pos="284"/>
              </w:tabs>
              <w:ind w:left="266" w:right="-108" w:hanging="266"/>
              <w:jc w:val="left"/>
            </w:pPr>
            <w:r>
              <w:t>Parecer exploratório a pedido da Presidência cipriota do Conselho da UE</w:t>
            </w:r>
          </w:p>
          <w:p w14:paraId="72910B0E" w14:textId="77777777" w:rsidR="00B55C6C" w:rsidRPr="00B55C6C" w:rsidRDefault="00B55C6C" w:rsidP="00100EF9">
            <w:pPr>
              <w:tabs>
                <w:tab w:val="center" w:pos="284"/>
              </w:tabs>
              <w:ind w:left="266" w:hanging="266"/>
            </w:pPr>
            <w:r>
              <w:t>EESC-2025-03652-00-00-AC</w:t>
            </w:r>
          </w:p>
        </w:tc>
      </w:tr>
    </w:tbl>
    <w:p w14:paraId="6A284DC4" w14:textId="77777777" w:rsidR="00B55C6C" w:rsidRPr="00B55C6C" w:rsidRDefault="00B55C6C" w:rsidP="00100EF9">
      <w:pPr>
        <w:keepNext/>
        <w:keepLines/>
        <w:tabs>
          <w:tab w:val="center" w:pos="284"/>
        </w:tabs>
        <w:ind w:left="266" w:hanging="266"/>
        <w:rPr>
          <w:b/>
          <w:bCs/>
        </w:rPr>
      </w:pPr>
    </w:p>
    <w:p w14:paraId="273C39C3" w14:textId="46817AE1" w:rsidR="00B55C6C" w:rsidRPr="00B55C6C" w:rsidRDefault="00B55C6C" w:rsidP="00100EF9">
      <w:pPr>
        <w:keepNext/>
        <w:keepLines/>
        <w:tabs>
          <w:tab w:val="center" w:pos="284"/>
        </w:tabs>
        <w:ind w:left="266" w:hanging="266"/>
        <w:rPr>
          <w:b/>
          <w:bCs/>
        </w:rPr>
      </w:pPr>
      <w:r>
        <w:rPr>
          <w:b/>
        </w:rPr>
        <w:t>Pontos principais</w:t>
      </w:r>
    </w:p>
    <w:p w14:paraId="4C80B459" w14:textId="77777777" w:rsidR="00B55C6C" w:rsidRPr="00B55C6C" w:rsidRDefault="00B55C6C" w:rsidP="00100EF9">
      <w:pPr>
        <w:keepNext/>
        <w:keepLines/>
        <w:tabs>
          <w:tab w:val="center" w:pos="284"/>
        </w:tabs>
        <w:ind w:left="266" w:hanging="266"/>
        <w:rPr>
          <w:b/>
        </w:rPr>
      </w:pPr>
    </w:p>
    <w:p w14:paraId="00939141" w14:textId="77777777" w:rsidR="00B55C6C" w:rsidRDefault="00B55C6C" w:rsidP="00100EF9">
      <w:r>
        <w:t>O Comité Económico e Social Europeu:</w:t>
      </w:r>
    </w:p>
    <w:p w14:paraId="383812B3" w14:textId="77777777" w:rsidR="00B55C6C" w:rsidRPr="00B55C6C" w:rsidRDefault="00B55C6C" w:rsidP="007526DA">
      <w:pPr>
        <w:numPr>
          <w:ilvl w:val="0"/>
          <w:numId w:val="20"/>
        </w:numPr>
        <w:shd w:val="clear" w:color="auto" w:fill="FFFFFF" w:themeFill="background1"/>
        <w:ind w:left="567" w:hanging="567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</w:rPr>
        <w:t xml:space="preserve">acolhe favoravelmente a Estratégia Europeia para as Ciências da Vida e salienta que a garantia de uma </w:t>
      </w:r>
      <w:r>
        <w:rPr>
          <w:b/>
          <w:color w:val="242424"/>
        </w:rPr>
        <w:t>abordagem holística</w:t>
      </w:r>
      <w:r>
        <w:rPr>
          <w:color w:val="242424"/>
        </w:rPr>
        <w:t xml:space="preserve"> e de um ambiente propício pode fazer da Europa um </w:t>
      </w:r>
      <w:r>
        <w:rPr>
          <w:b/>
          <w:color w:val="242424"/>
        </w:rPr>
        <w:t>líder mundial nas ciências da vida</w:t>
      </w:r>
      <w:r>
        <w:rPr>
          <w:color w:val="242424"/>
        </w:rPr>
        <w:t xml:space="preserve"> (em particular no tocante a doenças raras e à genómica).</w:t>
      </w:r>
      <w:r>
        <w:rPr>
          <w:color w:val="242424"/>
          <w:u w:val="single"/>
        </w:rPr>
        <w:t xml:space="preserve"> </w:t>
      </w:r>
      <w:r>
        <w:rPr>
          <w:b/>
          <w:color w:val="242424"/>
          <w:u w:val="single"/>
        </w:rPr>
        <w:t>Uma abordagem</w:t>
      </w:r>
      <w:r>
        <w:rPr>
          <w:color w:val="242424"/>
          <w:u w:val="single"/>
        </w:rPr>
        <w:t xml:space="preserve"> desse tipo implica:</w:t>
      </w:r>
    </w:p>
    <w:p w14:paraId="5A323DAF" w14:textId="746DCEF3" w:rsidR="00B55C6C" w:rsidRPr="00B55C6C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  <w:u w:val="single"/>
        </w:rPr>
        <w:t>métodos científicos e baseados em dados abrangentes que permitam diagnosticar e compreender as causas das doenças (por exemplo, fatores genéticos, hábitos e estilos de vida pouco saudáveis, poluição, stress, etc.);</w:t>
      </w:r>
    </w:p>
    <w:p w14:paraId="54755404" w14:textId="5C9C4720" w:rsidR="00B55C6C" w:rsidRPr="00B55C6C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  <w:u w:val="single"/>
        </w:rPr>
        <w:t>a difusão de informações sobre prevenção e diagnóstico precoce;</w:t>
      </w:r>
    </w:p>
    <w:p w14:paraId="3424F771" w14:textId="30D8CD98" w:rsidR="00B55C6C" w:rsidRPr="00B55C6C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color w:val="242424"/>
          <w:u w:val="single"/>
        </w:rPr>
      </w:pPr>
      <w:r>
        <w:rPr>
          <w:color w:val="242424"/>
          <w:u w:val="single"/>
        </w:rPr>
        <w:t>rastreios médicos e tratamentos eficazes e acessíveis;</w:t>
      </w:r>
    </w:p>
    <w:p w14:paraId="093589AA" w14:textId="77777777" w:rsidR="00B55C6C" w:rsidRPr="00B55C6C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color w:val="242424"/>
          <w:u w:val="single"/>
        </w:rPr>
      </w:pPr>
      <w:r>
        <w:rPr>
          <w:color w:val="242424"/>
          <w:u w:val="single"/>
        </w:rPr>
        <w:t>cuidados de elevada qualidade e infraestruturas de apoio acessíveis para os doentes e respetivas famílias;</w:t>
      </w:r>
    </w:p>
    <w:p w14:paraId="65EEE98A" w14:textId="7EA1C342" w:rsidR="00B55C6C" w:rsidRPr="00B55C6C" w:rsidRDefault="00B55C6C" w:rsidP="007526DA">
      <w:pPr>
        <w:numPr>
          <w:ilvl w:val="0"/>
          <w:numId w:val="20"/>
        </w:numPr>
        <w:shd w:val="clear" w:color="auto" w:fill="FFFFFF" w:themeFill="background1"/>
        <w:ind w:left="567" w:hanging="567"/>
        <w:contextualSpacing/>
        <w:rPr>
          <w:color w:val="242424"/>
          <w:u w:val="single"/>
        </w:rPr>
      </w:pPr>
      <w:r>
        <w:t>subscreve o apelo do Parlamento Europeu no sentido de se adotar rapidamente um</w:t>
      </w:r>
      <w:r>
        <w:rPr>
          <w:b/>
          <w:bCs/>
        </w:rPr>
        <w:t xml:space="preserve"> </w:t>
      </w:r>
      <w:hyperlink r:id="rId27">
        <w:r>
          <w:rPr>
            <w:b/>
            <w:color w:val="242424"/>
            <w:u w:val="single"/>
          </w:rPr>
          <w:t>plano de ação europeu para as doenças raras</w:t>
        </w:r>
      </w:hyperlink>
      <w:r>
        <w:t xml:space="preserve">, nomeadamente reanimando e aprofundando o </w:t>
      </w:r>
      <w:hyperlink r:id="rId28">
        <w:r>
          <w:rPr>
            <w:b/>
            <w:color w:val="242424"/>
            <w:u w:val="single"/>
          </w:rPr>
          <w:t>apelo de Tartu para um estilo de vida saudável</w:t>
        </w:r>
      </w:hyperlink>
      <w:r>
        <w:t xml:space="preserve"> e adotando a </w:t>
      </w:r>
      <w:hyperlink r:id="rId29">
        <w:r>
          <w:rPr>
            <w:b/>
            <w:color w:val="242424"/>
            <w:u w:val="single"/>
          </w:rPr>
          <w:t>Abordagem «Uma Só Saúde»</w:t>
        </w:r>
      </w:hyperlink>
      <w:r>
        <w:t>;</w:t>
      </w:r>
    </w:p>
    <w:p w14:paraId="19824879" w14:textId="1ECCBA6F" w:rsidR="00B55C6C" w:rsidRPr="00B55C6C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b/>
          <w:bCs/>
          <w:color w:val="242424"/>
        </w:rPr>
      </w:pPr>
      <w:r>
        <w:rPr>
          <w:color w:val="242424"/>
        </w:rPr>
        <w:t xml:space="preserve">considera que as infraestruturas de investigação e tecnologia (incluindo as que se centram nas doenças raras) são um catalisador incontornável do desenvolvimento das ciências da vida e da economia da longevidade e que devem abranger </w:t>
      </w:r>
      <w:r>
        <w:rPr>
          <w:b/>
          <w:bCs/>
          <w:color w:val="242424"/>
        </w:rPr>
        <w:t>toda a cultura de longevidade</w:t>
      </w:r>
      <w:r>
        <w:rPr>
          <w:color w:val="242424"/>
        </w:rPr>
        <w:t xml:space="preserve"> (incluindo a prevenção, a alimentação saudável, o estilo de vida, os tratamentos e o lazer balneares, a saúde física e mental, entre muitos outros aspetos), indo além do mero diagnóstico e tratamento de doenças;</w:t>
      </w:r>
    </w:p>
    <w:p w14:paraId="36230EAB" w14:textId="2F18E6C1" w:rsidR="00B55C6C" w:rsidRPr="00B55C6C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 xml:space="preserve">recomenda a criação, </w:t>
      </w:r>
      <w:r>
        <w:rPr>
          <w:b/>
          <w:bCs/>
          <w:color w:val="242424"/>
        </w:rPr>
        <w:t>em cada Estado-Membro, de centros translacionais especializados em doenças raras</w:t>
      </w:r>
      <w:r>
        <w:rPr>
          <w:color w:val="242424"/>
        </w:rPr>
        <w:t>, coordenados a nível da UE para assegurar a coerência;</w:t>
      </w:r>
    </w:p>
    <w:p w14:paraId="79F67F3F" w14:textId="695936F4" w:rsidR="00B55C6C" w:rsidRPr="00B55C6C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>frisa que as parcerias europeias são vitais para promover uma participação significativa e estruturada de todo o leque de partes interessadas e solicita mecanismos formalizados para essa participação.</w:t>
      </w:r>
    </w:p>
    <w:p w14:paraId="007C9EE2" w14:textId="77777777" w:rsidR="00B55C6C" w:rsidRPr="00B55C6C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 xml:space="preserve">defende que uma participação estruturada, transparente e sistemática das </w:t>
      </w:r>
      <w:r>
        <w:rPr>
          <w:b/>
          <w:color w:val="242424"/>
        </w:rPr>
        <w:t>organizações de doentes, dos parceiros sociais e das organizações da sociedade civil, incluindo a sua representação obrigatória</w:t>
      </w:r>
      <w:r>
        <w:rPr>
          <w:color w:val="242424"/>
        </w:rPr>
        <w:t>, viabilizará a definição de prioridades e protocolos de dados, requisitos de transparência aplicáveis às decisões e à utilização de dados e um mecanismo que garanta a integração efetiva dos contributos destes intervenientes.</w:t>
      </w:r>
    </w:p>
    <w:p w14:paraId="47E7F57B" w14:textId="77777777" w:rsidR="00B55C6C" w:rsidRPr="00B55C6C" w:rsidRDefault="00B55C6C" w:rsidP="00100EF9">
      <w:pPr>
        <w:ind w:left="720"/>
      </w:pPr>
    </w:p>
    <w:tbl>
      <w:tblPr>
        <w:tblStyle w:val="TableGrid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79"/>
      </w:tblGrid>
      <w:tr w:rsidR="00B55C6C" w:rsidRPr="00B55C6C" w14:paraId="1B7BB807" w14:textId="77777777" w:rsidTr="00AC4C75">
        <w:tc>
          <w:tcPr>
            <w:tcW w:w="2093" w:type="dxa"/>
          </w:tcPr>
          <w:p w14:paraId="28C13E10" w14:textId="77777777" w:rsidR="00B55C6C" w:rsidRPr="00B55C6C" w:rsidRDefault="00B55C6C" w:rsidP="00100EF9">
            <w:pPr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6979" w:type="dxa"/>
          </w:tcPr>
          <w:p w14:paraId="1876AA9B" w14:textId="77777777" w:rsidR="00B55C6C" w:rsidRPr="00B55C6C" w:rsidRDefault="00B55C6C" w:rsidP="00100EF9">
            <w:pPr>
              <w:rPr>
                <w:i/>
              </w:rPr>
            </w:pPr>
            <w:r>
              <w:rPr>
                <w:i/>
              </w:rPr>
              <w:t>Konstantina Angelopoulou</w:t>
            </w:r>
          </w:p>
        </w:tc>
      </w:tr>
      <w:tr w:rsidR="00B55C6C" w:rsidRPr="00B55C6C" w14:paraId="3A6228E8" w14:textId="77777777" w:rsidTr="00AC4C75">
        <w:tc>
          <w:tcPr>
            <w:tcW w:w="2093" w:type="dxa"/>
          </w:tcPr>
          <w:p w14:paraId="744FB576" w14:textId="77777777" w:rsidR="00B55C6C" w:rsidRPr="00B55C6C" w:rsidRDefault="00B55C6C" w:rsidP="00100EF9">
            <w:pPr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6979" w:type="dxa"/>
          </w:tcPr>
          <w:p w14:paraId="30F176AA" w14:textId="69662FEA" w:rsidR="00B55C6C" w:rsidRPr="00B55C6C" w:rsidRDefault="00B55C6C" w:rsidP="00100EF9">
            <w:pPr>
              <w:rPr>
                <w:i/>
              </w:rPr>
            </w:pPr>
            <w:r>
              <w:rPr>
                <w:i/>
              </w:rPr>
              <w:t>+32 2 546 97 47</w:t>
            </w:r>
          </w:p>
        </w:tc>
      </w:tr>
      <w:tr w:rsidR="00B55C6C" w:rsidRPr="00B55C6C" w14:paraId="3F5E6411" w14:textId="77777777" w:rsidTr="00AC4C75">
        <w:tc>
          <w:tcPr>
            <w:tcW w:w="2093" w:type="dxa"/>
          </w:tcPr>
          <w:p w14:paraId="62C81B41" w14:textId="1E9E1B5D" w:rsidR="00B55C6C" w:rsidRPr="00B55C6C" w:rsidRDefault="00256B74" w:rsidP="00100EF9">
            <w:pPr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6979" w:type="dxa"/>
          </w:tcPr>
          <w:p w14:paraId="31CA77B0" w14:textId="77777777" w:rsidR="00B55C6C" w:rsidRPr="00B55C6C" w:rsidRDefault="00F53A68" w:rsidP="00100EF9">
            <w:pPr>
              <w:rPr>
                <w:i/>
                <w:iCs/>
              </w:rPr>
            </w:pPr>
            <w:hyperlink r:id="rId30" w:history="1">
              <w:r w:rsidR="00E235D3">
                <w:rPr>
                  <w:i/>
                  <w:color w:val="0000FF"/>
                  <w:u w:val="single"/>
                </w:rPr>
                <w:t>Konstantina.Angelopoulou@eesc.europa.eu</w:t>
              </w:r>
            </w:hyperlink>
          </w:p>
        </w:tc>
      </w:tr>
    </w:tbl>
    <w:p w14:paraId="4982DDF1" w14:textId="3CAFEF7D" w:rsidR="00EE1B31" w:rsidRDefault="00EE1B31" w:rsidP="00100EF9">
      <w:pPr>
        <w:pStyle w:val="ListParagraph"/>
        <w:ind w:left="0"/>
      </w:pPr>
    </w:p>
    <w:p w14:paraId="4483536B" w14:textId="77777777" w:rsidR="00EE1B31" w:rsidRDefault="00EE1B31" w:rsidP="00100EF9">
      <w:pPr>
        <w:jc w:val="left"/>
      </w:pPr>
      <w:r>
        <w:br w:type="page"/>
      </w:r>
    </w:p>
    <w:p w14:paraId="20E4C813" w14:textId="328C87C4" w:rsidR="00594237" w:rsidRPr="00594237" w:rsidRDefault="00F53A68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1" w:history="1">
        <w:r w:rsidR="00E235D3">
          <w:rPr>
            <w:b/>
            <w:i/>
            <w:color w:val="0000FF"/>
            <w:sz w:val="28"/>
            <w:u w:val="single"/>
          </w:rPr>
          <w:t>Conectividade energética, redes elétricas</w:t>
        </w:r>
      </w:hyperlink>
    </w:p>
    <w:p w14:paraId="03DC3C66" w14:textId="77777777" w:rsidR="00594237" w:rsidRPr="00594237" w:rsidRDefault="0059423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405"/>
      </w:tblGrid>
      <w:tr w:rsidR="00594237" w:rsidRPr="00594237" w14:paraId="0B3E8F32" w14:textId="77777777" w:rsidTr="00D0608D">
        <w:tc>
          <w:tcPr>
            <w:tcW w:w="1668" w:type="dxa"/>
          </w:tcPr>
          <w:p w14:paraId="3305D113" w14:textId="77777777" w:rsidR="00594237" w:rsidRPr="00594237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405" w:type="dxa"/>
          </w:tcPr>
          <w:p w14:paraId="01328C57" w14:textId="544140E5" w:rsidR="00F172E5" w:rsidRPr="00594237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Christophe Béguinet (FR – Grupo dos Trabalhadores)</w:t>
            </w:r>
          </w:p>
        </w:tc>
      </w:tr>
      <w:tr w:rsidR="00205469" w:rsidRPr="00594237" w14:paraId="4D1871B6" w14:textId="77777777" w:rsidTr="00D0608D">
        <w:tc>
          <w:tcPr>
            <w:tcW w:w="1668" w:type="dxa"/>
          </w:tcPr>
          <w:p w14:paraId="589D2486" w14:textId="77777777" w:rsidR="00205469" w:rsidRPr="00594237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05" w:type="dxa"/>
          </w:tcPr>
          <w:p w14:paraId="1F8F0751" w14:textId="77777777" w:rsidR="00205469" w:rsidRPr="00594237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594237" w:rsidRPr="00594237" w14:paraId="57747D28" w14:textId="77777777" w:rsidTr="00D0608D">
        <w:tc>
          <w:tcPr>
            <w:tcW w:w="1668" w:type="dxa"/>
          </w:tcPr>
          <w:p w14:paraId="7A081D5F" w14:textId="1DA4EDF6" w:rsidR="00594237" w:rsidRPr="00594237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7405" w:type="dxa"/>
          </w:tcPr>
          <w:p w14:paraId="245BB14C" w14:textId="0A43048D" w:rsidR="00594237" w:rsidRPr="00594237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exploratório a pedido da Presidência cipriota do Conselho da UE</w:t>
            </w:r>
          </w:p>
          <w:p w14:paraId="6CAD8281" w14:textId="77777777" w:rsidR="00594237" w:rsidRPr="00594237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EESC-2025-03570-00-00-AC</w:t>
            </w:r>
          </w:p>
        </w:tc>
      </w:tr>
    </w:tbl>
    <w:p w14:paraId="2AF24FC2" w14:textId="77777777" w:rsidR="00594237" w:rsidRPr="00594237" w:rsidRDefault="0059423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2CEA925B" w14:textId="77777777" w:rsidR="00594237" w:rsidRPr="00594237" w:rsidRDefault="0059423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3DFD6E79" w14:textId="77777777" w:rsidR="00594237" w:rsidRPr="00594237" w:rsidRDefault="0059423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A6D3353" w14:textId="0A952B50" w:rsidR="002D77C8" w:rsidRPr="00594237" w:rsidRDefault="00594237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Europeu:</w:t>
      </w:r>
    </w:p>
    <w:p w14:paraId="646A6D1A" w14:textId="77777777" w:rsidR="00594237" w:rsidRPr="00594237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salienta que o setor europeu da eletricidade deve ter capacidade para planear as necessidades do sistema elétrico à escala da União Europeia (UE) e nos países parceiros, com base num cenário energético comum definido pela Comissão e pelos operadores de redes nacionais;</w:t>
      </w:r>
    </w:p>
    <w:p w14:paraId="61E86BFD" w14:textId="77777777" w:rsidR="00594237" w:rsidRPr="00594237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assinala que o valor das interconexões deve ser visto quer como um benefício partilhado entre dois países, segundo uma abordagem bilateral, quer na perspetiva da obtenção de um benefício global para o sistema, que vá além dos dois países na origem da interconexão. Neste segundo caso, devem surgir novos modelos económicos resultantes da colaboração entre a Agência da União Europeia de Cooperação dos Reguladores da Energia (ACER), os reguladores nacionais e os operadores de rede;</w:t>
      </w:r>
    </w:p>
    <w:p w14:paraId="2C83B82E" w14:textId="77777777" w:rsidR="00594237" w:rsidRPr="00594237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frisa que, para que as interconexões sejam eficazes, o seu desenvolvimento deve acompanhar o desenvolvimento das infraestruturas nacionais pertinentes, especialmente ao nível dos operadores das redes de transporte e dos operadores das redes de distribuição. A criação de capacidades de interconexão deve ser uma oportunidade para promover a solidariedade europeia nas redes de eletricidade;</w:t>
      </w:r>
    </w:p>
    <w:p w14:paraId="543D8C6F" w14:textId="77777777" w:rsidR="00594237" w:rsidRPr="00594237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destaca que a otimização económica do sistema elétrico europeu requer a instalação generalizada de contadores inteligentes, a realização de mais investimentos adicionais nas redes de transporte e distribuição e a disponibilização de dados sobre os fluxos de energia;</w:t>
      </w:r>
    </w:p>
    <w:p w14:paraId="5841625A" w14:textId="77777777" w:rsidR="00594237" w:rsidRPr="00594237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dá precedência à segurança do sistema elétrico no que diz respeito às alterações climáticas, aos ataques físicos, aos atos de sabotagem, aos riscos de cibersegurança e aos riscos para o equilíbrio do sistema;</w:t>
      </w:r>
    </w:p>
    <w:p w14:paraId="5F670357" w14:textId="77777777" w:rsidR="00594237" w:rsidRPr="00594237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preconiza que a otimização das infraestruturas existentes tenha precedência sobre o desenvolvimento de novas infraestruturas.</w:t>
      </w:r>
    </w:p>
    <w:p w14:paraId="7F7D5FFE" w14:textId="77777777" w:rsidR="00594237" w:rsidRPr="00AC4C75" w:rsidRDefault="00594237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594237" w:rsidRPr="00594237" w14:paraId="0AB1B93A" w14:textId="77777777" w:rsidTr="00AC4C75">
        <w:tc>
          <w:tcPr>
            <w:tcW w:w="2093" w:type="dxa"/>
          </w:tcPr>
          <w:p w14:paraId="07D8992D" w14:textId="77777777" w:rsidR="00594237" w:rsidRPr="00594237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7087" w:type="dxa"/>
          </w:tcPr>
          <w:p w14:paraId="1B78F73E" w14:textId="78914975" w:rsidR="00594237" w:rsidRPr="00594237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Giorgia Bordignon</w:t>
            </w:r>
          </w:p>
        </w:tc>
      </w:tr>
      <w:tr w:rsidR="00594237" w:rsidRPr="00594237" w14:paraId="6912C935" w14:textId="77777777" w:rsidTr="00AC4C75">
        <w:tc>
          <w:tcPr>
            <w:tcW w:w="2093" w:type="dxa"/>
          </w:tcPr>
          <w:p w14:paraId="5F1BA648" w14:textId="77777777" w:rsidR="00594237" w:rsidRPr="00594237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7087" w:type="dxa"/>
          </w:tcPr>
          <w:p w14:paraId="42C70B8C" w14:textId="0FF6B91B" w:rsidR="00594237" w:rsidRPr="00594237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+32 2 546 85 35</w:t>
            </w:r>
          </w:p>
        </w:tc>
      </w:tr>
      <w:tr w:rsidR="00594237" w:rsidRPr="00594237" w14:paraId="2BBC59B6" w14:textId="77777777" w:rsidTr="00AC4C75">
        <w:tc>
          <w:tcPr>
            <w:tcW w:w="2093" w:type="dxa"/>
          </w:tcPr>
          <w:p w14:paraId="10BDDDCF" w14:textId="77777777" w:rsidR="00594237" w:rsidRPr="00594237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7087" w:type="dxa"/>
          </w:tcPr>
          <w:p w14:paraId="5EF302B9" w14:textId="77777777" w:rsidR="00594237" w:rsidRPr="00594237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32" w:history="1">
              <w:r w:rsidR="00E235D3">
                <w:rPr>
                  <w:i/>
                  <w:color w:val="0000FF"/>
                  <w:u w:val="single"/>
                </w:rPr>
                <w:t>GiorgiaAndrea.Bordignon@eesc.europa.eu</w:t>
              </w:r>
            </w:hyperlink>
          </w:p>
        </w:tc>
      </w:tr>
    </w:tbl>
    <w:p w14:paraId="79D0072B" w14:textId="77777777" w:rsidR="004D7AC0" w:rsidRDefault="004D7AC0" w:rsidP="00100EF9">
      <w:pPr>
        <w:pStyle w:val="ListParagraph"/>
        <w:ind w:left="0"/>
      </w:pPr>
    </w:p>
    <w:p w14:paraId="4982DDF2" w14:textId="77777777" w:rsidR="004D7AC0" w:rsidRDefault="004D7AC0" w:rsidP="00100EF9">
      <w:pPr>
        <w:jc w:val="left"/>
      </w:pPr>
      <w:r>
        <w:br w:type="page"/>
      </w:r>
    </w:p>
    <w:p w14:paraId="4982DE1F" w14:textId="77777777" w:rsidR="004D7AC0" w:rsidRDefault="004D7AC0" w:rsidP="00100EF9">
      <w:pPr>
        <w:pStyle w:val="Heading1"/>
        <w:rPr>
          <w:b/>
        </w:rPr>
      </w:pPr>
      <w:bookmarkStart w:id="27" w:name="_Toc70322234"/>
      <w:bookmarkStart w:id="28" w:name="_Toc75527084"/>
      <w:bookmarkStart w:id="29" w:name="_Toc223015641"/>
      <w:r>
        <w:rPr>
          <w:b/>
        </w:rPr>
        <w:lastRenderedPageBreak/>
        <w:t>AGRICULTURA, DESENVOLVIMENTO RURAL E AMBIENTE</w:t>
      </w:r>
      <w:bookmarkEnd w:id="27"/>
      <w:bookmarkEnd w:id="28"/>
      <w:bookmarkEnd w:id="29"/>
    </w:p>
    <w:p w14:paraId="4982DE20" w14:textId="77777777" w:rsidR="004D7AC0" w:rsidRDefault="004D7AC0" w:rsidP="00100EF9"/>
    <w:p w14:paraId="2C76C141" w14:textId="0727FF4D" w:rsidR="00621347" w:rsidRPr="00621347" w:rsidRDefault="00F53A68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r:id="rId33" w:history="1">
        <w:r w:rsidR="00E235D3">
          <w:rPr>
            <w:b/>
            <w:i/>
            <w:color w:val="0000FF"/>
            <w:sz w:val="28"/>
            <w:u w:val="single"/>
          </w:rPr>
          <w:t>Roteiro para os créditos da natureza</w:t>
        </w:r>
      </w:hyperlink>
    </w:p>
    <w:p w14:paraId="62E0B68C" w14:textId="77777777" w:rsidR="00621347" w:rsidRPr="00AC4C75" w:rsidRDefault="0062134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1"/>
      </w:tblGrid>
      <w:tr w:rsidR="00621347" w:rsidRPr="00621347" w14:paraId="5980278B" w14:textId="77777777" w:rsidTr="00D0608D">
        <w:tc>
          <w:tcPr>
            <w:tcW w:w="898" w:type="pct"/>
          </w:tcPr>
          <w:p w14:paraId="61C81431" w14:textId="77777777" w:rsidR="00621347" w:rsidRPr="00621347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4102" w:type="pct"/>
          </w:tcPr>
          <w:p w14:paraId="53BB74E4" w14:textId="19992D32" w:rsidR="00621347" w:rsidRPr="00621347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Arnaud Schwartz (FR – Grupo das Organizações da Sociedade Civil)</w:t>
            </w:r>
          </w:p>
        </w:tc>
      </w:tr>
      <w:tr w:rsidR="00621347" w:rsidRPr="00621347" w14:paraId="0CEBEBE7" w14:textId="77777777" w:rsidTr="00D0608D">
        <w:tc>
          <w:tcPr>
            <w:tcW w:w="898" w:type="pct"/>
          </w:tcPr>
          <w:p w14:paraId="2479DBBC" w14:textId="77777777" w:rsidR="00621347" w:rsidRPr="00621347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4102" w:type="pct"/>
          </w:tcPr>
          <w:p w14:paraId="71EF85C6" w14:textId="36F8549C" w:rsidR="00630779" w:rsidRPr="00621347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Teppo Säkkinen (FI – Grupo dos Empregadores)</w:t>
            </w:r>
          </w:p>
        </w:tc>
      </w:tr>
      <w:tr w:rsidR="00205469" w:rsidRPr="00621347" w14:paraId="778CD321" w14:textId="77777777" w:rsidTr="00D0608D">
        <w:tc>
          <w:tcPr>
            <w:tcW w:w="898" w:type="pct"/>
          </w:tcPr>
          <w:p w14:paraId="7759C9B9" w14:textId="77777777" w:rsidR="00205469" w:rsidRPr="00AC4C75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102" w:type="pct"/>
          </w:tcPr>
          <w:p w14:paraId="4A9CAC5A" w14:textId="77777777" w:rsidR="00205469" w:rsidRPr="00621347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621347" w:rsidRPr="00621347" w14:paraId="27481885" w14:textId="77777777" w:rsidTr="00D0608D">
        <w:tc>
          <w:tcPr>
            <w:tcW w:w="898" w:type="pct"/>
          </w:tcPr>
          <w:p w14:paraId="51C5B0D8" w14:textId="77777777" w:rsidR="00621347" w:rsidRPr="00621347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4102" w:type="pct"/>
          </w:tcPr>
          <w:p w14:paraId="72CD413C" w14:textId="352FF01B" w:rsidR="00CC7D10" w:rsidRDefault="00124E6A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COM(2025) 374 final</w:t>
            </w:r>
          </w:p>
          <w:p w14:paraId="281E2397" w14:textId="6410C7C8" w:rsidR="00621347" w:rsidRPr="00621347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EESC-2025-03041-00-00-AC</w:t>
            </w:r>
          </w:p>
        </w:tc>
      </w:tr>
    </w:tbl>
    <w:p w14:paraId="13E176CB" w14:textId="77777777" w:rsidR="00621347" w:rsidRPr="00621347" w:rsidRDefault="0062134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B97005E" w14:textId="77777777" w:rsidR="00621347" w:rsidRPr="00621347" w:rsidRDefault="0062134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7AF5FFF2" w14:textId="77777777" w:rsidR="00621347" w:rsidRPr="00621347" w:rsidRDefault="0062134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A68D309" w14:textId="77777777" w:rsidR="00621347" w:rsidRDefault="00621347" w:rsidP="00100EF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O CESE insta a Comissão Europeia a:</w:t>
      </w:r>
    </w:p>
    <w:p w14:paraId="3274DE4E" w14:textId="0652F3F9" w:rsidR="00621347" w:rsidRPr="00621347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0" w:name="_Toc222988740"/>
      <w:bookmarkStart w:id="31" w:name="_Toc222989237"/>
      <w:bookmarkStart w:id="32" w:name="_Toc222989275"/>
      <w:bookmarkStart w:id="33" w:name="_Toc222825837"/>
      <w:bookmarkEnd w:id="30"/>
      <w:bookmarkEnd w:id="31"/>
      <w:bookmarkEnd w:id="32"/>
      <w:r>
        <w:t>assegurar o cumprimento dos objetivos de financiamento da biodiversidade estabelecidos no Quadro Mundial para a Biodiversidade. Para tal, é necessário um financiamento público adequado, estável e atempado, nomeadamente a partir do orçamento da União Europeia (UE), e a eliminação progressiva dos subsídios prejudiciais para o ambiente, como os subsídios aos combustíveis fósseis. Os créditos da natureza podem ajudar a colmatar o défice de financiamento e mobilizar financiamento privado, complementando, mas não substituindo, os fundos públicos;</w:t>
      </w:r>
      <w:bookmarkEnd w:id="33"/>
    </w:p>
    <w:p w14:paraId="48812E9A" w14:textId="77777777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4" w:name="_Toc222825838"/>
      <w:r>
        <w:t>aplicar a legislação e os princípios fundamentais relativos ao ambiente, enquanto instrumento eficiente para assegurar a consecução dos objetivos em matéria de biodiversidade, colmatar o défice de financiamento e prever um quadro fiável de créditos da natureza;</w:t>
      </w:r>
      <w:bookmarkEnd w:id="34"/>
    </w:p>
    <w:p w14:paraId="1EE5A2BD" w14:textId="6CCEB5F0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5" w:name="_Toc222825839"/>
      <w:r>
        <w:t>garantir que o quadro de créditos da natureza assenta em princípios rigorosos de elevada integridade, aliados à hierarquia de mitigação e a outras salvaguardas ambientais, climáticas e sociais, bem como analisa de forma sistemática a conformidade dos projetos com esses princípios. As metodologias utilizadas devem ser holísticas e científicas, bem como basear-se numa abordagem ecologicamente integrada e assente nos resultados;</w:t>
      </w:r>
      <w:bookmarkEnd w:id="35"/>
    </w:p>
    <w:p w14:paraId="6AA0E980" w14:textId="011DCE8C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6" w:name="_Toc222825840"/>
      <w:r>
        <w:t>assegurar que o quadro de governação do mercado de créditos da natureza se fundamenta em dados científicos e é inclusivo, transparente e participativo, centrado sobretudo nos intervenientes com potencial para restaurar e conservar a natureza, bem como nos grupos vulneráveis e marginalizados, como jovens, mulheres, comunidades rurais e povos indígenas. Há que assegurar uma gestão e propriedade transparentes e equitativas dos dados;</w:t>
      </w:r>
      <w:bookmarkEnd w:id="36"/>
    </w:p>
    <w:p w14:paraId="3A2AC039" w14:textId="2F75D698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7" w:name="_Toc222825841"/>
      <w:r>
        <w:t>abordar com cautela a necessidade de uma diretiva ou de um regulamento, uma vez que o estabelecimento de créditos da natureza deve continuar a ser voluntário, embora cumprindo regras e critérios rigorosos. O quadro deve centrar-se principalmente nos contributos positivos, devendo a decisão sobre a utilização da compensação caber aos Estados-Membros, a fim de não comprometer as iniciativas mais ambiciosas existentes a nível nacional;</w:t>
      </w:r>
      <w:bookmarkEnd w:id="37"/>
    </w:p>
    <w:p w14:paraId="151D13B1" w14:textId="3080CBDB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8" w:name="_Toc222825842"/>
      <w:r>
        <w:t>clarificar a consonância dos créditos da natureza com outras políticas, como a política agrícola comum. Os créditos da natureza devem ser concebidos de forma a permitir que a bioeconomia, a economia circular, a produção alimentar sustentável e a silvicultura prosperam na UE. O quadro deve evitar acrescentar encargos administrativos desnecessários aos profissionais, em especial aos de menor dimensão, assegurando simultaneamente uma elevada integridade e uma abordagem científica;</w:t>
      </w:r>
      <w:bookmarkEnd w:id="38"/>
    </w:p>
    <w:p w14:paraId="17891DA2" w14:textId="173A8059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9" w:name="_Toc222825843"/>
      <w:r>
        <w:t xml:space="preserve">assegurar que os créditos da natureza não conduzem à mercantilização de elementos naturais. A apropriação ilegal de terras e a especulação devem ser evitadas a todo o custo. Os créditos da </w:t>
      </w:r>
      <w:r>
        <w:lastRenderedPageBreak/>
        <w:t>natureza devem privilegiar sempre a integridade em detrimento da rendibilidade a curto prazo, bem como a distribuição equitativa dos benefícios e contribuir para reduzir as desigualdades;</w:t>
      </w:r>
      <w:bookmarkEnd w:id="39"/>
    </w:p>
    <w:p w14:paraId="02428967" w14:textId="77777777" w:rsidR="00621347" w:rsidRPr="00F43315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40" w:name="_Toc222825844"/>
      <w:r>
        <w:t>colaborar com prudência em projetos fora da UE, tendo em conta que as metodologias e os quadros de governação elaborados na Europa podem não se adequar aos contextos sociais, culturais, jurídicos, políticos e ecológicos no estrangeiro, gerando simultaneamente impactos benéficos para a natureza nas suas cadeias de valor fora da UE.</w:t>
      </w:r>
      <w:bookmarkEnd w:id="40"/>
    </w:p>
    <w:p w14:paraId="4D9DD4B6" w14:textId="77777777" w:rsidR="00621347" w:rsidRPr="00AC4C75" w:rsidRDefault="00621347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4"/>
      </w:tblGrid>
      <w:tr w:rsidR="00621347" w:rsidRPr="00621347" w14:paraId="4C4EEF76" w14:textId="77777777" w:rsidTr="00AC4C75">
        <w:tc>
          <w:tcPr>
            <w:tcW w:w="1203" w:type="pct"/>
          </w:tcPr>
          <w:p w14:paraId="3AF62EF9" w14:textId="77777777" w:rsidR="00621347" w:rsidRPr="00621347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797" w:type="pct"/>
          </w:tcPr>
          <w:p w14:paraId="1174E3AC" w14:textId="582EC194" w:rsidR="00621347" w:rsidRPr="00621347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Gaia Bottoni</w:t>
            </w:r>
          </w:p>
        </w:tc>
      </w:tr>
      <w:tr w:rsidR="00621347" w:rsidRPr="00621347" w14:paraId="60C3DC59" w14:textId="77777777" w:rsidTr="00AC4C75">
        <w:tc>
          <w:tcPr>
            <w:tcW w:w="1203" w:type="pct"/>
          </w:tcPr>
          <w:p w14:paraId="0B4561A1" w14:textId="77777777" w:rsidR="00621347" w:rsidRPr="00621347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797" w:type="pct"/>
          </w:tcPr>
          <w:p w14:paraId="7FBF1635" w14:textId="73B5954C" w:rsidR="00621347" w:rsidRPr="00621347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+32 2 546 94 47</w:t>
            </w:r>
          </w:p>
        </w:tc>
      </w:tr>
      <w:tr w:rsidR="00621347" w:rsidRPr="00621347" w14:paraId="5D7F6D2E" w14:textId="77777777" w:rsidTr="00AC4C75">
        <w:tc>
          <w:tcPr>
            <w:tcW w:w="1203" w:type="pct"/>
          </w:tcPr>
          <w:p w14:paraId="54E92E27" w14:textId="77777777" w:rsidR="00621347" w:rsidRPr="00621347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797" w:type="pct"/>
          </w:tcPr>
          <w:p w14:paraId="109C769F" w14:textId="6021F70A" w:rsidR="00621347" w:rsidRPr="00621347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34" w:history="1">
              <w:r w:rsidR="00E235D3">
                <w:rPr>
                  <w:i/>
                  <w:color w:val="0000FF"/>
                  <w:u w:val="single"/>
                </w:rPr>
                <w:t>Gaia.Bottoni@eesc.europa.eu</w:t>
              </w:r>
            </w:hyperlink>
          </w:p>
        </w:tc>
      </w:tr>
    </w:tbl>
    <w:p w14:paraId="715DB2BD" w14:textId="77777777" w:rsidR="007F5784" w:rsidRDefault="007F5784" w:rsidP="00100EF9">
      <w:pPr>
        <w:jc w:val="left"/>
      </w:pPr>
      <w:r>
        <w:br w:type="page"/>
      </w:r>
    </w:p>
    <w:p w14:paraId="528C73AA" w14:textId="46DE726B" w:rsidR="006D2C8A" w:rsidRPr="006D2C8A" w:rsidRDefault="006D2C8A" w:rsidP="00100EF9">
      <w:pPr>
        <w:pStyle w:val="Heading1"/>
        <w:rPr>
          <w:b/>
        </w:rPr>
      </w:pPr>
      <w:bookmarkStart w:id="41" w:name="_Toc223015642"/>
      <w:r>
        <w:rPr>
          <w:b/>
          <w:color w:val="222A35" w:themeColor="text2" w:themeShade="80"/>
        </w:rPr>
        <w:lastRenderedPageBreak/>
        <w:t>COMISSÃO CONSULTIVA DAS MUTAÇÕES INDUSTRIAIS</w:t>
      </w:r>
      <w:bookmarkEnd w:id="41"/>
    </w:p>
    <w:p w14:paraId="713E272F" w14:textId="77777777" w:rsidR="006D2C8A" w:rsidRDefault="006D2C8A" w:rsidP="00100EF9"/>
    <w:p w14:paraId="3CC91A48" w14:textId="4E840AE1" w:rsidR="003534E0" w:rsidRPr="00153E09" w:rsidRDefault="00F53A68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5" w:history="1">
        <w:r w:rsidR="003534E0">
          <w:rPr>
            <w:b/>
            <w:i/>
            <w:color w:val="0000FF"/>
            <w:sz w:val="28"/>
            <w:u w:val="single"/>
          </w:rPr>
          <w:t>Alteração do Regulamento (UE) 2024/1252 (Regulamento Matérias</w:t>
        </w:r>
        <w:r w:rsidR="00AC4C75">
          <w:rPr>
            <w:b/>
            <w:i/>
            <w:color w:val="0000FF"/>
            <w:sz w:val="28"/>
            <w:u w:val="single"/>
          </w:rPr>
          <w:noBreakHyphen/>
        </w:r>
        <w:r w:rsidR="003534E0">
          <w:rPr>
            <w:b/>
            <w:i/>
            <w:color w:val="0000FF"/>
            <w:sz w:val="28"/>
            <w:u w:val="single"/>
          </w:rPr>
          <w:t>Primas Críticas)</w:t>
        </w:r>
      </w:hyperlink>
    </w:p>
    <w:p w14:paraId="4BAFD485" w14:textId="77777777" w:rsidR="009277D3" w:rsidRPr="00AC4C75" w:rsidRDefault="009277D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2"/>
      </w:tblGrid>
      <w:tr w:rsidR="00153E09" w14:paraId="65A34AAF" w14:textId="77777777" w:rsidTr="00205469">
        <w:tc>
          <w:tcPr>
            <w:tcW w:w="1701" w:type="dxa"/>
          </w:tcPr>
          <w:p w14:paraId="111B4B02" w14:textId="6AC41F6C" w:rsidR="00153E09" w:rsidRDefault="00153E0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  <w:sz w:val="20"/>
              </w:rPr>
              <w:t>Referências</w:t>
            </w:r>
          </w:p>
        </w:tc>
        <w:tc>
          <w:tcPr>
            <w:tcW w:w="7372" w:type="dxa"/>
          </w:tcPr>
          <w:p w14:paraId="0221ADAC" w14:textId="77777777" w:rsidR="00153E09" w:rsidRDefault="00153E0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COM(2025) 946 final</w:t>
            </w:r>
          </w:p>
          <w:p w14:paraId="5F1938C2" w14:textId="40D8E2D3" w:rsidR="00153E09" w:rsidRDefault="00153E0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sz w:val="20"/>
              </w:rPr>
              <w:t>EESC-2026-00393-00-00-AC</w:t>
            </w:r>
          </w:p>
        </w:tc>
      </w:tr>
    </w:tbl>
    <w:p w14:paraId="185B6A63" w14:textId="77777777" w:rsidR="009277D3" w:rsidRPr="00153E09" w:rsidRDefault="009277D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D51E678" w14:textId="77777777" w:rsidR="003534E0" w:rsidRPr="003534E0" w:rsidRDefault="003534E0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1A032EB0" w14:textId="77777777" w:rsidR="003534E0" w:rsidRPr="003534E0" w:rsidRDefault="003534E0" w:rsidP="00100EF9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722C60C" w14:textId="77777777" w:rsidR="003534E0" w:rsidRPr="003534E0" w:rsidRDefault="003534E0" w:rsidP="00100EF9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Considerando que o conteúdo da proposta é inteiramente satisfatório e, de resto, havia sido já objeto do </w:t>
      </w:r>
      <w:hyperlink r:id="rId36" w:history="1">
        <w:r>
          <w:rPr>
            <w:color w:val="0000FF"/>
            <w:u w:val="single"/>
          </w:rPr>
          <w:t>Parecer – Regulamento Matérias-Primas Críticas</w:t>
        </w:r>
      </w:hyperlink>
      <w:r>
        <w:t>, adotado em 12 de julho de 2023, o Comité decidiu emitir parecer favorável ao texto proposto, remetendo para a posição defendida no documento mencionado.</w:t>
      </w:r>
    </w:p>
    <w:p w14:paraId="2B63EAC7" w14:textId="3C6C9A7D" w:rsidR="00950272" w:rsidRPr="00AC4C75" w:rsidRDefault="00950272" w:rsidP="00100EF9">
      <w:pPr>
        <w:widowControl w:val="0"/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</w:rPr>
      </w:pPr>
    </w:p>
    <w:tbl>
      <w:tblPr>
        <w:tblStyle w:val="TableGrid8"/>
        <w:tblW w:w="48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088"/>
      </w:tblGrid>
      <w:tr w:rsidR="003534E0" w:rsidRPr="003534E0" w14:paraId="1ABE88A2" w14:textId="77777777" w:rsidTr="00AC4C75">
        <w:tc>
          <w:tcPr>
            <w:tcW w:w="1079" w:type="pct"/>
          </w:tcPr>
          <w:p w14:paraId="148D5606" w14:textId="77777777" w:rsidR="003534E0" w:rsidRPr="003534E0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921" w:type="pct"/>
          </w:tcPr>
          <w:p w14:paraId="0D29E18D" w14:textId="5491D9AB" w:rsidR="003534E0" w:rsidRPr="003534E0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Adam Dorywalski</w:t>
            </w:r>
          </w:p>
        </w:tc>
      </w:tr>
      <w:tr w:rsidR="003534E0" w:rsidRPr="003534E0" w14:paraId="29310390" w14:textId="77777777" w:rsidTr="00AC4C75">
        <w:tc>
          <w:tcPr>
            <w:tcW w:w="1079" w:type="pct"/>
          </w:tcPr>
          <w:p w14:paraId="1A8C815A" w14:textId="77777777" w:rsidR="003534E0" w:rsidRPr="003534E0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921" w:type="pct"/>
          </w:tcPr>
          <w:p w14:paraId="1B4B0CA6" w14:textId="23FF8050" w:rsidR="003534E0" w:rsidRPr="003534E0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+32 2 546 93 97</w:t>
            </w:r>
          </w:p>
        </w:tc>
      </w:tr>
      <w:tr w:rsidR="003534E0" w:rsidRPr="003534E0" w14:paraId="4800E009" w14:textId="77777777" w:rsidTr="00AC4C75">
        <w:tc>
          <w:tcPr>
            <w:tcW w:w="1079" w:type="pct"/>
          </w:tcPr>
          <w:p w14:paraId="58627B2F" w14:textId="77777777" w:rsidR="003534E0" w:rsidRPr="003534E0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921" w:type="pct"/>
          </w:tcPr>
          <w:p w14:paraId="551CAC0A" w14:textId="548021BC" w:rsidR="00E25EB4" w:rsidRPr="00153E09" w:rsidRDefault="00F53A68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</w:pPr>
            <w:hyperlink r:id="rId37" w:history="1">
              <w:r w:rsidR="003534E0">
                <w:rPr>
                  <w:i/>
                  <w:color w:val="0000FF"/>
                  <w:u w:val="single"/>
                </w:rPr>
                <w:t>Adam.Dorywalski@eesc.europa.eu</w:t>
              </w:r>
            </w:hyperlink>
          </w:p>
        </w:tc>
      </w:tr>
    </w:tbl>
    <w:p w14:paraId="3FA9F92E" w14:textId="77777777" w:rsidR="00E25EB4" w:rsidRPr="003F66F7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5D7A6973" w14:textId="77777777" w:rsidR="004C4CDB" w:rsidRPr="00153E09" w:rsidRDefault="004C4CDB" w:rsidP="00100EF9">
      <w:pPr>
        <w:jc w:val="left"/>
      </w:pPr>
      <w:r>
        <w:br w:type="page"/>
      </w:r>
    </w:p>
    <w:p w14:paraId="4E1C48EE" w14:textId="6377872A" w:rsidR="00E25EB4" w:rsidRPr="00E25EB4" w:rsidRDefault="00F53A68" w:rsidP="00100EF9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rFonts w:ascii="Calibri" w:hAnsi="Calibri"/>
          <w:b/>
          <w:bCs/>
        </w:rPr>
      </w:pPr>
      <w:hyperlink r:id="rId38" w:tooltip="Reforçar a autonomia estratégica da UE e desenvolver uma economia mais ecológica e azul: o potencial do setor do fabrico de baterias de sódio" w:history="1">
        <w:r w:rsidR="00E235D3">
          <w:rPr>
            <w:b/>
            <w:i/>
            <w:color w:val="0000FF"/>
            <w:sz w:val="28"/>
            <w:u w:val="single"/>
          </w:rPr>
          <w:t>Reforçar a autonomia estratégica da UE e desenvolver uma economia mais ecológica e azul: o potencial do setor do fabrico de baterias de sódio</w:t>
        </w:r>
      </w:hyperlink>
    </w:p>
    <w:p w14:paraId="2E26A662" w14:textId="77777777" w:rsidR="00E25EB4" w:rsidRPr="00205469" w:rsidRDefault="00E25EB4" w:rsidP="00100EF9">
      <w:pPr>
        <w:widowControl w:val="0"/>
        <w:ind w:left="567"/>
        <w:contextualSpacing/>
        <w:jc w:val="left"/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E25EB4" w:rsidRPr="00E25EB4" w14:paraId="0E750117" w14:textId="77777777" w:rsidTr="00153E09">
        <w:tc>
          <w:tcPr>
            <w:tcW w:w="1701" w:type="dxa"/>
          </w:tcPr>
          <w:p w14:paraId="1BC9C1DD" w14:textId="77777777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371" w:type="dxa"/>
          </w:tcPr>
          <w:p w14:paraId="261F00F8" w14:textId="17FC3598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Paul Rübig (AT</w:t>
            </w:r>
            <w:r w:rsidR="00AC4C75">
              <w:t xml:space="preserve"> </w:t>
            </w:r>
            <w:r>
              <w:t>–</w:t>
            </w:r>
            <w:r w:rsidR="00AC4C75">
              <w:t xml:space="preserve"> </w:t>
            </w:r>
            <w:r>
              <w:t xml:space="preserve"> Grupo dos Empregadores)</w:t>
            </w:r>
          </w:p>
        </w:tc>
      </w:tr>
      <w:tr w:rsidR="00E25EB4" w:rsidRPr="00E25EB4" w14:paraId="7E321F8F" w14:textId="77777777" w:rsidTr="00153E09">
        <w:tc>
          <w:tcPr>
            <w:tcW w:w="1701" w:type="dxa"/>
          </w:tcPr>
          <w:p w14:paraId="39B77E69" w14:textId="77777777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7371" w:type="dxa"/>
          </w:tcPr>
          <w:p w14:paraId="4F795EAE" w14:textId="7B894B11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Hervé Jeannin (FR-Cat. 2)</w:t>
            </w:r>
          </w:p>
        </w:tc>
      </w:tr>
      <w:tr w:rsidR="00E25EB4" w:rsidRPr="00E25EB4" w14:paraId="4AD82EE5" w14:textId="77777777" w:rsidTr="00153E09">
        <w:tc>
          <w:tcPr>
            <w:tcW w:w="9072" w:type="dxa"/>
            <w:gridSpan w:val="2"/>
          </w:tcPr>
          <w:p w14:paraId="63F1B5CC" w14:textId="77777777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E25EB4" w:rsidRPr="00E25EB4" w14:paraId="758D199D" w14:textId="77777777" w:rsidTr="00153E09">
        <w:tc>
          <w:tcPr>
            <w:tcW w:w="1701" w:type="dxa"/>
          </w:tcPr>
          <w:p w14:paraId="628BF496" w14:textId="1BBD7898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7371" w:type="dxa"/>
          </w:tcPr>
          <w:p w14:paraId="1AC738BE" w14:textId="11F7A673" w:rsidR="001A58BD" w:rsidRDefault="00043E7B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exploratório a pedido da Comissão Europeia</w:t>
            </w:r>
          </w:p>
          <w:p w14:paraId="2E32FFD3" w14:textId="1F51A8D8" w:rsidR="00E25EB4" w:rsidRPr="00E25EB4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EESC-2025-02464-00-00-AC</w:t>
            </w:r>
          </w:p>
        </w:tc>
      </w:tr>
    </w:tbl>
    <w:p w14:paraId="270F2408" w14:textId="77777777" w:rsidR="00153E09" w:rsidRPr="00D0608D" w:rsidRDefault="00153E0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25E8D43C" w14:textId="53EC308B" w:rsidR="00E25EB4" w:rsidRPr="00E25EB4" w:rsidRDefault="00E25EB4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14:paraId="7022CF32" w14:textId="77777777" w:rsidR="00E25EB4" w:rsidRPr="00D0608D" w:rsidRDefault="00E25EB4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0273A35C" w14:textId="77777777" w:rsidR="00E25EB4" w:rsidRPr="00E25EB4" w:rsidRDefault="00E25EB4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O Comité Económico e Social Europeu:</w:t>
      </w:r>
    </w:p>
    <w:p w14:paraId="4A4FDC20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considera as baterias de sódio uma tecnologia estratégica e entende que existe um forte potencial para a Europa assumir um papel de liderança tecnológica nos sistemas de baterias de sódio e água salgada;</w:t>
      </w:r>
    </w:p>
    <w:p w14:paraId="74BCA385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salienta o potencial das baterias de sódio enquanto facilitadoras dos objetivos da política industrial da UE: apoiam os objetivos do Pacto Ecológico Europeu e do Pacto Azul Europeu, podem ser instrumentos fundamentais para alcançar a autonomia estratégica, e a criação de gigafábricas de baterias de sódio impulsionaria a competitividade e criaria emprego em toda a cadeia de valor;</w:t>
      </w:r>
    </w:p>
    <w:p w14:paraId="03DA14BD" w14:textId="5EB0E194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frisa que as baterias de sódio podem ser inteiramente produzidas a partir de matérias-primas europeias, uma vez que o sódio é abundante na Europa e que há um potencial cada vez maior para uma indústria europeia de dessalinização, o que permite reduzir a utilização de matérias</w:t>
      </w:r>
      <w:r w:rsidR="00AC4C75">
        <w:noBreakHyphen/>
      </w:r>
      <w:r>
        <w:t>primas críticas;</w:t>
      </w:r>
    </w:p>
    <w:p w14:paraId="605A4E08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defende uma ação decisiva e coordenada a nível da UE para criar uma indústria de fabrico de baterias de sódio competitiva, já que o setor das baterias de sódio está a progredir a nível mundial e que a Europa corre o risco de ficar para trás;</w:t>
      </w:r>
    </w:p>
    <w:p w14:paraId="03706BAA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recomenda a atualização do percurso industrial das baterias – abrangendo tanto o lítio como o sódio –, o qual deve incluir um roteiro que aborde a mão de obra e as necessidades sociais, investindo nas competências, na mobilidade da mão de obra e na participação estratégica das PME;</w:t>
      </w:r>
    </w:p>
    <w:p w14:paraId="0ADF1BAC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 xml:space="preserve">insiste na importância de acabar com a compartimentação das políticas e de assegurar o alinhamento com estratégias cruciais da UE (Bússola para a Competitividade, Estratégia de Preparação da UE, Plano de Ação para a Economia Circular e Estratégia Europeia para a Resiliência Hídrica), para desenvolver uma cadeia de valor europeia de baterias de sódio que apoie os objetivos estratégicos da Europa; </w:t>
      </w:r>
    </w:p>
    <w:p w14:paraId="2C3550D4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recomenda subsídios ao investimento, créditos fiscais à produção, convites à apresentação de propostas de projetos específicos e vales de investimento para a cooperação da indústria com as organizações de investigação e tecnologia;</w:t>
      </w:r>
    </w:p>
    <w:p w14:paraId="146AA976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preconiza um apoio público flexível que evite bloqueios prematuros e uma maior colaboração em matéria de investigação e desenvolvimento (I&amp;D), cofinanciada pelos governos e pela indústria;</w:t>
      </w:r>
    </w:p>
    <w:p w14:paraId="5AF3E28A" w14:textId="77777777" w:rsidR="00E25EB4" w:rsidRPr="007526D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reconhece o potencial de converter as instalações industriais atualmente inativas ou prestes a encerrar em gigafábricas de baterias de sódio, o que representaria uma utilização eficiente e ambientalmente responsável das infraestruturas existentes;</w:t>
      </w:r>
    </w:p>
    <w:p w14:paraId="5946BDB2" w14:textId="77777777" w:rsidR="00E25EB4" w:rsidRPr="00713CC2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lastRenderedPageBreak/>
        <w:t>reconhece a importância de integrar a conceção ecológica e a reciclagem nesta indústria transformadora, para fomentar uma cadeia de valor circular das baterias de sódio.</w:t>
      </w:r>
    </w:p>
    <w:p w14:paraId="339FD87D" w14:textId="77777777" w:rsidR="00E25EB4" w:rsidRPr="00AC4C75" w:rsidRDefault="00E25EB4" w:rsidP="00100EF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25EB4" w:rsidRPr="00E25EB4" w14:paraId="3DADE2B6" w14:textId="77777777" w:rsidTr="00AC4C75">
        <w:tc>
          <w:tcPr>
            <w:tcW w:w="1951" w:type="dxa"/>
          </w:tcPr>
          <w:p w14:paraId="16410084" w14:textId="77777777" w:rsidR="00E25EB4" w:rsidRPr="00E25EB4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7229" w:type="dxa"/>
          </w:tcPr>
          <w:p w14:paraId="56BD77E8" w14:textId="5D11D232" w:rsidR="00E25EB4" w:rsidRPr="00153E09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>
              <w:rPr>
                <w:i/>
              </w:rPr>
              <w:t>Luís Barbosa E Silva</w:t>
            </w:r>
          </w:p>
        </w:tc>
      </w:tr>
      <w:tr w:rsidR="00E25EB4" w:rsidRPr="00E25EB4" w14:paraId="6AE7CB28" w14:textId="77777777" w:rsidTr="00AC4C75">
        <w:tc>
          <w:tcPr>
            <w:tcW w:w="1951" w:type="dxa"/>
          </w:tcPr>
          <w:p w14:paraId="52DF3B61" w14:textId="77777777" w:rsidR="00E25EB4" w:rsidRPr="00E25EB4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7229" w:type="dxa"/>
          </w:tcPr>
          <w:p w14:paraId="58F5DB38" w14:textId="05F56609" w:rsidR="00E25EB4" w:rsidRPr="00E25EB4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+32 25468846</w:t>
            </w:r>
          </w:p>
        </w:tc>
      </w:tr>
      <w:tr w:rsidR="00E25EB4" w:rsidRPr="00E25EB4" w14:paraId="7DB45FE9" w14:textId="77777777" w:rsidTr="00AC4C75">
        <w:trPr>
          <w:trHeight w:val="244"/>
        </w:trPr>
        <w:tc>
          <w:tcPr>
            <w:tcW w:w="1951" w:type="dxa"/>
          </w:tcPr>
          <w:p w14:paraId="5969B93D" w14:textId="77777777" w:rsidR="00E25EB4" w:rsidRPr="00E25EB4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7229" w:type="dxa"/>
          </w:tcPr>
          <w:p w14:paraId="47F42ECE" w14:textId="789F877A" w:rsidR="00187E31" w:rsidRPr="00153E09" w:rsidRDefault="00F53A68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39" w:history="1">
              <w:r w:rsidR="00E235D3">
                <w:rPr>
                  <w:i/>
                  <w:color w:val="0000FF"/>
                  <w:u w:val="single"/>
                </w:rPr>
                <w:t>Luis.BarbosaESilva@eesc.europa.eu</w:t>
              </w:r>
            </w:hyperlink>
          </w:p>
        </w:tc>
      </w:tr>
    </w:tbl>
    <w:p w14:paraId="2E28EF19" w14:textId="299918AB" w:rsidR="000D394D" w:rsidRPr="00205469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sectPr w:rsidR="000D394D" w:rsidRPr="00205469" w:rsidSect="00153E09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D88F" w14:textId="77777777" w:rsidR="00711298" w:rsidRDefault="00711298" w:rsidP="00B518C9">
      <w:pPr>
        <w:spacing w:line="240" w:lineRule="auto"/>
      </w:pPr>
      <w:r>
        <w:separator/>
      </w:r>
    </w:p>
  </w:endnote>
  <w:endnote w:type="continuationSeparator" w:id="0">
    <w:p w14:paraId="276450BF" w14:textId="77777777" w:rsidR="00711298" w:rsidRDefault="0071129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1EF32E47" w:rsidR="00B518C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235D3">
      <w:t>1</w:t>
    </w:r>
    <w:r>
      <w:fldChar w:fldCharType="end"/>
    </w:r>
    <w:r>
      <w:t>/</w:t>
    </w:r>
    <w:fldSimple w:instr=" NUMPAGES ">
      <w:r w:rsidR="00E235D3">
        <w:t>15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E809" w14:textId="77777777" w:rsidR="00153E09" w:rsidRPr="00153E09" w:rsidRDefault="00153E09" w:rsidP="00153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7402" w14:textId="0C6B551C" w:rsidR="00153E0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526DA">
      <w:t>15</w:t>
    </w:r>
    <w:r>
      <w:fldChar w:fldCharType="end"/>
    </w:r>
    <w:r>
      <w:t>/</w:t>
    </w:r>
    <w:fldSimple w:instr=" NUMPAGES ">
      <w:r w:rsidR="007526DA">
        <w:t>15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43FF" w14:textId="77777777" w:rsidR="00153E09" w:rsidRPr="00153E09" w:rsidRDefault="00153E09" w:rsidP="0015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C4B1" w14:textId="77777777" w:rsidR="00711298" w:rsidRDefault="00711298" w:rsidP="00B518C9">
      <w:pPr>
        <w:spacing w:line="240" w:lineRule="auto"/>
      </w:pPr>
      <w:r>
        <w:separator/>
      </w:r>
    </w:p>
  </w:footnote>
  <w:footnote w:type="continuationSeparator" w:id="0">
    <w:p w14:paraId="67149419" w14:textId="77777777" w:rsidR="00711298" w:rsidRDefault="00711298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52BE" w14:textId="77777777" w:rsidR="00153E09" w:rsidRPr="00153E09" w:rsidRDefault="00153E09" w:rsidP="0015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AA39" w14:textId="04F245DB" w:rsidR="00153E09" w:rsidRPr="00153E09" w:rsidRDefault="00153E09" w:rsidP="0015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9C97" w14:textId="77777777" w:rsidR="00153E09" w:rsidRPr="00153E09" w:rsidRDefault="00153E09" w:rsidP="0015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ABEA5F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1D08466C"/>
    <w:lvl w:ilvl="0">
      <w:numFmt w:val="decimal"/>
      <w:lvlText w:val="*"/>
      <w:lvlJc w:val="left"/>
    </w:lvl>
  </w:abstractNum>
  <w:abstractNum w:abstractNumId="2" w15:restartNumberingAfterBreak="0">
    <w:nsid w:val="03A15EA7"/>
    <w:multiLevelType w:val="multilevel"/>
    <w:tmpl w:val="B450D11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F9F7110"/>
    <w:multiLevelType w:val="hybridMultilevel"/>
    <w:tmpl w:val="7E8C5ED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86E"/>
    <w:multiLevelType w:val="hybridMultilevel"/>
    <w:tmpl w:val="2960A99E"/>
    <w:lvl w:ilvl="0" w:tplc="C760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BE"/>
    <w:multiLevelType w:val="hybridMultilevel"/>
    <w:tmpl w:val="20F4A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3FBA"/>
    <w:multiLevelType w:val="hybridMultilevel"/>
    <w:tmpl w:val="BE9CD94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8EE"/>
    <w:multiLevelType w:val="hybridMultilevel"/>
    <w:tmpl w:val="E7B48E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3B38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274E0DB2"/>
    <w:multiLevelType w:val="hybridMultilevel"/>
    <w:tmpl w:val="CA00EA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A3C5C"/>
    <w:multiLevelType w:val="hybridMultilevel"/>
    <w:tmpl w:val="8F5E944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6D68"/>
    <w:multiLevelType w:val="multilevel"/>
    <w:tmpl w:val="274C10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362E4D7F"/>
    <w:multiLevelType w:val="hybridMultilevel"/>
    <w:tmpl w:val="8C9227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55"/>
    <w:multiLevelType w:val="hybridMultilevel"/>
    <w:tmpl w:val="DE10A17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7568"/>
    <w:multiLevelType w:val="hybridMultilevel"/>
    <w:tmpl w:val="F2789A4A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E2F27"/>
    <w:multiLevelType w:val="hybridMultilevel"/>
    <w:tmpl w:val="C60EBDA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BA4"/>
    <w:multiLevelType w:val="multilevel"/>
    <w:tmpl w:val="D22C91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2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48954870"/>
    <w:multiLevelType w:val="hybridMultilevel"/>
    <w:tmpl w:val="718CAA2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858A5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0" w15:restartNumberingAfterBreak="0">
    <w:nsid w:val="54840386"/>
    <w:multiLevelType w:val="hybridMultilevel"/>
    <w:tmpl w:val="9E7C99B6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4B27"/>
    <w:multiLevelType w:val="hybridMultilevel"/>
    <w:tmpl w:val="998C3E8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D7A66"/>
    <w:multiLevelType w:val="hybridMultilevel"/>
    <w:tmpl w:val="DEB8F97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8D16D5B"/>
    <w:multiLevelType w:val="hybridMultilevel"/>
    <w:tmpl w:val="9BE07FF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2323163"/>
    <w:multiLevelType w:val="hybridMultilevel"/>
    <w:tmpl w:val="31FAA7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00E4B"/>
    <w:multiLevelType w:val="hybridMultilevel"/>
    <w:tmpl w:val="654ED09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00E66"/>
    <w:multiLevelType w:val="hybridMultilevel"/>
    <w:tmpl w:val="0F0456B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7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>
    <w:abstractNumId w:val="18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>
    <w:abstractNumId w:val="11"/>
  </w:num>
  <w:num w:numId="8">
    <w:abstractNumId w:val="8"/>
  </w:num>
  <w:num w:numId="9">
    <w:abstractNumId w:val="19"/>
  </w:num>
  <w:num w:numId="10">
    <w:abstractNumId w:val="16"/>
  </w:num>
  <w:num w:numId="11">
    <w:abstractNumId w:val="20"/>
  </w:num>
  <w:num w:numId="12">
    <w:abstractNumId w:val="4"/>
  </w:num>
  <w:num w:numId="13">
    <w:abstractNumId w:val="7"/>
  </w:num>
  <w:num w:numId="14">
    <w:abstractNumId w:val="14"/>
  </w:num>
  <w:num w:numId="15">
    <w:abstractNumId w:val="17"/>
  </w:num>
  <w:num w:numId="16">
    <w:abstractNumId w:val="26"/>
  </w:num>
  <w:num w:numId="17">
    <w:abstractNumId w:val="3"/>
  </w:num>
  <w:num w:numId="18">
    <w:abstractNumId w:val="25"/>
  </w:num>
  <w:num w:numId="19">
    <w:abstractNumId w:val="28"/>
  </w:num>
  <w:num w:numId="20">
    <w:abstractNumId w:val="23"/>
  </w:num>
  <w:num w:numId="21">
    <w:abstractNumId w:val="9"/>
  </w:num>
  <w:num w:numId="22">
    <w:abstractNumId w:val="15"/>
  </w:num>
  <w:num w:numId="23">
    <w:abstractNumId w:val="2"/>
  </w:num>
  <w:num w:numId="24">
    <w:abstractNumId w:val="6"/>
  </w:num>
  <w:num w:numId="25">
    <w:abstractNumId w:val="22"/>
  </w:num>
  <w:num w:numId="26">
    <w:abstractNumId w:val="5"/>
  </w:num>
  <w:num w:numId="27">
    <w:abstractNumId w:val="12"/>
  </w:num>
  <w:num w:numId="28">
    <w:abstractNumId w:val="10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4364"/>
    <w:rsid w:val="00010A4D"/>
    <w:rsid w:val="00043E7B"/>
    <w:rsid w:val="000638B5"/>
    <w:rsid w:val="00063DFF"/>
    <w:rsid w:val="000D394D"/>
    <w:rsid w:val="00100EF9"/>
    <w:rsid w:val="00120A45"/>
    <w:rsid w:val="00124E6A"/>
    <w:rsid w:val="001313E0"/>
    <w:rsid w:val="00153E09"/>
    <w:rsid w:val="001653D7"/>
    <w:rsid w:val="00167743"/>
    <w:rsid w:val="00187E31"/>
    <w:rsid w:val="001A1F1F"/>
    <w:rsid w:val="001A58BD"/>
    <w:rsid w:val="001A7538"/>
    <w:rsid w:val="001E391D"/>
    <w:rsid w:val="00205469"/>
    <w:rsid w:val="00210CBF"/>
    <w:rsid w:val="00250B70"/>
    <w:rsid w:val="00256B74"/>
    <w:rsid w:val="0027149A"/>
    <w:rsid w:val="00274F1A"/>
    <w:rsid w:val="0027678C"/>
    <w:rsid w:val="002A5636"/>
    <w:rsid w:val="002B7981"/>
    <w:rsid w:val="002D77C8"/>
    <w:rsid w:val="002F4AD1"/>
    <w:rsid w:val="00302594"/>
    <w:rsid w:val="003066BE"/>
    <w:rsid w:val="003066E2"/>
    <w:rsid w:val="003227CC"/>
    <w:rsid w:val="00326237"/>
    <w:rsid w:val="00340FA5"/>
    <w:rsid w:val="003452F9"/>
    <w:rsid w:val="003534E0"/>
    <w:rsid w:val="0037319B"/>
    <w:rsid w:val="0037722B"/>
    <w:rsid w:val="003B6923"/>
    <w:rsid w:val="003E1B8B"/>
    <w:rsid w:val="003F326D"/>
    <w:rsid w:val="003F4F92"/>
    <w:rsid w:val="003F66F7"/>
    <w:rsid w:val="003F79EF"/>
    <w:rsid w:val="00416286"/>
    <w:rsid w:val="00426372"/>
    <w:rsid w:val="0043191A"/>
    <w:rsid w:val="00462F24"/>
    <w:rsid w:val="004A5CD7"/>
    <w:rsid w:val="004C4CDB"/>
    <w:rsid w:val="004C6DA8"/>
    <w:rsid w:val="004D1319"/>
    <w:rsid w:val="004D7AC0"/>
    <w:rsid w:val="00527B47"/>
    <w:rsid w:val="00532089"/>
    <w:rsid w:val="00532F99"/>
    <w:rsid w:val="00557848"/>
    <w:rsid w:val="00586B4B"/>
    <w:rsid w:val="00594237"/>
    <w:rsid w:val="005A0BDA"/>
    <w:rsid w:val="005C2B2F"/>
    <w:rsid w:val="005C357F"/>
    <w:rsid w:val="005C6D36"/>
    <w:rsid w:val="005D3E1C"/>
    <w:rsid w:val="005E7651"/>
    <w:rsid w:val="00621347"/>
    <w:rsid w:val="00625CA3"/>
    <w:rsid w:val="00627FDF"/>
    <w:rsid w:val="00630779"/>
    <w:rsid w:val="00632B12"/>
    <w:rsid w:val="00641262"/>
    <w:rsid w:val="006553ED"/>
    <w:rsid w:val="00660482"/>
    <w:rsid w:val="006B2C49"/>
    <w:rsid w:val="006D2C8A"/>
    <w:rsid w:val="006D2D64"/>
    <w:rsid w:val="006E7051"/>
    <w:rsid w:val="00705489"/>
    <w:rsid w:val="00711298"/>
    <w:rsid w:val="00713CC2"/>
    <w:rsid w:val="007526DA"/>
    <w:rsid w:val="00753B41"/>
    <w:rsid w:val="00754027"/>
    <w:rsid w:val="007652C3"/>
    <w:rsid w:val="00766B1A"/>
    <w:rsid w:val="007E284A"/>
    <w:rsid w:val="007F5784"/>
    <w:rsid w:val="008072FE"/>
    <w:rsid w:val="008402C8"/>
    <w:rsid w:val="00845F24"/>
    <w:rsid w:val="00846483"/>
    <w:rsid w:val="00881A01"/>
    <w:rsid w:val="0088219D"/>
    <w:rsid w:val="00892105"/>
    <w:rsid w:val="008B1A24"/>
    <w:rsid w:val="008B4127"/>
    <w:rsid w:val="008D7FAC"/>
    <w:rsid w:val="009277D3"/>
    <w:rsid w:val="00933300"/>
    <w:rsid w:val="009338FC"/>
    <w:rsid w:val="009348BC"/>
    <w:rsid w:val="00940A7B"/>
    <w:rsid w:val="00950272"/>
    <w:rsid w:val="00974BD0"/>
    <w:rsid w:val="009858F5"/>
    <w:rsid w:val="00997F66"/>
    <w:rsid w:val="009A5F4C"/>
    <w:rsid w:val="009A66B9"/>
    <w:rsid w:val="009B3AED"/>
    <w:rsid w:val="00A05217"/>
    <w:rsid w:val="00A0600A"/>
    <w:rsid w:val="00A20E9D"/>
    <w:rsid w:val="00A22C83"/>
    <w:rsid w:val="00A272B2"/>
    <w:rsid w:val="00A3284F"/>
    <w:rsid w:val="00A43668"/>
    <w:rsid w:val="00A4486C"/>
    <w:rsid w:val="00A50553"/>
    <w:rsid w:val="00AC4C75"/>
    <w:rsid w:val="00AD49F5"/>
    <w:rsid w:val="00AD4D97"/>
    <w:rsid w:val="00AF0EB2"/>
    <w:rsid w:val="00AF2146"/>
    <w:rsid w:val="00B203DA"/>
    <w:rsid w:val="00B241B1"/>
    <w:rsid w:val="00B458B2"/>
    <w:rsid w:val="00B518C9"/>
    <w:rsid w:val="00B55C6C"/>
    <w:rsid w:val="00B922EA"/>
    <w:rsid w:val="00BA0232"/>
    <w:rsid w:val="00BA6AA9"/>
    <w:rsid w:val="00BC7ED2"/>
    <w:rsid w:val="00BD64BD"/>
    <w:rsid w:val="00BE54B3"/>
    <w:rsid w:val="00BE5CBC"/>
    <w:rsid w:val="00BF79AB"/>
    <w:rsid w:val="00C008B4"/>
    <w:rsid w:val="00C17ABD"/>
    <w:rsid w:val="00C26C67"/>
    <w:rsid w:val="00C821A5"/>
    <w:rsid w:val="00CC7D10"/>
    <w:rsid w:val="00CF196A"/>
    <w:rsid w:val="00D05167"/>
    <w:rsid w:val="00D0608D"/>
    <w:rsid w:val="00D33B4E"/>
    <w:rsid w:val="00D43613"/>
    <w:rsid w:val="00D505CF"/>
    <w:rsid w:val="00D66BF5"/>
    <w:rsid w:val="00D7076A"/>
    <w:rsid w:val="00D81F5E"/>
    <w:rsid w:val="00D92269"/>
    <w:rsid w:val="00DE176A"/>
    <w:rsid w:val="00DF392C"/>
    <w:rsid w:val="00DF7590"/>
    <w:rsid w:val="00DF78D0"/>
    <w:rsid w:val="00E00A6B"/>
    <w:rsid w:val="00E2062A"/>
    <w:rsid w:val="00E235D3"/>
    <w:rsid w:val="00E25EB4"/>
    <w:rsid w:val="00E77899"/>
    <w:rsid w:val="00EE1B31"/>
    <w:rsid w:val="00EF5581"/>
    <w:rsid w:val="00F15673"/>
    <w:rsid w:val="00F172E5"/>
    <w:rsid w:val="00F253CA"/>
    <w:rsid w:val="00F25B2E"/>
    <w:rsid w:val="00F43315"/>
    <w:rsid w:val="00F53A68"/>
    <w:rsid w:val="00F55F11"/>
    <w:rsid w:val="00F604AD"/>
    <w:rsid w:val="00F83C17"/>
    <w:rsid w:val="00F96D7F"/>
    <w:rsid w:val="00FA7B95"/>
    <w:rsid w:val="00FB4220"/>
    <w:rsid w:val="00FC178B"/>
    <w:rsid w:val="00FC456F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x-bh-SD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6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5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6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5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CD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066E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esc.europa.eu/pt/our-work/opinions-information-reports/plenary-session-summaries" TargetMode="External"/><Relationship Id="rId18" Type="http://schemas.openxmlformats.org/officeDocument/2006/relationships/hyperlink" Target="https://www.eesc.europa.eu/pt/our-work/opinions-information-reports/opinions/2026-european-semester-autumn-package" TargetMode="External"/><Relationship Id="rId26" Type="http://schemas.openxmlformats.org/officeDocument/2006/relationships/hyperlink" Target="https://www.eesc.europa.eu/pt/our-work/opinions-information-reports/opinions/european-life-science-strategy-along-strategy-research-and-technology-infrastructures-focus-treatment-rare-diseases" TargetMode="External"/><Relationship Id="rId39" Type="http://schemas.openxmlformats.org/officeDocument/2006/relationships/hyperlink" Target="mailto:Luis.BarbosaESilva@eesc.europ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eorgios.Meleas@eesc.europa.eu" TargetMode="External"/><Relationship Id="rId34" Type="http://schemas.openxmlformats.org/officeDocument/2006/relationships/hyperlink" Target="mailto:Gaia.Bottoni@eesc.europa.eu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Juri.Soosaar@eesc.europa.eu" TargetMode="External"/><Relationship Id="rId25" Type="http://schemas.openxmlformats.org/officeDocument/2006/relationships/hyperlink" Target="mailto:gemma.amran@eesc.europa.eu" TargetMode="External"/><Relationship Id="rId33" Type="http://schemas.openxmlformats.org/officeDocument/2006/relationships/hyperlink" Target="https://www.eesc.europa.eu/pt/our-work/opinions-information-reports/opinions/roadmap-towards-nature-credits" TargetMode="External"/><Relationship Id="rId38" Type="http://schemas.openxmlformats.org/officeDocument/2006/relationships/hyperlink" Target="https://www.eesc.europa.eu/pt/our-work/opinions-information-reports/opinions/enhancing-eu-strategic-autonomy-and-developing-greener-and-bluer-economy-potential-sodium-battery-manufacturing-sector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pt/our-work/opinions-information-reports/opinions/eppo-and-olaf-access-vat-information-union-level" TargetMode="External"/><Relationship Id="rId20" Type="http://schemas.openxmlformats.org/officeDocument/2006/relationships/hyperlink" Target="https://www.eesc.europa.eu/pt/our-work/opinions-information-reports/opinions/island-dimension-european-cohesion-competitiveness-and-sustainable-development-policies" TargetMode="External"/><Relationship Id="rId29" Type="http://schemas.openxmlformats.org/officeDocument/2006/relationships/hyperlink" Target="https://health.ec.europa.eu/one-health/overview_e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pt/our-work/opinions-information-reports/opinions/union-support-asylum-migration-and-integration-internal-security-and-integrated-border-management-and-visa-policy" TargetMode="External"/><Relationship Id="rId32" Type="http://schemas.openxmlformats.org/officeDocument/2006/relationships/hyperlink" Target="mailto:GiorgiaAndrea.Bordignon@eesc.europa.eu" TargetMode="External"/><Relationship Id="rId37" Type="http://schemas.openxmlformats.org/officeDocument/2006/relationships/hyperlink" Target="mailto:Adam.Dorywalski@eesc.europa.eu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Juri.Soosaar@eesc.europa.eu" TargetMode="External"/><Relationship Id="rId28" Type="http://schemas.openxmlformats.org/officeDocument/2006/relationships/hyperlink" Target="https://health.ec.europa.eu/publications/tartu-call-healthy-lifestyle-joint-actions-promote-healthy-lifestyles_en" TargetMode="External"/><Relationship Id="rId36" Type="http://schemas.openxmlformats.org/officeDocument/2006/relationships/hyperlink" Target="https://eur-lex.europa.eu/legal-content/PT/TXT/HTML/?uri=CELEX:52023AE1573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nna.Pantazi@eesc.europa.eu" TargetMode="External"/><Relationship Id="rId31" Type="http://schemas.openxmlformats.org/officeDocument/2006/relationships/hyperlink" Target="https://www.eesc.europa.eu/pt/our-work/opinions-information-reports/opinions/energy-connectivity-electricity-grids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https://www.eesc.europa.eu/pt/our-work/opinions-information-reports/opinions/revision-tobacco-taxation-directive" TargetMode="External"/><Relationship Id="rId27" Type="http://schemas.openxmlformats.org/officeDocument/2006/relationships/hyperlink" Target="https://www.europarl.europa.eu/RegData/etudes/ATAG/2025/779215/EPRS_ATA(2025)779215_EN.pdf" TargetMode="External"/><Relationship Id="rId30" Type="http://schemas.openxmlformats.org/officeDocument/2006/relationships/hyperlink" Target="mailto:Konstantina.Angelopoulou@eesc.europa.eu" TargetMode="External"/><Relationship Id="rId35" Type="http://schemas.openxmlformats.org/officeDocument/2006/relationships/hyperlink" Target="https://www.eesc.europa.eu/pt/our-work/opinions-information-reports/opinions/amending-regulation-eu-20241252-critical-raw-materials-act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VP3JK3XSEPRV-2087481956-3318</_dlc_DocId>
    <_dlc_DocIdUrl xmlns="7d640e6d-779c-472f-a269-6b546787f1c9">
      <Url>http://dm/eesc/2026/_layouts/15/DocIdRedir.aspx?ID=VP3JK3XSEPRV-2087481956-3318</Url>
      <Description>VP3JK3XSEPRV-2087481956-3318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2026-03-04T12:00:00+00:00</ProductionDate>
    <DocumentNumber xmlns="a95533f8-59af-4217-bc7a-c1167744adb0">247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MeetingDate xmlns="7d640e6d-779c-472f-a269-6b546787f1c9">2026-03-18T12:00:00+00:00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300453</FicheNumber>
    <OriginalSender xmlns="7d640e6d-779c-472f-a269-6b546787f1c9">
      <UserInfo>
        <DisplayName>Pomba Ramos Joao</DisplayName>
        <AccountId>1515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2.xml><?xml version="1.0" encoding="utf-8"?>
<ds:datastoreItem xmlns:ds="http://schemas.openxmlformats.org/officeDocument/2006/customXml" ds:itemID="{06ED6E15-BC6F-4438-96EB-2BA651765F61}"/>
</file>

<file path=customXml/itemProps3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03EBBC-B428-477F-AB6A-163022156F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5095</Words>
  <Characters>27515</Characters>
  <Application>Microsoft Office Word</Application>
  <DocSecurity>0</DocSecurity>
  <Lines>229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32545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Síntese dos Pareceres - 603.ª reunião plenária - fevereiro de 2026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12</cp:revision>
  <dcterms:created xsi:type="dcterms:W3CDTF">2026-02-26T08:13:00Z</dcterms:created>
  <dcterms:modified xsi:type="dcterms:W3CDTF">2026-03-04T08:16:00Z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26/02/2026, 02/05/2022, 02/05/2022, 28/06/2021</vt:lpwstr>
  </property>
  <property fmtid="{D5CDD505-2E9C-101B-9397-08002B2CF9AE}" pid="4" name="Pref_Time">
    <vt:lpwstr>09:12:28,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EESC-2026-00247-00-00-TCD-ORI.docx,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e3b6603e-bfa9-40d0-a7ae-f2496646b3bc</vt:lpwstr>
  </property>
  <property fmtid="{D5CDD505-2E9C-101B-9397-08002B2CF9AE}" pid="9" name="AvailableTranslations">
    <vt:lpwstr>60;#EL|6d4f4d51-af9b-4650-94b4-4276bee85c91;#34;#HR|2f555653-ed1a-4fe6-8362-9082d95989e5;#45;#SV|c2ed69e7-a339-43d7-8f22-d93680a92aa0;#43;#BG|1a1b3951-7821-4e6a-85f5-5673fc08bd2c;#37;#HU|6b229040-c589-4408-b4c1-4285663d20a8;#31;#SL|98a412ae-eb01-49e9-ae3d-585a81724cfc;#4;#EN|f2175f21-25d7-44a3-96da-d6a61b075e1b;#30;#SK|46d9fce0-ef79-4f71-b89b-cd6aa82426b8;#12;#ES|e7a6b05b-ae16-40c8-add9-68b64b03aeba;#46;#DA|5d49c027-8956-412b-aa16-e85a0f96ad0e;#32;#PL|1e03da61-4678-4e07-b136-b5024ca9197b;#29;#CS|72f9705b-0217-4fd3-bea2-cbc7ed80e26e;#11;#DE|f6b31e5a-26fa-4935-b661-318e46daf27e;#44;#LT|a7ff5ce7-6123-4f68-865a-a57c31810414;#25;#FI|87606a43-d45f-42d6-b8c9-e1a3457db5b7;#27;#ET|ff6c3f4c-b02c-4c3c-ab07-2c37995a7a0a;#23;#FR|d2afafd3-4c81-4f60-8f52-ee33f2f54ff3;#51;#LV|46f7e311-5d9f-4663-b433-18aeccb7ace7;#36;#NL|55c6556c-b4f4-441d-9acf-c498d4f838bd;#28;#PT|50ccc04a-eadd-42ae-a0cb-acaf45f812ba;#55;#RO|feb747a2-64cd-4299-af12-4833ddc30497;#13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247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18;#TCD|cd9d6eb6-3f4f-424a-b2d1-57c9d450eaaf;#11;#DE|f6b31e5a-26fa-4935-b661-318e46daf27e;#9;#TRA|150d2a88-1431-44e6-a8ca-0bb753ab8672;#59;#SPL-CES|32d8cb1f-c9ec-4365-95c7-8385a18618ac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300453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28;#PT|50ccc04a-eadd-42ae-a0cb-acaf45f812ba</vt:lpwstr>
  </property>
  <property fmtid="{D5CDD505-2E9C-101B-9397-08002B2CF9AE}" pid="33" name="AvailableTranslations_0">
    <vt:lpwstr>EN|f2175f21-25d7-44a3-96da-d6a61b075e1b;DE|f6b31e5a-26fa-4935-b661-318e46daf27e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604</vt:i4>
  </property>
  <property fmtid="{D5CDD505-2E9C-101B-9397-08002B2CF9AE}" pid="40" name="MeetingDate">
    <vt:filetime>2026-03-18T12:00:00Z</vt:filetime>
  </property>
</Properties>
</file>