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314CC2A5" w:rsidR="004D7AC0" w:rsidRDefault="00B077F4" w:rsidP="00031E73">
      <w:pPr>
        <w:jc w:val="center"/>
      </w:pPr>
      <w:r>
        <w:rPr>
          <w:noProof/>
        </w:rPr>
        <w:drawing>
          <wp:inline distT="0" distB="0" distL="0" distR="0" wp14:anchorId="5B0749A1" wp14:editId="0B64B3A7">
            <wp:extent cx="1792605" cy="1239520"/>
            <wp:effectExtent l="0" t="0" r="0" b="0"/>
            <wp:docPr id="1" name="Picture 1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68D3F78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031E73"/>
    <w:p w14:paraId="4982DD4F" w14:textId="7AA8E975" w:rsidR="004D7AC0" w:rsidRDefault="004D7AC0" w:rsidP="00031E73">
      <w:pPr>
        <w:jc w:val="right"/>
      </w:pPr>
      <w:r>
        <w:t>Bruksela, 4 marca 2026 r</w:t>
      </w:r>
    </w:p>
    <w:p w14:paraId="4982DD50" w14:textId="77777777" w:rsidR="004D7AC0" w:rsidRDefault="004D7AC0" w:rsidP="00031E73"/>
    <w:p w14:paraId="4982DD51" w14:textId="77777777" w:rsidR="004D7AC0" w:rsidRDefault="004D7AC0" w:rsidP="00031E73"/>
    <w:p w14:paraId="4982DD52" w14:textId="77777777" w:rsidR="004D7AC0" w:rsidRDefault="004D7AC0" w:rsidP="00031E73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5E869ADC" w:rsidR="003066BE" w:rsidRDefault="004C4CDB" w:rsidP="00031E7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603. SESJA PLENARNA</w:t>
            </w:r>
          </w:p>
          <w:p w14:paraId="4982DD54" w14:textId="77777777" w:rsidR="003066BE" w:rsidRDefault="003066BE" w:rsidP="00031E73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6CEFC9D4" w:rsidR="003066BE" w:rsidRDefault="003066E2" w:rsidP="00031E7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18 i 19 lutego 2026 r.</w:t>
            </w:r>
          </w:p>
          <w:p w14:paraId="4982DD56" w14:textId="77777777" w:rsidR="003066BE" w:rsidRDefault="003066BE" w:rsidP="00031E73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031E73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STRESZCZENIE PRZYJĘTYCH OPINII, REZOLUCJI </w:t>
            </w:r>
            <w:r>
              <w:rPr>
                <w:b/>
                <w:sz w:val="32"/>
              </w:rPr>
              <w:br/>
              <w:t>ORAZ RAPORTÓW INFORMACYJNYCH I</w:t>
            </w:r>
            <w:r>
              <w:rPr>
                <w:b/>
                <w:sz w:val="32"/>
              </w:rPr>
              <w:br/>
              <w:t>RAPORTÓW Z OCENY</w:t>
            </w:r>
          </w:p>
          <w:p w14:paraId="4982DD58" w14:textId="77777777" w:rsidR="004D7AC0" w:rsidRDefault="004D7AC0" w:rsidP="00031E73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81153B" w:rsidRDefault="004D7AC0" w:rsidP="00031E73">
            <w:pPr>
              <w:snapToGrid w:val="0"/>
              <w:jc w:val="center"/>
            </w:pPr>
            <w:r>
              <w:t>Niniejszy dokument jest dostępny w językach urzędowych Unii Europejskiej na stronie internetowej EKES-u pod adresem: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https://www.eesc.europa.eu/pl/our-work/opinions-information-reports/plenary-session-summaries</w:t>
              </w:r>
            </w:hyperlink>
          </w:p>
          <w:p w14:paraId="4982DD5B" w14:textId="77777777" w:rsidR="004D7AC0" w:rsidRPr="0081153B" w:rsidRDefault="004D7AC0" w:rsidP="00031E73">
            <w:pPr>
              <w:snapToGrid w:val="0"/>
              <w:jc w:val="center"/>
            </w:pPr>
          </w:p>
          <w:p w14:paraId="4982DD5C" w14:textId="77777777" w:rsidR="004D7AC0" w:rsidRPr="0081153B" w:rsidRDefault="004D7AC0" w:rsidP="00031E73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044561" w:rsidRDefault="004D7AC0" w:rsidP="00031E73">
            <w:pPr>
              <w:snapToGrid w:val="0"/>
              <w:jc w:val="center"/>
            </w:pPr>
            <w:r>
              <w:t>Niżej wymienione opinie można także znaleźć w formie elektronicznej za pomocą internetowej wyszukiwarki EKES-u: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031E73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031E73"/>
    <w:p w14:paraId="4982DD61" w14:textId="77777777" w:rsidR="004D7AC0" w:rsidRDefault="004D7AC0" w:rsidP="00031E73"/>
    <w:p w14:paraId="4982DD62" w14:textId="77777777" w:rsidR="004D7AC0" w:rsidRDefault="004D7AC0" w:rsidP="00031E73">
      <w:pPr>
        <w:sectPr w:rsidR="004D7AC0" w:rsidSect="00153E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 w:rsidP="00031E73">
      <w:pPr>
        <w:rPr>
          <w:b/>
        </w:rPr>
      </w:pPr>
      <w:r>
        <w:rPr>
          <w:b/>
        </w:rPr>
        <w:lastRenderedPageBreak/>
        <w:t>Spis treści: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031E73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1AE027D5" w14:textId="6D9A589E" w:rsidR="00031E73" w:rsidRDefault="004D7AC0" w:rsidP="00031E73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fr-BE" w:eastAsia="fr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516230" w:history="1">
            <w:r w:rsidR="00031E73" w:rsidRPr="00734A7A">
              <w:rPr>
                <w:rStyle w:val="Hyperlink"/>
                <w:bCs/>
                <w:noProof/>
              </w:rPr>
              <w:t>1.</w:t>
            </w:r>
            <w:r w:rsidR="00031E73">
              <w:rPr>
                <w:rFonts w:asciiTheme="minorHAnsi" w:eastAsiaTheme="minorEastAsia" w:hAnsiTheme="minorHAnsi" w:cstheme="minorBidi"/>
                <w:noProof/>
                <w:lang w:val="fr-BE" w:eastAsia="fr-BE"/>
              </w:rPr>
              <w:tab/>
            </w:r>
            <w:r w:rsidR="00031E73" w:rsidRPr="00734A7A">
              <w:rPr>
                <w:rStyle w:val="Hyperlink"/>
                <w:b/>
                <w:noProof/>
              </w:rPr>
              <w:t xml:space="preserve">UNIA GOSPODARCZA I WALUTOWA ORAZ SPÓJNOŚĆ GOSPODARCZA </w:t>
            </w:r>
            <w:r w:rsidR="00031E73">
              <w:rPr>
                <w:rStyle w:val="Hyperlink"/>
                <w:b/>
                <w:noProof/>
              </w:rPr>
              <w:br/>
            </w:r>
            <w:r w:rsidR="00031E73" w:rsidRPr="00734A7A">
              <w:rPr>
                <w:rStyle w:val="Hyperlink"/>
                <w:b/>
                <w:noProof/>
              </w:rPr>
              <w:t>I SPOŁECZNA</w:t>
            </w:r>
            <w:r w:rsidR="00031E73">
              <w:rPr>
                <w:noProof/>
                <w:webHidden/>
              </w:rPr>
              <w:tab/>
            </w:r>
            <w:r w:rsidR="00031E73">
              <w:rPr>
                <w:noProof/>
                <w:webHidden/>
              </w:rPr>
              <w:fldChar w:fldCharType="begin"/>
            </w:r>
            <w:r w:rsidR="00031E73">
              <w:rPr>
                <w:noProof/>
                <w:webHidden/>
              </w:rPr>
              <w:instrText xml:space="preserve"> PAGEREF _Toc223516230 \h </w:instrText>
            </w:r>
            <w:r w:rsidR="00031E73">
              <w:rPr>
                <w:noProof/>
                <w:webHidden/>
              </w:rPr>
            </w:r>
            <w:r w:rsidR="00031E73">
              <w:rPr>
                <w:noProof/>
                <w:webHidden/>
              </w:rPr>
              <w:fldChar w:fldCharType="separate"/>
            </w:r>
            <w:r w:rsidR="00B16D84">
              <w:rPr>
                <w:noProof/>
                <w:webHidden/>
              </w:rPr>
              <w:t>3</w:t>
            </w:r>
            <w:r w:rsidR="00031E73">
              <w:rPr>
                <w:noProof/>
                <w:webHidden/>
              </w:rPr>
              <w:fldChar w:fldCharType="end"/>
            </w:r>
          </w:hyperlink>
        </w:p>
        <w:p w14:paraId="2464CEF4" w14:textId="0DF6489E" w:rsidR="00031E73" w:rsidRDefault="00031E73" w:rsidP="00031E73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fr-BE" w:eastAsia="fr-BE"/>
            </w:rPr>
          </w:pPr>
          <w:hyperlink w:anchor="_Toc223516231" w:history="1">
            <w:r w:rsidRPr="00734A7A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fr-BE" w:eastAsia="fr-BE"/>
              </w:rPr>
              <w:tab/>
            </w:r>
            <w:r w:rsidRPr="00734A7A">
              <w:rPr>
                <w:rStyle w:val="Hyperlink"/>
                <w:b/>
                <w:noProof/>
              </w:rPr>
              <w:t>ZATRUDNIENIE, SPRAWY SPOŁECZNE I OBYWATELSTWO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41F70" w14:textId="5D12433B" w:rsidR="00031E73" w:rsidRDefault="00031E73" w:rsidP="00031E73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fr-BE" w:eastAsia="fr-BE"/>
            </w:rPr>
          </w:pPr>
          <w:hyperlink w:anchor="_Toc223516232" w:history="1">
            <w:r w:rsidRPr="00734A7A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fr-BE" w:eastAsia="fr-BE"/>
              </w:rPr>
              <w:tab/>
            </w:r>
            <w:r w:rsidRPr="00734A7A">
              <w:rPr>
                <w:rStyle w:val="Hyperlink"/>
                <w:b/>
                <w:noProof/>
              </w:rPr>
              <w:t>TRANSPORT, ENERGIA, INFRASTRUKTURA I SPOŁECZEŃSTWO INFORMACYJNE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D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6D962" w14:textId="367C520F" w:rsidR="00031E73" w:rsidRDefault="00031E73" w:rsidP="00031E73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fr-BE" w:eastAsia="fr-BE"/>
            </w:rPr>
          </w:pPr>
          <w:hyperlink w:anchor="_Toc223516233" w:history="1">
            <w:r w:rsidRPr="00734A7A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fr-BE" w:eastAsia="fr-BE"/>
              </w:rPr>
              <w:tab/>
            </w:r>
            <w:r w:rsidRPr="00734A7A">
              <w:rPr>
                <w:rStyle w:val="Hyperlink"/>
                <w:b/>
                <w:noProof/>
              </w:rPr>
              <w:t>ROLNICTWO, ROZWÓJ WSI I ŚRODOWISKO NATURALNE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D8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E92AA" w14:textId="6A484CDF" w:rsidR="00031E73" w:rsidRDefault="00031E73" w:rsidP="00031E73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fr-BE" w:eastAsia="fr-BE"/>
            </w:rPr>
          </w:pPr>
          <w:hyperlink w:anchor="_Toc223516234" w:history="1">
            <w:r w:rsidRPr="00734A7A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fr-BE" w:eastAsia="fr-BE"/>
              </w:rPr>
              <w:tab/>
            </w:r>
            <w:r w:rsidRPr="00734A7A">
              <w:rPr>
                <w:rStyle w:val="Hyperlink"/>
                <w:b/>
                <w:noProof/>
              </w:rPr>
              <w:t>KOMISJA KONSULTACYJNA DS. PRZEMIAN W PRZEMYŚLE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D8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DD6A" w14:textId="576D6C95" w:rsidR="004D7AC0" w:rsidRDefault="004D7AC0" w:rsidP="00031E73">
          <w:r>
            <w:rPr>
              <w:b/>
            </w:rPr>
            <w:fldChar w:fldCharType="end"/>
          </w:r>
        </w:p>
      </w:sdtContent>
    </w:sdt>
    <w:p w14:paraId="4982DD6B" w14:textId="77777777" w:rsidR="004D7AC0" w:rsidRDefault="004D7AC0" w:rsidP="00031E73"/>
    <w:p w14:paraId="4982DD6C" w14:textId="77777777" w:rsidR="004D7AC0" w:rsidRDefault="004D7AC0" w:rsidP="00031E73">
      <w:pPr>
        <w:jc w:val="left"/>
      </w:pPr>
      <w:r>
        <w:br w:type="page"/>
      </w:r>
    </w:p>
    <w:p w14:paraId="4982DD6D" w14:textId="2663014E" w:rsidR="004D7AC0" w:rsidRDefault="004D7AC0" w:rsidP="00031E73">
      <w:pPr>
        <w:pStyle w:val="Heading1"/>
        <w:rPr>
          <w:b/>
        </w:rPr>
      </w:pPr>
      <w:bookmarkStart w:id="0" w:name="_Toc223516230"/>
      <w:r>
        <w:rPr>
          <w:b/>
        </w:rPr>
        <w:lastRenderedPageBreak/>
        <w:t>UNIA GOSPODARCZA I WALUTOWA ORAZ SPÓJNOŚĆ GOSPODARCZA I</w:t>
      </w:r>
      <w:r w:rsidR="00CD34E0">
        <w:rPr>
          <w:b/>
        </w:rPr>
        <w:t> </w:t>
      </w:r>
      <w:r>
        <w:rPr>
          <w:b/>
        </w:rPr>
        <w:t>SPOŁECZNA</w:t>
      </w:r>
      <w:bookmarkEnd w:id="0"/>
    </w:p>
    <w:p w14:paraId="4982DD97" w14:textId="77777777" w:rsidR="004D7AC0" w:rsidRDefault="004D7AC0" w:rsidP="00031E73">
      <w:pPr>
        <w:pStyle w:val="ListParagraph"/>
        <w:ind w:left="0"/>
      </w:pPr>
    </w:p>
    <w:p w14:paraId="14BFA1D1" w14:textId="1A45DFD8" w:rsidR="001A1F1F" w:rsidRPr="001A1F1F" w:rsidRDefault="00FD6F2A" w:rsidP="00031E73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1" w:history="1">
        <w:r w:rsidR="00E235D3">
          <w:rPr>
            <w:b/>
            <w:i/>
            <w:color w:val="0000FF"/>
            <w:sz w:val="28"/>
            <w:u w:val="single"/>
          </w:rPr>
          <w:t>Dostęp Prokuratury Europejskiej i OLAF-u do informacji o VAT na poziomie Unii</w:t>
        </w:r>
      </w:hyperlink>
    </w:p>
    <w:p w14:paraId="16AF8D1E" w14:textId="77777777" w:rsidR="001A1F1F" w:rsidRPr="001A1F1F" w:rsidRDefault="001A1F1F" w:rsidP="00031E73">
      <w:pPr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364"/>
      </w:tblGrid>
      <w:tr w:rsidR="001A1F1F" w:rsidRPr="001A1F1F" w14:paraId="0C010C9C" w14:textId="77777777" w:rsidTr="00601D8A">
        <w:tc>
          <w:tcPr>
            <w:tcW w:w="1701" w:type="dxa"/>
          </w:tcPr>
          <w:p w14:paraId="67C58898" w14:textId="77777777" w:rsidR="001A1F1F" w:rsidRPr="001A1F1F" w:rsidRDefault="001A1F1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479" w:type="dxa"/>
          </w:tcPr>
          <w:p w14:paraId="2016211D" w14:textId="05A91267" w:rsidR="001A1F1F" w:rsidRPr="001A1F1F" w:rsidRDefault="001A1F1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Justyna Kalina OCHĘDZAN (Grupa Organizacji Społeczeństwa Obywatelskiego – PL)</w:t>
            </w:r>
          </w:p>
        </w:tc>
      </w:tr>
      <w:tr w:rsidR="00205469" w:rsidRPr="001A1F1F" w14:paraId="2E27DAF9" w14:textId="77777777" w:rsidTr="00601D8A">
        <w:tc>
          <w:tcPr>
            <w:tcW w:w="1701" w:type="dxa"/>
          </w:tcPr>
          <w:p w14:paraId="2C056183" w14:textId="77777777" w:rsidR="00205469" w:rsidRPr="001A1F1F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14:paraId="657AAC10" w14:textId="77777777" w:rsidR="00205469" w:rsidRPr="001A1F1F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1A1F1F" w:rsidRPr="001A1F1F" w14:paraId="7FD540DB" w14:textId="77777777" w:rsidTr="00601D8A">
        <w:tc>
          <w:tcPr>
            <w:tcW w:w="1701" w:type="dxa"/>
          </w:tcPr>
          <w:p w14:paraId="1F4D838E" w14:textId="0EE217C2" w:rsidR="001A1F1F" w:rsidRPr="001A1F1F" w:rsidRDefault="001A1F1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Dokumenty źródłowe</w:t>
            </w:r>
          </w:p>
        </w:tc>
        <w:tc>
          <w:tcPr>
            <w:tcW w:w="7479" w:type="dxa"/>
          </w:tcPr>
          <w:p w14:paraId="7BBCB1FA" w14:textId="42339DFC" w:rsidR="001A1F1F" w:rsidRPr="001A1F1F" w:rsidRDefault="001A1F1F" w:rsidP="00031E73">
            <w:pPr>
              <w:tabs>
                <w:tab w:val="center" w:pos="32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COM(2025) 685 final</w:t>
            </w:r>
          </w:p>
          <w:p w14:paraId="1104CA65" w14:textId="51409899" w:rsidR="001A1F1F" w:rsidRPr="001A1F1F" w:rsidRDefault="001A1F1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EESC-2025-04282-00-00-AC</w:t>
            </w:r>
          </w:p>
        </w:tc>
      </w:tr>
    </w:tbl>
    <w:p w14:paraId="33260C4B" w14:textId="77777777" w:rsidR="001A1F1F" w:rsidRPr="001A1F1F" w:rsidRDefault="001A1F1F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pt-PT"/>
        </w:rPr>
      </w:pPr>
    </w:p>
    <w:p w14:paraId="55B2611A" w14:textId="77777777" w:rsidR="001A1F1F" w:rsidRPr="001A1F1F" w:rsidRDefault="001A1F1F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374403B4" w14:textId="77777777" w:rsidR="001A1F1F" w:rsidRPr="001A1F1F" w:rsidRDefault="001A1F1F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74EE163" w14:textId="77777777" w:rsidR="001A1F1F" w:rsidRPr="001A1F1F" w:rsidRDefault="001A1F1F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</w:t>
      </w:r>
    </w:p>
    <w:p w14:paraId="2A48351A" w14:textId="28EF7D09" w:rsidR="001A1F1F" w:rsidRPr="00153E09" w:rsidRDefault="001A1F1F" w:rsidP="00031E73">
      <w:pPr>
        <w:pStyle w:val="ListParagraph"/>
        <w:numPr>
          <w:ilvl w:val="0"/>
          <w:numId w:val="27"/>
        </w:numPr>
        <w:ind w:left="567" w:hanging="567"/>
      </w:pPr>
      <w:bookmarkStart w:id="1" w:name="_Toc222825813"/>
      <w:r>
        <w:t xml:space="preserve">W pełni </w:t>
      </w:r>
      <w:r>
        <w:rPr>
          <w:b/>
        </w:rPr>
        <w:t>popiera</w:t>
      </w:r>
      <w:r>
        <w:t xml:space="preserve"> wysiłki Komisji na rzecz promowania bardziej kompleksowego i</w:t>
      </w:r>
      <w:r w:rsidR="00031E73">
        <w:t> </w:t>
      </w:r>
      <w:r>
        <w:t>całościowego podejścia do zwalczania oszustw związanych z podatkiem od wartości dodanej (VAT) poprzez umożliwienie Prokuraturze Europejskiej (EPPO) i Europejskiemu Urzędowi ds. Zwalczania Nadużyć Finansowych (OLAF) dostępu do danych dotyczących VAT na podstawie rozporządzenia Rady (UE) nr 904/2010.</w:t>
      </w:r>
      <w:bookmarkEnd w:id="1"/>
    </w:p>
    <w:p w14:paraId="2F29EED4" w14:textId="628D2FB4" w:rsidR="001A1F1F" w:rsidRPr="00153E09" w:rsidRDefault="001A1F1F" w:rsidP="00031E73">
      <w:pPr>
        <w:pStyle w:val="ListParagraph"/>
        <w:numPr>
          <w:ilvl w:val="0"/>
          <w:numId w:val="27"/>
        </w:numPr>
        <w:ind w:left="567" w:hanging="567"/>
      </w:pPr>
      <w:bookmarkStart w:id="2" w:name="_Toc222825814"/>
      <w:r>
        <w:rPr>
          <w:b/>
        </w:rPr>
        <w:t>Przyznaje</w:t>
      </w:r>
      <w:r>
        <w:t>, że w celu zwalczania najpoważniejszych form oszustw związanych z VAT konieczne jest umożliwienie właściwym organom szybkiego gromadzenia, wykorzystywania i</w:t>
      </w:r>
      <w:r w:rsidR="00031E73">
        <w:t> </w:t>
      </w:r>
      <w:r>
        <w:t>porównywania informacji dotyczących VAT z wielu państw członkowskich, dzięki czemu właściwe organy podatkowe będą mogły z mniejszym opóźnieniem reagować na nieuczciwe działania.</w:t>
      </w:r>
      <w:bookmarkEnd w:id="2"/>
    </w:p>
    <w:p w14:paraId="76BC0052" w14:textId="77777777" w:rsidR="001A1F1F" w:rsidRPr="00153E09" w:rsidRDefault="001A1F1F" w:rsidP="00031E73">
      <w:pPr>
        <w:pStyle w:val="ListParagraph"/>
        <w:numPr>
          <w:ilvl w:val="0"/>
          <w:numId w:val="27"/>
        </w:numPr>
        <w:ind w:left="567" w:hanging="567"/>
      </w:pPr>
      <w:bookmarkStart w:id="3" w:name="_Toc222825815"/>
      <w:r>
        <w:rPr>
          <w:b/>
        </w:rPr>
        <w:t>Docenia</w:t>
      </w:r>
      <w:r>
        <w:t xml:space="preserve">, że wniosek Komisji jest następstwem oceny ex post przepisów mających zastosowanie na mocy rozporządzenia Rady (UE) nr 904/2010 i uwzględnia informacje zwrotne przekazane przez państwa członkowskie. </w:t>
      </w:r>
      <w:r>
        <w:rPr>
          <w:b/>
        </w:rPr>
        <w:t>Zwraca uwagę</w:t>
      </w:r>
      <w:r>
        <w:t>, że w odniesieniu do omawianego wniosku nie przeprowadzono oceny skutków, chociaż przyznaje, że wynikało to z pilnego postulatu państw członkowskich.</w:t>
      </w:r>
      <w:bookmarkEnd w:id="3"/>
    </w:p>
    <w:p w14:paraId="25654AAB" w14:textId="77777777" w:rsidR="001A1F1F" w:rsidRPr="00153E09" w:rsidRDefault="001A1F1F" w:rsidP="00031E73">
      <w:pPr>
        <w:pStyle w:val="ListParagraph"/>
        <w:numPr>
          <w:ilvl w:val="0"/>
          <w:numId w:val="27"/>
        </w:numPr>
        <w:ind w:left="567" w:hanging="567"/>
      </w:pPr>
      <w:bookmarkStart w:id="4" w:name="_Toc222825816"/>
      <w:r>
        <w:rPr>
          <w:b/>
        </w:rPr>
        <w:t>Z zadowoleniem przyjmuje</w:t>
      </w:r>
      <w:r>
        <w:t xml:space="preserve"> zamiar Komisji, by zacieśnić współpracę między właściwymi organami zwalczającymi oszustwa związane z VAT, w tym możliwość zacieśnienia współpracy między Europolem a Eurofisc w ramach rozporządzenia Rady (UE) nr 904/2010, oraz wzywa do dalszego usprawnienia zorganizowanej współpracy między wszystkimi właściwymi organami w państwach członkowskich.</w:t>
      </w:r>
      <w:bookmarkEnd w:id="4"/>
    </w:p>
    <w:p w14:paraId="39EE45C8" w14:textId="77777777" w:rsidR="001A1F1F" w:rsidRPr="001A1F1F" w:rsidRDefault="001A1F1F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62"/>
      </w:tblGrid>
      <w:tr w:rsidR="001A1F1F" w:rsidRPr="001A1F1F" w14:paraId="33327B63" w14:textId="77777777" w:rsidTr="00D0608D">
        <w:tc>
          <w:tcPr>
            <w:tcW w:w="1418" w:type="dxa"/>
          </w:tcPr>
          <w:p w14:paraId="04F7E453" w14:textId="77777777" w:rsidR="001A1F1F" w:rsidRPr="001A1F1F" w:rsidRDefault="001A1F1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7762" w:type="dxa"/>
          </w:tcPr>
          <w:p w14:paraId="34FEEF63" w14:textId="62F84E0C" w:rsidR="001A1F1F" w:rsidRPr="001A1F1F" w:rsidRDefault="001A1F1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Jüri Soosaar</w:t>
            </w:r>
          </w:p>
        </w:tc>
      </w:tr>
      <w:tr w:rsidR="001A1F1F" w:rsidRPr="001A1F1F" w14:paraId="7DA1B58C" w14:textId="77777777" w:rsidTr="00D0608D">
        <w:tc>
          <w:tcPr>
            <w:tcW w:w="1418" w:type="dxa"/>
          </w:tcPr>
          <w:p w14:paraId="32B45750" w14:textId="77777777" w:rsidR="001A1F1F" w:rsidRPr="001A1F1F" w:rsidRDefault="001A1F1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762" w:type="dxa"/>
          </w:tcPr>
          <w:p w14:paraId="4B866371" w14:textId="51149591" w:rsidR="001A1F1F" w:rsidRPr="001A1F1F" w:rsidRDefault="001A1F1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+32 25469628</w:t>
            </w:r>
          </w:p>
        </w:tc>
      </w:tr>
      <w:tr w:rsidR="001A1F1F" w:rsidRPr="001A1F1F" w14:paraId="3A08DF12" w14:textId="77777777" w:rsidTr="00D0608D">
        <w:tc>
          <w:tcPr>
            <w:tcW w:w="1418" w:type="dxa"/>
          </w:tcPr>
          <w:p w14:paraId="3FBEB159" w14:textId="77777777" w:rsidR="001A1F1F" w:rsidRPr="001A1F1F" w:rsidRDefault="001A1F1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762" w:type="dxa"/>
          </w:tcPr>
          <w:p w14:paraId="11A675FB" w14:textId="4E851F41" w:rsidR="001A1F1F" w:rsidRPr="001A1F1F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2" w:history="1">
              <w:r w:rsidR="00E235D3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14:paraId="78F085C8" w14:textId="47013726" w:rsidR="00627FDF" w:rsidRDefault="00627FDF" w:rsidP="00031E73">
      <w:pPr>
        <w:pStyle w:val="ListParagraph"/>
        <w:ind w:left="0"/>
      </w:pPr>
    </w:p>
    <w:p w14:paraId="14AD7ACF" w14:textId="77777777" w:rsidR="00627FDF" w:rsidRDefault="00627FDF" w:rsidP="00031E73">
      <w:pPr>
        <w:jc w:val="left"/>
      </w:pPr>
      <w:r>
        <w:br w:type="page"/>
      </w:r>
    </w:p>
    <w:p w14:paraId="5B5A0FF1" w14:textId="00D67F94" w:rsidR="00627FDF" w:rsidRPr="00627FDF" w:rsidRDefault="00FD6F2A" w:rsidP="00031E73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0"/>
          <w:szCs w:val="20"/>
        </w:rPr>
      </w:pPr>
      <w:hyperlink r:id="rId23" w:history="1">
        <w:r w:rsidR="00E235D3">
          <w:rPr>
            <w:b/>
            <w:i/>
            <w:color w:val="0000FF"/>
            <w:sz w:val="28"/>
            <w:u w:val="single"/>
          </w:rPr>
          <w:t>Europejski semestr 2026 – pakiet jesienny</w:t>
        </w:r>
      </w:hyperlink>
    </w:p>
    <w:p w14:paraId="2922872A" w14:textId="77777777" w:rsidR="00627FDF" w:rsidRPr="00100EF9" w:rsidRDefault="00627FDF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tbl>
      <w:tblPr>
        <w:tblStyle w:val="TableGrid2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627FDF" w:rsidRPr="00627FDF" w14:paraId="59DBBD6A" w14:textId="77777777" w:rsidTr="00601D8A">
        <w:tc>
          <w:tcPr>
            <w:tcW w:w="1077" w:type="pct"/>
          </w:tcPr>
          <w:p w14:paraId="2CA81E57" w14:textId="77777777" w:rsidR="00627FDF" w:rsidRPr="00627FDF" w:rsidRDefault="00627FD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3923" w:type="pct"/>
          </w:tcPr>
          <w:p w14:paraId="48A0BF67" w14:textId="3FE90B23" w:rsidR="00627FDF" w:rsidRPr="00627FDF" w:rsidRDefault="00627FD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Luca Jahier (Grupa Organizacji Społeczeństwa Obywatelskiego – IT)</w:t>
            </w:r>
          </w:p>
        </w:tc>
      </w:tr>
      <w:tr w:rsidR="00205469" w:rsidRPr="00627FDF" w14:paraId="6A4A7A00" w14:textId="77777777" w:rsidTr="00601D8A">
        <w:tc>
          <w:tcPr>
            <w:tcW w:w="1077" w:type="pct"/>
          </w:tcPr>
          <w:p w14:paraId="12EA3C9E" w14:textId="77777777" w:rsidR="00205469" w:rsidRPr="00627FDF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23" w:type="pct"/>
          </w:tcPr>
          <w:p w14:paraId="3F242FCC" w14:textId="77777777" w:rsidR="00205469" w:rsidRPr="00627FDF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bCs/>
                <w:lang w:val="en-GB"/>
              </w:rPr>
            </w:pPr>
          </w:p>
        </w:tc>
      </w:tr>
      <w:tr w:rsidR="00627FDF" w:rsidRPr="00627FDF" w14:paraId="261B2615" w14:textId="77777777" w:rsidTr="00601D8A">
        <w:tc>
          <w:tcPr>
            <w:tcW w:w="1077" w:type="pct"/>
          </w:tcPr>
          <w:p w14:paraId="5DFE7408" w14:textId="6FA9C295" w:rsidR="00627FDF" w:rsidRPr="00627FDF" w:rsidRDefault="00627FD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Dokumenty źródłowe</w:t>
            </w:r>
          </w:p>
        </w:tc>
        <w:tc>
          <w:tcPr>
            <w:tcW w:w="3923" w:type="pct"/>
          </w:tcPr>
          <w:p w14:paraId="05B63FA9" w14:textId="3576FDD2" w:rsidR="00627FDF" w:rsidRPr="00627FDF" w:rsidRDefault="00627FD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COM(2025) 955 final</w:t>
            </w:r>
          </w:p>
          <w:p w14:paraId="3BB4E753" w14:textId="77777777" w:rsidR="00627FDF" w:rsidRPr="00627FDF" w:rsidRDefault="00627FDF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EESC-2025-03794-00-00-AC</w:t>
            </w:r>
          </w:p>
        </w:tc>
      </w:tr>
    </w:tbl>
    <w:p w14:paraId="7A90BFAE" w14:textId="77777777" w:rsidR="00627FDF" w:rsidRPr="00100EF9" w:rsidRDefault="00627FDF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pt-PT"/>
        </w:rPr>
      </w:pPr>
    </w:p>
    <w:p w14:paraId="1E165E10" w14:textId="77777777" w:rsidR="00627FDF" w:rsidRDefault="00627FDF" w:rsidP="00031E7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Główne punkty</w:t>
      </w:r>
    </w:p>
    <w:p w14:paraId="6A1E467B" w14:textId="77777777" w:rsidR="002F4AD1" w:rsidRPr="00627FDF" w:rsidRDefault="002F4AD1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B235C5C" w14:textId="77777777" w:rsidR="00627FDF" w:rsidRDefault="00627FDF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</w:t>
      </w:r>
    </w:p>
    <w:p w14:paraId="769B1960" w14:textId="7777777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Ubolewa, że Komisja po raz kolejny nie przedstawiła</w:t>
      </w:r>
      <w:r>
        <w:rPr>
          <w:b/>
        </w:rPr>
        <w:t xml:space="preserve"> rocznej analizy zrównoważonego wzrostu gospodarczego</w:t>
      </w:r>
      <w:r>
        <w:t xml:space="preserve">, i podkreśla, że </w:t>
      </w:r>
      <w:r>
        <w:rPr>
          <w:b/>
        </w:rPr>
        <w:t>zrównoważony wzrost gospodarczy</w:t>
      </w:r>
      <w:r>
        <w:t xml:space="preserve"> jest niezbędnym warunkiem wypełnienia przez Europę jej licznych zobowiązań. Z zadowoleniem przyjmuje </w:t>
      </w:r>
      <w:r>
        <w:rPr>
          <w:b/>
        </w:rPr>
        <w:t>europejskie sprawozdanie makroekonomiczne</w:t>
      </w:r>
      <w:r>
        <w:t xml:space="preserve">, w którym szczegółowo omówiono podstawowe wyzwania strukturalne stojące przed UE, oraz </w:t>
      </w:r>
      <w:r>
        <w:rPr>
          <w:b/>
        </w:rPr>
        <w:t>nowe zalecenie w sprawie kapitału ludzkiego</w:t>
      </w:r>
      <w:r>
        <w:t>, który jest kluczowym elementem wypełnienia luki technologicznej UE, z uwagi także na wyzwania demograficzne stojące przed UE.</w:t>
      </w:r>
    </w:p>
    <w:p w14:paraId="37295D8E" w14:textId="247D17F2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Ponawia swój apel o </w:t>
      </w:r>
      <w:r>
        <w:rPr>
          <w:b/>
        </w:rPr>
        <w:t>solidniejszy wspólny mechanizm zdolności fiskalnej</w:t>
      </w:r>
      <w:r>
        <w:t>, wspierany przez ukierunkowane emisje wspólnego długu, aby pomóc wypełnić tę rosnącą lukę w inwestycjach publicznych, oraz o stałe instrumenty stabilizacji makroekonomicznej służące reagowaniu na wstrząsy, oparte na doświadczeniach z europejskim instrumentem tymczasowego wsparcia w</w:t>
      </w:r>
      <w:r w:rsidR="00031E73">
        <w:t> </w:t>
      </w:r>
      <w:r>
        <w:t>celu zmniejszenia zagrożeń związanych z bezrobociem w sytuacji nadzwyczajnej (SURE), który powinien stać się instrumentem stałym.</w:t>
      </w:r>
    </w:p>
    <w:p w14:paraId="48F6D6CB" w14:textId="6F30D96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Jest nadal zaniepokojony </w:t>
      </w:r>
      <w:r>
        <w:rPr>
          <w:b/>
        </w:rPr>
        <w:t>fragmentacją rynków finansowych UE</w:t>
      </w:r>
      <w:r>
        <w:t xml:space="preserve"> i wzywa Komisję do oceny, czy </w:t>
      </w:r>
      <w:r>
        <w:rPr>
          <w:b/>
        </w:rPr>
        <w:t>zestaw instrumentów na szczeblu UE – równoważny amerykańskiej ustawie o</w:t>
      </w:r>
      <w:r w:rsidR="00031E73">
        <w:rPr>
          <w:b/>
        </w:rPr>
        <w:t> </w:t>
      </w:r>
      <w:r>
        <w:rPr>
          <w:b/>
        </w:rPr>
        <w:t>poprawie funkcjonowania krajowych rynków papierów wartościowych (National Securities Markets Improvement Act – NSMIA)</w:t>
      </w:r>
      <w:r>
        <w:t xml:space="preserve"> – mógłby uprościć transgraniczny dostęp do rynku, zmniejszyć fragmentację przepisów i wspierać głębsze, bardziej efektywne i płynne rynki, przy jednoczesnym utrzymaniu niezbędnego poziomu obecnego bezpieczeństwa.</w:t>
      </w:r>
    </w:p>
    <w:p w14:paraId="409B0B27" w14:textId="7777777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Ponawia swój apel do Komisji o przeprowadzenie pilnego </w:t>
      </w:r>
      <w:r>
        <w:rPr>
          <w:b/>
        </w:rPr>
        <w:t>przeglądu zestawu proponowanych wskaźników służących do monitorowania procedury dotyczącej zakłóceń równowagi makroekonomicznej.</w:t>
      </w:r>
      <w:r>
        <w:t xml:space="preserve"> Monitorowanie ewolucji łącznego efektu dźwigni zamiast trzymania się podziałów mogłoby być częścią rozwiązania mającego na celu poprawę obecnej tabeli wskaźników do celów procedury dotyczącej zakłóceń równowagi makroekonomicznej.</w:t>
      </w:r>
    </w:p>
    <w:p w14:paraId="1707B61B" w14:textId="7777777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Uważa, że konieczne jest bardziej </w:t>
      </w:r>
      <w:r>
        <w:rPr>
          <w:b/>
        </w:rPr>
        <w:t>sprawne wykorzystanie tablicy wskaźników społecznych, zmienionej tablicy wskaźników do celów procedury dotyczącej zakłóceń równowagi makroekonomicznej</w:t>
      </w:r>
      <w:r>
        <w:t xml:space="preserve"> oraz </w:t>
      </w:r>
      <w:r>
        <w:rPr>
          <w:b/>
        </w:rPr>
        <w:t>zmienionej metodyki analizy zdolności obsługi zadłużenia, uzupełnionych nowymi wskaźnikami dobrostanu</w:t>
      </w:r>
      <w:r>
        <w:t xml:space="preserve"> zaproponowanymi przez Wspólne Centrum Badawcze (JRC).</w:t>
      </w:r>
    </w:p>
    <w:p w14:paraId="1DE1E29B" w14:textId="057334C0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Zwraca się do Komisji o traktowanie</w:t>
      </w:r>
      <w:r>
        <w:rPr>
          <w:b/>
        </w:rPr>
        <w:t xml:space="preserve"> ram konwergencji społecznejna równi z ramami fiskalnymi oraz o sformułowanie jasnych zaleceń dla każdego państwa członkowskiego w</w:t>
      </w:r>
      <w:r w:rsidR="00031E73">
        <w:rPr>
          <w:b/>
        </w:rPr>
        <w:t> </w:t>
      </w:r>
      <w:r>
        <w:rPr>
          <w:b/>
        </w:rPr>
        <w:t>kolejnych zaleceniach</w:t>
      </w:r>
      <w:r>
        <w:t xml:space="preserve"> dla poszczególnych krajów. Wzywa Komisję do zaproponowania konkretnych zachęt dla państw członkowskich, aby szerzej stosowały klauzulę elastyczności w</w:t>
      </w:r>
      <w:r w:rsidR="00031E73">
        <w:t> </w:t>
      </w:r>
      <w:r>
        <w:t>odniesieniu do inwestycji społecznych.</w:t>
      </w:r>
    </w:p>
    <w:p w14:paraId="7DBF2201" w14:textId="7777777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lastRenderedPageBreak/>
        <w:t xml:space="preserve">Ponawia apel o </w:t>
      </w:r>
      <w:r>
        <w:rPr>
          <w:b/>
        </w:rPr>
        <w:t>dogłębną analizę i wyjaśnienie zapowiedzianych powiązań między europejskim semestrem, narzędziem koordynacji konkurencyjności</w:t>
      </w:r>
      <w:r>
        <w:t xml:space="preserve"> i proponowanymi </w:t>
      </w:r>
      <w:r>
        <w:rPr>
          <w:b/>
        </w:rPr>
        <w:t>przyszłymi wieloletnimi ramami finansowymi (WRF)</w:t>
      </w:r>
      <w:r>
        <w:t xml:space="preserve">. </w:t>
      </w:r>
    </w:p>
    <w:p w14:paraId="28888E6E" w14:textId="7777777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Wzywa </w:t>
      </w:r>
      <w:r>
        <w:rPr>
          <w:b/>
        </w:rPr>
        <w:t>Parlament Europejski do ustanowienia</w:t>
      </w:r>
      <w:r>
        <w:t xml:space="preserve"> – podobnie jak w przypadku Instrumentu na rzecz Odbudowy i Zwiększania Odporności (RRF) – </w:t>
      </w:r>
      <w:r>
        <w:rPr>
          <w:b/>
        </w:rPr>
        <w:t>stałej komisji ds. monitorowania i oceny „nowego” europejskiego semestru, wdrażania i rocznej oceny średniookresowych planów budżetowo-strukturalnych, zaleceń dla poszczególnych krajów oraz ich konkretnych powiązań z przyszłymi planami partnerstwa krajowego i regionalnego.</w:t>
      </w:r>
    </w:p>
    <w:p w14:paraId="19CCD46D" w14:textId="07284826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Wzywa Komisję do </w:t>
      </w:r>
      <w:r>
        <w:rPr>
          <w:b/>
        </w:rPr>
        <w:t>uznania klauzuli wyjścia za tymczasowy instrument nadzwyczajny</w:t>
      </w:r>
      <w:r>
        <w:t>, a</w:t>
      </w:r>
      <w:r w:rsidR="00031E73">
        <w:t> </w:t>
      </w:r>
      <w:r>
        <w:t xml:space="preserve">nie za substytut spójnej długoterminowej strategii fiskalnej i strategii wzrostu. Wzywa Komisję do oceny </w:t>
      </w:r>
      <w:r>
        <w:rPr>
          <w:b/>
        </w:rPr>
        <w:t>rosnącej roli wydatków obronnych w zrównoważonym wzroście gospodarczym UE</w:t>
      </w:r>
      <w:r>
        <w:t xml:space="preserve"> i ich wpływu na zatrudnienie i przyszłą stabilność fiskalną.</w:t>
      </w:r>
    </w:p>
    <w:p w14:paraId="61FE117E" w14:textId="77777777" w:rsidR="00627FDF" w:rsidRPr="00627FDF" w:rsidRDefault="00627FDF" w:rsidP="00031E73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Ponawia apel o </w:t>
      </w:r>
      <w:r>
        <w:rPr>
          <w:b/>
        </w:rPr>
        <w:t>bardziej zdecydowane, ustrukturyzowane i znaczące zaangażowanie partnerów społecznych i organizacji społeczeństwa obywatelskiego na szczeblu europejskim, krajowym i lokalnym</w:t>
      </w:r>
      <w:r>
        <w:t xml:space="preserve"> we wdrażanie cyklu semestru.</w:t>
      </w:r>
    </w:p>
    <w:p w14:paraId="6AF1FBF1" w14:textId="77777777" w:rsidR="00627FDF" w:rsidRPr="00627FDF" w:rsidRDefault="00627FDF" w:rsidP="00031E73">
      <w:pPr>
        <w:overflowPunct w:val="0"/>
        <w:autoSpaceDE w:val="0"/>
        <w:autoSpaceDN w:val="0"/>
        <w:adjustRightInd w:val="0"/>
        <w:ind w:left="567"/>
        <w:textAlignment w:val="baseline"/>
        <w:rPr>
          <w:bCs/>
          <w:iCs/>
          <w:lang w:val="en-GB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8128"/>
      </w:tblGrid>
      <w:tr w:rsidR="00627FDF" w:rsidRPr="00627FDF" w14:paraId="52F142FB" w14:textId="77777777" w:rsidTr="00601D8A">
        <w:tc>
          <w:tcPr>
            <w:tcW w:w="625" w:type="pct"/>
          </w:tcPr>
          <w:p w14:paraId="605B3F57" w14:textId="77777777" w:rsidR="00627FDF" w:rsidRPr="00627FDF" w:rsidRDefault="00627FD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4375" w:type="pct"/>
          </w:tcPr>
          <w:p w14:paraId="2799D0F0" w14:textId="77777777" w:rsidR="00627FDF" w:rsidRPr="00627FDF" w:rsidRDefault="00627FD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Anna Pantazi</w:t>
            </w:r>
          </w:p>
        </w:tc>
      </w:tr>
      <w:tr w:rsidR="00627FDF" w:rsidRPr="00627FDF" w14:paraId="2AECF76E" w14:textId="77777777" w:rsidTr="00601D8A">
        <w:tc>
          <w:tcPr>
            <w:tcW w:w="625" w:type="pct"/>
          </w:tcPr>
          <w:p w14:paraId="0CA36F14" w14:textId="77777777" w:rsidR="00627FDF" w:rsidRPr="00627FDF" w:rsidRDefault="00627FD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375" w:type="pct"/>
          </w:tcPr>
          <w:p w14:paraId="74E90836" w14:textId="1D42CC9B" w:rsidR="00627FDF" w:rsidRPr="00627FDF" w:rsidRDefault="00627FD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+32 25469231</w:t>
            </w:r>
          </w:p>
        </w:tc>
      </w:tr>
      <w:tr w:rsidR="00627FDF" w:rsidRPr="00627FDF" w14:paraId="03A39DE3" w14:textId="77777777" w:rsidTr="00601D8A">
        <w:tc>
          <w:tcPr>
            <w:tcW w:w="625" w:type="pct"/>
          </w:tcPr>
          <w:p w14:paraId="5FDCFB85" w14:textId="77777777" w:rsidR="00627FDF" w:rsidRPr="00627FDF" w:rsidRDefault="00627FDF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375" w:type="pct"/>
          </w:tcPr>
          <w:p w14:paraId="3BA9FEE0" w14:textId="77777777" w:rsidR="00627FDF" w:rsidRPr="00627FDF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24" w:history="1">
              <w:r w:rsidR="00E235D3">
                <w:rPr>
                  <w:i/>
                  <w:color w:val="0000FF"/>
                  <w:u w:val="single"/>
                </w:rPr>
                <w:t>Anna.Pantazi@eesc.europa.eu</w:t>
              </w:r>
            </w:hyperlink>
          </w:p>
        </w:tc>
      </w:tr>
    </w:tbl>
    <w:p w14:paraId="69D261DC" w14:textId="6E0384BF" w:rsidR="00557848" w:rsidRDefault="00557848" w:rsidP="00031E73">
      <w:pPr>
        <w:pStyle w:val="ListParagraph"/>
        <w:ind w:left="0"/>
      </w:pPr>
    </w:p>
    <w:p w14:paraId="18087D90" w14:textId="77777777" w:rsidR="00557848" w:rsidRDefault="00557848" w:rsidP="00031E73">
      <w:pPr>
        <w:jc w:val="left"/>
      </w:pPr>
      <w:r>
        <w:br w:type="page"/>
      </w:r>
    </w:p>
    <w:p w14:paraId="1CFC3C7D" w14:textId="4089C973" w:rsidR="00532F99" w:rsidRPr="00153E09" w:rsidRDefault="00FD6F2A" w:rsidP="00031E73">
      <w:pPr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5" w:history="1">
        <w:r w:rsidR="00532F99">
          <w:rPr>
            <w:b/>
            <w:i/>
            <w:color w:val="0000FF"/>
            <w:sz w:val="28"/>
            <w:u w:val="single"/>
          </w:rPr>
          <w:t>Wyspy w europejskiej polityce spójności, konkurencyjności i</w:t>
        </w:r>
        <w:r w:rsidR="00031E73">
          <w:rPr>
            <w:b/>
            <w:i/>
            <w:color w:val="0000FF"/>
            <w:sz w:val="28"/>
            <w:u w:val="single"/>
          </w:rPr>
          <w:t> </w:t>
        </w:r>
        <w:r w:rsidR="00532F99">
          <w:rPr>
            <w:b/>
            <w:i/>
            <w:color w:val="0000FF"/>
            <w:sz w:val="28"/>
            <w:u w:val="single"/>
          </w:rPr>
          <w:t>zrównoważonego rozwoju</w:t>
        </w:r>
      </w:hyperlink>
    </w:p>
    <w:p w14:paraId="6D45E35E" w14:textId="77777777" w:rsidR="00153E09" w:rsidRPr="00153E09" w:rsidRDefault="00153E09" w:rsidP="00031E73">
      <w:pPr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364"/>
      </w:tblGrid>
      <w:tr w:rsidR="00532F99" w:rsidRPr="00532F99" w14:paraId="67745AC7" w14:textId="77777777" w:rsidTr="00D0608D">
        <w:tc>
          <w:tcPr>
            <w:tcW w:w="1701" w:type="dxa"/>
          </w:tcPr>
          <w:p w14:paraId="61C2DFEA" w14:textId="77777777" w:rsidR="00532F99" w:rsidRPr="00532F99" w:rsidRDefault="00532F9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479" w:type="dxa"/>
          </w:tcPr>
          <w:p w14:paraId="1D4B2919" w14:textId="013947C3" w:rsidR="00153E09" w:rsidRPr="00532F99" w:rsidRDefault="00532F9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Ioannis VARDAKASTANIS (Grupa Organizacji Społeczeństwa Obywatelskiego – EL)</w:t>
            </w:r>
          </w:p>
        </w:tc>
      </w:tr>
      <w:tr w:rsidR="00205469" w:rsidRPr="00532F99" w14:paraId="1E28C030" w14:textId="77777777" w:rsidTr="00D0608D">
        <w:tc>
          <w:tcPr>
            <w:tcW w:w="1701" w:type="dxa"/>
          </w:tcPr>
          <w:p w14:paraId="6556B0F0" w14:textId="77777777" w:rsidR="00205469" w:rsidRPr="00532F99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14:paraId="49CED0B0" w14:textId="77777777" w:rsidR="00205469" w:rsidRPr="00532F99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532F99" w:rsidRPr="00532F99" w14:paraId="6B1B0BDA" w14:textId="77777777" w:rsidTr="00D0608D">
        <w:tc>
          <w:tcPr>
            <w:tcW w:w="1701" w:type="dxa"/>
          </w:tcPr>
          <w:p w14:paraId="2C89221D" w14:textId="77777777" w:rsidR="00532F99" w:rsidRPr="00532F99" w:rsidRDefault="00532F99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Dokumenty źródłowe</w:t>
            </w:r>
          </w:p>
        </w:tc>
        <w:tc>
          <w:tcPr>
            <w:tcW w:w="7479" w:type="dxa"/>
          </w:tcPr>
          <w:p w14:paraId="23EE8050" w14:textId="0AD297F8" w:rsidR="00532F99" w:rsidRPr="00532F99" w:rsidRDefault="00532F99" w:rsidP="00031E73">
            <w:pPr>
              <w:tabs>
                <w:tab w:val="center" w:pos="32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opinia rozpoznawcza na wniosek cypryjskiej prezydencji Rady UE</w:t>
            </w:r>
          </w:p>
          <w:p w14:paraId="0FBD455F" w14:textId="4C1CCA1A" w:rsidR="00532F99" w:rsidRPr="00532F99" w:rsidRDefault="00532F9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EESC-2025-03598-00-00-AC</w:t>
            </w:r>
          </w:p>
        </w:tc>
      </w:tr>
    </w:tbl>
    <w:p w14:paraId="68AC2034" w14:textId="77777777" w:rsidR="00153E09" w:rsidRDefault="00153E09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7A288D5" w14:textId="6C112457" w:rsidR="00532F99" w:rsidRPr="00532F99" w:rsidRDefault="00532F99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016816BE" w14:textId="77777777" w:rsidR="00532F99" w:rsidRPr="00532F99" w:rsidRDefault="00532F99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13D35D1" w14:textId="77777777" w:rsidR="00532F99" w:rsidRPr="00532F99" w:rsidRDefault="00532F99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</w:t>
      </w:r>
    </w:p>
    <w:p w14:paraId="4843EC5E" w14:textId="5FE1121F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5" w:name="_Toc222825817"/>
      <w:r>
        <w:t xml:space="preserve">Uważa, że wyspy UE borykają się z </w:t>
      </w:r>
      <w:r>
        <w:rPr>
          <w:u w:val="single"/>
        </w:rPr>
        <w:t>utrzymującymi się niekorzystnymi warunkami strukturalnymi</w:t>
      </w:r>
      <w:r>
        <w:t>, tj. ograniczeniami geograficznymi, gospodarczymi, demograficznymi i</w:t>
      </w:r>
      <w:r w:rsidR="00031E73">
        <w:t> </w:t>
      </w:r>
      <w:r>
        <w:t>klimatycznymi, takimi jak izolacja, topnienie lodu, wysokie koszty transportu i energii, presja mieszkaniowa, niedobory siły roboczej oraz nadmierne poleganie na turystyce.</w:t>
      </w:r>
      <w:bookmarkEnd w:id="5"/>
    </w:p>
    <w:p w14:paraId="70CF9AE7" w14:textId="3905F31C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  <w:rPr>
          <w:u w:val="single"/>
        </w:rPr>
      </w:pPr>
      <w:bookmarkStart w:id="6" w:name="_Toc222825818"/>
      <w:r>
        <w:t>Jest zdania, że wyspy mają zasadnicze znaczenie dla pozycji geopolitycznej UE, zarządzania migracją, bezpieczeństwa morskiego i transformacji energetycznej. Ich ekosystemy morskie i</w:t>
      </w:r>
      <w:r w:rsidR="00031E73">
        <w:t> </w:t>
      </w:r>
      <w:r>
        <w:t>wyłączne strefy ekonomiczne (w.s.e.) stanowią podstawę niebieskiej gospodarki i celów w</w:t>
      </w:r>
      <w:r w:rsidR="00031E73">
        <w:t> </w:t>
      </w:r>
      <w:r>
        <w:t>zakresie różnorodności biologicznej. Pomimo uznania w traktatach UE i deklaracjach politycznych, wyjątkowe wyzwania dotyczące wysp nie są odpowiednio uwzględniane w</w:t>
      </w:r>
      <w:r w:rsidR="00031E73">
        <w:t> </w:t>
      </w:r>
      <w:r>
        <w:t>politykach sektorowych UE. Wyspy mają potencjał, aby stać się laboratoriami innowacji i</w:t>
      </w:r>
      <w:r w:rsidR="00031E73">
        <w:t> </w:t>
      </w:r>
      <w:r>
        <w:t>zrównoważonego rozwoju, demonstrującymi rozwiązania w zakresie przystosowania się do zmiany klimatu, energii odnawialnej, ochrony środowiska morskiego i zrównoważonej turystyki.</w:t>
      </w:r>
      <w:bookmarkEnd w:id="6"/>
    </w:p>
    <w:p w14:paraId="67767811" w14:textId="6FF3E1EE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7" w:name="_Toc222825819"/>
      <w:r>
        <w:rPr>
          <w:u w:val="single"/>
        </w:rPr>
        <w:t>Uznaje, że potrzebne jest podejście systemowe.</w:t>
      </w:r>
      <w:r>
        <w:t xml:space="preserve"> Skuteczna polityka UE na rzecz wysp i</w:t>
      </w:r>
      <w:r w:rsidR="00031E73">
        <w:t> </w:t>
      </w:r>
      <w:r>
        <w:t>terytoriów wyspiarskich ogółem (w tym regionów najbardziej oddalonych i regionów jezior) wymaga zintegrowanych, międzysektorowych strategii dotyczących łączności, dywersyfikacji gospodarczej, spójności społecznej, odporności ekologicznej, społecznej i gospodarczej oraz gotowości geopolitycznej.</w:t>
      </w:r>
      <w:bookmarkEnd w:id="7"/>
    </w:p>
    <w:p w14:paraId="46E91099" w14:textId="06A60226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8" w:name="_Toc222825820"/>
      <w:r>
        <w:t>Wzywa do ustanowienia specjalnej strategii Unii na rzecz wysp (</w:t>
      </w:r>
      <w:r>
        <w:rPr>
          <w:b/>
        </w:rPr>
        <w:t>pakt na rzecz wysp</w:t>
      </w:r>
      <w:r>
        <w:t>), wspieranej przez konkretne ramy prawne (</w:t>
      </w:r>
      <w:r>
        <w:rPr>
          <w:b/>
        </w:rPr>
        <w:t>akt w sprawie wysp</w:t>
      </w:r>
      <w:r>
        <w:t xml:space="preserve">). Ramom tym powinna towarzyszyć formalna strategia i powinny one przewidywać skuteczne wdrożenie </w:t>
      </w:r>
      <w:r>
        <w:rPr>
          <w:b/>
        </w:rPr>
        <w:t>„klauzuli wyspiarskiej”</w:t>
      </w:r>
      <w:r>
        <w:t xml:space="preserve"> w celu systematycznego włączania szczególnych potrzeb i ograniczeń wysp do polityki Unii w dziedzinie spójności, transportu, energii, pomocy państwa, środowiska i</w:t>
      </w:r>
      <w:r w:rsidR="00031E73">
        <w:t> </w:t>
      </w:r>
      <w:r>
        <w:t>gospodarki morskiej.</w:t>
      </w:r>
      <w:bookmarkEnd w:id="8"/>
    </w:p>
    <w:p w14:paraId="762E910D" w14:textId="77777777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9" w:name="_Toc222825821"/>
      <w:r>
        <w:t>Podkreśla, że poprawa łączności i infrastruktury na terytoriach wyspiarskich ma zasadnicze znaczenie dla spójności terytorialnej i wzywa do poprawy systemów transportu i mobilności publicznej, poprawy łączności cyfrowej i bardziej odpornych sieci energetycznych, z wyraźnym naciskiem na dekarbonizację i autonomię energetyczną.</w:t>
      </w:r>
      <w:bookmarkEnd w:id="9"/>
    </w:p>
    <w:p w14:paraId="737F86E5" w14:textId="77777777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10" w:name="_Toc222825822"/>
      <w:r>
        <w:t>Zwraca uwagę, że regiony wyspiarskie powinny zdywersyfikować swoje gospodarki poprzez rozwój zrównoważonej i konkurencyjnej niebieskiej gospodarki opierającej się na ich wyjątkowych atutach, takich jak zasoby morskie, potencjał energii odnawialnej, turystyka, dziedzictwo kulturowe i sektor kreatywny.</w:t>
      </w:r>
      <w:bookmarkEnd w:id="10"/>
    </w:p>
    <w:p w14:paraId="7E670409" w14:textId="77777777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11" w:name="_Toc222825823"/>
      <w:r>
        <w:lastRenderedPageBreak/>
        <w:t>Podkreśla, że spójność społeczna i rozwój kapitału ludzkiego mają kluczowe znaczenie dla długoterminowej stabilności społeczności wyspiarskich. Wzywa do opracowania ukierunkowanych polityk w celu rozwiązania problemu niewystarczającej liczby mieszkań, niedopasowania umiejętności do potrzeb rynku pracy, niedoboru wykwalifikowanej siły roboczej i migracji wewnętrznej młodzieży, obejmujących systemy kształcenia sprzyjające włączeniu społecznemu, możliwości pracy wysokiej jakości i przystępne cenowo rozwiązania mieszkaniowe dostosowane do specyfiki wysp.</w:t>
      </w:r>
      <w:bookmarkEnd w:id="11"/>
    </w:p>
    <w:p w14:paraId="5112CF6B" w14:textId="77777777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  <w:rPr>
          <w:sz w:val="24"/>
          <w:szCs w:val="24"/>
        </w:rPr>
      </w:pPr>
      <w:bookmarkStart w:id="12" w:name="_Toc222825824"/>
      <w:r>
        <w:t>Podkreśla, że należy pilnie poczynić postępy w zakresie ochrony środowiska i odporności na zmianę klimatu na terytoriach wyspiarskich, które są nieproporcjonalnie na nią narażone.</w:t>
      </w:r>
      <w:bookmarkEnd w:id="12"/>
    </w:p>
    <w:p w14:paraId="59AC2957" w14:textId="77777777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13" w:name="_Toc222825825"/>
      <w:r>
        <w:t xml:space="preserve">Wzywa do formalnego włączenia monitorowania, prognozowania i zarządzania partycypacyjnego do polityki dotyczącej wysp, proponując </w:t>
      </w:r>
      <w:r>
        <w:rPr>
          <w:b/>
        </w:rPr>
        <w:t>regularne sporządzanie sprawozdania z wdrażania polityki dotyczącej wysp</w:t>
      </w:r>
      <w:r>
        <w:t xml:space="preserve"> w celu śledzenia kluczowych wskaźników demograficznych, gospodarczych, społecznych i środowiskowych.</w:t>
      </w:r>
      <w:bookmarkEnd w:id="13"/>
      <w:r>
        <w:t xml:space="preserve"> </w:t>
      </w:r>
    </w:p>
    <w:p w14:paraId="3CBAD6E8" w14:textId="70AA296E" w:rsidR="00532F99" w:rsidRPr="00AD4D97" w:rsidRDefault="00532F99" w:rsidP="00031E73">
      <w:pPr>
        <w:pStyle w:val="ListParagraph"/>
        <w:numPr>
          <w:ilvl w:val="0"/>
          <w:numId w:val="28"/>
        </w:numPr>
        <w:ind w:left="567" w:hanging="567"/>
      </w:pPr>
      <w:bookmarkStart w:id="14" w:name="_Toc222825826"/>
      <w:r>
        <w:t>Uważa, że wysp UE nie należy już traktować jako obszarów peryferyjnych. Są to regiony pierwszej linii, jeśli chodzi o suwerenność, odporność i zdolności innowacyjne Europy. Ukierunkowana, systemowa i prawnie ugruntowana strategia UE na rzecz wysp (</w:t>
      </w:r>
      <w:r>
        <w:rPr>
          <w:b/>
        </w:rPr>
        <w:t>pakt na rzecz wysp</w:t>
      </w:r>
      <w:r>
        <w:t>) miałaby zasadnicze znaczenie dla przekształcenia wysp w siłę napędową zrównoważonego wzrostu gospodarczego, odporności na zmianę klimatu i bezpieczeństwa geopolitycznego – zapewniając społecznościom wyspiarskim możliwość prosperowania, a</w:t>
      </w:r>
      <w:r w:rsidR="00031E73">
        <w:t> </w:t>
      </w:r>
      <w:r>
        <w:t>jednocześnie wzmacniając autonomię strategiczną i spójność Europy. Przykładem może tu być geopolityczna centralna rola Grenlandii w dynamice bezpieczeństwa Arktyki, stosunkach transatlantyckich i konkurencji między wielkimi mocarstwami oraz jej znaczenie dla strategicznej autonomii Europy w dziedzinie obronności.</w:t>
      </w:r>
      <w:bookmarkEnd w:id="14"/>
    </w:p>
    <w:p w14:paraId="66D35620" w14:textId="77777777" w:rsidR="00532F99" w:rsidRPr="00532F99" w:rsidRDefault="00532F99" w:rsidP="00031E73">
      <w:pPr>
        <w:ind w:left="284" w:hanging="284"/>
        <w:rPr>
          <w:bCs/>
          <w:iCs/>
          <w:lang w:val="en-GB"/>
        </w:rPr>
      </w:pPr>
    </w:p>
    <w:tbl>
      <w:tblPr>
        <w:tblStyle w:val="TableGrid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8"/>
      </w:tblGrid>
      <w:tr w:rsidR="00532F99" w:rsidRPr="00532F99" w14:paraId="51FA2FFC" w14:textId="77777777" w:rsidTr="00D0608D">
        <w:tc>
          <w:tcPr>
            <w:tcW w:w="1526" w:type="dxa"/>
          </w:tcPr>
          <w:p w14:paraId="549BED47" w14:textId="77777777" w:rsidR="00532F99" w:rsidRPr="00532F99" w:rsidRDefault="00532F99" w:rsidP="00031E73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7688" w:type="dxa"/>
          </w:tcPr>
          <w:p w14:paraId="7CEAACF5" w14:textId="0581C1FF" w:rsidR="00532F99" w:rsidRPr="00532F99" w:rsidRDefault="00532F99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Georgios Meleas</w:t>
            </w:r>
          </w:p>
        </w:tc>
      </w:tr>
      <w:tr w:rsidR="00532F99" w:rsidRPr="00532F99" w14:paraId="0AEF2AEB" w14:textId="77777777" w:rsidTr="00D0608D">
        <w:tc>
          <w:tcPr>
            <w:tcW w:w="1526" w:type="dxa"/>
          </w:tcPr>
          <w:p w14:paraId="060FAF7E" w14:textId="77777777" w:rsidR="00532F99" w:rsidRPr="00532F99" w:rsidRDefault="00532F99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688" w:type="dxa"/>
          </w:tcPr>
          <w:p w14:paraId="22CC1931" w14:textId="49FE5AFE" w:rsidR="00532F99" w:rsidRPr="00532F99" w:rsidRDefault="00532F99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+32 25469795</w:t>
            </w:r>
          </w:p>
        </w:tc>
      </w:tr>
      <w:tr w:rsidR="00532F99" w:rsidRPr="00532F99" w14:paraId="20E9D1C8" w14:textId="77777777" w:rsidTr="00D0608D">
        <w:tc>
          <w:tcPr>
            <w:tcW w:w="1526" w:type="dxa"/>
          </w:tcPr>
          <w:p w14:paraId="144E431B" w14:textId="64663E9D" w:rsidR="00532F99" w:rsidRPr="00532F99" w:rsidRDefault="0037319B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688" w:type="dxa"/>
          </w:tcPr>
          <w:p w14:paraId="19710C19" w14:textId="1ECFC656" w:rsidR="00532F99" w:rsidRPr="00532F99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6" w:history="1">
              <w:r w:rsidR="00E235D3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14:paraId="3016994A" w14:textId="77777777" w:rsidR="007652C3" w:rsidRDefault="007652C3" w:rsidP="00031E73">
      <w:pPr>
        <w:pStyle w:val="ListParagraph"/>
        <w:ind w:left="0"/>
      </w:pPr>
    </w:p>
    <w:p w14:paraId="28F747AB" w14:textId="77777777" w:rsidR="007652C3" w:rsidRDefault="007652C3" w:rsidP="00031E73">
      <w:pPr>
        <w:jc w:val="left"/>
      </w:pPr>
      <w:r>
        <w:br w:type="page"/>
      </w:r>
    </w:p>
    <w:p w14:paraId="71EC6247" w14:textId="718F1B93" w:rsidR="007652C3" w:rsidRPr="007652C3" w:rsidRDefault="00FD6F2A" w:rsidP="00031E73">
      <w:pPr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7" w:history="1">
        <w:r w:rsidR="00E235D3">
          <w:rPr>
            <w:b/>
            <w:i/>
            <w:color w:val="0000FF"/>
            <w:sz w:val="28"/>
            <w:u w:val="single"/>
          </w:rPr>
          <w:t>Przegląd dyrektywy w sprawie opodatkowania wyrobów tytoniowych</w:t>
        </w:r>
      </w:hyperlink>
    </w:p>
    <w:p w14:paraId="14832C64" w14:textId="77777777" w:rsidR="007652C3" w:rsidRPr="007652C3" w:rsidRDefault="007652C3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473"/>
      </w:tblGrid>
      <w:tr w:rsidR="007652C3" w:rsidRPr="007652C3" w14:paraId="4B4C09EE" w14:textId="77777777" w:rsidTr="00D0608D">
        <w:tc>
          <w:tcPr>
            <w:tcW w:w="1526" w:type="dxa"/>
          </w:tcPr>
          <w:p w14:paraId="074AAFB4" w14:textId="77777777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547" w:type="dxa"/>
          </w:tcPr>
          <w:p w14:paraId="574348C8" w14:textId="1A21DC9A" w:rsidR="00FC4D6F" w:rsidRPr="007652C3" w:rsidRDefault="007652C3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Matteo Carlo BORSANI (Grupa Pracodawców – IT)</w:t>
            </w:r>
          </w:p>
        </w:tc>
      </w:tr>
      <w:tr w:rsidR="00205469" w:rsidRPr="00031E73" w14:paraId="6586AC35" w14:textId="77777777" w:rsidTr="00D0608D">
        <w:tc>
          <w:tcPr>
            <w:tcW w:w="1526" w:type="dxa"/>
          </w:tcPr>
          <w:p w14:paraId="6C41B8BD" w14:textId="77777777" w:rsidR="00205469" w:rsidRPr="00031E73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12"/>
                <w:szCs w:val="12"/>
              </w:rPr>
            </w:pPr>
          </w:p>
        </w:tc>
        <w:tc>
          <w:tcPr>
            <w:tcW w:w="7547" w:type="dxa"/>
          </w:tcPr>
          <w:p w14:paraId="30591BA7" w14:textId="77777777" w:rsidR="00205469" w:rsidRPr="00031E73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12"/>
                <w:szCs w:val="12"/>
              </w:rPr>
            </w:pPr>
          </w:p>
        </w:tc>
      </w:tr>
      <w:tr w:rsidR="007652C3" w:rsidRPr="00100EF9" w14:paraId="2243F74F" w14:textId="77777777" w:rsidTr="00D0608D">
        <w:tc>
          <w:tcPr>
            <w:tcW w:w="1526" w:type="dxa"/>
          </w:tcPr>
          <w:p w14:paraId="3F25D12B" w14:textId="77777777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Dokumenty źródłowe</w:t>
            </w:r>
          </w:p>
        </w:tc>
        <w:tc>
          <w:tcPr>
            <w:tcW w:w="7547" w:type="dxa"/>
          </w:tcPr>
          <w:p w14:paraId="28D63311" w14:textId="2018BFB6" w:rsidR="007652C3" w:rsidRPr="007652C3" w:rsidRDefault="007652C3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COM(2025) 580 final</w:t>
            </w:r>
          </w:p>
          <w:p w14:paraId="3C71E1DA" w14:textId="707F72B2" w:rsidR="007652C3" w:rsidRPr="007652C3" w:rsidRDefault="007652C3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COM(2025) 581 final</w:t>
            </w:r>
          </w:p>
          <w:p w14:paraId="77F23764" w14:textId="645FFEBD" w:rsidR="007652C3" w:rsidRPr="007652C3" w:rsidRDefault="007652C3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EESC-2025-02514-00-00-AC</w:t>
            </w:r>
          </w:p>
        </w:tc>
      </w:tr>
    </w:tbl>
    <w:p w14:paraId="24734E78" w14:textId="77777777" w:rsidR="007652C3" w:rsidRPr="00031E73" w:rsidRDefault="007652C3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12"/>
          <w:szCs w:val="12"/>
          <w:lang w:val="pt-PT"/>
        </w:rPr>
      </w:pPr>
    </w:p>
    <w:p w14:paraId="769610FB" w14:textId="77777777" w:rsidR="007652C3" w:rsidRPr="007652C3" w:rsidRDefault="007652C3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761660A5" w14:textId="77777777" w:rsidR="007652C3" w:rsidRPr="007652C3" w:rsidRDefault="007652C3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p w14:paraId="538696B2" w14:textId="77777777" w:rsidR="007652C3" w:rsidRPr="007652C3" w:rsidRDefault="007652C3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iCs/>
        </w:rPr>
      </w:pPr>
      <w:r>
        <w:t>EKES</w:t>
      </w:r>
    </w:p>
    <w:p w14:paraId="3447BDD3" w14:textId="00E56775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r w:rsidRPr="00031E73">
        <w:rPr>
          <w:b/>
          <w:spacing w:val="-4"/>
        </w:rPr>
        <w:t>Popiera</w:t>
      </w:r>
      <w:r w:rsidRPr="00031E73">
        <w:rPr>
          <w:spacing w:val="-4"/>
        </w:rPr>
        <w:t xml:space="preserve"> przegląd dyrektywy w sprawie opodatkowania wyrobów tytoniowych, gdyż uznaje potrzebę dostosowania ram akcyzowych do rozwoju sytuacji rynkowej, nowych produktów i</w:t>
      </w:r>
      <w:r w:rsidR="00031E73" w:rsidRPr="00031E73">
        <w:rPr>
          <w:spacing w:val="-4"/>
        </w:rPr>
        <w:t> </w:t>
      </w:r>
      <w:r w:rsidRPr="00031E73">
        <w:rPr>
          <w:spacing w:val="-4"/>
        </w:rPr>
        <w:t>celów w zakresie zdrowia publicznego, a jednocześnie podkreśla, że reforma musi pozostać proporcjonalna, przewidywalna i zrównoważona pod względem gospodarczym.</w:t>
      </w:r>
    </w:p>
    <w:p w14:paraId="3F4A26E3" w14:textId="77777777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bookmarkStart w:id="15" w:name="_Toc222825827"/>
      <w:r w:rsidRPr="00031E73">
        <w:rPr>
          <w:b/>
          <w:spacing w:val="-4"/>
        </w:rPr>
        <w:t>Ostrzega</w:t>
      </w:r>
      <w:r w:rsidRPr="00031E73">
        <w:rPr>
          <w:spacing w:val="-4"/>
        </w:rPr>
        <w:t xml:space="preserve"> przed nagłym lub nadmiernym wzrostem podatków akcyzowych, który może napędzać nielegalny handel oraz osłabiać dochody budżetowe i osiągane rezultaty w zakresie zdrowia publicznego. W związku z tym </w:t>
      </w:r>
      <w:r w:rsidRPr="00031E73">
        <w:rPr>
          <w:b/>
          <w:spacing w:val="-4"/>
        </w:rPr>
        <w:t>zaleca</w:t>
      </w:r>
      <w:r w:rsidRPr="00031E73">
        <w:rPr>
          <w:spacing w:val="-4"/>
        </w:rPr>
        <w:t>, by dostosowania akcyzy były stopniowe i by towarzyszyły im wzmocnione egzekwowanie przepisów, współpraca celna i transgraniczne środki zwalczania przemytu.</w:t>
      </w:r>
      <w:bookmarkEnd w:id="15"/>
    </w:p>
    <w:p w14:paraId="1AC2A723" w14:textId="06F6D9C4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bookmarkStart w:id="16" w:name="_Toc222825828"/>
      <w:r w:rsidRPr="00031E73">
        <w:rPr>
          <w:b/>
          <w:spacing w:val="-4"/>
        </w:rPr>
        <w:t>Wzywa</w:t>
      </w:r>
      <w:r w:rsidRPr="00031E73">
        <w:rPr>
          <w:spacing w:val="-4"/>
        </w:rPr>
        <w:t xml:space="preserve"> do spójnego stosowania opodatkowania proporcjonalnego do ryzyka, tak aby wyroby niepalne i wyroby o obniżonym ryzyku nie były opodatkowane tak samo jak palne wyroby tytoniowe, zgodnie z zasadą „mniej szkód, mniej podatków” i celami europejskiego planu walki z</w:t>
      </w:r>
      <w:r w:rsidR="00031E73">
        <w:rPr>
          <w:spacing w:val="-4"/>
        </w:rPr>
        <w:t> </w:t>
      </w:r>
      <w:r w:rsidRPr="00031E73">
        <w:rPr>
          <w:spacing w:val="-4"/>
        </w:rPr>
        <w:t>rakiem.</w:t>
      </w:r>
      <w:bookmarkEnd w:id="16"/>
    </w:p>
    <w:p w14:paraId="3892A6EF" w14:textId="77777777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bookmarkStart w:id="17" w:name="_Toc222825829"/>
      <w:r w:rsidRPr="00031E73">
        <w:rPr>
          <w:b/>
          <w:spacing w:val="-4"/>
        </w:rPr>
        <w:t>Zaleca</w:t>
      </w:r>
      <w:r w:rsidRPr="00031E73">
        <w:rPr>
          <w:spacing w:val="-4"/>
        </w:rPr>
        <w:t xml:space="preserve"> zwiększenie jasności prawa i harmonizację definicji wyrobów, w szczególności poprzez wyraźne zdefiniowanie podgrzewanych wyrobów tytoniowych, wyraźne odróżnienie ich od wyrobów palnych.</w:t>
      </w:r>
      <w:bookmarkEnd w:id="17"/>
    </w:p>
    <w:p w14:paraId="6D1AE1A8" w14:textId="7AB50B1A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bookmarkStart w:id="18" w:name="_Toc222825830"/>
      <w:r w:rsidRPr="00031E73">
        <w:rPr>
          <w:b/>
          <w:spacing w:val="-4"/>
        </w:rPr>
        <w:t>Zwraca się</w:t>
      </w:r>
      <w:r w:rsidRPr="00031E73">
        <w:rPr>
          <w:spacing w:val="-4"/>
        </w:rPr>
        <w:t xml:space="preserve"> do Komisji o zwiększenie spójności między definicjami akcyzowymi a</w:t>
      </w:r>
      <w:r w:rsidR="00031E73" w:rsidRPr="00031E73">
        <w:rPr>
          <w:spacing w:val="-4"/>
        </w:rPr>
        <w:t> </w:t>
      </w:r>
      <w:r w:rsidRPr="00031E73">
        <w:rPr>
          <w:spacing w:val="-4"/>
        </w:rPr>
        <w:t>Nomenklaturą scaloną (CN) poprzez aktualizowanie tabel korelacji i zapewnianie wytycznych interpretacyjnych w</w:t>
      </w:r>
      <w:r w:rsidR="00031E73">
        <w:rPr>
          <w:spacing w:val="-4"/>
        </w:rPr>
        <w:t> </w:t>
      </w:r>
      <w:r w:rsidRPr="00031E73">
        <w:rPr>
          <w:spacing w:val="-4"/>
        </w:rPr>
        <w:t>każdym przypadku, gdy zmiany w klasyfikacjach celnych wpływają na kategoryzację w</w:t>
      </w:r>
      <w:r w:rsidR="00031E73">
        <w:rPr>
          <w:spacing w:val="-4"/>
        </w:rPr>
        <w:t> </w:t>
      </w:r>
      <w:r w:rsidRPr="00031E73">
        <w:rPr>
          <w:spacing w:val="-4"/>
        </w:rPr>
        <w:t>kontekście akcyzy.</w:t>
      </w:r>
      <w:bookmarkEnd w:id="18"/>
    </w:p>
    <w:p w14:paraId="3B4FEB22" w14:textId="77777777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bookmarkStart w:id="19" w:name="_Toc222825831"/>
      <w:r w:rsidRPr="00031E73">
        <w:rPr>
          <w:b/>
          <w:spacing w:val="-4"/>
        </w:rPr>
        <w:t>Wzywa</w:t>
      </w:r>
      <w:r w:rsidRPr="00031E73">
        <w:rPr>
          <w:spacing w:val="-4"/>
        </w:rPr>
        <w:t xml:space="preserve"> do zapewnienia państwom członkowskim wystarczającej elastyczności w strukturach akcyzy, w tym możliwości wyboru między opodatkowaniem podgrzewanych wyrobów tytoniowych na podstawie jednostki wyrobu a opodatkowaniem na podstawie masy, tak aby odzwierciedlić krajowe warunki rynkowe, przy jednoczesnym poszanowaniu ogólnounijnych poziomów minimalnych.</w:t>
      </w:r>
      <w:bookmarkEnd w:id="19"/>
    </w:p>
    <w:p w14:paraId="03FC4FFF" w14:textId="77777777" w:rsidR="007652C3" w:rsidRPr="00031E73" w:rsidRDefault="007652C3" w:rsidP="00031E73">
      <w:pPr>
        <w:pStyle w:val="ListParagraph"/>
        <w:numPr>
          <w:ilvl w:val="0"/>
          <w:numId w:val="30"/>
        </w:numPr>
        <w:ind w:left="567" w:hanging="567"/>
        <w:rPr>
          <w:spacing w:val="-4"/>
        </w:rPr>
      </w:pPr>
      <w:bookmarkStart w:id="20" w:name="_Toc222825832"/>
      <w:r w:rsidRPr="00031E73">
        <w:rPr>
          <w:b/>
          <w:spacing w:val="-4"/>
        </w:rPr>
        <w:t>Wnosi o</w:t>
      </w:r>
      <w:r w:rsidRPr="00031E73">
        <w:rPr>
          <w:spacing w:val="-4"/>
        </w:rPr>
        <w:t xml:space="preserve"> przeprowadzenie kompleksowej i szczegółowej identyfikacji i grupowania istniejących miejsc pracy i umiejętności w sektorze, a także o ocenę powiązanych z omawianym wnioskiem scenariuszy średnio- i długookresowych oraz opracowanie jasnych prognoz wpływu na zatrudnienie.</w:t>
      </w:r>
      <w:bookmarkEnd w:id="20"/>
    </w:p>
    <w:p w14:paraId="0195988C" w14:textId="77777777" w:rsidR="007652C3" w:rsidRPr="00205469" w:rsidRDefault="007652C3" w:rsidP="00031E73">
      <w:pPr>
        <w:pStyle w:val="ListParagraph"/>
        <w:numPr>
          <w:ilvl w:val="0"/>
          <w:numId w:val="30"/>
        </w:numPr>
        <w:ind w:left="567" w:hanging="567"/>
      </w:pPr>
      <w:bookmarkStart w:id="21" w:name="_Toc222825833"/>
      <w:r w:rsidRPr="00031E73">
        <w:rPr>
          <w:b/>
          <w:spacing w:val="-4"/>
        </w:rPr>
        <w:t>Wzywa</w:t>
      </w:r>
      <w:r w:rsidRPr="00031E73">
        <w:rPr>
          <w:spacing w:val="-4"/>
        </w:rPr>
        <w:t xml:space="preserve"> do przewidywalnego i ograniczonego stosowania aktów delegowanych, ściśle ograniczonych do dostosowań technicznych związanych z inflacją, zgodnie z zasadą pomocniczości i suwerennością podatkową</w:t>
      </w:r>
      <w:r>
        <w:t xml:space="preserve"> państw członkowskich.</w:t>
      </w:r>
      <w:bookmarkEnd w:id="21"/>
    </w:p>
    <w:p w14:paraId="6309DB18" w14:textId="77777777" w:rsidR="007652C3" w:rsidRPr="00031E73" w:rsidRDefault="007652C3" w:rsidP="00031E73">
      <w:pPr>
        <w:ind w:left="567" w:hanging="567"/>
        <w:rPr>
          <w:sz w:val="12"/>
          <w:szCs w:val="1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546"/>
      </w:tblGrid>
      <w:tr w:rsidR="007652C3" w:rsidRPr="007652C3" w14:paraId="7534B913" w14:textId="77777777" w:rsidTr="00D0608D">
        <w:tc>
          <w:tcPr>
            <w:tcW w:w="1526" w:type="dxa"/>
          </w:tcPr>
          <w:p w14:paraId="0C271651" w14:textId="77777777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7546" w:type="dxa"/>
          </w:tcPr>
          <w:p w14:paraId="528FE443" w14:textId="5FF87165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Jüri Soosaar</w:t>
            </w:r>
          </w:p>
        </w:tc>
      </w:tr>
      <w:tr w:rsidR="007652C3" w:rsidRPr="007652C3" w14:paraId="6D9C46AC" w14:textId="77777777" w:rsidTr="00D0608D">
        <w:tc>
          <w:tcPr>
            <w:tcW w:w="1526" w:type="dxa"/>
          </w:tcPr>
          <w:p w14:paraId="02AD0CD6" w14:textId="77777777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46" w:type="dxa"/>
          </w:tcPr>
          <w:p w14:paraId="43D215D4" w14:textId="14B49C37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+32 25469628</w:t>
            </w:r>
          </w:p>
        </w:tc>
      </w:tr>
      <w:tr w:rsidR="007652C3" w:rsidRPr="007652C3" w14:paraId="5C3011C3" w14:textId="77777777" w:rsidTr="00D0608D">
        <w:tc>
          <w:tcPr>
            <w:tcW w:w="1526" w:type="dxa"/>
          </w:tcPr>
          <w:p w14:paraId="1F503178" w14:textId="77777777" w:rsidR="007652C3" w:rsidRPr="007652C3" w:rsidRDefault="007652C3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546" w:type="dxa"/>
          </w:tcPr>
          <w:p w14:paraId="62867B2B" w14:textId="5E2EB6F6" w:rsidR="007652C3" w:rsidRPr="007652C3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8" w:history="1">
              <w:r w:rsidR="00E235D3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14:paraId="4356DB93" w14:textId="77777777" w:rsidR="00302594" w:rsidRPr="00031E73" w:rsidRDefault="00302594" w:rsidP="00031E73">
      <w:pPr>
        <w:jc w:val="left"/>
        <w:rPr>
          <w:sz w:val="12"/>
          <w:szCs w:val="12"/>
        </w:rPr>
      </w:pPr>
      <w:r>
        <w:br w:type="page"/>
      </w:r>
    </w:p>
    <w:p w14:paraId="4982DD99" w14:textId="77777777" w:rsidR="004D7AC0" w:rsidRDefault="004D7AC0" w:rsidP="00031E73">
      <w:pPr>
        <w:pStyle w:val="Heading1"/>
        <w:rPr>
          <w:b/>
        </w:rPr>
      </w:pPr>
      <w:bookmarkStart w:id="22" w:name="_Toc75527081"/>
      <w:bookmarkStart w:id="23" w:name="_Toc223516231"/>
      <w:r>
        <w:rPr>
          <w:b/>
        </w:rPr>
        <w:lastRenderedPageBreak/>
        <w:t>ZATRUDNIENIE, SPRAWY SPOŁECZNE I OBYWATELSTWO</w:t>
      </w:r>
      <w:bookmarkEnd w:id="22"/>
      <w:bookmarkEnd w:id="23"/>
    </w:p>
    <w:p w14:paraId="4982DD9A" w14:textId="77777777" w:rsidR="004D7AC0" w:rsidRPr="00153E09" w:rsidRDefault="004D7AC0" w:rsidP="00031E73"/>
    <w:p w14:paraId="095440CA" w14:textId="6E6558FC" w:rsidR="001653D7" w:rsidRPr="001653D7" w:rsidRDefault="00FD6F2A" w:rsidP="00031E73">
      <w:pPr>
        <w:numPr>
          <w:ilvl w:val="0"/>
          <w:numId w:val="6"/>
        </w:numPr>
        <w:ind w:hanging="567"/>
        <w:rPr>
          <w:sz w:val="24"/>
          <w:szCs w:val="24"/>
        </w:rPr>
      </w:pPr>
      <w:hyperlink r:id="rId29" w:history="1">
        <w:r w:rsidR="00E235D3">
          <w:rPr>
            <w:b/>
            <w:i/>
            <w:color w:val="0000FF"/>
            <w:sz w:val="28"/>
            <w:u w:val="single"/>
          </w:rPr>
          <w:t>Wsparcie Unii na rzecz azylu, migracji i integracji, bezpieczeństwo wewnętrzne oraz zintegrowane zarządzanie granicami i polityka wizowa</w:t>
        </w:r>
      </w:hyperlink>
    </w:p>
    <w:p w14:paraId="00463498" w14:textId="77777777" w:rsidR="001653D7" w:rsidRPr="001653D7" w:rsidRDefault="001653D7" w:rsidP="00031E73">
      <w:pPr>
        <w:tabs>
          <w:tab w:val="center" w:pos="284"/>
        </w:tabs>
        <w:ind w:left="266" w:hanging="266"/>
        <w:rPr>
          <w:b/>
          <w:sz w:val="20"/>
          <w:szCs w:val="20"/>
        </w:rPr>
      </w:pPr>
    </w:p>
    <w:tbl>
      <w:tblPr>
        <w:tblStyle w:val="TableGrid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7125"/>
      </w:tblGrid>
      <w:tr w:rsidR="001653D7" w:rsidRPr="00100EF9" w14:paraId="47B2AE04" w14:textId="77777777" w:rsidTr="00D0608D">
        <w:tc>
          <w:tcPr>
            <w:tcW w:w="1559" w:type="dxa"/>
          </w:tcPr>
          <w:p w14:paraId="0F6809D8" w14:textId="4113B348" w:rsidR="001653D7" w:rsidRPr="001653D7" w:rsidRDefault="001653D7" w:rsidP="00031E73">
            <w:pPr>
              <w:ind w:left="2" w:right="206" w:hanging="2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479" w:type="dxa"/>
          </w:tcPr>
          <w:p w14:paraId="4C613172" w14:textId="2BD1B530" w:rsidR="001653D7" w:rsidRPr="001653D7" w:rsidRDefault="001653D7" w:rsidP="00031E73">
            <w:pPr>
              <w:tabs>
                <w:tab w:val="center" w:pos="284"/>
              </w:tabs>
              <w:ind w:left="266" w:hanging="374"/>
            </w:pPr>
            <w:r>
              <w:t>José Antonio MORENO DÍAZ (Grupa Pracowników – ES)</w:t>
            </w:r>
          </w:p>
        </w:tc>
      </w:tr>
      <w:tr w:rsidR="00205469" w:rsidRPr="00100EF9" w14:paraId="60304579" w14:textId="77777777" w:rsidTr="00D0608D">
        <w:tc>
          <w:tcPr>
            <w:tcW w:w="1559" w:type="dxa"/>
          </w:tcPr>
          <w:p w14:paraId="2F580098" w14:textId="77777777" w:rsidR="00205469" w:rsidRPr="003F66F7" w:rsidRDefault="00205469" w:rsidP="00031E73">
            <w:pPr>
              <w:tabs>
                <w:tab w:val="center" w:pos="284"/>
              </w:tabs>
              <w:ind w:left="266" w:hanging="374"/>
              <w:rPr>
                <w:b/>
                <w:lang w:val="es-ES"/>
              </w:rPr>
            </w:pPr>
          </w:p>
        </w:tc>
        <w:tc>
          <w:tcPr>
            <w:tcW w:w="7479" w:type="dxa"/>
          </w:tcPr>
          <w:p w14:paraId="5E1B80FD" w14:textId="77777777" w:rsidR="00205469" w:rsidRPr="001653D7" w:rsidRDefault="00205469" w:rsidP="00031E73">
            <w:pPr>
              <w:tabs>
                <w:tab w:val="center" w:pos="284"/>
              </w:tabs>
              <w:ind w:left="266" w:hanging="374"/>
              <w:rPr>
                <w:lang w:val="es-ES"/>
              </w:rPr>
            </w:pPr>
          </w:p>
        </w:tc>
      </w:tr>
      <w:tr w:rsidR="001653D7" w:rsidRPr="00153E09" w14:paraId="396210B3" w14:textId="77777777" w:rsidTr="00D0608D">
        <w:tc>
          <w:tcPr>
            <w:tcW w:w="1559" w:type="dxa"/>
          </w:tcPr>
          <w:p w14:paraId="2CCAB3DC" w14:textId="2720B8B9" w:rsidR="001653D7" w:rsidRPr="001653D7" w:rsidRDefault="001653D7" w:rsidP="00031E73">
            <w:pPr>
              <w:tabs>
                <w:tab w:val="center" w:pos="284"/>
              </w:tabs>
              <w:ind w:left="266" w:hanging="374"/>
              <w:rPr>
                <w:b/>
              </w:rPr>
            </w:pPr>
            <w:r>
              <w:rPr>
                <w:b/>
              </w:rPr>
              <w:t>Dokumenty źródłowe</w:t>
            </w:r>
          </w:p>
        </w:tc>
        <w:tc>
          <w:tcPr>
            <w:tcW w:w="7479" w:type="dxa"/>
          </w:tcPr>
          <w:p w14:paraId="7762C1AE" w14:textId="23946629" w:rsidR="001653D7" w:rsidRPr="001653D7" w:rsidRDefault="001653D7" w:rsidP="00031E73">
            <w:pPr>
              <w:tabs>
                <w:tab w:val="center" w:pos="284"/>
              </w:tabs>
              <w:ind w:left="266" w:hanging="374"/>
            </w:pPr>
            <w:r>
              <w:t>COM(2025) 540 final</w:t>
            </w:r>
          </w:p>
          <w:p w14:paraId="22AD2A59" w14:textId="56B0125B" w:rsidR="001653D7" w:rsidRPr="001653D7" w:rsidRDefault="001653D7" w:rsidP="00031E73">
            <w:pPr>
              <w:tabs>
                <w:tab w:val="center" w:pos="284"/>
              </w:tabs>
              <w:ind w:left="266" w:hanging="374"/>
            </w:pPr>
            <w:r>
              <w:t>COM(2025) 541 final</w:t>
            </w:r>
          </w:p>
          <w:p w14:paraId="63B53E3C" w14:textId="5CBBC2DD" w:rsidR="001653D7" w:rsidRDefault="001653D7" w:rsidP="00031E73">
            <w:pPr>
              <w:tabs>
                <w:tab w:val="center" w:pos="284"/>
              </w:tabs>
              <w:ind w:left="266" w:hanging="374"/>
            </w:pPr>
            <w:r>
              <w:t>COM(2025) 542 final</w:t>
            </w:r>
          </w:p>
          <w:p w14:paraId="683E4ECE" w14:textId="10942A06" w:rsidR="00205469" w:rsidRPr="001653D7" w:rsidRDefault="00205469" w:rsidP="00031E73">
            <w:pPr>
              <w:tabs>
                <w:tab w:val="center" w:pos="284"/>
              </w:tabs>
              <w:ind w:left="266" w:hanging="374"/>
            </w:pPr>
            <w:r>
              <w:t>EESC-2025-03434-00-00-AC</w:t>
            </w:r>
          </w:p>
        </w:tc>
      </w:tr>
    </w:tbl>
    <w:p w14:paraId="0460B2E8" w14:textId="77777777" w:rsidR="001653D7" w:rsidRPr="001653D7" w:rsidRDefault="001653D7" w:rsidP="00031E73">
      <w:pPr>
        <w:tabs>
          <w:tab w:val="center" w:pos="284"/>
        </w:tabs>
        <w:ind w:left="266" w:hanging="266"/>
        <w:rPr>
          <w:sz w:val="20"/>
          <w:szCs w:val="20"/>
        </w:rPr>
      </w:pPr>
    </w:p>
    <w:p w14:paraId="0CBC1DF0" w14:textId="77777777" w:rsidR="001653D7" w:rsidRPr="001653D7" w:rsidRDefault="001653D7" w:rsidP="00031E7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Główne punkty</w:t>
      </w:r>
    </w:p>
    <w:p w14:paraId="27D547BF" w14:textId="77777777" w:rsidR="001653D7" w:rsidRPr="001653D7" w:rsidRDefault="001653D7" w:rsidP="00031E73">
      <w:pPr>
        <w:keepNext/>
        <w:keepLines/>
        <w:tabs>
          <w:tab w:val="center" w:pos="284"/>
        </w:tabs>
        <w:ind w:left="266" w:hanging="266"/>
        <w:rPr>
          <w:bCs/>
          <w:sz w:val="20"/>
          <w:szCs w:val="20"/>
        </w:rPr>
      </w:pPr>
    </w:p>
    <w:p w14:paraId="3C2E2FC5" w14:textId="77777777" w:rsidR="001653D7" w:rsidRPr="001653D7" w:rsidRDefault="001653D7" w:rsidP="00031E73">
      <w:pPr>
        <w:rPr>
          <w:bCs/>
          <w:iCs/>
        </w:rPr>
      </w:pPr>
      <w:r>
        <w:t>EKES</w:t>
      </w:r>
    </w:p>
    <w:p w14:paraId="2EB60443" w14:textId="5A944C91" w:rsidR="001653D7" w:rsidRPr="001653D7" w:rsidRDefault="001653D7" w:rsidP="00031E73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Podkreśla pilną potrzebę ustanowienia polityki imigracyjnej zapewniającej legalne, bezpieczne i</w:t>
      </w:r>
      <w:r w:rsidR="00031E73">
        <w:t> </w:t>
      </w:r>
      <w:r>
        <w:t>skuteczne kanały dostępu do UE. Stanowisko to jest zgodne z wcześniejszymi opiniami Komitetu, w których podkreślił on znaczenie zapewnienia legalnych dróg wjazdu do UE, ochrony praw podstawowych migrantów i poprawy zarządzania mobilnością wewnątrz UE.</w:t>
      </w:r>
    </w:p>
    <w:p w14:paraId="17CE5961" w14:textId="77777777" w:rsidR="001653D7" w:rsidRPr="001653D7" w:rsidRDefault="001653D7" w:rsidP="00031E73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Stwierdza, że wspólna analiza tych trzech rozporządzeń wskazuje na strukturalną reorientację priorytetów UE z wyraźnym przekierowaniem na kontrolę i ochronę. Silny nacisk na bezpieczeństwo, zarówno wewnętrzne, jak i zewnętrzne, oznacza zazwyczaj, że pomija się środki wsparcia na rzecz integracji i włączenia społecznego. Podkreśla, że polityka migracyjna nie może się sprowadzać do podejścia opartego na bezpieczeństwie.</w:t>
      </w:r>
    </w:p>
    <w:p w14:paraId="6247AC50" w14:textId="46251637" w:rsidR="001653D7" w:rsidRPr="001653D7" w:rsidRDefault="001653D7" w:rsidP="00031E73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Zauważa, że pełny zestaw narzędzi i instrumentów służących zarządzaniu legalną migracją i</w:t>
      </w:r>
      <w:r w:rsidR="00031E73">
        <w:t> </w:t>
      </w:r>
      <w:r>
        <w:t>unikaniu nieprawidłowości to ważny element sprawnego systemu migracyjnego, w tym w</w:t>
      </w:r>
      <w:r w:rsidR="00031E73">
        <w:t> </w:t>
      </w:r>
      <w:r>
        <w:t>stosownych przypadkach i w pełnej zgodności z prawem unijnym i międzynarodowym – powrotów. Niemniej jego wdrażanie musi być starannie wyważone i przebiegać z</w:t>
      </w:r>
      <w:r w:rsidR="00031E73">
        <w:t> </w:t>
      </w:r>
      <w:r>
        <w:t>poszanowaniem praw podstawowych, w szczególności prawa do ochrony indywidualnej.</w:t>
      </w:r>
    </w:p>
    <w:p w14:paraId="72AA5D3D" w14:textId="77777777" w:rsidR="001653D7" w:rsidRPr="001653D7" w:rsidRDefault="001653D7" w:rsidP="00031E73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Uważa, że zasadnicze znaczenie ma poprawa mechanizmów niezależnego monitorowania praw podstawowych i warunków humanitarnych na granicach za pomocą przejrzystych mechanizmów sprawozdawczych.</w:t>
      </w:r>
    </w:p>
    <w:p w14:paraId="0CC7E7BF" w14:textId="77777777" w:rsidR="001653D7" w:rsidRPr="001653D7" w:rsidRDefault="001653D7" w:rsidP="00031E73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Uważa, że w trzech rozporządzeniach przyjętych wspólnie na lata 2028–2034 duży nacisk kładzie się na środki bezpieczeństwa i outsourcing kontroli granicznej, co budzi obawy co do potencjalnych zagrożeń dla praw podstawowych. Zasadnicze znaczenie ma zapewnienie jednoczesnej ochrony podstawowych praw człowieka.</w:t>
      </w:r>
    </w:p>
    <w:p w14:paraId="6C124427" w14:textId="77777777" w:rsidR="001653D7" w:rsidRPr="001653D7" w:rsidRDefault="001653D7" w:rsidP="00031E73">
      <w:pPr>
        <w:ind w:left="709"/>
        <w:rPr>
          <w:sz w:val="20"/>
        </w:rPr>
      </w:pPr>
    </w:p>
    <w:tbl>
      <w:tblPr>
        <w:tblStyle w:val="TableGrid7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65"/>
      </w:tblGrid>
      <w:tr w:rsidR="001653D7" w:rsidRPr="001653D7" w14:paraId="211429B1" w14:textId="77777777" w:rsidTr="00D0608D">
        <w:tc>
          <w:tcPr>
            <w:tcW w:w="821" w:type="pct"/>
          </w:tcPr>
          <w:p w14:paraId="13CD8E19" w14:textId="77777777" w:rsidR="001653D7" w:rsidRPr="001653D7" w:rsidRDefault="001653D7" w:rsidP="00031E73">
            <w:pPr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4179" w:type="pct"/>
          </w:tcPr>
          <w:p w14:paraId="4FD1075C" w14:textId="32E95F9F" w:rsidR="001653D7" w:rsidRPr="00D05167" w:rsidRDefault="001653D7" w:rsidP="00031E73">
            <w:pPr>
              <w:rPr>
                <w:i/>
              </w:rPr>
            </w:pPr>
            <w:r>
              <w:rPr>
                <w:i/>
              </w:rPr>
              <w:t>Gemma Amran</w:t>
            </w:r>
          </w:p>
        </w:tc>
      </w:tr>
      <w:tr w:rsidR="001653D7" w:rsidRPr="001653D7" w14:paraId="3BC05E8A" w14:textId="77777777" w:rsidTr="00D0608D">
        <w:tc>
          <w:tcPr>
            <w:tcW w:w="821" w:type="pct"/>
          </w:tcPr>
          <w:p w14:paraId="1D9039E7" w14:textId="77777777" w:rsidR="001653D7" w:rsidRPr="001653D7" w:rsidRDefault="001653D7" w:rsidP="00031E73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179" w:type="pct"/>
          </w:tcPr>
          <w:p w14:paraId="410A1B26" w14:textId="0CC1E8ED" w:rsidR="001653D7" w:rsidRPr="00D05167" w:rsidRDefault="001653D7" w:rsidP="00031E73">
            <w:pPr>
              <w:rPr>
                <w:i/>
              </w:rPr>
            </w:pPr>
            <w:r>
              <w:rPr>
                <w:i/>
              </w:rPr>
              <w:t>+32 25469415</w:t>
            </w:r>
          </w:p>
        </w:tc>
      </w:tr>
      <w:tr w:rsidR="001653D7" w:rsidRPr="001653D7" w14:paraId="653F335D" w14:textId="77777777" w:rsidTr="00D0608D">
        <w:tc>
          <w:tcPr>
            <w:tcW w:w="821" w:type="pct"/>
          </w:tcPr>
          <w:p w14:paraId="5DF7B6E3" w14:textId="77777777" w:rsidR="001653D7" w:rsidRPr="001653D7" w:rsidRDefault="001653D7" w:rsidP="00031E73">
            <w:pPr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179" w:type="pct"/>
          </w:tcPr>
          <w:p w14:paraId="03300BBE" w14:textId="77777777" w:rsidR="001653D7" w:rsidRPr="001653D7" w:rsidRDefault="00FD6F2A" w:rsidP="00031E73">
            <w:pPr>
              <w:rPr>
                <w:i/>
              </w:rPr>
            </w:pPr>
            <w:hyperlink r:id="rId30" w:history="1">
              <w:r w:rsidR="00E235D3">
                <w:rPr>
                  <w:i/>
                  <w:color w:val="0000FF"/>
                  <w:u w:val="single"/>
                </w:rPr>
                <w:t>Gemma.Amran@eesc.europa.eu</w:t>
              </w:r>
            </w:hyperlink>
          </w:p>
        </w:tc>
      </w:tr>
    </w:tbl>
    <w:p w14:paraId="4982DDC4" w14:textId="77777777" w:rsidR="004D7AC0" w:rsidRPr="00803CA6" w:rsidRDefault="004D7AC0" w:rsidP="00031E73">
      <w:pPr>
        <w:pStyle w:val="ListParagraph"/>
        <w:ind w:left="0"/>
      </w:pPr>
    </w:p>
    <w:p w14:paraId="4982DDC5" w14:textId="77777777" w:rsidR="004D7AC0" w:rsidRDefault="004D7AC0" w:rsidP="00031E73">
      <w:pPr>
        <w:jc w:val="left"/>
      </w:pPr>
      <w:r>
        <w:br w:type="page"/>
      </w:r>
    </w:p>
    <w:p w14:paraId="4982DDC6" w14:textId="77777777" w:rsidR="004D7AC0" w:rsidRDefault="004D7AC0" w:rsidP="00031E73">
      <w:pPr>
        <w:pStyle w:val="Heading1"/>
        <w:rPr>
          <w:b/>
        </w:rPr>
      </w:pPr>
      <w:bookmarkStart w:id="24" w:name="_Toc24617160"/>
      <w:bookmarkStart w:id="25" w:name="_Toc75527082"/>
      <w:bookmarkStart w:id="26" w:name="_Toc223516232"/>
      <w:r>
        <w:rPr>
          <w:b/>
        </w:rPr>
        <w:lastRenderedPageBreak/>
        <w:t>TRANSPORT, ENERGIA, INFRASTRUKTURA I SPOŁECZEŃSTWO INFORMACYJNE</w:t>
      </w:r>
      <w:bookmarkEnd w:id="24"/>
      <w:bookmarkEnd w:id="25"/>
      <w:bookmarkEnd w:id="26"/>
    </w:p>
    <w:p w14:paraId="4982DDC7" w14:textId="77777777" w:rsidR="004D7AC0" w:rsidRDefault="004D7AC0" w:rsidP="00031E73"/>
    <w:p w14:paraId="33F22FD2" w14:textId="2A2F8B4D" w:rsidR="00B55C6C" w:rsidRPr="00B55C6C" w:rsidRDefault="00FD6F2A" w:rsidP="00031E73">
      <w:pPr>
        <w:numPr>
          <w:ilvl w:val="0"/>
          <w:numId w:val="6"/>
        </w:numPr>
        <w:ind w:hanging="567"/>
        <w:rPr>
          <w:sz w:val="24"/>
          <w:szCs w:val="24"/>
        </w:rPr>
      </w:pPr>
      <w:hyperlink r:id="rId31" w:history="1">
        <w:r w:rsidR="00E235D3">
          <w:rPr>
            <w:b/>
            <w:i/>
            <w:color w:val="0000FF"/>
            <w:sz w:val="24"/>
            <w:u w:val="single"/>
          </w:rPr>
          <w:t>Europejska strategia w dziedzinie nauk biologicznych oraz strategia dotycząca badań naukowych i infrastruktury technologicznej – ze szczególnym uwzględnieniem leczenia chorób rzadkich</w:t>
        </w:r>
      </w:hyperlink>
    </w:p>
    <w:p w14:paraId="6D214F19" w14:textId="77777777" w:rsidR="00B55C6C" w:rsidRPr="00B55C6C" w:rsidRDefault="00B55C6C" w:rsidP="00031E73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400"/>
      </w:tblGrid>
      <w:tr w:rsidR="00B55C6C" w:rsidRPr="00B55C6C" w14:paraId="2B64E1A2" w14:textId="77777777" w:rsidTr="00D0608D">
        <w:tc>
          <w:tcPr>
            <w:tcW w:w="1673" w:type="dxa"/>
          </w:tcPr>
          <w:p w14:paraId="31E45AAF" w14:textId="77777777" w:rsidR="00B55C6C" w:rsidRPr="00B55C6C" w:rsidRDefault="00B55C6C" w:rsidP="00031E73">
            <w:pPr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400" w:type="dxa"/>
          </w:tcPr>
          <w:p w14:paraId="2077B4EE" w14:textId="7CFFDBD7" w:rsidR="0027149A" w:rsidRPr="00B55C6C" w:rsidRDefault="00B55C6C" w:rsidP="00031E73">
            <w:pPr>
              <w:tabs>
                <w:tab w:val="center" w:pos="284"/>
              </w:tabs>
              <w:ind w:left="266" w:hanging="266"/>
            </w:pPr>
            <w:r>
              <w:t>Milena ANGEŁOWA (Grupa Pracodawców – BG)</w:t>
            </w:r>
          </w:p>
        </w:tc>
      </w:tr>
      <w:tr w:rsidR="00205469" w:rsidRPr="00B55C6C" w14:paraId="035AE27D" w14:textId="77777777" w:rsidTr="00D0608D">
        <w:tc>
          <w:tcPr>
            <w:tcW w:w="1673" w:type="dxa"/>
          </w:tcPr>
          <w:p w14:paraId="582588EB" w14:textId="77777777" w:rsidR="00205469" w:rsidRPr="00B55C6C" w:rsidRDefault="00205469" w:rsidP="00031E73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7400" w:type="dxa"/>
          </w:tcPr>
          <w:p w14:paraId="33028952" w14:textId="77777777" w:rsidR="00205469" w:rsidRPr="00B55C6C" w:rsidRDefault="00205469" w:rsidP="00031E73">
            <w:pPr>
              <w:tabs>
                <w:tab w:val="center" w:pos="284"/>
              </w:tabs>
              <w:ind w:left="266" w:hanging="266"/>
            </w:pPr>
          </w:p>
        </w:tc>
      </w:tr>
      <w:tr w:rsidR="00B55C6C" w:rsidRPr="00B55C6C" w14:paraId="416210B9" w14:textId="77777777" w:rsidTr="00D0608D">
        <w:tc>
          <w:tcPr>
            <w:tcW w:w="1673" w:type="dxa"/>
          </w:tcPr>
          <w:p w14:paraId="5830CF27" w14:textId="77777777" w:rsidR="00B55C6C" w:rsidRPr="00B55C6C" w:rsidRDefault="00B55C6C" w:rsidP="00031E73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00" w:type="dxa"/>
          </w:tcPr>
          <w:p w14:paraId="6387FA0F" w14:textId="29179DE5" w:rsidR="00B55C6C" w:rsidRPr="00B55C6C" w:rsidRDefault="00B55C6C" w:rsidP="00031E73">
            <w:pPr>
              <w:tabs>
                <w:tab w:val="center" w:pos="284"/>
              </w:tabs>
              <w:ind w:left="266" w:right="-108" w:hanging="266"/>
              <w:jc w:val="left"/>
            </w:pPr>
            <w:r>
              <w:t>Opinia rozpoznawcza na wniosek cypryjskiej prezydencji w Radzie UE</w:t>
            </w:r>
          </w:p>
          <w:p w14:paraId="72910B0E" w14:textId="77777777" w:rsidR="00B55C6C" w:rsidRPr="00B55C6C" w:rsidRDefault="00B55C6C" w:rsidP="00031E73">
            <w:pPr>
              <w:tabs>
                <w:tab w:val="center" w:pos="284"/>
              </w:tabs>
              <w:ind w:left="266" w:hanging="266"/>
            </w:pPr>
            <w:r>
              <w:t>EESC-2025-03652-00-00-AC</w:t>
            </w:r>
          </w:p>
        </w:tc>
      </w:tr>
    </w:tbl>
    <w:p w14:paraId="6A284DC4" w14:textId="77777777" w:rsidR="00B55C6C" w:rsidRPr="00B55C6C" w:rsidRDefault="00B55C6C" w:rsidP="00031E73">
      <w:pPr>
        <w:keepNext/>
        <w:keepLines/>
        <w:tabs>
          <w:tab w:val="center" w:pos="284"/>
        </w:tabs>
        <w:ind w:left="266" w:hanging="266"/>
        <w:rPr>
          <w:b/>
          <w:bCs/>
        </w:rPr>
      </w:pPr>
    </w:p>
    <w:p w14:paraId="273C39C3" w14:textId="46817AE1" w:rsidR="00B55C6C" w:rsidRPr="00B55C6C" w:rsidRDefault="00B55C6C" w:rsidP="00031E73">
      <w:pPr>
        <w:keepNext/>
        <w:keepLines/>
        <w:tabs>
          <w:tab w:val="center" w:pos="284"/>
        </w:tabs>
        <w:ind w:left="266" w:hanging="266"/>
        <w:rPr>
          <w:b/>
          <w:bCs/>
        </w:rPr>
      </w:pPr>
      <w:r>
        <w:rPr>
          <w:b/>
        </w:rPr>
        <w:t>Główne punkty</w:t>
      </w:r>
    </w:p>
    <w:p w14:paraId="4C80B459" w14:textId="77777777" w:rsidR="00B55C6C" w:rsidRPr="00B55C6C" w:rsidRDefault="00B55C6C" w:rsidP="00031E73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0939141" w14:textId="77777777" w:rsidR="00B55C6C" w:rsidRDefault="00B55C6C" w:rsidP="00031E73">
      <w:r>
        <w:t>EKES</w:t>
      </w:r>
    </w:p>
    <w:p w14:paraId="383812B3" w14:textId="77777777" w:rsidR="00B55C6C" w:rsidRPr="00B55C6C" w:rsidRDefault="00B55C6C" w:rsidP="00031E73">
      <w:pPr>
        <w:numPr>
          <w:ilvl w:val="0"/>
          <w:numId w:val="20"/>
        </w:numPr>
        <w:shd w:val="clear" w:color="auto" w:fill="FFFFFF" w:themeFill="background1"/>
        <w:ind w:left="567" w:hanging="567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</w:rPr>
        <w:t xml:space="preserve">Z zadowoleniem przyjmuje strategię na rzecz europejskich nauk biologicznych i podkreśla, że zadbanie o </w:t>
      </w:r>
      <w:r>
        <w:rPr>
          <w:b/>
          <w:color w:val="242424"/>
        </w:rPr>
        <w:t>holistyczne podejście</w:t>
      </w:r>
      <w:r>
        <w:rPr>
          <w:color w:val="242424"/>
        </w:rPr>
        <w:t xml:space="preserve"> i sprzyjające otoczenie może pomóc uczynić Europę </w:t>
      </w:r>
      <w:r>
        <w:rPr>
          <w:b/>
          <w:color w:val="242424"/>
        </w:rPr>
        <w:t>globalnym liderem nauk biologicznych</w:t>
      </w:r>
      <w:r>
        <w:rPr>
          <w:color w:val="242424"/>
        </w:rPr>
        <w:t xml:space="preserve"> (szczególnie w kwestii chorób rzadkich i genomiki).</w:t>
      </w:r>
      <w:r>
        <w:rPr>
          <w:color w:val="242424"/>
          <w:u w:val="single"/>
        </w:rPr>
        <w:t xml:space="preserve"> Takie</w:t>
      </w:r>
      <w:r>
        <w:rPr>
          <w:b/>
          <w:bCs/>
          <w:color w:val="242424"/>
          <w:u w:val="single"/>
        </w:rPr>
        <w:t xml:space="preserve"> podejście</w:t>
      </w:r>
      <w:r>
        <w:rPr>
          <w:color w:val="242424"/>
          <w:u w:val="single"/>
        </w:rPr>
        <w:t xml:space="preserve"> obejmuje:</w:t>
      </w:r>
    </w:p>
    <w:p w14:paraId="5A323DAF" w14:textId="746DCEF3" w:rsidR="00B55C6C" w:rsidRPr="00B55C6C" w:rsidRDefault="00B55C6C" w:rsidP="00031E73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  <w:u w:val="single"/>
        </w:rPr>
        <w:t>kompleksowe metody naukowe oparte na danych, pozwalające diagnozować i zrozumieć przyczyny chorób (np. genetykę, niezdrowe nawyki i styl życia, zanieczyszczenia, stres itp.)</w:t>
      </w:r>
    </w:p>
    <w:p w14:paraId="54755404" w14:textId="5C9C4720" w:rsidR="00B55C6C" w:rsidRPr="00B55C6C" w:rsidRDefault="00B55C6C" w:rsidP="00031E73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  <w:u w:val="single"/>
        </w:rPr>
        <w:t>rozpowszechnianie informacji na temat profilaktyki i wczesnej diagnostyki</w:t>
      </w:r>
    </w:p>
    <w:p w14:paraId="3424F771" w14:textId="30D8CD98" w:rsidR="00B55C6C" w:rsidRPr="00B55C6C" w:rsidRDefault="00B55C6C" w:rsidP="00031E73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color w:val="242424"/>
          <w:u w:val="single"/>
        </w:rPr>
      </w:pPr>
      <w:r>
        <w:rPr>
          <w:color w:val="242424"/>
          <w:u w:val="single"/>
        </w:rPr>
        <w:t>kontrole przesiewowe oraz skuteczne i dostępne leczenie</w:t>
      </w:r>
    </w:p>
    <w:p w14:paraId="093589AA" w14:textId="77777777" w:rsidR="00B55C6C" w:rsidRPr="00B55C6C" w:rsidRDefault="00B55C6C" w:rsidP="00031E73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color w:val="242424"/>
          <w:u w:val="single"/>
        </w:rPr>
      </w:pPr>
      <w:r>
        <w:rPr>
          <w:color w:val="242424"/>
          <w:u w:val="single"/>
        </w:rPr>
        <w:t>wysokiej jakości opiekę i dostępną infrastrukturę wsparcia dla pacjentów i ich rodzin.</w:t>
      </w:r>
    </w:p>
    <w:p w14:paraId="65EEE98A" w14:textId="7EA1C342" w:rsidR="00B55C6C" w:rsidRPr="00B55C6C" w:rsidRDefault="00B55C6C" w:rsidP="00031E73">
      <w:pPr>
        <w:numPr>
          <w:ilvl w:val="0"/>
          <w:numId w:val="20"/>
        </w:numPr>
        <w:shd w:val="clear" w:color="auto" w:fill="FFFFFF" w:themeFill="background1"/>
        <w:ind w:left="567" w:hanging="567"/>
        <w:contextualSpacing/>
        <w:rPr>
          <w:color w:val="242424"/>
          <w:u w:val="single"/>
        </w:rPr>
      </w:pPr>
      <w:r>
        <w:t xml:space="preserve">Popiera apel Parlamentu Europejskiego o </w:t>
      </w:r>
      <w:r>
        <w:rPr>
          <w:color w:val="242424"/>
        </w:rPr>
        <w:t>szybkie przyjęcie</w:t>
      </w:r>
      <w:r>
        <w:t xml:space="preserve"> </w:t>
      </w:r>
      <w:hyperlink r:id="rId32">
        <w:r>
          <w:rPr>
            <w:b/>
            <w:color w:val="242424"/>
            <w:u w:val="single"/>
          </w:rPr>
          <w:t>europejskiego planu działania dotyczącego chorób rzadkich</w:t>
        </w:r>
      </w:hyperlink>
      <w:r>
        <w:t xml:space="preserve">, w tym poprzez wznowienie debaty i dalszych prac nad </w:t>
      </w:r>
      <w:hyperlink r:id="rId33">
        <w:r>
          <w:rPr>
            <w:b/>
            <w:color w:val="242424"/>
            <w:u w:val="single"/>
          </w:rPr>
          <w:t>wezwaniem z Tartu w sprawie zdrowego stylu życia</w:t>
        </w:r>
      </w:hyperlink>
      <w:r>
        <w:t xml:space="preserve"> i przyjęcie </w:t>
      </w:r>
      <w:hyperlink r:id="rId34">
        <w:r>
          <w:rPr>
            <w:b/>
            <w:color w:val="242424"/>
            <w:u w:val="single"/>
          </w:rPr>
          <w:t>podejścia „Jedno zdrowie”</w:t>
        </w:r>
      </w:hyperlink>
      <w:r>
        <w:t>.</w:t>
      </w:r>
    </w:p>
    <w:p w14:paraId="19824879" w14:textId="1ECCBA6F" w:rsidR="00B55C6C" w:rsidRPr="00B55C6C" w:rsidRDefault="00B55C6C" w:rsidP="00031E73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b/>
          <w:bCs/>
          <w:color w:val="242424"/>
        </w:rPr>
      </w:pPr>
      <w:r>
        <w:rPr>
          <w:color w:val="242424"/>
        </w:rPr>
        <w:t xml:space="preserve">Uważa, że infrastruktura badawcza i technologiczna (w tym ta skupiająca się na chorobach rzadkich) jest kluczowym czynnikiem wspomagającym rozwój nauk biologicznych i gospodarki długowieczności oraz że obok diagnostyki i leczenia chorób powinna obejmować </w:t>
      </w:r>
      <w:r>
        <w:rPr>
          <w:b/>
          <w:color w:val="242424"/>
        </w:rPr>
        <w:t>całą kulturę długowieczności</w:t>
      </w:r>
      <w:r>
        <w:rPr>
          <w:color w:val="242424"/>
        </w:rPr>
        <w:t xml:space="preserve"> (w tym profilaktykę, zdrową żywność, styl życia, balneoterapię i rekreację, zdrowie fizyczne i psychiczne oraz wiele innych elementów).</w:t>
      </w:r>
    </w:p>
    <w:p w14:paraId="36230EAB" w14:textId="2F18E6C1" w:rsidR="00B55C6C" w:rsidRPr="00B55C6C" w:rsidRDefault="00B55C6C" w:rsidP="00031E73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 xml:space="preserve">Zaleca utworzenie w każdym państwie członkowskim </w:t>
      </w:r>
      <w:r>
        <w:rPr>
          <w:b/>
          <w:color w:val="242424"/>
        </w:rPr>
        <w:t>ośrodków translacyjnych specjalizujących się w chorobach rzadkich</w:t>
      </w:r>
      <w:r>
        <w:rPr>
          <w:color w:val="242424"/>
        </w:rPr>
        <w:t>, koordynowanych na szczeblu UE w celu zapewnienia spójności.</w:t>
      </w:r>
    </w:p>
    <w:p w14:paraId="79F67F3F" w14:textId="7CA53A57" w:rsidR="00B55C6C" w:rsidRPr="00B55C6C" w:rsidRDefault="00B55C6C" w:rsidP="00031E73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>Podkreśla, że partnerstwa europejskie mają zasadnicze znaczenie dla wspierania faktycznego i</w:t>
      </w:r>
      <w:r w:rsidR="00031E73">
        <w:rPr>
          <w:color w:val="242424"/>
        </w:rPr>
        <w:t> </w:t>
      </w:r>
      <w:r>
        <w:rPr>
          <w:color w:val="242424"/>
        </w:rPr>
        <w:t>zorganizowanego zaangażowania pełnego spektrum zainteresowanych stron, i apeluje o</w:t>
      </w:r>
      <w:r w:rsidR="00031E73">
        <w:rPr>
          <w:color w:val="242424"/>
        </w:rPr>
        <w:t> </w:t>
      </w:r>
      <w:r>
        <w:rPr>
          <w:color w:val="242424"/>
        </w:rPr>
        <w:t>sformalizowane mechanizmy ich uczestnictwa.</w:t>
      </w:r>
    </w:p>
    <w:p w14:paraId="007C9EE2" w14:textId="71A03937" w:rsidR="00B55C6C" w:rsidRPr="00B55C6C" w:rsidRDefault="00B55C6C" w:rsidP="00031E73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 xml:space="preserve">Opowiada się za </w:t>
      </w:r>
      <w:r>
        <w:rPr>
          <w:b/>
          <w:color w:val="242424"/>
        </w:rPr>
        <w:t>obowiązkową reprezentacją organizacji pacjentów, partnerów społecznych i organizacji społeczeństwa obywatelskiego w organach zarządzających</w:t>
      </w:r>
      <w:r>
        <w:rPr>
          <w:color w:val="242424"/>
        </w:rPr>
        <w:t>, która dzięki ustrukturyzowanemu, przejrzystemu i systematycznemu zaangażowaniu umożliwi określanie priorytetów i protokołów danych, wymogów dotyczących przejrzystości decyzji i</w:t>
      </w:r>
      <w:r w:rsidR="00031E73">
        <w:rPr>
          <w:color w:val="242424"/>
        </w:rPr>
        <w:t> </w:t>
      </w:r>
      <w:r>
        <w:rPr>
          <w:color w:val="242424"/>
        </w:rPr>
        <w:t>wykorzystywania danych oraz mechanizmu zapewniającego skuteczne uwzględnianie ich opinii.</w:t>
      </w:r>
    </w:p>
    <w:p w14:paraId="47E7F57B" w14:textId="77777777" w:rsidR="00B55C6C" w:rsidRPr="00B55C6C" w:rsidRDefault="00B55C6C" w:rsidP="00031E73">
      <w:pPr>
        <w:ind w:left="720"/>
      </w:pPr>
    </w:p>
    <w:tbl>
      <w:tblPr>
        <w:tblStyle w:val="TableGrid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404"/>
      </w:tblGrid>
      <w:tr w:rsidR="00B55C6C" w:rsidRPr="00B55C6C" w14:paraId="1B7BB807" w14:textId="77777777" w:rsidTr="00D0608D">
        <w:tc>
          <w:tcPr>
            <w:tcW w:w="1668" w:type="dxa"/>
          </w:tcPr>
          <w:p w14:paraId="28C13E10" w14:textId="77777777" w:rsidR="00B55C6C" w:rsidRPr="00B55C6C" w:rsidRDefault="00B55C6C" w:rsidP="00031E73">
            <w:pPr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7404" w:type="dxa"/>
          </w:tcPr>
          <w:p w14:paraId="1876AA9B" w14:textId="77777777" w:rsidR="00B55C6C" w:rsidRPr="00B55C6C" w:rsidRDefault="00B55C6C" w:rsidP="00031E73">
            <w:pPr>
              <w:rPr>
                <w:i/>
              </w:rPr>
            </w:pPr>
            <w:r>
              <w:rPr>
                <w:i/>
              </w:rPr>
              <w:t>Konstantina Angelopoulou</w:t>
            </w:r>
          </w:p>
        </w:tc>
      </w:tr>
      <w:tr w:rsidR="00B55C6C" w:rsidRPr="00B55C6C" w14:paraId="3A6228E8" w14:textId="77777777" w:rsidTr="00D0608D">
        <w:tc>
          <w:tcPr>
            <w:tcW w:w="1668" w:type="dxa"/>
          </w:tcPr>
          <w:p w14:paraId="744FB576" w14:textId="77777777" w:rsidR="00B55C6C" w:rsidRPr="00B55C6C" w:rsidRDefault="00B55C6C" w:rsidP="00031E73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404" w:type="dxa"/>
          </w:tcPr>
          <w:p w14:paraId="30F176AA" w14:textId="69662FEA" w:rsidR="00B55C6C" w:rsidRPr="00B55C6C" w:rsidRDefault="00B55C6C" w:rsidP="00031E73">
            <w:pPr>
              <w:rPr>
                <w:i/>
              </w:rPr>
            </w:pPr>
            <w:r>
              <w:rPr>
                <w:i/>
              </w:rPr>
              <w:t>+32 25469747</w:t>
            </w:r>
          </w:p>
        </w:tc>
      </w:tr>
      <w:tr w:rsidR="00B55C6C" w:rsidRPr="00B55C6C" w14:paraId="3F5E6411" w14:textId="77777777" w:rsidTr="00D0608D">
        <w:tc>
          <w:tcPr>
            <w:tcW w:w="1668" w:type="dxa"/>
          </w:tcPr>
          <w:p w14:paraId="62C81B41" w14:textId="1E9E1B5D" w:rsidR="00B55C6C" w:rsidRPr="00B55C6C" w:rsidRDefault="00256B74" w:rsidP="00031E73">
            <w:pPr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404" w:type="dxa"/>
          </w:tcPr>
          <w:p w14:paraId="31CA77B0" w14:textId="77777777" w:rsidR="00B55C6C" w:rsidRPr="00B55C6C" w:rsidRDefault="00FD6F2A" w:rsidP="00031E73">
            <w:pPr>
              <w:rPr>
                <w:i/>
                <w:iCs/>
              </w:rPr>
            </w:pPr>
            <w:hyperlink r:id="rId35" w:history="1">
              <w:r w:rsidR="00E235D3">
                <w:rPr>
                  <w:i/>
                  <w:color w:val="0000FF"/>
                  <w:u w:val="single"/>
                </w:rPr>
                <w:t>Konstantina.Angelopoulou@eesc.europa.eu</w:t>
              </w:r>
            </w:hyperlink>
          </w:p>
        </w:tc>
      </w:tr>
    </w:tbl>
    <w:p w14:paraId="4982DDF1" w14:textId="3CAFEF7D" w:rsidR="00EE1B31" w:rsidRDefault="00EE1B31" w:rsidP="00031E73">
      <w:pPr>
        <w:pStyle w:val="ListParagraph"/>
        <w:ind w:left="0"/>
      </w:pPr>
    </w:p>
    <w:p w14:paraId="4483536B" w14:textId="77777777" w:rsidR="00EE1B31" w:rsidRDefault="00EE1B31" w:rsidP="00031E73">
      <w:pPr>
        <w:jc w:val="left"/>
      </w:pPr>
      <w:r>
        <w:br w:type="page"/>
      </w:r>
    </w:p>
    <w:p w14:paraId="20E4C813" w14:textId="328C87C4" w:rsidR="00594237" w:rsidRPr="00594237" w:rsidRDefault="00FD6F2A" w:rsidP="00031E73">
      <w:pPr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6" w:history="1">
        <w:r w:rsidR="00E235D3">
          <w:rPr>
            <w:b/>
            <w:i/>
            <w:color w:val="0000FF"/>
            <w:sz w:val="28"/>
            <w:u w:val="single"/>
          </w:rPr>
          <w:t>Połączenia międzysystemowe i sieci elektroenergetyczne</w:t>
        </w:r>
      </w:hyperlink>
    </w:p>
    <w:p w14:paraId="03DC3C66" w14:textId="77777777" w:rsidR="00594237" w:rsidRPr="00594237" w:rsidRDefault="00594237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7405"/>
      </w:tblGrid>
      <w:tr w:rsidR="00594237" w:rsidRPr="00594237" w14:paraId="0B3E8F32" w14:textId="77777777" w:rsidTr="00D0608D">
        <w:tc>
          <w:tcPr>
            <w:tcW w:w="1668" w:type="dxa"/>
          </w:tcPr>
          <w:p w14:paraId="3305D113" w14:textId="77777777" w:rsidR="00594237" w:rsidRPr="00594237" w:rsidRDefault="0059423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405" w:type="dxa"/>
          </w:tcPr>
          <w:p w14:paraId="01328C57" w14:textId="544140E5" w:rsidR="00F172E5" w:rsidRPr="00594237" w:rsidRDefault="0059423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Christophe BÉGUINET (Grupa Pracowników – FR)</w:t>
            </w:r>
          </w:p>
        </w:tc>
      </w:tr>
      <w:tr w:rsidR="00205469" w:rsidRPr="00594237" w14:paraId="4D1871B6" w14:textId="77777777" w:rsidTr="00D0608D">
        <w:tc>
          <w:tcPr>
            <w:tcW w:w="1668" w:type="dxa"/>
          </w:tcPr>
          <w:p w14:paraId="589D2486" w14:textId="77777777" w:rsidR="00205469" w:rsidRPr="00594237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05" w:type="dxa"/>
          </w:tcPr>
          <w:p w14:paraId="1F8F0751" w14:textId="77777777" w:rsidR="00205469" w:rsidRPr="00594237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594237" w:rsidRPr="00594237" w14:paraId="57747D28" w14:textId="77777777" w:rsidTr="00D0608D">
        <w:tc>
          <w:tcPr>
            <w:tcW w:w="1668" w:type="dxa"/>
          </w:tcPr>
          <w:p w14:paraId="7A081D5F" w14:textId="1DA4EDF6" w:rsidR="00594237" w:rsidRPr="00594237" w:rsidRDefault="0059423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405" w:type="dxa"/>
          </w:tcPr>
          <w:p w14:paraId="245BB14C" w14:textId="0A43048D" w:rsidR="00594237" w:rsidRPr="00594237" w:rsidRDefault="0059423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rozpoznawcza na wniosek cypryjskiej prezydencji Rady UE</w:t>
            </w:r>
          </w:p>
          <w:p w14:paraId="6CAD8281" w14:textId="77777777" w:rsidR="00594237" w:rsidRPr="00594237" w:rsidRDefault="0059423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EESC-2025-03570-00-00-AC</w:t>
            </w:r>
          </w:p>
        </w:tc>
      </w:tr>
    </w:tbl>
    <w:p w14:paraId="2AF24FC2" w14:textId="77777777" w:rsidR="00594237" w:rsidRPr="00594237" w:rsidRDefault="00594237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2CEA925B" w14:textId="77777777" w:rsidR="00594237" w:rsidRPr="00594237" w:rsidRDefault="00594237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3DFD6E79" w14:textId="77777777" w:rsidR="00594237" w:rsidRPr="00594237" w:rsidRDefault="00594237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A6D3353" w14:textId="0A952B50" w:rsidR="002D77C8" w:rsidRPr="00594237" w:rsidRDefault="00594237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</w:t>
      </w:r>
    </w:p>
    <w:p w14:paraId="646A6D1A" w14:textId="77777777" w:rsidR="00594237" w:rsidRPr="00594237" w:rsidRDefault="00594237" w:rsidP="00031E7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Podkreśla, że europejski sektor energii elektrycznej musi mieć zdolność do planowania potrzeb systemu elektroenergetycznego na szczeblu UE i w krajach partnerskich w oparciu o wspólny scenariusz energetyczny określony przez Komisję i operatorów systemów krajowych.</w:t>
      </w:r>
    </w:p>
    <w:p w14:paraId="61E86BFD" w14:textId="77777777" w:rsidR="00594237" w:rsidRPr="00594237" w:rsidRDefault="00594237" w:rsidP="00031E7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Zauważa, że wartość połączeń międzysystemowych należy postrzegać albo z perspektywy korzyści dzielonych między dwa państwa, w ujęciu dwustronnym, albo w kategoriach poszukiwania ogólnych korzyści dla systemu, wykraczających poza dwa państwa dzielące dane połączenie. W tym drugim przypadku muszą wyłaniać się nowe modele gospodarcze w wyniku współpracy między ACER, krajowymi organami regulacyjnymi i operatorami sieci.</w:t>
      </w:r>
    </w:p>
    <w:p w14:paraId="2C83B82E" w14:textId="77777777" w:rsidR="00594237" w:rsidRPr="00594237" w:rsidRDefault="00594237" w:rsidP="00031E7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Akcentuje, że aby połączenia międzysystemowe były skuteczne, ich rozwojowi musi towarzyszyć rozwój odpowiedniej infrastruktury krajowej, zwłaszcza na poziomie operatorów systemów przesyłowych (OSP) i operatorów systemów dystrybucyjnych (OSD). Budowanie zdolności połączeń międzysystemowych musi być okazją do wspierania europejskiej solidarności w zakresie sieci energetycznych.</w:t>
      </w:r>
    </w:p>
    <w:p w14:paraId="543D8C6F" w14:textId="66F9EBE5" w:rsidR="00594237" w:rsidRPr="00594237" w:rsidRDefault="00594237" w:rsidP="00031E7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Zwraca uwagę, że optymalizacja ekonomiczna europejskiego systemu elektroenergetycznego wymaga powszechnej instalacji inteligentnych liczników, dalszych dodatkowych inwestycji w</w:t>
      </w:r>
      <w:r w:rsidR="00031E73">
        <w:t> </w:t>
      </w:r>
      <w:r>
        <w:t>sieci przesyłowe i dystrybucyjne oraz udostępnienia danych dotyczących przepływu energii.</w:t>
      </w:r>
    </w:p>
    <w:p w14:paraId="5841625A" w14:textId="77777777" w:rsidR="00594237" w:rsidRPr="00594237" w:rsidRDefault="00594237" w:rsidP="00031E7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Za priorytet uznaje bezpieczeństwo systemu elektroenergetycznego w odniesieniu do skutków zmiany klimatu, ataków fizycznych, aktów sabotażu, ryzyka w cyberprzestrzeni i ryzyka związanego z bilansowaniem systemów.</w:t>
      </w:r>
    </w:p>
    <w:p w14:paraId="5F670357" w14:textId="77777777" w:rsidR="00594237" w:rsidRPr="00594237" w:rsidRDefault="00594237" w:rsidP="00031E7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Apeluje, by przed rozważeniem budowy nowej infrastruktury najpierw rozważyć optymalizację istniejącej infrastruktury.</w:t>
      </w:r>
    </w:p>
    <w:p w14:paraId="7F7D5FFE" w14:textId="77777777" w:rsidR="00594237" w:rsidRPr="00594237" w:rsidRDefault="00594237" w:rsidP="00031E73">
      <w:pPr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594237" w:rsidRPr="00594237" w14:paraId="0AB1B93A" w14:textId="77777777" w:rsidTr="00D0608D">
        <w:tc>
          <w:tcPr>
            <w:tcW w:w="1668" w:type="dxa"/>
          </w:tcPr>
          <w:p w14:paraId="07D8992D" w14:textId="77777777" w:rsidR="00594237" w:rsidRPr="00594237" w:rsidRDefault="0059423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7512" w:type="dxa"/>
          </w:tcPr>
          <w:p w14:paraId="1B78F73E" w14:textId="78914975" w:rsidR="00594237" w:rsidRPr="00594237" w:rsidRDefault="0059423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Giorgia Bordignon</w:t>
            </w:r>
          </w:p>
        </w:tc>
      </w:tr>
      <w:tr w:rsidR="00594237" w:rsidRPr="00594237" w14:paraId="6912C935" w14:textId="77777777" w:rsidTr="00D0608D">
        <w:tc>
          <w:tcPr>
            <w:tcW w:w="1668" w:type="dxa"/>
          </w:tcPr>
          <w:p w14:paraId="5F1BA648" w14:textId="77777777" w:rsidR="00594237" w:rsidRPr="00594237" w:rsidRDefault="0059423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12" w:type="dxa"/>
          </w:tcPr>
          <w:p w14:paraId="42C70B8C" w14:textId="0FF6B91B" w:rsidR="00594237" w:rsidRPr="00594237" w:rsidRDefault="0059423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+32 25468535</w:t>
            </w:r>
          </w:p>
        </w:tc>
      </w:tr>
      <w:tr w:rsidR="00594237" w:rsidRPr="00594237" w14:paraId="2BBC59B6" w14:textId="77777777" w:rsidTr="00D0608D">
        <w:tc>
          <w:tcPr>
            <w:tcW w:w="1668" w:type="dxa"/>
          </w:tcPr>
          <w:p w14:paraId="10BDDDCF" w14:textId="77777777" w:rsidR="00594237" w:rsidRPr="00594237" w:rsidRDefault="0059423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512" w:type="dxa"/>
          </w:tcPr>
          <w:p w14:paraId="5EF302B9" w14:textId="77777777" w:rsidR="00594237" w:rsidRPr="00594237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37" w:history="1">
              <w:r w:rsidR="00E235D3">
                <w:rPr>
                  <w:i/>
                  <w:color w:val="0000FF"/>
                  <w:u w:val="single"/>
                </w:rPr>
                <w:t>GiorgiaAndrea.Bordignon@eesc.europa.eu</w:t>
              </w:r>
            </w:hyperlink>
          </w:p>
        </w:tc>
      </w:tr>
    </w:tbl>
    <w:p w14:paraId="79D0072B" w14:textId="77777777" w:rsidR="004D7AC0" w:rsidRDefault="004D7AC0" w:rsidP="00031E73">
      <w:pPr>
        <w:pStyle w:val="ListParagraph"/>
        <w:ind w:left="0"/>
      </w:pPr>
    </w:p>
    <w:p w14:paraId="4982DDF2" w14:textId="77777777" w:rsidR="004D7AC0" w:rsidRDefault="004D7AC0" w:rsidP="00031E73">
      <w:pPr>
        <w:jc w:val="left"/>
      </w:pPr>
      <w:r>
        <w:br w:type="page"/>
      </w:r>
    </w:p>
    <w:p w14:paraId="4982DE1F" w14:textId="77777777" w:rsidR="004D7AC0" w:rsidRDefault="004D7AC0" w:rsidP="00031E73">
      <w:pPr>
        <w:pStyle w:val="Heading1"/>
        <w:rPr>
          <w:b/>
        </w:rPr>
      </w:pPr>
      <w:bookmarkStart w:id="27" w:name="_Toc70322234"/>
      <w:bookmarkStart w:id="28" w:name="_Toc75527084"/>
      <w:bookmarkStart w:id="29" w:name="_Toc223516233"/>
      <w:r>
        <w:rPr>
          <w:b/>
        </w:rPr>
        <w:lastRenderedPageBreak/>
        <w:t>ROLNICTWO, ROZWÓJ WSI I ŚRODOWISKO NATURALNE</w:t>
      </w:r>
      <w:bookmarkEnd w:id="27"/>
      <w:bookmarkEnd w:id="28"/>
      <w:bookmarkEnd w:id="29"/>
    </w:p>
    <w:p w14:paraId="4982DE20" w14:textId="77777777" w:rsidR="004D7AC0" w:rsidRDefault="004D7AC0" w:rsidP="00031E73"/>
    <w:p w14:paraId="2C76C141" w14:textId="0727FF4D" w:rsidR="00621347" w:rsidRPr="00621347" w:rsidRDefault="00FD6F2A" w:rsidP="00031E73">
      <w:pPr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r:id="rId38" w:history="1">
        <w:r w:rsidR="00E235D3">
          <w:rPr>
            <w:b/>
            <w:i/>
            <w:color w:val="0000FF"/>
            <w:sz w:val="28"/>
            <w:u w:val="single"/>
          </w:rPr>
          <w:t>Plan działania na rzecz rozliczeniowych jednostek przyrodniczych</w:t>
        </w:r>
      </w:hyperlink>
    </w:p>
    <w:p w14:paraId="62E0B68C" w14:textId="77777777" w:rsidR="00621347" w:rsidRPr="00621347" w:rsidRDefault="00621347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7272"/>
      </w:tblGrid>
      <w:tr w:rsidR="00621347" w:rsidRPr="00621347" w14:paraId="5980278B" w14:textId="77777777" w:rsidTr="00D0608D">
        <w:tc>
          <w:tcPr>
            <w:tcW w:w="898" w:type="pct"/>
          </w:tcPr>
          <w:p w14:paraId="61C81431" w14:textId="77777777" w:rsidR="00621347" w:rsidRPr="00621347" w:rsidRDefault="0062134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4102" w:type="pct"/>
          </w:tcPr>
          <w:p w14:paraId="53BB74E4" w14:textId="19992D32" w:rsidR="00621347" w:rsidRPr="00621347" w:rsidRDefault="0062134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Arnaud SCHWARTZ (Grupa Organizacji Społeczeństwa Obywatelskiego – FR)</w:t>
            </w:r>
          </w:p>
        </w:tc>
      </w:tr>
      <w:tr w:rsidR="00621347" w:rsidRPr="00621347" w14:paraId="0CEBEBE7" w14:textId="77777777" w:rsidTr="00D0608D">
        <w:tc>
          <w:tcPr>
            <w:tcW w:w="898" w:type="pct"/>
          </w:tcPr>
          <w:p w14:paraId="2479DBBC" w14:textId="77777777" w:rsidR="00621347" w:rsidRPr="00621347" w:rsidRDefault="0062134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Współsprawozdawca</w:t>
            </w:r>
          </w:p>
        </w:tc>
        <w:tc>
          <w:tcPr>
            <w:tcW w:w="4102" w:type="pct"/>
          </w:tcPr>
          <w:p w14:paraId="71EF85C6" w14:textId="36F8549C" w:rsidR="00630779" w:rsidRPr="00621347" w:rsidRDefault="0062134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Teppo SÄKKINEN (Grupa Pracodawców – FI)</w:t>
            </w:r>
          </w:p>
        </w:tc>
      </w:tr>
      <w:tr w:rsidR="00205469" w:rsidRPr="00621347" w14:paraId="778CD321" w14:textId="77777777" w:rsidTr="00D0608D">
        <w:tc>
          <w:tcPr>
            <w:tcW w:w="898" w:type="pct"/>
          </w:tcPr>
          <w:p w14:paraId="7759C9B9" w14:textId="77777777" w:rsidR="00205469" w:rsidRPr="003F66F7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4102" w:type="pct"/>
          </w:tcPr>
          <w:p w14:paraId="4A9CAC5A" w14:textId="77777777" w:rsidR="00205469" w:rsidRPr="00621347" w:rsidRDefault="0020546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621347" w:rsidRPr="00621347" w14:paraId="27481885" w14:textId="77777777" w:rsidTr="00D0608D">
        <w:tc>
          <w:tcPr>
            <w:tcW w:w="898" w:type="pct"/>
          </w:tcPr>
          <w:p w14:paraId="51C5B0D8" w14:textId="77777777" w:rsidR="00621347" w:rsidRPr="00621347" w:rsidRDefault="0062134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Dokumenty źródłowe</w:t>
            </w:r>
          </w:p>
        </w:tc>
        <w:tc>
          <w:tcPr>
            <w:tcW w:w="4102" w:type="pct"/>
          </w:tcPr>
          <w:p w14:paraId="72CD413C" w14:textId="352FF01B" w:rsidR="00CC7D10" w:rsidRDefault="00124E6A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COM(2025) 374 final</w:t>
            </w:r>
          </w:p>
          <w:p w14:paraId="281E2397" w14:textId="6410C7C8" w:rsidR="00621347" w:rsidRPr="00621347" w:rsidRDefault="00621347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EESC-2025-03041-00-00-AC</w:t>
            </w:r>
          </w:p>
        </w:tc>
      </w:tr>
    </w:tbl>
    <w:p w14:paraId="13E176CB" w14:textId="77777777" w:rsidR="00621347" w:rsidRPr="00621347" w:rsidRDefault="00621347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B97005E" w14:textId="77777777" w:rsidR="00621347" w:rsidRPr="00621347" w:rsidRDefault="00621347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7AF5FFF2" w14:textId="77777777" w:rsidR="00621347" w:rsidRPr="00621347" w:rsidRDefault="00621347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A68D309" w14:textId="77777777" w:rsidR="00621347" w:rsidRDefault="00621347" w:rsidP="00031E73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EKES wzywa Komisję Europejską do:</w:t>
      </w:r>
    </w:p>
    <w:p w14:paraId="3274DE4E" w14:textId="64AFB59A" w:rsidR="00621347" w:rsidRPr="00621347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0" w:name="_Toc222988740"/>
      <w:bookmarkStart w:id="31" w:name="_Toc222989237"/>
      <w:bookmarkStart w:id="32" w:name="_Toc222989275"/>
      <w:bookmarkStart w:id="33" w:name="_Toc222825837"/>
      <w:bookmarkEnd w:id="30"/>
      <w:bookmarkEnd w:id="31"/>
      <w:bookmarkEnd w:id="32"/>
      <w:r>
        <w:t>Zapewnienia osiągnięcia celów finansowania różnorodności biologicznej ustanowionych w</w:t>
      </w:r>
      <w:r w:rsidR="00031E73">
        <w:t> </w:t>
      </w:r>
      <w:r>
        <w:t>globalnych ramach różnorodności biologicznej z Kunmingu/Montrealu. Wymaga to wystarczającego, stabilnego i terminowego finansowania publicznego, w tym z budżetu UE, oraz stopniowego wycofywania dotacji o skutkach szkodliwych dla środowiska takich jak dopłaty do paliw kopalnych. Rozliczeniowe jednostki przyrodnicze mogą być narzędziem pomagającym zlikwidować lukę w finansowaniu i zmobilizować finansowanie prywatne, uzupełniając fundusze publiczne, ale ich nie zastępując.</w:t>
      </w:r>
      <w:bookmarkEnd w:id="33"/>
    </w:p>
    <w:p w14:paraId="48812E9A" w14:textId="77777777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4" w:name="_Toc222825838"/>
      <w:r>
        <w:t>Egzekwowania przepisów i podstawowych zasad w zakresie ochrony środowiska jako skutecznego narzędzia zapewniającego osiągnięcie celów w zakresie różnorodności biologicznej oraz wypełniającego lukę w finansowaniu, a także jako podstawy wiarygodnych ram rozliczeniowych jednostek przyrodniczych.</w:t>
      </w:r>
      <w:bookmarkEnd w:id="34"/>
    </w:p>
    <w:p w14:paraId="1EE5A2BD" w14:textId="1FBC9285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5" w:name="_Toc222825839"/>
      <w:r>
        <w:t>Zadbania o to, aby ramy rozliczeniowych jednostek przyrodniczych i rynków opierały się na rygorystycznych zasadach wysokiej integralności wraz z hierarchią łagodzenia oraz innymi zabezpieczeniami środowiskowymi, klimatycznymi i społecznymi, a także by regularnie oceniano zgodność projektów z tymi zasadami. Stosowane metody powinny być całościowe i</w:t>
      </w:r>
      <w:r w:rsidR="00031E73">
        <w:t> </w:t>
      </w:r>
      <w:r>
        <w:t>naukowe oraz powinny bazować na zintegrowanym ekologicznie podejściu opartym na wynikach.</w:t>
      </w:r>
      <w:bookmarkEnd w:id="35"/>
    </w:p>
    <w:p w14:paraId="6AA0E980" w14:textId="60178D28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6" w:name="_Toc222825840"/>
      <w:r>
        <w:t>Dopilnowania, aby ramy zarządzania rynkiem rozliczeniowych jednostek przyrodniczych opierały się na podstawach naukowych, były inkluzywne, przejrzyste i partycypacyjne oraz kładły duży nacisk na podmioty mające potencjał do odbudowy i ochrony stanu przyrody, a</w:t>
      </w:r>
      <w:r w:rsidR="00031E73">
        <w:t> </w:t>
      </w:r>
      <w:r>
        <w:t>także na słabsze i zmarginalizowane grupy społeczne takie jak młodzież, kobiety, społeczności wiejskie i ludność rdzenna. Należy zapewnić przejrzyste i sprawiedliwe zarządzanie danymi oraz przejrzystą i sprawiedliwą odpowiedzialność za nie.</w:t>
      </w:r>
      <w:bookmarkEnd w:id="36"/>
    </w:p>
    <w:p w14:paraId="3A2AC039" w14:textId="2F75D698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7" w:name="_Toc222825841"/>
      <w:r>
        <w:t>Należy ostrożnie podejść do potrzeby przyjęcia dyrektywy lub rozporządzenia, ponieważ ustanowienie rozliczeniowych jednostek przyrodniczych i rynków powinno pozostać dobrowolne przy jednoczesnym przestrzeganiu rygorystycznych zasad i kryteriów. Ramy powinny koncentrować się przede wszystkim na pozytywnym wkładzie, a stosowanie kompensacji należy pozostawić w gestii państw członkowskich, tak aby nie podważać istniejących ambitnych inicjatyw na szczeblu krajowym.</w:t>
      </w:r>
      <w:bookmarkEnd w:id="37"/>
    </w:p>
    <w:p w14:paraId="151D13B1" w14:textId="4766267E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8" w:name="_Toc222825842"/>
      <w:r>
        <w:t xml:space="preserve">Wyjaśnienia dostosowania rozliczeniowych jednostek przyrodniczych do innych polityk np. WPR. Rozliczeniowe jednostki przyrodnicze i rynki muszą być tworzone w sposób umożliwiający prężny rozwój biogospodarki, gospodarki o obiegu zamkniętym, produkcji </w:t>
      </w:r>
      <w:r>
        <w:lastRenderedPageBreak/>
        <w:t>zrównoważonej żywności oraz leśnictwa w UE. W obrębie tych ram należy wystrzegać się nakładania zbędnych obciążeń administracyjnych na stosujące je podmioty, zwłaszcza małe, a</w:t>
      </w:r>
      <w:r w:rsidR="00031E73">
        <w:t> </w:t>
      </w:r>
      <w:r>
        <w:t>także dbać o to, by rozliczeniowe jednostki przyrodnicze charakteryzowały się wysokim stopniem integralności i podejściem opartym na podstawach naukowych.</w:t>
      </w:r>
      <w:bookmarkEnd w:id="38"/>
    </w:p>
    <w:p w14:paraId="17891DA2" w14:textId="173A8059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9" w:name="_Toc222825843"/>
      <w:r>
        <w:t>Zapewnienia, aby rozliczeniowe jednostki przyrodnicze nie prowadziły do utowarowienia elementów przyrody. Należy za wszelką cenę zapobiegać masowemu wykupowi i dzierżawie ziemi oraz spekulacji gruntami. W przypadku rozliczeniowych jednostek przyrodniczych należy zawsze przedkładać integralność nad krótkoterminową rentowność, a także sprzyjać sprawiedliwemu podziałowi korzyści i pomagać w zmniejszaniu nierówności.</w:t>
      </w:r>
      <w:bookmarkEnd w:id="39"/>
    </w:p>
    <w:p w14:paraId="02428967" w14:textId="7D8A01E6" w:rsidR="00621347" w:rsidRPr="00F43315" w:rsidRDefault="00621347" w:rsidP="00031E73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40" w:name="_Toc222825844"/>
      <w:r>
        <w:t>Ostrożnego angażowania się w projekty poza UE z uwagi na to, że metodologie i ramy zarządzania opracowane w Europie mogą nie pasować do kontekstu społecznego, kulturowego, prawnego, politycznego i ekologicznego za granicą, ale jednocześnie należy dbać o</w:t>
      </w:r>
      <w:r w:rsidR="00031E73">
        <w:t> </w:t>
      </w:r>
      <w:r>
        <w:t>generowanie pozytywnego wpływu na przyrodę w łańcuchach wartości unijnych przedsiębiorstw poza UE.</w:t>
      </w:r>
      <w:bookmarkEnd w:id="40"/>
    </w:p>
    <w:p w14:paraId="4D9DD4B6" w14:textId="77777777" w:rsidR="00621347" w:rsidRPr="00621347" w:rsidRDefault="00621347" w:rsidP="00031E73">
      <w:pPr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1"/>
      </w:tblGrid>
      <w:tr w:rsidR="00621347" w:rsidRPr="00621347" w14:paraId="4C4EEF76" w14:textId="77777777" w:rsidTr="00D0608D">
        <w:tc>
          <w:tcPr>
            <w:tcW w:w="898" w:type="pct"/>
          </w:tcPr>
          <w:p w14:paraId="3AF62EF9" w14:textId="77777777" w:rsidR="00621347" w:rsidRPr="00621347" w:rsidRDefault="0062134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4102" w:type="pct"/>
          </w:tcPr>
          <w:p w14:paraId="1174E3AC" w14:textId="582EC194" w:rsidR="00621347" w:rsidRPr="00621347" w:rsidRDefault="0062134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Gaia Bottoni</w:t>
            </w:r>
          </w:p>
        </w:tc>
      </w:tr>
      <w:tr w:rsidR="00621347" w:rsidRPr="00621347" w14:paraId="60C3DC59" w14:textId="77777777" w:rsidTr="00D0608D">
        <w:tc>
          <w:tcPr>
            <w:tcW w:w="898" w:type="pct"/>
          </w:tcPr>
          <w:p w14:paraId="0B4561A1" w14:textId="77777777" w:rsidR="00621347" w:rsidRPr="00621347" w:rsidRDefault="0062134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102" w:type="pct"/>
          </w:tcPr>
          <w:p w14:paraId="7FBF1635" w14:textId="73B5954C" w:rsidR="00621347" w:rsidRPr="00621347" w:rsidRDefault="0062134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+32 25469447</w:t>
            </w:r>
          </w:p>
        </w:tc>
      </w:tr>
      <w:tr w:rsidR="00621347" w:rsidRPr="00621347" w14:paraId="5D7F6D2E" w14:textId="77777777" w:rsidTr="00D0608D">
        <w:tc>
          <w:tcPr>
            <w:tcW w:w="898" w:type="pct"/>
          </w:tcPr>
          <w:p w14:paraId="54E92E27" w14:textId="77777777" w:rsidR="00621347" w:rsidRPr="00621347" w:rsidRDefault="00621347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102" w:type="pct"/>
          </w:tcPr>
          <w:p w14:paraId="109C769F" w14:textId="6021F70A" w:rsidR="00621347" w:rsidRPr="00621347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39" w:history="1">
              <w:r w:rsidR="00E235D3">
                <w:rPr>
                  <w:i/>
                  <w:color w:val="0000FF"/>
                  <w:u w:val="single"/>
                </w:rPr>
                <w:t>Gaia.Bottoni@eesc.europa.eu</w:t>
              </w:r>
            </w:hyperlink>
          </w:p>
        </w:tc>
      </w:tr>
    </w:tbl>
    <w:p w14:paraId="715DB2BD" w14:textId="77777777" w:rsidR="007F5784" w:rsidRDefault="007F5784" w:rsidP="00031E73">
      <w:pPr>
        <w:jc w:val="left"/>
      </w:pPr>
      <w:r>
        <w:br w:type="page"/>
      </w:r>
    </w:p>
    <w:p w14:paraId="528C73AA" w14:textId="46DE726B" w:rsidR="006D2C8A" w:rsidRPr="006D2C8A" w:rsidRDefault="006D2C8A" w:rsidP="00031E73">
      <w:pPr>
        <w:pStyle w:val="Heading1"/>
        <w:rPr>
          <w:b/>
        </w:rPr>
      </w:pPr>
      <w:bookmarkStart w:id="41" w:name="_Toc223516234"/>
      <w:r>
        <w:rPr>
          <w:b/>
          <w:color w:val="222A35" w:themeColor="text2" w:themeShade="80"/>
        </w:rPr>
        <w:lastRenderedPageBreak/>
        <w:t>KOMISJA KONSULTACYJNA DS. PRZEMIAN W PRZEMYŚLE</w:t>
      </w:r>
      <w:bookmarkEnd w:id="41"/>
    </w:p>
    <w:p w14:paraId="713E272F" w14:textId="77777777" w:rsidR="006D2C8A" w:rsidRDefault="006D2C8A" w:rsidP="00031E73"/>
    <w:p w14:paraId="3CC91A48" w14:textId="77009B70" w:rsidR="003534E0" w:rsidRPr="00153E09" w:rsidRDefault="00FD6F2A" w:rsidP="00031E73">
      <w:pPr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40" w:history="1">
        <w:r w:rsidR="003534E0">
          <w:rPr>
            <w:b/>
            <w:i/>
            <w:color w:val="0000FF"/>
            <w:sz w:val="28"/>
            <w:u w:val="single"/>
          </w:rPr>
          <w:t>Zmiana rozporządzenia (UE) 2024/1252 (akt w sprawie surowców krytycznych)</w:t>
        </w:r>
      </w:hyperlink>
    </w:p>
    <w:p w14:paraId="4BAFD485" w14:textId="77777777" w:rsidR="009277D3" w:rsidRDefault="009277D3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2"/>
      </w:tblGrid>
      <w:tr w:rsidR="00153E09" w14:paraId="65A34AAF" w14:textId="77777777" w:rsidTr="00205469">
        <w:tc>
          <w:tcPr>
            <w:tcW w:w="1701" w:type="dxa"/>
          </w:tcPr>
          <w:p w14:paraId="111B4B02" w14:textId="6AC41F6C" w:rsidR="00153E09" w:rsidRDefault="00153E09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  <w:sz w:val="20"/>
              </w:rPr>
              <w:t>Dokumenty źródłowe</w:t>
            </w:r>
          </w:p>
        </w:tc>
        <w:tc>
          <w:tcPr>
            <w:tcW w:w="7372" w:type="dxa"/>
          </w:tcPr>
          <w:p w14:paraId="0221ADAC" w14:textId="77777777" w:rsidR="00153E09" w:rsidRDefault="00153E0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COM(2025) 946 final</w:t>
            </w:r>
          </w:p>
          <w:p w14:paraId="5F1938C2" w14:textId="40D8E2D3" w:rsidR="00153E09" w:rsidRDefault="00153E09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sz w:val="20"/>
              </w:rPr>
              <w:t>EESC-2026-00393-00-00-AC</w:t>
            </w:r>
          </w:p>
        </w:tc>
      </w:tr>
    </w:tbl>
    <w:p w14:paraId="185B6A63" w14:textId="77777777" w:rsidR="009277D3" w:rsidRPr="00153E09" w:rsidRDefault="009277D3" w:rsidP="00031E7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D51E678" w14:textId="77777777" w:rsidR="003534E0" w:rsidRPr="003534E0" w:rsidRDefault="003534E0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1A032EB0" w14:textId="77777777" w:rsidR="003534E0" w:rsidRPr="003534E0" w:rsidRDefault="003534E0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722C60C" w14:textId="77777777" w:rsidR="003534E0" w:rsidRPr="003534E0" w:rsidRDefault="003534E0" w:rsidP="00031E7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Komitet uznał, że treść wniosku jest w zupełności zadowalająca i że ponadto była już przedmiotem jego </w:t>
      </w:r>
      <w:hyperlink r:id="rId41" w:history="1">
        <w:r>
          <w:rPr>
            <w:color w:val="0000FF"/>
            <w:u w:val="single"/>
          </w:rPr>
          <w:t>opinii w sprawie aktu w sprawie surowców krytycznych</w:t>
        </w:r>
      </w:hyperlink>
      <w:r>
        <w:t>, przyjętej dnia 12 lipca 2023 r., postanowił więc wydać pozytywną opinię w sprawie wniosku i odwołać się do stanowiska, które zajął w ww. dokumencie.</w:t>
      </w:r>
    </w:p>
    <w:p w14:paraId="2B63EAC7" w14:textId="3C6C9A7D" w:rsidR="00950272" w:rsidRDefault="00950272" w:rsidP="00031E73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  <w:lang w:val="en-GB"/>
        </w:rPr>
      </w:pPr>
    </w:p>
    <w:tbl>
      <w:tblPr>
        <w:tblStyle w:val="TableGrid8"/>
        <w:tblW w:w="48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3"/>
        <w:gridCol w:w="7585"/>
      </w:tblGrid>
      <w:tr w:rsidR="003534E0" w:rsidRPr="003534E0" w14:paraId="1ABE88A2" w14:textId="77777777" w:rsidTr="007526DA">
        <w:tc>
          <w:tcPr>
            <w:tcW w:w="804" w:type="pct"/>
          </w:tcPr>
          <w:p w14:paraId="148D5606" w14:textId="77777777" w:rsidR="003534E0" w:rsidRPr="003534E0" w:rsidRDefault="003534E0" w:rsidP="00031E73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4196" w:type="pct"/>
          </w:tcPr>
          <w:p w14:paraId="0D29E18D" w14:textId="5491D9AB" w:rsidR="003534E0" w:rsidRPr="003534E0" w:rsidRDefault="003534E0" w:rsidP="00031E73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Adam Dorywalski</w:t>
            </w:r>
          </w:p>
        </w:tc>
      </w:tr>
      <w:tr w:rsidR="003534E0" w:rsidRPr="003534E0" w14:paraId="29310390" w14:textId="77777777" w:rsidTr="007526DA">
        <w:tc>
          <w:tcPr>
            <w:tcW w:w="804" w:type="pct"/>
          </w:tcPr>
          <w:p w14:paraId="1A8C815A" w14:textId="77777777" w:rsidR="003534E0" w:rsidRPr="003534E0" w:rsidRDefault="003534E0" w:rsidP="00031E73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196" w:type="pct"/>
          </w:tcPr>
          <w:p w14:paraId="1B4B0CA6" w14:textId="23FF8050" w:rsidR="003534E0" w:rsidRPr="003534E0" w:rsidRDefault="003534E0" w:rsidP="00031E73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+32 25469397</w:t>
            </w:r>
          </w:p>
        </w:tc>
      </w:tr>
      <w:tr w:rsidR="003534E0" w:rsidRPr="003534E0" w14:paraId="4800E009" w14:textId="77777777" w:rsidTr="007526DA">
        <w:tc>
          <w:tcPr>
            <w:tcW w:w="804" w:type="pct"/>
          </w:tcPr>
          <w:p w14:paraId="58627B2F" w14:textId="77777777" w:rsidR="003534E0" w:rsidRPr="003534E0" w:rsidRDefault="003534E0" w:rsidP="00031E73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196" w:type="pct"/>
          </w:tcPr>
          <w:p w14:paraId="551CAC0A" w14:textId="548021BC" w:rsidR="00E25EB4" w:rsidRPr="00153E09" w:rsidRDefault="00FD6F2A" w:rsidP="00031E73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</w:pPr>
            <w:hyperlink r:id="rId42" w:history="1">
              <w:r w:rsidR="003534E0">
                <w:rPr>
                  <w:i/>
                  <w:color w:val="0000FF"/>
                  <w:u w:val="single"/>
                </w:rPr>
                <w:t>Adam.Dorywalski@eesc.europa.eu</w:t>
              </w:r>
            </w:hyperlink>
          </w:p>
        </w:tc>
      </w:tr>
    </w:tbl>
    <w:p w14:paraId="3FA9F92E" w14:textId="77777777" w:rsidR="00E25EB4" w:rsidRPr="003F66F7" w:rsidRDefault="00E25EB4" w:rsidP="00031E73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5D7A6973" w14:textId="77777777" w:rsidR="004C4CDB" w:rsidRPr="00153E09" w:rsidRDefault="004C4CDB" w:rsidP="00031E73">
      <w:pPr>
        <w:jc w:val="left"/>
      </w:pPr>
      <w:r>
        <w:br w:type="page"/>
      </w:r>
    </w:p>
    <w:p w14:paraId="4E1C48EE" w14:textId="17FB4D7A" w:rsidR="00E25EB4" w:rsidRPr="00E25EB4" w:rsidRDefault="00FD6F2A" w:rsidP="00031E73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rFonts w:ascii="Calibri" w:hAnsi="Calibri"/>
          <w:b/>
          <w:bCs/>
        </w:rPr>
      </w:pPr>
      <w:hyperlink r:id="rId43" w:tooltip="Zwiększenie strategicznej autonomii UE i rozwój bardziej ekologicznej i niebieskiej gospodarki: potencjał sektora produkcji baterii sodowych" w:history="1">
        <w:r w:rsidR="00E235D3">
          <w:rPr>
            <w:b/>
            <w:i/>
            <w:color w:val="0000FF"/>
            <w:sz w:val="28"/>
            <w:u w:val="single"/>
          </w:rPr>
          <w:t>Zwiększenie strategicznej autonomii UE i rozwój bardziej ekologicznej i</w:t>
        </w:r>
        <w:r w:rsidR="00E73175">
          <w:rPr>
            <w:b/>
            <w:i/>
            <w:color w:val="0000FF"/>
            <w:sz w:val="28"/>
            <w:u w:val="single"/>
          </w:rPr>
          <w:t> </w:t>
        </w:r>
        <w:r w:rsidR="00E235D3">
          <w:rPr>
            <w:b/>
            <w:i/>
            <w:color w:val="0000FF"/>
            <w:sz w:val="28"/>
            <w:u w:val="single"/>
          </w:rPr>
          <w:t>niebieskiej gospodarki: potencjał sektora produkcji baterii sodowych</w:t>
        </w:r>
      </w:hyperlink>
    </w:p>
    <w:p w14:paraId="2E26A662" w14:textId="77777777" w:rsidR="00E25EB4" w:rsidRPr="00205469" w:rsidRDefault="00E25EB4" w:rsidP="00031E73">
      <w:pPr>
        <w:ind w:left="567"/>
        <w:contextualSpacing/>
        <w:jc w:val="left"/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7272"/>
      </w:tblGrid>
      <w:tr w:rsidR="00E25EB4" w:rsidRPr="00E25EB4" w14:paraId="0E750117" w14:textId="77777777" w:rsidTr="00153E09">
        <w:tc>
          <w:tcPr>
            <w:tcW w:w="1701" w:type="dxa"/>
          </w:tcPr>
          <w:p w14:paraId="1BC9C1DD" w14:textId="77777777" w:rsidR="00E25EB4" w:rsidRPr="00E25EB4" w:rsidRDefault="00E25EB4" w:rsidP="00E73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Sprawozdawczyni/ Sprawozdawca</w:t>
            </w:r>
          </w:p>
        </w:tc>
        <w:tc>
          <w:tcPr>
            <w:tcW w:w="7371" w:type="dxa"/>
          </w:tcPr>
          <w:p w14:paraId="261F00F8" w14:textId="77777777" w:rsidR="00E25EB4" w:rsidRPr="00E25EB4" w:rsidRDefault="00E25EB4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Paul RÜBIG (Grupa Pracodawców – AT)</w:t>
            </w:r>
          </w:p>
        </w:tc>
      </w:tr>
      <w:tr w:rsidR="00E25EB4" w:rsidRPr="00E25EB4" w14:paraId="7E321F8F" w14:textId="77777777" w:rsidTr="00153E09">
        <w:tc>
          <w:tcPr>
            <w:tcW w:w="1701" w:type="dxa"/>
          </w:tcPr>
          <w:p w14:paraId="39B77E69" w14:textId="77777777" w:rsidR="00E25EB4" w:rsidRPr="00E25EB4" w:rsidRDefault="00E25EB4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Współsprawozdawca</w:t>
            </w:r>
          </w:p>
        </w:tc>
        <w:tc>
          <w:tcPr>
            <w:tcW w:w="7371" w:type="dxa"/>
          </w:tcPr>
          <w:p w14:paraId="4F795EAE" w14:textId="7B894B11" w:rsidR="00E25EB4" w:rsidRPr="00E25EB4" w:rsidRDefault="00E25EB4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Hervé JEANNIN (Kat. 2 – FR)</w:t>
            </w:r>
          </w:p>
        </w:tc>
      </w:tr>
      <w:tr w:rsidR="00E25EB4" w:rsidRPr="00E25EB4" w14:paraId="4AD82EE5" w14:textId="77777777" w:rsidTr="00153E09">
        <w:tc>
          <w:tcPr>
            <w:tcW w:w="9072" w:type="dxa"/>
            <w:gridSpan w:val="2"/>
          </w:tcPr>
          <w:p w14:paraId="63F1B5CC" w14:textId="77777777" w:rsidR="00E25EB4" w:rsidRPr="00E25EB4" w:rsidRDefault="00E25EB4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E25EB4" w:rsidRPr="00E25EB4" w14:paraId="758D199D" w14:textId="77777777" w:rsidTr="00153E09">
        <w:tc>
          <w:tcPr>
            <w:tcW w:w="1701" w:type="dxa"/>
          </w:tcPr>
          <w:p w14:paraId="628BF496" w14:textId="1BBD7898" w:rsidR="00E25EB4" w:rsidRPr="00E25EB4" w:rsidRDefault="00E25EB4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371" w:type="dxa"/>
          </w:tcPr>
          <w:p w14:paraId="1AC738BE" w14:textId="11F7A673" w:rsidR="001A58BD" w:rsidRDefault="00043E7B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rozpoznawcza na wniosek Komisji Europejskiej</w:t>
            </w:r>
          </w:p>
          <w:p w14:paraId="2E32FFD3" w14:textId="1F51A8D8" w:rsidR="00E25EB4" w:rsidRPr="00E25EB4" w:rsidRDefault="00E25EB4" w:rsidP="00031E7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EESC-2025-02464-00-00-AC</w:t>
            </w:r>
          </w:p>
        </w:tc>
      </w:tr>
    </w:tbl>
    <w:p w14:paraId="270F2408" w14:textId="77777777" w:rsidR="00153E09" w:rsidRPr="00D0608D" w:rsidRDefault="00153E09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25E8D43C" w14:textId="53EC308B" w:rsidR="00E25EB4" w:rsidRPr="00E25EB4" w:rsidRDefault="00E25EB4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14:paraId="7022CF32" w14:textId="77777777" w:rsidR="00E25EB4" w:rsidRPr="00D0608D" w:rsidRDefault="00E25EB4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0273A35C" w14:textId="77777777" w:rsidR="00E25EB4" w:rsidRPr="00E25EB4" w:rsidRDefault="00E25EB4" w:rsidP="00031E7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EKES</w:t>
      </w:r>
    </w:p>
    <w:p w14:paraId="4A4FDC20" w14:textId="77777777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Uważa, że baterie sodowe są technologią strategiczną, a Europa ma duże możliwości objęcia wiodącej pozycji technologicznej w systemach akumulatorów sodowo-słonowodnych.</w:t>
      </w:r>
    </w:p>
    <w:p w14:paraId="74BCA385" w14:textId="536BD1D5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Podkreśla potencjał baterii sodowych jako czynników umożliwiających realizację celów polityki przemysłowej UE: wspierają cele Europejskiego Zielonego Ładu i Niebieskiego Ładu UE, mogą być kluczowymi narzędziami osiągnięcia strategicznej autonomii, a ustanowienie gigafabryk baterii sodowych zwiększyłoby konkurencyjność i stworzyłoby miejsca pracy w</w:t>
      </w:r>
      <w:r w:rsidR="00E73175">
        <w:t> </w:t>
      </w:r>
      <w:r>
        <w:t>całym łańcuchu wartości.</w:t>
      </w:r>
    </w:p>
    <w:p w14:paraId="03DA14BD" w14:textId="77777777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Podkreśla, że baterie sodowe mogą być produkowane całkowicie z surowców europejskich, ponieważ sód jest powszechnie dostępny na kontynencie i istnieje coraz większy potencjał dla europejskiego przemysłu odsalania, a to może ograniczyć wykorzystanie surowców krytycznych.</w:t>
      </w:r>
    </w:p>
    <w:p w14:paraId="605A4E08" w14:textId="77777777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Wzywa do podjęcia zdecydowanych i skoordynowanych działań na szczeblu UE w celu ustanowienia konkurencyjnego sektora produkcji baterii sodowych, gdyż baterie sodowe rozwijają się na całym świecie, a Europie grozi pozostanie coraz bardziej w tyle.</w:t>
      </w:r>
    </w:p>
    <w:p w14:paraId="03706BAA" w14:textId="1F47BDB1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Zaleca zaktualizowanie ścieżki przemysłowej dla baterii – z uwzględnieniem zarówno litu, jak i</w:t>
      </w:r>
      <w:r w:rsidR="00E73175">
        <w:t> </w:t>
      </w:r>
      <w:r>
        <w:t>sodu, która powinna obejmować plan działania uwzględniający potrzeby siły roboczej i</w:t>
      </w:r>
      <w:r w:rsidR="00E73175">
        <w:t> </w:t>
      </w:r>
      <w:r>
        <w:t>potrzeby społeczne, wraz z inwestycjami w umiejętności, mobilnością siły roboczej i</w:t>
      </w:r>
      <w:r w:rsidR="00E73175">
        <w:t> </w:t>
      </w:r>
      <w:r>
        <w:t>zaangażowaniem MŚP o strategicznym znaczeniu.</w:t>
      </w:r>
    </w:p>
    <w:p w14:paraId="0ADF1BAC" w14:textId="77777777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 xml:space="preserve">Podkreśla, że aby rozwijać europejski łańcuch wartości baterii sodowych, który będzie wspierał strategiczne cele Europy, należy przełamać hermetyczność obszarów polityki oraz zapewnić spójność z kluczowymi unijnymi strategiami (Kompas konkurencyjności, strategia na rzecz unii gotowości, plan działania dotyczący gospodarki o obiegu zamkniętym i strategia odporności gospodarki wodnej). </w:t>
      </w:r>
    </w:p>
    <w:p w14:paraId="2C3550D4" w14:textId="77777777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Zaleca dotacje inwestycyjne, ulgi podatkowe na produkcję, ukierunkowane zaproszenia do składania wniosków, bony inwestycyjne na współpracę przemysłu z organizacjami badawczo-technologicznymi.</w:t>
      </w:r>
    </w:p>
    <w:p w14:paraId="146AA976" w14:textId="567FDE26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Apeluje o elastyczne wsparcie publiczne, które pozwoli uniknąć przedwczesnych blokad, oraz o</w:t>
      </w:r>
      <w:r w:rsidR="00E73175">
        <w:t> </w:t>
      </w:r>
      <w:r>
        <w:t>ściślejszą współpracę w zakresie badań i rozwoju współfinansowaną przez rządy i przemysł.</w:t>
      </w:r>
    </w:p>
    <w:p w14:paraId="5AF3E28A" w14:textId="77777777" w:rsidR="00E25EB4" w:rsidRPr="007526DA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Uznaje potencjał restrukturyzacji zakładów przemysłowych, które są obecnie nieczynne lub zamykane, na gigafabryki baterii sodowych jako wydajnego i przyjaznego dla środowiska wykorzystania istniejącej infrastruktury.</w:t>
      </w:r>
    </w:p>
    <w:p w14:paraId="5946BDB2" w14:textId="77777777" w:rsidR="00E25EB4" w:rsidRPr="00713CC2" w:rsidRDefault="00E25EB4" w:rsidP="00031E73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lastRenderedPageBreak/>
        <w:t>Uznaje znaczenie uwzględniania ekoprojektu i recyklingu w tym przemyśle wytwórczym, by wspierać łańcuch wartości baterii sodowych o obiegu zamkniętym.</w:t>
      </w:r>
    </w:p>
    <w:p w14:paraId="339FD87D" w14:textId="77777777" w:rsidR="00E25EB4" w:rsidRPr="00E25EB4" w:rsidRDefault="00E25EB4" w:rsidP="00031E73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E25EB4" w:rsidRPr="00E25EB4" w14:paraId="3DADE2B6" w14:textId="77777777" w:rsidTr="00D0608D">
        <w:tc>
          <w:tcPr>
            <w:tcW w:w="1668" w:type="dxa"/>
          </w:tcPr>
          <w:p w14:paraId="16410084" w14:textId="77777777" w:rsidR="00E25EB4" w:rsidRPr="00E25EB4" w:rsidRDefault="00E25EB4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</w:t>
            </w:r>
          </w:p>
        </w:tc>
        <w:tc>
          <w:tcPr>
            <w:tcW w:w="7512" w:type="dxa"/>
          </w:tcPr>
          <w:p w14:paraId="56BD77E8" w14:textId="5D11D232" w:rsidR="00E25EB4" w:rsidRPr="00153E09" w:rsidRDefault="00E25EB4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>
              <w:rPr>
                <w:i/>
              </w:rPr>
              <w:t>Luís Barbosa E Silva</w:t>
            </w:r>
          </w:p>
        </w:tc>
      </w:tr>
      <w:tr w:rsidR="00E25EB4" w:rsidRPr="00E25EB4" w14:paraId="6AE7CB28" w14:textId="77777777" w:rsidTr="00D0608D">
        <w:tc>
          <w:tcPr>
            <w:tcW w:w="1668" w:type="dxa"/>
          </w:tcPr>
          <w:p w14:paraId="52DF3B61" w14:textId="77777777" w:rsidR="00E25EB4" w:rsidRPr="00E25EB4" w:rsidRDefault="00E25EB4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512" w:type="dxa"/>
          </w:tcPr>
          <w:p w14:paraId="58F5DB38" w14:textId="05F56609" w:rsidR="00E25EB4" w:rsidRPr="00E25EB4" w:rsidRDefault="00E25EB4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+32 25468846</w:t>
            </w:r>
          </w:p>
        </w:tc>
      </w:tr>
      <w:tr w:rsidR="00E25EB4" w:rsidRPr="00E25EB4" w14:paraId="7DB45FE9" w14:textId="77777777" w:rsidTr="00D0608D">
        <w:trPr>
          <w:trHeight w:val="244"/>
        </w:trPr>
        <w:tc>
          <w:tcPr>
            <w:tcW w:w="1668" w:type="dxa"/>
          </w:tcPr>
          <w:p w14:paraId="5969B93D" w14:textId="77777777" w:rsidR="00E25EB4" w:rsidRPr="00E25EB4" w:rsidRDefault="00E25EB4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512" w:type="dxa"/>
          </w:tcPr>
          <w:p w14:paraId="47F42ECE" w14:textId="789F877A" w:rsidR="00187E31" w:rsidRPr="00153E09" w:rsidRDefault="00FD6F2A" w:rsidP="00031E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44" w:history="1">
              <w:r w:rsidR="00E235D3">
                <w:rPr>
                  <w:i/>
                  <w:color w:val="0000FF"/>
                  <w:u w:val="single"/>
                </w:rPr>
                <w:t>Luis.BarbosaESilva@eesc.europa.eu</w:t>
              </w:r>
            </w:hyperlink>
          </w:p>
        </w:tc>
      </w:tr>
    </w:tbl>
    <w:p w14:paraId="2E28EF19" w14:textId="299918AB" w:rsidR="000D394D" w:rsidRPr="00205469" w:rsidRDefault="00E25EB4" w:rsidP="00031E73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sectPr w:rsidR="000D394D" w:rsidRPr="00205469" w:rsidSect="00153E0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D88F" w14:textId="77777777" w:rsidR="00711298" w:rsidRDefault="00711298" w:rsidP="00B518C9">
      <w:pPr>
        <w:spacing w:line="240" w:lineRule="auto"/>
      </w:pPr>
      <w:r>
        <w:separator/>
      </w:r>
    </w:p>
  </w:endnote>
  <w:endnote w:type="continuationSeparator" w:id="0">
    <w:p w14:paraId="276450BF" w14:textId="77777777" w:rsidR="00711298" w:rsidRDefault="0071129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3CAA" w14:textId="77777777" w:rsidR="00B077F4" w:rsidRDefault="00B07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1EF32E47" w:rsidR="00B518C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235D3">
      <w:t>1</w:t>
    </w:r>
    <w:r>
      <w:fldChar w:fldCharType="end"/>
    </w:r>
    <w:r>
      <w:t>/</w:t>
    </w:r>
    <w:r w:rsidR="00FD6F2A">
      <w:fldChar w:fldCharType="begin"/>
    </w:r>
    <w:r w:rsidR="00FD6F2A">
      <w:instrText xml:space="preserve"> NUMPAGES </w:instrText>
    </w:r>
    <w:r w:rsidR="00FD6F2A">
      <w:fldChar w:fldCharType="separate"/>
    </w:r>
    <w:r w:rsidR="00E235D3">
      <w:t>15</w:t>
    </w:r>
    <w:r w:rsidR="00FD6F2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8A1C" w14:textId="77777777" w:rsidR="00B077F4" w:rsidRDefault="00B077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E809" w14:textId="77777777" w:rsidR="00153E09" w:rsidRPr="00153E09" w:rsidRDefault="00153E09" w:rsidP="00153E0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7402" w14:textId="0C6B551C" w:rsidR="00153E0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526DA">
      <w:t>15</w:t>
    </w:r>
    <w:r>
      <w:fldChar w:fldCharType="end"/>
    </w:r>
    <w:r>
      <w:t>/</w:t>
    </w:r>
    <w:r w:rsidR="00FD6F2A">
      <w:fldChar w:fldCharType="begin"/>
    </w:r>
    <w:r w:rsidR="00FD6F2A">
      <w:instrText xml:space="preserve"> NUMPAGES </w:instrText>
    </w:r>
    <w:r w:rsidR="00FD6F2A">
      <w:fldChar w:fldCharType="separate"/>
    </w:r>
    <w:r w:rsidR="007526DA">
      <w:t>15</w:t>
    </w:r>
    <w:r w:rsidR="00FD6F2A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43FF" w14:textId="77777777" w:rsidR="00153E09" w:rsidRPr="00153E09" w:rsidRDefault="00153E09" w:rsidP="0015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C4B1" w14:textId="77777777" w:rsidR="00711298" w:rsidRDefault="00711298" w:rsidP="00B518C9">
      <w:pPr>
        <w:spacing w:line="240" w:lineRule="auto"/>
      </w:pPr>
      <w:r>
        <w:separator/>
      </w:r>
    </w:p>
  </w:footnote>
  <w:footnote w:type="continuationSeparator" w:id="0">
    <w:p w14:paraId="67149419" w14:textId="77777777" w:rsidR="00711298" w:rsidRDefault="00711298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2D60" w14:textId="77777777" w:rsidR="00B077F4" w:rsidRDefault="00B07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2A77" w14:textId="77777777" w:rsidR="00B077F4" w:rsidRDefault="00B0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BCD3" w14:textId="77777777" w:rsidR="00B077F4" w:rsidRDefault="00B077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52BE" w14:textId="77777777" w:rsidR="00153E09" w:rsidRPr="00153E09" w:rsidRDefault="00153E09" w:rsidP="00153E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AA39" w14:textId="04F245DB" w:rsidR="00153E09" w:rsidRPr="00153E09" w:rsidRDefault="00153E09" w:rsidP="00153E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9C97" w14:textId="77777777" w:rsidR="00153E09" w:rsidRPr="00153E09" w:rsidRDefault="00153E09" w:rsidP="0015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ABEA5F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1D08466C"/>
    <w:lvl w:ilvl="0">
      <w:numFmt w:val="decimal"/>
      <w:lvlText w:val="*"/>
      <w:lvlJc w:val="left"/>
    </w:lvl>
  </w:abstractNum>
  <w:abstractNum w:abstractNumId="2" w15:restartNumberingAfterBreak="0">
    <w:nsid w:val="03A15EA7"/>
    <w:multiLevelType w:val="multilevel"/>
    <w:tmpl w:val="B450D11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F9F7110"/>
    <w:multiLevelType w:val="hybridMultilevel"/>
    <w:tmpl w:val="7E8C5ED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86E"/>
    <w:multiLevelType w:val="hybridMultilevel"/>
    <w:tmpl w:val="2960A99E"/>
    <w:lvl w:ilvl="0" w:tplc="C760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BE"/>
    <w:multiLevelType w:val="hybridMultilevel"/>
    <w:tmpl w:val="20F4A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3FBA"/>
    <w:multiLevelType w:val="hybridMultilevel"/>
    <w:tmpl w:val="BE9CD94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8EE"/>
    <w:multiLevelType w:val="hybridMultilevel"/>
    <w:tmpl w:val="E7B48E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3B38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274E0DB2"/>
    <w:multiLevelType w:val="hybridMultilevel"/>
    <w:tmpl w:val="CA00EA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A3C5C"/>
    <w:multiLevelType w:val="hybridMultilevel"/>
    <w:tmpl w:val="8F5E944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6D68"/>
    <w:multiLevelType w:val="multilevel"/>
    <w:tmpl w:val="274C10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362E4D7F"/>
    <w:multiLevelType w:val="hybridMultilevel"/>
    <w:tmpl w:val="8C9227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55"/>
    <w:multiLevelType w:val="hybridMultilevel"/>
    <w:tmpl w:val="DE10A17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7568"/>
    <w:multiLevelType w:val="hybridMultilevel"/>
    <w:tmpl w:val="F2789A4A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E2F27"/>
    <w:multiLevelType w:val="hybridMultilevel"/>
    <w:tmpl w:val="C60EBDA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BA4"/>
    <w:multiLevelType w:val="multilevel"/>
    <w:tmpl w:val="D22C91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2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48954870"/>
    <w:multiLevelType w:val="hybridMultilevel"/>
    <w:tmpl w:val="718CAA2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858A5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0" w15:restartNumberingAfterBreak="0">
    <w:nsid w:val="54840386"/>
    <w:multiLevelType w:val="hybridMultilevel"/>
    <w:tmpl w:val="9E7C99B6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4B27"/>
    <w:multiLevelType w:val="hybridMultilevel"/>
    <w:tmpl w:val="998C3E8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D7A66"/>
    <w:multiLevelType w:val="hybridMultilevel"/>
    <w:tmpl w:val="DEB8F97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8D16D5B"/>
    <w:multiLevelType w:val="hybridMultilevel"/>
    <w:tmpl w:val="9BE07FF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2323163"/>
    <w:multiLevelType w:val="hybridMultilevel"/>
    <w:tmpl w:val="31FAA7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00E4B"/>
    <w:multiLevelType w:val="hybridMultilevel"/>
    <w:tmpl w:val="654ED09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00E66"/>
    <w:multiLevelType w:val="hybridMultilevel"/>
    <w:tmpl w:val="0F0456B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7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>
    <w:abstractNumId w:val="18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>
    <w:abstractNumId w:val="11"/>
  </w:num>
  <w:num w:numId="8">
    <w:abstractNumId w:val="8"/>
  </w:num>
  <w:num w:numId="9">
    <w:abstractNumId w:val="19"/>
  </w:num>
  <w:num w:numId="10">
    <w:abstractNumId w:val="16"/>
  </w:num>
  <w:num w:numId="11">
    <w:abstractNumId w:val="20"/>
  </w:num>
  <w:num w:numId="12">
    <w:abstractNumId w:val="4"/>
  </w:num>
  <w:num w:numId="13">
    <w:abstractNumId w:val="7"/>
  </w:num>
  <w:num w:numId="14">
    <w:abstractNumId w:val="14"/>
  </w:num>
  <w:num w:numId="15">
    <w:abstractNumId w:val="17"/>
  </w:num>
  <w:num w:numId="16">
    <w:abstractNumId w:val="26"/>
  </w:num>
  <w:num w:numId="17">
    <w:abstractNumId w:val="3"/>
  </w:num>
  <w:num w:numId="18">
    <w:abstractNumId w:val="25"/>
  </w:num>
  <w:num w:numId="19">
    <w:abstractNumId w:val="28"/>
  </w:num>
  <w:num w:numId="20">
    <w:abstractNumId w:val="23"/>
  </w:num>
  <w:num w:numId="21">
    <w:abstractNumId w:val="9"/>
  </w:num>
  <w:num w:numId="22">
    <w:abstractNumId w:val="15"/>
  </w:num>
  <w:num w:numId="23">
    <w:abstractNumId w:val="2"/>
  </w:num>
  <w:num w:numId="24">
    <w:abstractNumId w:val="6"/>
  </w:num>
  <w:num w:numId="25">
    <w:abstractNumId w:val="22"/>
  </w:num>
  <w:num w:numId="26">
    <w:abstractNumId w:val="5"/>
  </w:num>
  <w:num w:numId="27">
    <w:abstractNumId w:val="12"/>
  </w:num>
  <w:num w:numId="28">
    <w:abstractNumId w:val="10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4364"/>
    <w:rsid w:val="00010A4D"/>
    <w:rsid w:val="00031E73"/>
    <w:rsid w:val="00043E7B"/>
    <w:rsid w:val="000638B5"/>
    <w:rsid w:val="00063DFF"/>
    <w:rsid w:val="000D394D"/>
    <w:rsid w:val="00100EF9"/>
    <w:rsid w:val="00120A45"/>
    <w:rsid w:val="00124E6A"/>
    <w:rsid w:val="001313E0"/>
    <w:rsid w:val="00153E09"/>
    <w:rsid w:val="00160DFC"/>
    <w:rsid w:val="001653D7"/>
    <w:rsid w:val="00167743"/>
    <w:rsid w:val="00187E31"/>
    <w:rsid w:val="001A1F1F"/>
    <w:rsid w:val="001A58BD"/>
    <w:rsid w:val="001A7538"/>
    <w:rsid w:val="001E391D"/>
    <w:rsid w:val="00205469"/>
    <w:rsid w:val="00210CBF"/>
    <w:rsid w:val="00250B70"/>
    <w:rsid w:val="00256B74"/>
    <w:rsid w:val="0027149A"/>
    <w:rsid w:val="00274F1A"/>
    <w:rsid w:val="0027678C"/>
    <w:rsid w:val="002A5636"/>
    <w:rsid w:val="002B7981"/>
    <w:rsid w:val="002D77C8"/>
    <w:rsid w:val="002F4AD1"/>
    <w:rsid w:val="00302594"/>
    <w:rsid w:val="003066BE"/>
    <w:rsid w:val="003066E2"/>
    <w:rsid w:val="003227CC"/>
    <w:rsid w:val="00326237"/>
    <w:rsid w:val="00340FA5"/>
    <w:rsid w:val="003452F9"/>
    <w:rsid w:val="003534E0"/>
    <w:rsid w:val="0037319B"/>
    <w:rsid w:val="0037722B"/>
    <w:rsid w:val="003B6923"/>
    <w:rsid w:val="003E1B8B"/>
    <w:rsid w:val="003E48FF"/>
    <w:rsid w:val="003F326D"/>
    <w:rsid w:val="003F4F92"/>
    <w:rsid w:val="003F66F7"/>
    <w:rsid w:val="003F79EF"/>
    <w:rsid w:val="00416286"/>
    <w:rsid w:val="00426372"/>
    <w:rsid w:val="0043191A"/>
    <w:rsid w:val="00462F24"/>
    <w:rsid w:val="004A5CD7"/>
    <w:rsid w:val="004C4CDB"/>
    <w:rsid w:val="004C6DA8"/>
    <w:rsid w:val="004D1319"/>
    <w:rsid w:val="004D7AC0"/>
    <w:rsid w:val="00527B47"/>
    <w:rsid w:val="00532089"/>
    <w:rsid w:val="00532F99"/>
    <w:rsid w:val="00557848"/>
    <w:rsid w:val="00586B4B"/>
    <w:rsid w:val="00594237"/>
    <w:rsid w:val="005A0BDA"/>
    <w:rsid w:val="005C2B2F"/>
    <w:rsid w:val="005C357F"/>
    <w:rsid w:val="005C6D36"/>
    <w:rsid w:val="005D3E1C"/>
    <w:rsid w:val="005E7651"/>
    <w:rsid w:val="00621347"/>
    <w:rsid w:val="00625CA3"/>
    <w:rsid w:val="00627FDF"/>
    <w:rsid w:val="00630779"/>
    <w:rsid w:val="00632B12"/>
    <w:rsid w:val="00641262"/>
    <w:rsid w:val="006553ED"/>
    <w:rsid w:val="00660482"/>
    <w:rsid w:val="00674278"/>
    <w:rsid w:val="006B2C49"/>
    <w:rsid w:val="006D2C8A"/>
    <w:rsid w:val="006D2D64"/>
    <w:rsid w:val="006E7051"/>
    <w:rsid w:val="00705489"/>
    <w:rsid w:val="00711298"/>
    <w:rsid w:val="00713CC2"/>
    <w:rsid w:val="007526DA"/>
    <w:rsid w:val="00753B41"/>
    <w:rsid w:val="00754027"/>
    <w:rsid w:val="007652C3"/>
    <w:rsid w:val="00766B1A"/>
    <w:rsid w:val="007E284A"/>
    <w:rsid w:val="007F5784"/>
    <w:rsid w:val="008072FE"/>
    <w:rsid w:val="008402C8"/>
    <w:rsid w:val="00845F24"/>
    <w:rsid w:val="00846483"/>
    <w:rsid w:val="00881A01"/>
    <w:rsid w:val="0088219D"/>
    <w:rsid w:val="00892105"/>
    <w:rsid w:val="008B1A24"/>
    <w:rsid w:val="008B4127"/>
    <w:rsid w:val="008D7FAC"/>
    <w:rsid w:val="009277D3"/>
    <w:rsid w:val="00933300"/>
    <w:rsid w:val="009338FC"/>
    <w:rsid w:val="009348BC"/>
    <w:rsid w:val="00940A7B"/>
    <w:rsid w:val="00950272"/>
    <w:rsid w:val="00974BD0"/>
    <w:rsid w:val="009858F5"/>
    <w:rsid w:val="009A66B9"/>
    <w:rsid w:val="009B3AED"/>
    <w:rsid w:val="00A05217"/>
    <w:rsid w:val="00A0600A"/>
    <w:rsid w:val="00A20E9D"/>
    <w:rsid w:val="00A22C83"/>
    <w:rsid w:val="00A272B2"/>
    <w:rsid w:val="00A3284F"/>
    <w:rsid w:val="00A43668"/>
    <w:rsid w:val="00A4486C"/>
    <w:rsid w:val="00A50553"/>
    <w:rsid w:val="00AC674C"/>
    <w:rsid w:val="00AD49F5"/>
    <w:rsid w:val="00AD4D97"/>
    <w:rsid w:val="00AF0EB2"/>
    <w:rsid w:val="00AF2146"/>
    <w:rsid w:val="00B077F4"/>
    <w:rsid w:val="00B16D84"/>
    <w:rsid w:val="00B203DA"/>
    <w:rsid w:val="00B241B1"/>
    <w:rsid w:val="00B458B2"/>
    <w:rsid w:val="00B518C9"/>
    <w:rsid w:val="00B55C6C"/>
    <w:rsid w:val="00B922EA"/>
    <w:rsid w:val="00BA0232"/>
    <w:rsid w:val="00BA6AA9"/>
    <w:rsid w:val="00BC7ED2"/>
    <w:rsid w:val="00BD64BD"/>
    <w:rsid w:val="00BE54B3"/>
    <w:rsid w:val="00BE5CBC"/>
    <w:rsid w:val="00BF79AB"/>
    <w:rsid w:val="00C008B4"/>
    <w:rsid w:val="00C17ABD"/>
    <w:rsid w:val="00C26C67"/>
    <w:rsid w:val="00C821A5"/>
    <w:rsid w:val="00CC7D10"/>
    <w:rsid w:val="00CD34E0"/>
    <w:rsid w:val="00CF196A"/>
    <w:rsid w:val="00D05167"/>
    <w:rsid w:val="00D0608D"/>
    <w:rsid w:val="00D33B4E"/>
    <w:rsid w:val="00D43613"/>
    <w:rsid w:val="00D505CF"/>
    <w:rsid w:val="00D66BF5"/>
    <w:rsid w:val="00D7076A"/>
    <w:rsid w:val="00D81F5E"/>
    <w:rsid w:val="00D86703"/>
    <w:rsid w:val="00D92269"/>
    <w:rsid w:val="00DE176A"/>
    <w:rsid w:val="00DF392C"/>
    <w:rsid w:val="00DF7590"/>
    <w:rsid w:val="00DF78D0"/>
    <w:rsid w:val="00E00A6B"/>
    <w:rsid w:val="00E2062A"/>
    <w:rsid w:val="00E235D3"/>
    <w:rsid w:val="00E25EB4"/>
    <w:rsid w:val="00E73175"/>
    <w:rsid w:val="00E77899"/>
    <w:rsid w:val="00E936F6"/>
    <w:rsid w:val="00EE1B31"/>
    <w:rsid w:val="00EF5581"/>
    <w:rsid w:val="00F15673"/>
    <w:rsid w:val="00F172E5"/>
    <w:rsid w:val="00F253CA"/>
    <w:rsid w:val="00F25B2E"/>
    <w:rsid w:val="00F43315"/>
    <w:rsid w:val="00F55F11"/>
    <w:rsid w:val="00F604AD"/>
    <w:rsid w:val="00F83C17"/>
    <w:rsid w:val="00F96D7F"/>
    <w:rsid w:val="00FA7B95"/>
    <w:rsid w:val="00FB4220"/>
    <w:rsid w:val="00FC178B"/>
    <w:rsid w:val="00FC456F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6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5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6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5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CD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066E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pl/our-work/opinions-information-reports/plenary-session-summaries" TargetMode="External"/><Relationship Id="rId18" Type="http://schemas.openxmlformats.org/officeDocument/2006/relationships/footer" Target="footer2.xml"/><Relationship Id="rId26" Type="http://schemas.openxmlformats.org/officeDocument/2006/relationships/hyperlink" Target="mailto:Georgios.Meleas@eesc.europa.eu" TargetMode="External"/><Relationship Id="rId39" Type="http://schemas.openxmlformats.org/officeDocument/2006/relationships/hyperlink" Target="mailto:Gaia.Bottoni@eesc.europ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esc.europa.eu/pl/our-work/opinions-information-reports/plenary-session-summaries" TargetMode="External"/><Relationship Id="rId34" Type="http://schemas.openxmlformats.org/officeDocument/2006/relationships/hyperlink" Target="https://health.ec.europa.eu/one-health/overview_pl" TargetMode="External"/><Relationship Id="rId42" Type="http://schemas.openxmlformats.org/officeDocument/2006/relationships/hyperlink" Target="mailto:Adam.Dorywalski@eesc.europa.eu" TargetMode="External"/><Relationship Id="rId47" Type="http://schemas.openxmlformats.org/officeDocument/2006/relationships/footer" Target="footer4.xml"/><Relationship Id="rId50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https://www.eesc.europa.eu/pl/our-work/opinions-information-reports/opinions/island-dimension-european-cohesion-competitiveness-and-sustainable-development-policies" TargetMode="External"/><Relationship Id="rId33" Type="http://schemas.openxmlformats.org/officeDocument/2006/relationships/hyperlink" Target="https://health.ec.europa.eu/publications/tartu-call-healthy-lifestyle-joint-actions-promote-healthy-lifestyles_pl" TargetMode="External"/><Relationship Id="rId38" Type="http://schemas.openxmlformats.org/officeDocument/2006/relationships/hyperlink" Target="https://www.eesc.europa.eu/pl/our-work/opinions-information-reports/opinions/roadmap-towards-nature-credits" TargetMode="External"/><Relationship Id="rId46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www.eesc.europa.eu/pl/our-work/opinions-information-reports/opinions/union-support-asylum-migration-and-integration-internal-security-and-integrated-border-management-and-visa-policy" TargetMode="External"/><Relationship Id="rId41" Type="http://schemas.openxmlformats.org/officeDocument/2006/relationships/hyperlink" Target="https://eur-lex.europa.eu/legal-content/PL/TXT/?uri=CELEX%3A52025XR0987&amp;qid=177066864909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Anna.Pantazi@eesc.europa.eu" TargetMode="External"/><Relationship Id="rId32" Type="http://schemas.openxmlformats.org/officeDocument/2006/relationships/hyperlink" Target="https://www.europarl.europa.eu/RegData/etudes/ATAG/2025/779215/EPRS_ATA(2025)779215_EN.pdf" TargetMode="External"/><Relationship Id="rId37" Type="http://schemas.openxmlformats.org/officeDocument/2006/relationships/hyperlink" Target="mailto:GiorgiaAndrea.Bordignon@eesc.europa.eu" TargetMode="External"/><Relationship Id="rId40" Type="http://schemas.openxmlformats.org/officeDocument/2006/relationships/hyperlink" Target="https://www.eesc.europa.eu/pl/our-work/opinions-information-reports/opinions/amending-regulation-eu-20241252-critical-raw-materials-act" TargetMode="External"/><Relationship Id="rId45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eesc.europa.eu/pl/our-work/opinions-information-reports/opinions/2026-european-semester-autumn-package" TargetMode="External"/><Relationship Id="rId28" Type="http://schemas.openxmlformats.org/officeDocument/2006/relationships/hyperlink" Target="mailto:Juri.Soosaar@eesc.europa.eu" TargetMode="External"/><Relationship Id="rId36" Type="http://schemas.openxmlformats.org/officeDocument/2006/relationships/hyperlink" Target="https://www.eesc.europa.eu/pl/our-work/opinions-information-reports/opinions/energy-connectivity-electricity-grids" TargetMode="External"/><Relationship Id="rId49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https://www.eesc.europa.eu/pl/our-work/opinions-information-reports/opinions/european-life-science-strategy-along-strategy-research-and-technology-infrastructures-focus-treatment-rare-diseases" TargetMode="External"/><Relationship Id="rId44" Type="http://schemas.openxmlformats.org/officeDocument/2006/relationships/hyperlink" Target="mailto:Luis.BarbosaESilva@eesc.europa.eu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Juri.Soosaar@eesc.europa.eu" TargetMode="External"/><Relationship Id="rId27" Type="http://schemas.openxmlformats.org/officeDocument/2006/relationships/hyperlink" Target="https://www.eesc.europa.eu/pl/our-work/opinions-information-reports/opinions/island-dimension-european-cohesion-competitiveness-and-sustainable-development-policies" TargetMode="External"/><Relationship Id="rId30" Type="http://schemas.openxmlformats.org/officeDocument/2006/relationships/hyperlink" Target="mailto:gemma.amran@eesc.europa.eu" TargetMode="External"/><Relationship Id="rId35" Type="http://schemas.openxmlformats.org/officeDocument/2006/relationships/hyperlink" Target="mailto:Konstantina.Angelopoulou@eesc.europa.eu" TargetMode="External"/><Relationship Id="rId43" Type="http://schemas.openxmlformats.org/officeDocument/2006/relationships/hyperlink" Target="https://www.eesc.europa.eu/pl/our-work/opinions-information-reports/opinions/enhancing-eu-strategic-autonomy-and-developing-greener-and-bluer-economy-potential-sodium-battery-manufacturing-sector" TargetMode="External"/><Relationship Id="rId48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VP3JK3XSEPRV-2087481956-3340</_dlc_DocId>
    <_dlc_DocIdUrl xmlns="7d640e6d-779c-472f-a269-6b546787f1c9">
      <Url>http://dm/eesc/2026/_layouts/15/DocIdRedir.aspx?ID=VP3JK3XSEPRV-2087481956-3340</Url>
      <Description>VP3JK3XSEPRV-2087481956-3340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2026-03-04T12:00:00+00:00</ProductionDate>
    <DocumentNumber xmlns="a95533f8-59af-4217-bc7a-c1167744adb0">247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MeetingDate xmlns="7d640e6d-779c-472f-a269-6b546787f1c9">2026-03-18T12:00:00+00:00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300453</FicheNumber>
    <OriginalSender xmlns="7d640e6d-779c-472f-a269-6b546787f1c9">
      <UserInfo>
        <DisplayName>Klimaszewska Agnieszka</DisplayName>
        <AccountId>1383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01E533-2872-482F-BDF3-172D834E4EC0}"/>
</file>

<file path=customXml/itemProps3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4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03EBBC-B428-477F-AB6A-163022156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4945</Words>
  <Characters>27203</Characters>
  <Application>Microsoft Office Word</Application>
  <DocSecurity>0</DocSecurity>
  <Lines>226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32084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 przyjętych opinii - 603. sesja plenarna - Luty 2026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32</cp:revision>
  <dcterms:created xsi:type="dcterms:W3CDTF">2026-02-26T08:13:00Z</dcterms:created>
  <dcterms:modified xsi:type="dcterms:W3CDTF">2026-03-04T10:42:00Z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26/02/2026, 02/05/2022, 02/05/2022, 28/06/2021</vt:lpwstr>
  </property>
  <property fmtid="{D5CDD505-2E9C-101B-9397-08002B2CF9AE}" pid="4" name="Pref_Time">
    <vt:lpwstr>09:12:28,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EESC-2026-00247-00-00-TCD-ORI.docx,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bb8cdac5-0412-4a9f-b3b3-7fe41817882f</vt:lpwstr>
  </property>
  <property fmtid="{D5CDD505-2E9C-101B-9397-08002B2CF9AE}" pid="9" name="AvailableTranslations">
    <vt:lpwstr>60;#EL|6d4f4d51-af9b-4650-94b4-4276bee85c91;#34;#HR|2f555653-ed1a-4fe6-8362-9082d95989e5;#45;#SV|c2ed69e7-a339-43d7-8f22-d93680a92aa0;#43;#BG|1a1b3951-7821-4e6a-85f5-5673fc08bd2c;#37;#HU|6b229040-c589-4408-b4c1-4285663d20a8;#31;#SL|98a412ae-eb01-49e9-ae3d-585a81724cfc;#4;#EN|f2175f21-25d7-44a3-96da-d6a61b075e1b;#30;#SK|46d9fce0-ef79-4f71-b89b-cd6aa82426b8;#12;#ES|e7a6b05b-ae16-40c8-add9-68b64b03aeba;#46;#DA|5d49c027-8956-412b-aa16-e85a0f96ad0e;#32;#PL|1e03da61-4678-4e07-b136-b5024ca9197b;#29;#CS|72f9705b-0217-4fd3-bea2-cbc7ed80e26e;#11;#DE|f6b31e5a-26fa-4935-b661-318e46daf27e;#44;#LT|a7ff5ce7-6123-4f68-865a-a57c31810414;#25;#FI|87606a43-d45f-42d6-b8c9-e1a3457db5b7;#27;#ET|ff6c3f4c-b02c-4c3c-ab07-2c37995a7a0a;#23;#FR|d2afafd3-4c81-4f60-8f52-ee33f2f54ff3;#51;#LV|46f7e311-5d9f-4663-b433-18aeccb7ace7;#36;#NL|55c6556c-b4f4-441d-9acf-c498d4f838bd;#28;#PT|50ccc04a-eadd-42ae-a0cb-acaf45f812ba;#55;#RO|feb747a2-64cd-4299-af12-4833ddc30497;#13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247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34;#HR|2f555653-ed1a-4fe6-8362-9082d95989e5;#31;#SL|98a412ae-eb01-49e9-ae3d-585a81724cfc;#55;#RO|feb747a2-64cd-4299-af12-4833ddc30497;#28;#PT|50ccc04a-eadd-42ae-a0cb-acaf45f812ba;#27;#ET|ff6c3f4c-b02c-4c3c-ab07-2c37995a7a0a;#25;#FI|87606a43-d45f-42d6-b8c9-e1a3457db5b7;#44;#LT|a7ff5ce7-6123-4f68-865a-a57c31810414;#23;#FR|d2afafd3-4c81-4f60-8f52-ee33f2f54ff3;#59;#SPL-CES|32d8cb1f-c9ec-4365-95c7-8385a18618ac;#19;#Unrestricted|826e22d7-d029-4ec0-a450-0c28ff673572;#18;#TCD|cd9d6eb6-3f4f-424a-b2d1-57c9d450eaaf;#51;#LV|46f7e311-5d9f-4663-b433-18aeccb7ace7;#13;#IT|0774613c-01ed-4e5d-a25d-11d2388de825;#12;#ES|e7a6b05b-ae16-40c8-add9-68b64b03aeba;#11;#DE|f6b31e5a-26fa-4935-b661-318e46daf27e;#9;#TRA|150d2a88-1431-44e6-a8ca-0bb753ab8672;#7;#Final|ea5e6674-7b27-4bac-b091-73adbb394efe;#43;#BG|1a1b3951-7821-4e6a-85f5-5673fc08bd2c;#4;#EN|f2175f21-25d7-44a3-96da-d6a61b075e1b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300453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32;#PL|1e03da61-4678-4e07-b136-b5024ca9197b</vt:lpwstr>
  </property>
  <property fmtid="{D5CDD505-2E9C-101B-9397-08002B2CF9AE}" pid="33" name="AvailableTranslations_0">
    <vt:lpwstr>HR|2f555653-ed1a-4fe6-8362-9082d95989e5;BG|1a1b3951-7821-4e6a-85f5-5673fc08bd2c;SL|98a412ae-eb01-49e9-ae3d-585a81724cfc;EN|f2175f21-25d7-44a3-96da-d6a61b075e1b;ES|e7a6b05b-ae16-40c8-add9-68b64b03aeba;DE|f6b31e5a-26fa-4935-b661-318e46daf27e;LT|a7ff5ce7-6123-4f68-865a-a57c31810414;FI|87606a43-d45f-42d6-b8c9-e1a3457db5b7;ET|ff6c3f4c-b02c-4c3c-ab07-2c37995a7a0a;FR|d2afafd3-4c81-4f60-8f52-ee33f2f54ff3;LV|46f7e311-5d9f-4663-b433-18aeccb7ace7;PT|50ccc04a-eadd-42ae-a0cb-acaf45f812ba;RO|feb747a2-64cd-4299-af12-4833ddc30497;IT|0774613c-01ed-4e5d-a25d-11d2388de825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604</vt:i4>
  </property>
  <property fmtid="{D5CDD505-2E9C-101B-9397-08002B2CF9AE}" pid="40" name="MeetingDate">
    <vt:filetime>2026-03-18T12:00:00Z</vt:filetime>
  </property>
</Properties>
</file>