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164982AB" w:rsidR="004D7AC0" w:rsidRDefault="004D7E35" w:rsidP="00100EF9">
      <w:pPr>
        <w:jc w:val="center"/>
      </w:pPr>
      <w:r>
        <w:rPr>
          <w:noProof/>
        </w:rPr>
        <w:drawing>
          <wp:inline distT="0" distB="0" distL="0" distR="0" wp14:anchorId="0317A57F" wp14:editId="78E22244">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1D26864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Briselē, 2026. gada 4. martā</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5E869ADC" w:rsidR="003066BE" w:rsidRDefault="004C4CDB" w:rsidP="00100EF9">
            <w:pPr>
              <w:snapToGrid w:val="0"/>
              <w:jc w:val="center"/>
              <w:rPr>
                <w:b/>
                <w:sz w:val="32"/>
                <w:szCs w:val="32"/>
              </w:rPr>
            </w:pPr>
            <w:r>
              <w:rPr>
                <w:b/>
                <w:sz w:val="32"/>
              </w:rPr>
              <w:t>603. PLENĀRĀ SESIJA</w:t>
            </w:r>
          </w:p>
          <w:p w14:paraId="4982DD54" w14:textId="77777777" w:rsidR="003066BE" w:rsidRDefault="003066BE" w:rsidP="00100EF9">
            <w:pPr>
              <w:snapToGrid w:val="0"/>
              <w:jc w:val="center"/>
              <w:rPr>
                <w:b/>
                <w:sz w:val="32"/>
                <w:szCs w:val="32"/>
              </w:rPr>
            </w:pPr>
          </w:p>
          <w:p w14:paraId="4982DD55" w14:textId="6CEFC9D4" w:rsidR="003066BE" w:rsidRDefault="003066E2" w:rsidP="00100EF9">
            <w:pPr>
              <w:snapToGrid w:val="0"/>
              <w:jc w:val="center"/>
              <w:rPr>
                <w:b/>
                <w:sz w:val="32"/>
                <w:szCs w:val="32"/>
              </w:rPr>
            </w:pPr>
            <w:r>
              <w:rPr>
                <w:b/>
                <w:sz w:val="32"/>
              </w:rPr>
              <w:t>2026. gada 18. un 19. februārī</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Pr>
                <w:b/>
                <w:sz w:val="32"/>
              </w:rPr>
              <w:t>PIEŅEMTO ATZINUMU UN REZOLŪCIJU, KĀ ARĪ INFORMATĪVO / NOVĒRTĒJUMA ZIŅOJUMU KOPSAVILKUMS</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00EF9">
            <w:pPr>
              <w:snapToGrid w:val="0"/>
              <w:jc w:val="center"/>
            </w:pPr>
            <w:r>
              <w:t>Šis dokuments visās oficiālajās Eiropas Savienības valodās ir pieejams EESK tīmekļa vietnē:</w:t>
            </w:r>
            <w:r>
              <w:br/>
            </w:r>
            <w:r>
              <w:br/>
            </w:r>
            <w:hyperlink r:id="rId13" w:history="1">
              <w:r>
                <w:rPr>
                  <w:rStyle w:val="Hyperlink"/>
                </w:rPr>
                <w:t>https://www.eesc.europa.eu/lv/our-work/opinions-information-reports/plenary-session-summaries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77777777" w:rsidR="004D7AC0" w:rsidRPr="00044561" w:rsidRDefault="004D7AC0" w:rsidP="00100EF9">
            <w:pPr>
              <w:snapToGrid w:val="0"/>
              <w:jc w:val="center"/>
            </w:pPr>
            <w:r>
              <w:t>Ar atzinumiem var iepazīties tiešsaistē, izmantojot EESK meklētājprogrammu:</w:t>
            </w:r>
            <w:r>
              <w:br/>
            </w:r>
            <w:r>
              <w:br/>
            </w:r>
            <w:hyperlink r:id="rId14" w:history="1">
              <w:r>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100EF9">
      <w:pPr>
        <w:rPr>
          <w:b/>
        </w:rPr>
      </w:pPr>
      <w:r>
        <w:rPr>
          <w:b/>
        </w:rPr>
        <w:lastRenderedPageBreak/>
        <w:t>Satura rādītājs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56E688B9" w14:textId="28B7E5A3" w:rsidR="007F1668" w:rsidRDefault="004D7AC0" w:rsidP="00E2492E">
          <w:pPr>
            <w:pStyle w:val="TOC1"/>
            <w:tabs>
              <w:tab w:val="left" w:pos="440"/>
              <w:tab w:val="right" w:leader="dot" w:pos="9063"/>
            </w:tabs>
            <w:jc w:val="left"/>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3510389" w:history="1">
            <w:r w:rsidR="007F1668" w:rsidRPr="009169E0">
              <w:rPr>
                <w:rStyle w:val="Hyperlink"/>
                <w:bCs/>
                <w:noProof/>
              </w:rPr>
              <w:t>1.</w:t>
            </w:r>
            <w:r w:rsidR="007F1668">
              <w:rPr>
                <w:rFonts w:asciiTheme="minorHAnsi" w:eastAsiaTheme="minorEastAsia" w:hAnsiTheme="minorHAnsi" w:cstheme="minorBidi"/>
                <w:noProof/>
                <w:lang w:val="en-US"/>
              </w:rPr>
              <w:tab/>
            </w:r>
            <w:r w:rsidR="007F1668" w:rsidRPr="009169E0">
              <w:rPr>
                <w:rStyle w:val="Hyperlink"/>
                <w:b/>
                <w:noProof/>
              </w:rPr>
              <w:t>EKONOMIKAS UN MONETĀRĀ SAVIENĪBA, EKONOMISKĀ UN SOCIĀLĀ KOHĒZIJA</w:t>
            </w:r>
            <w:r w:rsidR="007F1668">
              <w:rPr>
                <w:noProof/>
                <w:webHidden/>
              </w:rPr>
              <w:tab/>
            </w:r>
            <w:r w:rsidR="007F1668">
              <w:rPr>
                <w:noProof/>
                <w:webHidden/>
              </w:rPr>
              <w:fldChar w:fldCharType="begin"/>
            </w:r>
            <w:r w:rsidR="007F1668">
              <w:rPr>
                <w:noProof/>
                <w:webHidden/>
              </w:rPr>
              <w:instrText xml:space="preserve"> PAGEREF _Toc223510389 \h </w:instrText>
            </w:r>
            <w:r w:rsidR="007F1668">
              <w:rPr>
                <w:noProof/>
                <w:webHidden/>
              </w:rPr>
            </w:r>
            <w:r w:rsidR="007F1668">
              <w:rPr>
                <w:noProof/>
                <w:webHidden/>
              </w:rPr>
              <w:fldChar w:fldCharType="separate"/>
            </w:r>
            <w:r w:rsidR="007F1668">
              <w:rPr>
                <w:noProof/>
                <w:webHidden/>
              </w:rPr>
              <w:t>3</w:t>
            </w:r>
            <w:r w:rsidR="007F1668">
              <w:rPr>
                <w:noProof/>
                <w:webHidden/>
              </w:rPr>
              <w:fldChar w:fldCharType="end"/>
            </w:r>
          </w:hyperlink>
        </w:p>
        <w:p w14:paraId="6517FBA5" w14:textId="79151807" w:rsidR="007F1668" w:rsidRDefault="00E2492E" w:rsidP="00E2492E">
          <w:pPr>
            <w:pStyle w:val="TOC1"/>
            <w:tabs>
              <w:tab w:val="left" w:pos="440"/>
              <w:tab w:val="right" w:leader="dot" w:pos="9063"/>
            </w:tabs>
            <w:jc w:val="left"/>
            <w:rPr>
              <w:rFonts w:asciiTheme="minorHAnsi" w:eastAsiaTheme="minorEastAsia" w:hAnsiTheme="minorHAnsi" w:cstheme="minorBidi"/>
              <w:noProof/>
              <w:lang w:val="en-US"/>
            </w:rPr>
          </w:pPr>
          <w:hyperlink w:anchor="_Toc223510390" w:history="1">
            <w:r w:rsidR="007F1668" w:rsidRPr="009169E0">
              <w:rPr>
                <w:rStyle w:val="Hyperlink"/>
                <w:bCs/>
                <w:noProof/>
              </w:rPr>
              <w:t>2.</w:t>
            </w:r>
            <w:r w:rsidR="007F1668">
              <w:rPr>
                <w:rFonts w:asciiTheme="minorHAnsi" w:eastAsiaTheme="minorEastAsia" w:hAnsiTheme="minorHAnsi" w:cstheme="minorBidi"/>
                <w:noProof/>
                <w:lang w:val="en-US"/>
              </w:rPr>
              <w:tab/>
            </w:r>
            <w:r w:rsidR="007F1668" w:rsidRPr="009169E0">
              <w:rPr>
                <w:rStyle w:val="Hyperlink"/>
                <w:b/>
                <w:noProof/>
              </w:rPr>
              <w:t>NODARBINĀTĪBA, SOCIĀLĀS LIETAS UN PILSONISKUMS</w:t>
            </w:r>
            <w:r w:rsidR="007F1668">
              <w:rPr>
                <w:noProof/>
                <w:webHidden/>
              </w:rPr>
              <w:tab/>
            </w:r>
            <w:r w:rsidR="007F1668">
              <w:rPr>
                <w:noProof/>
                <w:webHidden/>
              </w:rPr>
              <w:fldChar w:fldCharType="begin"/>
            </w:r>
            <w:r w:rsidR="007F1668">
              <w:rPr>
                <w:noProof/>
                <w:webHidden/>
              </w:rPr>
              <w:instrText xml:space="preserve"> PAGEREF _Toc223510390 \h </w:instrText>
            </w:r>
            <w:r w:rsidR="007F1668">
              <w:rPr>
                <w:noProof/>
                <w:webHidden/>
              </w:rPr>
            </w:r>
            <w:r w:rsidR="007F1668">
              <w:rPr>
                <w:noProof/>
                <w:webHidden/>
              </w:rPr>
              <w:fldChar w:fldCharType="separate"/>
            </w:r>
            <w:r w:rsidR="007F1668">
              <w:rPr>
                <w:noProof/>
                <w:webHidden/>
              </w:rPr>
              <w:t>9</w:t>
            </w:r>
            <w:r w:rsidR="007F1668">
              <w:rPr>
                <w:noProof/>
                <w:webHidden/>
              </w:rPr>
              <w:fldChar w:fldCharType="end"/>
            </w:r>
          </w:hyperlink>
        </w:p>
        <w:p w14:paraId="641DCBFF" w14:textId="43B765AD" w:rsidR="007F1668" w:rsidRDefault="00E2492E" w:rsidP="00E2492E">
          <w:pPr>
            <w:pStyle w:val="TOC1"/>
            <w:tabs>
              <w:tab w:val="left" w:pos="440"/>
              <w:tab w:val="right" w:leader="dot" w:pos="9063"/>
            </w:tabs>
            <w:jc w:val="left"/>
            <w:rPr>
              <w:rFonts w:asciiTheme="minorHAnsi" w:eastAsiaTheme="minorEastAsia" w:hAnsiTheme="minorHAnsi" w:cstheme="minorBidi"/>
              <w:noProof/>
              <w:lang w:val="en-US"/>
            </w:rPr>
          </w:pPr>
          <w:hyperlink w:anchor="_Toc223510391" w:history="1">
            <w:r w:rsidR="007F1668" w:rsidRPr="009169E0">
              <w:rPr>
                <w:rStyle w:val="Hyperlink"/>
                <w:bCs/>
                <w:noProof/>
              </w:rPr>
              <w:t>3.</w:t>
            </w:r>
            <w:r w:rsidR="007F1668">
              <w:rPr>
                <w:rFonts w:asciiTheme="minorHAnsi" w:eastAsiaTheme="minorEastAsia" w:hAnsiTheme="minorHAnsi" w:cstheme="minorBidi"/>
                <w:noProof/>
                <w:lang w:val="en-US"/>
              </w:rPr>
              <w:tab/>
            </w:r>
            <w:r w:rsidR="007F1668" w:rsidRPr="009169E0">
              <w:rPr>
                <w:rStyle w:val="Hyperlink"/>
                <w:b/>
                <w:noProof/>
              </w:rPr>
              <w:t>TRANSPORTS, ENERĢĒTIKA, INFRASTRUKTŪRA UN INFORMĀCIJAS SABIEDRĪBA</w:t>
            </w:r>
            <w:r w:rsidR="007F1668">
              <w:rPr>
                <w:noProof/>
                <w:webHidden/>
              </w:rPr>
              <w:tab/>
            </w:r>
            <w:r w:rsidR="007F1668">
              <w:rPr>
                <w:noProof/>
                <w:webHidden/>
              </w:rPr>
              <w:fldChar w:fldCharType="begin"/>
            </w:r>
            <w:r w:rsidR="007F1668">
              <w:rPr>
                <w:noProof/>
                <w:webHidden/>
              </w:rPr>
              <w:instrText xml:space="preserve"> PAGEREF _Toc223510391 \h </w:instrText>
            </w:r>
            <w:r w:rsidR="007F1668">
              <w:rPr>
                <w:noProof/>
                <w:webHidden/>
              </w:rPr>
            </w:r>
            <w:r w:rsidR="007F1668">
              <w:rPr>
                <w:noProof/>
                <w:webHidden/>
              </w:rPr>
              <w:fldChar w:fldCharType="separate"/>
            </w:r>
            <w:r w:rsidR="007F1668">
              <w:rPr>
                <w:noProof/>
                <w:webHidden/>
              </w:rPr>
              <w:t>10</w:t>
            </w:r>
            <w:r w:rsidR="007F1668">
              <w:rPr>
                <w:noProof/>
                <w:webHidden/>
              </w:rPr>
              <w:fldChar w:fldCharType="end"/>
            </w:r>
          </w:hyperlink>
        </w:p>
        <w:p w14:paraId="6627D46B" w14:textId="16507FCC" w:rsidR="007F1668" w:rsidRDefault="00E2492E" w:rsidP="00E2492E">
          <w:pPr>
            <w:pStyle w:val="TOC1"/>
            <w:tabs>
              <w:tab w:val="left" w:pos="440"/>
              <w:tab w:val="right" w:leader="dot" w:pos="9063"/>
            </w:tabs>
            <w:jc w:val="left"/>
            <w:rPr>
              <w:rFonts w:asciiTheme="minorHAnsi" w:eastAsiaTheme="minorEastAsia" w:hAnsiTheme="minorHAnsi" w:cstheme="minorBidi"/>
              <w:noProof/>
              <w:lang w:val="en-US"/>
            </w:rPr>
          </w:pPr>
          <w:hyperlink w:anchor="_Toc223510392" w:history="1">
            <w:r w:rsidR="007F1668" w:rsidRPr="009169E0">
              <w:rPr>
                <w:rStyle w:val="Hyperlink"/>
                <w:bCs/>
                <w:noProof/>
              </w:rPr>
              <w:t>4.</w:t>
            </w:r>
            <w:r w:rsidR="007F1668">
              <w:rPr>
                <w:rFonts w:asciiTheme="minorHAnsi" w:eastAsiaTheme="minorEastAsia" w:hAnsiTheme="minorHAnsi" w:cstheme="minorBidi"/>
                <w:noProof/>
                <w:lang w:val="en-US"/>
              </w:rPr>
              <w:tab/>
            </w:r>
            <w:r w:rsidR="007F1668" w:rsidRPr="009169E0">
              <w:rPr>
                <w:rStyle w:val="Hyperlink"/>
                <w:b/>
                <w:noProof/>
              </w:rPr>
              <w:t>LAUKSAIMNIECĪBA, LAUKU ATTĪSTĪBA UN VIDE</w:t>
            </w:r>
            <w:r w:rsidR="007F1668">
              <w:rPr>
                <w:noProof/>
                <w:webHidden/>
              </w:rPr>
              <w:tab/>
            </w:r>
            <w:r w:rsidR="007F1668">
              <w:rPr>
                <w:noProof/>
                <w:webHidden/>
              </w:rPr>
              <w:fldChar w:fldCharType="begin"/>
            </w:r>
            <w:r w:rsidR="007F1668">
              <w:rPr>
                <w:noProof/>
                <w:webHidden/>
              </w:rPr>
              <w:instrText xml:space="preserve"> PAGEREF _Toc223510392 \h </w:instrText>
            </w:r>
            <w:r w:rsidR="007F1668">
              <w:rPr>
                <w:noProof/>
                <w:webHidden/>
              </w:rPr>
            </w:r>
            <w:r w:rsidR="007F1668">
              <w:rPr>
                <w:noProof/>
                <w:webHidden/>
              </w:rPr>
              <w:fldChar w:fldCharType="separate"/>
            </w:r>
            <w:r w:rsidR="007F1668">
              <w:rPr>
                <w:noProof/>
                <w:webHidden/>
              </w:rPr>
              <w:t>12</w:t>
            </w:r>
            <w:r w:rsidR="007F1668">
              <w:rPr>
                <w:noProof/>
                <w:webHidden/>
              </w:rPr>
              <w:fldChar w:fldCharType="end"/>
            </w:r>
          </w:hyperlink>
        </w:p>
        <w:p w14:paraId="210D0475" w14:textId="4E034D73" w:rsidR="007F1668" w:rsidRDefault="00E2492E">
          <w:pPr>
            <w:pStyle w:val="TOC1"/>
            <w:tabs>
              <w:tab w:val="left" w:pos="440"/>
              <w:tab w:val="right" w:leader="dot" w:pos="9063"/>
            </w:tabs>
            <w:rPr>
              <w:rFonts w:asciiTheme="minorHAnsi" w:eastAsiaTheme="minorEastAsia" w:hAnsiTheme="minorHAnsi" w:cstheme="minorBidi"/>
              <w:noProof/>
              <w:lang w:val="en-US"/>
            </w:rPr>
          </w:pPr>
          <w:hyperlink w:anchor="_Toc223510393" w:history="1">
            <w:r w:rsidR="007F1668" w:rsidRPr="009169E0">
              <w:rPr>
                <w:rStyle w:val="Hyperlink"/>
                <w:bCs/>
                <w:noProof/>
              </w:rPr>
              <w:t>5.</w:t>
            </w:r>
            <w:r w:rsidR="007F1668">
              <w:rPr>
                <w:rFonts w:asciiTheme="minorHAnsi" w:eastAsiaTheme="minorEastAsia" w:hAnsiTheme="minorHAnsi" w:cstheme="minorBidi"/>
                <w:noProof/>
                <w:lang w:val="en-US"/>
              </w:rPr>
              <w:tab/>
            </w:r>
            <w:r w:rsidR="007F1668" w:rsidRPr="009169E0">
              <w:rPr>
                <w:rStyle w:val="Hyperlink"/>
                <w:b/>
                <w:noProof/>
              </w:rPr>
              <w:t>RŪPNIECĪBAS PĀRMAIŅU KONSULTATĪVĀ KOMISIJA</w:t>
            </w:r>
            <w:r w:rsidR="007F1668">
              <w:rPr>
                <w:noProof/>
                <w:webHidden/>
              </w:rPr>
              <w:tab/>
            </w:r>
            <w:r w:rsidR="007F1668">
              <w:rPr>
                <w:noProof/>
                <w:webHidden/>
              </w:rPr>
              <w:fldChar w:fldCharType="begin"/>
            </w:r>
            <w:r w:rsidR="007F1668">
              <w:rPr>
                <w:noProof/>
                <w:webHidden/>
              </w:rPr>
              <w:instrText xml:space="preserve"> PAGEREF _Toc223510393 \h </w:instrText>
            </w:r>
            <w:r w:rsidR="007F1668">
              <w:rPr>
                <w:noProof/>
                <w:webHidden/>
              </w:rPr>
            </w:r>
            <w:r w:rsidR="007F1668">
              <w:rPr>
                <w:noProof/>
                <w:webHidden/>
              </w:rPr>
              <w:fldChar w:fldCharType="separate"/>
            </w:r>
            <w:r w:rsidR="007F1668">
              <w:rPr>
                <w:noProof/>
                <w:webHidden/>
              </w:rPr>
              <w:t>14</w:t>
            </w:r>
            <w:r w:rsidR="007F1668">
              <w:rPr>
                <w:noProof/>
                <w:webHidden/>
              </w:rPr>
              <w:fldChar w:fldCharType="end"/>
            </w:r>
          </w:hyperlink>
        </w:p>
        <w:p w14:paraId="4982DD6A" w14:textId="0B70D273" w:rsidR="004D7AC0" w:rsidRDefault="004D7AC0" w:rsidP="00100EF9">
          <w:r>
            <w:rPr>
              <w:b/>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3510389"/>
      <w:r>
        <w:rPr>
          <w:b/>
        </w:rPr>
        <w:lastRenderedPageBreak/>
        <w:t>EKONOMIKAS UN MONETĀRĀ SAVIENĪBA, EKONOMISKĀ UN SOCIĀLĀ KOHĒZIJA</w:t>
      </w:r>
      <w:bookmarkEnd w:id="0"/>
    </w:p>
    <w:p w14:paraId="4982DD97" w14:textId="77777777" w:rsidR="004D7AC0" w:rsidRDefault="004D7AC0" w:rsidP="00100EF9">
      <w:pPr>
        <w:pStyle w:val="ListParagraph"/>
        <w:ind w:left="0"/>
      </w:pPr>
    </w:p>
    <w:p w14:paraId="14BFA1D1" w14:textId="1A45DFD8" w:rsidR="001A1F1F" w:rsidRPr="001A1F1F" w:rsidRDefault="00E2492E" w:rsidP="00100EF9">
      <w:pPr>
        <w:widowControl w:val="0"/>
        <w:numPr>
          <w:ilvl w:val="0"/>
          <w:numId w:val="4"/>
        </w:numPr>
        <w:overflowPunct w:val="0"/>
        <w:autoSpaceDE w:val="0"/>
        <w:autoSpaceDN w:val="0"/>
        <w:adjustRightInd w:val="0"/>
        <w:ind w:hanging="567"/>
        <w:textAlignment w:val="baseline"/>
        <w:rPr>
          <w:b/>
          <w:i/>
          <w:iCs/>
          <w:sz w:val="28"/>
          <w:szCs w:val="28"/>
        </w:rPr>
      </w:pPr>
      <w:hyperlink r:id="rId21" w:history="1">
        <w:r w:rsidR="00E235D3">
          <w:rPr>
            <w:b/>
            <w:i/>
            <w:color w:val="0000FF"/>
            <w:sz w:val="28"/>
            <w:u w:val="single"/>
          </w:rPr>
          <w:t xml:space="preserve">Eiropas Prokuratūras un </w:t>
        </w:r>
        <w:r w:rsidR="00E235D3">
          <w:rPr>
            <w:b/>
            <w:i/>
            <w:iCs/>
            <w:color w:val="0000FF"/>
            <w:sz w:val="28"/>
            <w:u w:val="single"/>
          </w:rPr>
          <w:t>OLAF</w:t>
        </w:r>
        <w:r w:rsidR="00E235D3">
          <w:rPr>
            <w:b/>
            <w:i/>
            <w:color w:val="0000FF"/>
            <w:sz w:val="28"/>
            <w:u w:val="single"/>
          </w:rPr>
          <w:t xml:space="preserve"> piekļuve PVN informācijai Savienības līmenī</w:t>
        </w:r>
      </w:hyperlink>
    </w:p>
    <w:p w14:paraId="16AF8D1E" w14:textId="77777777" w:rsidR="001A1F1F" w:rsidRPr="001A1F1F" w:rsidRDefault="001A1F1F" w:rsidP="00100EF9">
      <w:pPr>
        <w:widowControl w:val="0"/>
        <w:overflowPunct w:val="0"/>
        <w:autoSpaceDE w:val="0"/>
        <w:autoSpaceDN w:val="0"/>
        <w:adjustRightInd w:val="0"/>
        <w:ind w:left="284"/>
        <w:textAlignment w:val="baseline"/>
        <w:rPr>
          <w:b/>
          <w:i/>
          <w:iCs/>
          <w:sz w:val="20"/>
          <w:szCs w:val="20"/>
          <w:lang w:val="en-GB"/>
        </w:rPr>
      </w:pPr>
    </w:p>
    <w:tbl>
      <w:tblPr>
        <w:tblStyle w:val="TableGrid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1A1F1F" w:rsidRPr="001A1F1F" w14:paraId="0C010C9C" w14:textId="77777777" w:rsidTr="00601D8A">
        <w:tc>
          <w:tcPr>
            <w:tcW w:w="1701" w:type="dxa"/>
          </w:tcPr>
          <w:p w14:paraId="67C58898" w14:textId="77777777"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Ziņotājs</w:t>
            </w:r>
          </w:p>
        </w:tc>
        <w:tc>
          <w:tcPr>
            <w:tcW w:w="7479" w:type="dxa"/>
          </w:tcPr>
          <w:p w14:paraId="2016211D" w14:textId="05A91267" w:rsidR="001A1F1F" w:rsidRPr="001A1F1F" w:rsidRDefault="001A1F1F" w:rsidP="00100EF9">
            <w:pPr>
              <w:tabs>
                <w:tab w:val="center" w:pos="284"/>
              </w:tabs>
              <w:overflowPunct w:val="0"/>
              <w:autoSpaceDE w:val="0"/>
              <w:autoSpaceDN w:val="0"/>
              <w:adjustRightInd w:val="0"/>
              <w:ind w:left="266" w:hanging="266"/>
              <w:textAlignment w:val="baseline"/>
            </w:pPr>
            <w:proofErr w:type="spellStart"/>
            <w:r>
              <w:t>Justyna</w:t>
            </w:r>
            <w:proofErr w:type="spellEnd"/>
            <w:r>
              <w:t xml:space="preserve"> </w:t>
            </w:r>
            <w:proofErr w:type="spellStart"/>
            <w:r>
              <w:t>Kalina</w:t>
            </w:r>
            <w:proofErr w:type="spellEnd"/>
            <w:r>
              <w:t xml:space="preserve"> OCHĘDZAN (Pilsoniskās sabiedrības organizāciju grupa – PL)</w:t>
            </w:r>
          </w:p>
        </w:tc>
      </w:tr>
      <w:tr w:rsidR="00205469" w:rsidRPr="001A1F1F" w14:paraId="2E27DAF9" w14:textId="77777777" w:rsidTr="00601D8A">
        <w:tc>
          <w:tcPr>
            <w:tcW w:w="1701" w:type="dxa"/>
          </w:tcPr>
          <w:p w14:paraId="2C056183" w14:textId="77777777" w:rsidR="00205469" w:rsidRPr="001A1F1F"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657AAC10" w14:textId="77777777" w:rsidR="00205469" w:rsidRPr="001A1F1F" w:rsidRDefault="00205469" w:rsidP="00100EF9">
            <w:pPr>
              <w:tabs>
                <w:tab w:val="center" w:pos="284"/>
              </w:tabs>
              <w:overflowPunct w:val="0"/>
              <w:autoSpaceDE w:val="0"/>
              <w:autoSpaceDN w:val="0"/>
              <w:adjustRightInd w:val="0"/>
              <w:ind w:left="266" w:hanging="266"/>
              <w:textAlignment w:val="baseline"/>
              <w:rPr>
                <w:bCs/>
              </w:rPr>
            </w:pPr>
          </w:p>
        </w:tc>
      </w:tr>
      <w:tr w:rsidR="001A1F1F" w:rsidRPr="001A1F1F" w14:paraId="7FD540DB" w14:textId="77777777" w:rsidTr="00601D8A">
        <w:tc>
          <w:tcPr>
            <w:tcW w:w="1701" w:type="dxa"/>
          </w:tcPr>
          <w:p w14:paraId="1F4D838E" w14:textId="0EE217C2"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Atsauces</w:t>
            </w:r>
          </w:p>
        </w:tc>
        <w:tc>
          <w:tcPr>
            <w:tcW w:w="7479" w:type="dxa"/>
          </w:tcPr>
          <w:p w14:paraId="7BBCB1FA" w14:textId="42339DFC" w:rsidR="001A1F1F" w:rsidRPr="001A1F1F" w:rsidRDefault="001A1F1F" w:rsidP="00100EF9">
            <w:pPr>
              <w:tabs>
                <w:tab w:val="center" w:pos="321"/>
              </w:tabs>
              <w:overflowPunct w:val="0"/>
              <w:autoSpaceDE w:val="0"/>
              <w:autoSpaceDN w:val="0"/>
              <w:adjustRightInd w:val="0"/>
              <w:textAlignment w:val="baseline"/>
            </w:pPr>
            <w:r>
              <w:t xml:space="preserve">COM(2025) 685 </w:t>
            </w:r>
            <w:proofErr w:type="spellStart"/>
            <w:r>
              <w:t>final</w:t>
            </w:r>
            <w:proofErr w:type="spellEnd"/>
          </w:p>
          <w:p w14:paraId="1104CA65" w14:textId="51409899" w:rsidR="001A1F1F" w:rsidRPr="001A1F1F" w:rsidRDefault="001A1F1F" w:rsidP="00100EF9">
            <w:pPr>
              <w:tabs>
                <w:tab w:val="center" w:pos="284"/>
              </w:tabs>
              <w:overflowPunct w:val="0"/>
              <w:autoSpaceDE w:val="0"/>
              <w:autoSpaceDN w:val="0"/>
              <w:adjustRightInd w:val="0"/>
              <w:ind w:left="266" w:hanging="266"/>
              <w:textAlignment w:val="baseline"/>
            </w:pPr>
            <w: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rPr>
      </w:pPr>
      <w:r>
        <w:t>EESK:</w:t>
      </w:r>
    </w:p>
    <w:p w14:paraId="2A48351A" w14:textId="77777777" w:rsidR="001A1F1F" w:rsidRPr="00153E09" w:rsidRDefault="001A1F1F" w:rsidP="007526DA">
      <w:pPr>
        <w:pStyle w:val="ListParagraph"/>
        <w:numPr>
          <w:ilvl w:val="0"/>
          <w:numId w:val="27"/>
        </w:numPr>
        <w:ind w:left="567" w:hanging="567"/>
      </w:pPr>
      <w:bookmarkStart w:id="1" w:name="_Toc222825813"/>
      <w:r>
        <w:t xml:space="preserve">pilnībā </w:t>
      </w:r>
      <w:r>
        <w:rPr>
          <w:b/>
        </w:rPr>
        <w:t>atbalsta</w:t>
      </w:r>
      <w:r>
        <w:t xml:space="preserve"> Komisijas centienus veicināt visaptverošāku un holistiskāku pieeju ar PVN saistītas krāpšanas apkarošanai, ļaujot Eiropas Prokuratūrai (</w:t>
      </w:r>
      <w:r>
        <w:rPr>
          <w:i/>
          <w:iCs/>
        </w:rPr>
        <w:t>EPPO</w:t>
      </w:r>
      <w:r>
        <w:t>) un Eiropas Birojam krāpšanas apkarošanai (</w:t>
      </w:r>
      <w:r>
        <w:rPr>
          <w:i/>
          <w:iCs/>
        </w:rPr>
        <w:t>OLAF</w:t>
      </w:r>
      <w:r>
        <w:t>) piekļūt pievienotās vērtības nodokļa (PVN) datiem saskaņā ar Padomes Regulu (ES) Nr. 904/2010;</w:t>
      </w:r>
      <w:bookmarkEnd w:id="1"/>
    </w:p>
    <w:p w14:paraId="2F29EED4" w14:textId="77777777" w:rsidR="001A1F1F" w:rsidRPr="00153E09" w:rsidRDefault="001A1F1F" w:rsidP="007526DA">
      <w:pPr>
        <w:pStyle w:val="ListParagraph"/>
        <w:numPr>
          <w:ilvl w:val="0"/>
          <w:numId w:val="27"/>
        </w:numPr>
        <w:ind w:left="567" w:hanging="567"/>
      </w:pPr>
      <w:bookmarkStart w:id="2" w:name="_Toc222825814"/>
      <w:r>
        <w:rPr>
          <w:b/>
        </w:rPr>
        <w:t>atzīmē</w:t>
      </w:r>
      <w:r>
        <w:t>: lai apkarotu visnozīmīgākos ar PVN saistītas krāpšanas veidus, ir jāļauj kompetentajām iestādēm ātri vākt, izmantot un savstarpēji salīdzināt ar PVN saistītu informāciju vairākās dalībvalstīs, tādējādi mazinot  kompetento nodokļu iestāžu kavēšanos ar reaģēšanu uz krāpnieciskām darbībām;</w:t>
      </w:r>
      <w:bookmarkEnd w:id="2"/>
    </w:p>
    <w:p w14:paraId="76BC0052" w14:textId="77777777" w:rsidR="001A1F1F" w:rsidRPr="00153E09" w:rsidRDefault="001A1F1F" w:rsidP="007526DA">
      <w:pPr>
        <w:pStyle w:val="ListParagraph"/>
        <w:numPr>
          <w:ilvl w:val="0"/>
          <w:numId w:val="27"/>
        </w:numPr>
        <w:ind w:left="567" w:hanging="567"/>
      </w:pPr>
      <w:bookmarkStart w:id="3" w:name="_Toc222825815"/>
      <w:r>
        <w:rPr>
          <w:b/>
        </w:rPr>
        <w:t>atzinīgi vērtē</w:t>
      </w:r>
      <w:r>
        <w:t xml:space="preserve"> to, ka Komisijas priekšlikums sagatavots pēc to noteikumu </w:t>
      </w:r>
      <w:proofErr w:type="spellStart"/>
      <w:r>
        <w:rPr>
          <w:i/>
          <w:iCs/>
        </w:rPr>
        <w:t>ex</w:t>
      </w:r>
      <w:proofErr w:type="spellEnd"/>
      <w:r>
        <w:rPr>
          <w:i/>
          <w:iCs/>
        </w:rPr>
        <w:t> post</w:t>
      </w:r>
      <w:r>
        <w:t xml:space="preserve"> novērtējuma, kas piemērojami saskaņā ar Padomes Regulu (ES) Nr. 904/2010, un tajā ņemtas vērā dalībvalstu sniegtās atsauksmes. EESK </w:t>
      </w:r>
      <w:r>
        <w:rPr>
          <w:b/>
        </w:rPr>
        <w:t>norāda</w:t>
      </w:r>
      <w:r>
        <w:t>, ka saistībā ar šo priekšlikumu netika veikts ietekmes novērtējums, bet atzīmē, ka tas notika dalībvalstu steidzamā pieprasījuma dēļ;</w:t>
      </w:r>
      <w:bookmarkEnd w:id="3"/>
    </w:p>
    <w:p w14:paraId="25654AAB" w14:textId="77777777" w:rsidR="001A1F1F" w:rsidRPr="00153E09" w:rsidRDefault="001A1F1F" w:rsidP="007526DA">
      <w:pPr>
        <w:pStyle w:val="ListParagraph"/>
        <w:numPr>
          <w:ilvl w:val="0"/>
          <w:numId w:val="27"/>
        </w:numPr>
        <w:ind w:left="567" w:hanging="567"/>
      </w:pPr>
      <w:bookmarkStart w:id="4" w:name="_Toc222825816"/>
      <w:r>
        <w:rPr>
          <w:b/>
        </w:rPr>
        <w:t xml:space="preserve">atzinīgi vērtē </w:t>
      </w:r>
      <w:r>
        <w:t xml:space="preserve">Komisijas nodomu uzlabot sadarbību starp attiecīgajām iestādēm, kas apkaro krāpšanu PVN jomā, tostarp iespēju uzlabot Eiropola un </w:t>
      </w:r>
      <w:proofErr w:type="spellStart"/>
      <w:r>
        <w:rPr>
          <w:i/>
          <w:iCs/>
        </w:rPr>
        <w:t>Eurofisc</w:t>
      </w:r>
      <w:proofErr w:type="spellEnd"/>
      <w:r>
        <w:t xml:space="preserve"> sadarbību Padomes Regulas (ES) Nr. 904/2010 satvarā, un mudina vēl vairāk pastiprināt strukturēto sadarbību starp visām dalībvalstu kompetentajām iestādēm.</w:t>
      </w:r>
      <w:bookmarkEnd w:id="4"/>
    </w:p>
    <w:p w14:paraId="39EE45C8" w14:textId="77777777" w:rsidR="001A1F1F" w:rsidRPr="001A1F1F" w:rsidRDefault="001A1F1F" w:rsidP="00100EF9">
      <w:pPr>
        <w:overflowPunct w:val="0"/>
        <w:autoSpaceDE w:val="0"/>
        <w:autoSpaceDN w:val="0"/>
        <w:adjustRightInd w:val="0"/>
        <w:textAlignment w:val="baseline"/>
        <w:rPr>
          <w:bCs/>
          <w:iC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694"/>
      </w:tblGrid>
      <w:tr w:rsidR="001A1F1F" w:rsidRPr="001A1F1F" w14:paraId="33327B63" w14:textId="77777777" w:rsidTr="00D0608D">
        <w:tc>
          <w:tcPr>
            <w:tcW w:w="1418" w:type="dxa"/>
          </w:tcPr>
          <w:p w14:paraId="04F7E453" w14:textId="77777777" w:rsidR="001A1F1F" w:rsidRPr="001A1F1F" w:rsidRDefault="001A1F1F" w:rsidP="00100EF9">
            <w:pPr>
              <w:overflowPunct w:val="0"/>
              <w:autoSpaceDE w:val="0"/>
              <w:autoSpaceDN w:val="0"/>
              <w:adjustRightInd w:val="0"/>
              <w:textAlignment w:val="baseline"/>
              <w:rPr>
                <w:i/>
              </w:rPr>
            </w:pPr>
            <w:r>
              <w:rPr>
                <w:b/>
                <w:i/>
              </w:rPr>
              <w:t>Kontaktpersona:</w:t>
            </w:r>
          </w:p>
        </w:tc>
        <w:tc>
          <w:tcPr>
            <w:tcW w:w="7762" w:type="dxa"/>
          </w:tcPr>
          <w:p w14:paraId="34FEEF63" w14:textId="62F84E0C" w:rsidR="001A1F1F" w:rsidRPr="001A1F1F" w:rsidRDefault="001A1F1F" w:rsidP="00100EF9">
            <w:pPr>
              <w:overflowPunct w:val="0"/>
              <w:autoSpaceDE w:val="0"/>
              <w:autoSpaceDN w:val="0"/>
              <w:adjustRightInd w:val="0"/>
              <w:textAlignment w:val="baseline"/>
              <w:rPr>
                <w:i/>
              </w:rPr>
            </w:pPr>
            <w:proofErr w:type="spellStart"/>
            <w:r>
              <w:rPr>
                <w:i/>
              </w:rPr>
              <w:t>Jüri</w:t>
            </w:r>
            <w:proofErr w:type="spellEnd"/>
            <w:r>
              <w:rPr>
                <w:i/>
              </w:rPr>
              <w:t xml:space="preserve"> </w:t>
            </w:r>
            <w:proofErr w:type="spellStart"/>
            <w:r>
              <w:rPr>
                <w:i/>
              </w:rPr>
              <w:t>Soosaar</w:t>
            </w:r>
            <w:proofErr w:type="spellEnd"/>
          </w:p>
        </w:tc>
      </w:tr>
      <w:tr w:rsidR="001A1F1F" w:rsidRPr="001A1F1F" w14:paraId="7DA1B58C" w14:textId="77777777" w:rsidTr="00D0608D">
        <w:tc>
          <w:tcPr>
            <w:tcW w:w="1418" w:type="dxa"/>
          </w:tcPr>
          <w:p w14:paraId="32B45750" w14:textId="77777777" w:rsidR="001A1F1F" w:rsidRPr="001A1F1F" w:rsidRDefault="001A1F1F" w:rsidP="00100EF9">
            <w:pPr>
              <w:overflowPunct w:val="0"/>
              <w:autoSpaceDE w:val="0"/>
              <w:autoSpaceDN w:val="0"/>
              <w:adjustRightInd w:val="0"/>
              <w:textAlignment w:val="baseline"/>
              <w:rPr>
                <w:i/>
              </w:rPr>
            </w:pPr>
            <w:r>
              <w:rPr>
                <w:i/>
              </w:rPr>
              <w:t>Tālr.:</w:t>
            </w:r>
          </w:p>
        </w:tc>
        <w:tc>
          <w:tcPr>
            <w:tcW w:w="7762" w:type="dxa"/>
          </w:tcPr>
          <w:p w14:paraId="4B866371" w14:textId="51149591" w:rsidR="001A1F1F" w:rsidRPr="001A1F1F" w:rsidRDefault="001A1F1F" w:rsidP="00100EF9">
            <w:pPr>
              <w:overflowPunct w:val="0"/>
              <w:autoSpaceDE w:val="0"/>
              <w:autoSpaceDN w:val="0"/>
              <w:adjustRightInd w:val="0"/>
              <w:textAlignment w:val="baseline"/>
              <w:rPr>
                <w:i/>
              </w:rPr>
            </w:pPr>
            <w:r>
              <w:rPr>
                <w:i/>
              </w:rPr>
              <w:t>+32 25469628</w:t>
            </w:r>
          </w:p>
        </w:tc>
      </w:tr>
      <w:tr w:rsidR="001A1F1F" w:rsidRPr="001A1F1F" w14:paraId="3A08DF12" w14:textId="77777777" w:rsidTr="00D0608D">
        <w:tc>
          <w:tcPr>
            <w:tcW w:w="1418" w:type="dxa"/>
          </w:tcPr>
          <w:p w14:paraId="3FBEB159" w14:textId="77777777" w:rsidR="001A1F1F" w:rsidRPr="001A1F1F" w:rsidRDefault="001A1F1F" w:rsidP="00100EF9">
            <w:pPr>
              <w:overflowPunct w:val="0"/>
              <w:autoSpaceDE w:val="0"/>
              <w:autoSpaceDN w:val="0"/>
              <w:adjustRightInd w:val="0"/>
              <w:textAlignment w:val="baseline"/>
              <w:rPr>
                <w:i/>
              </w:rPr>
            </w:pPr>
            <w:r>
              <w:rPr>
                <w:i/>
              </w:rPr>
              <w:t>E-pasts:</w:t>
            </w:r>
          </w:p>
        </w:tc>
        <w:tc>
          <w:tcPr>
            <w:tcW w:w="7762" w:type="dxa"/>
          </w:tcPr>
          <w:p w14:paraId="11A675FB" w14:textId="4E851F41" w:rsidR="001A1F1F" w:rsidRPr="001A1F1F" w:rsidRDefault="00E2492E" w:rsidP="00100EF9">
            <w:pPr>
              <w:overflowPunct w:val="0"/>
              <w:autoSpaceDE w:val="0"/>
              <w:autoSpaceDN w:val="0"/>
              <w:adjustRightInd w:val="0"/>
              <w:textAlignment w:val="baseline"/>
              <w:rPr>
                <w:i/>
                <w:iCs/>
              </w:rPr>
            </w:pPr>
            <w:hyperlink r:id="rId22" w:history="1">
              <w:r w:rsidR="00E235D3">
                <w:rPr>
                  <w:i/>
                  <w:color w:val="0000FF"/>
                  <w:u w:val="single"/>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00D67F94" w:rsidR="00627FDF" w:rsidRPr="00627FDF" w:rsidRDefault="00E2492E" w:rsidP="00100EF9">
      <w:pPr>
        <w:widowControl w:val="0"/>
        <w:numPr>
          <w:ilvl w:val="0"/>
          <w:numId w:val="4"/>
        </w:numPr>
        <w:overflowPunct w:val="0"/>
        <w:autoSpaceDE w:val="0"/>
        <w:autoSpaceDN w:val="0"/>
        <w:adjustRightInd w:val="0"/>
        <w:ind w:hanging="567"/>
        <w:textAlignment w:val="baseline"/>
        <w:rPr>
          <w:i/>
          <w:iCs/>
          <w:sz w:val="20"/>
          <w:szCs w:val="20"/>
        </w:rPr>
      </w:pPr>
      <w:hyperlink r:id="rId23" w:history="1">
        <w:r w:rsidR="00E235D3">
          <w:rPr>
            <w:b/>
            <w:i/>
            <w:color w:val="0000FF"/>
            <w:sz w:val="28"/>
            <w:u w:val="single"/>
          </w:rPr>
          <w:t>2026. gada Eiropas pusgads - rudens pakete</w:t>
        </w:r>
      </w:hyperlink>
    </w:p>
    <w:p w14:paraId="2922872A"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en-GB"/>
        </w:rPr>
      </w:pPr>
    </w:p>
    <w:tbl>
      <w:tblPr>
        <w:tblStyle w:val="TableGrid2"/>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627FDF" w:rsidRPr="00627FDF" w14:paraId="59DBBD6A" w14:textId="77777777" w:rsidTr="00601D8A">
        <w:tc>
          <w:tcPr>
            <w:tcW w:w="1077" w:type="pct"/>
          </w:tcPr>
          <w:p w14:paraId="2CA81E57" w14:textId="77777777"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48A0BF67" w14:textId="3FE90B23" w:rsidR="00627FDF" w:rsidRPr="00627FDF" w:rsidRDefault="00627FDF" w:rsidP="00100EF9">
            <w:pPr>
              <w:tabs>
                <w:tab w:val="center" w:pos="284"/>
              </w:tabs>
              <w:overflowPunct w:val="0"/>
              <w:autoSpaceDE w:val="0"/>
              <w:autoSpaceDN w:val="0"/>
              <w:adjustRightInd w:val="0"/>
              <w:ind w:left="266" w:right="-3091" w:hanging="266"/>
              <w:textAlignment w:val="baseline"/>
            </w:pPr>
            <w:proofErr w:type="spellStart"/>
            <w:r>
              <w:t>Luca</w:t>
            </w:r>
            <w:proofErr w:type="spellEnd"/>
            <w:r>
              <w:t xml:space="preserve"> JAHIER (Pilsoniskās sabiedrības organizāciju grupa – IT)</w:t>
            </w:r>
          </w:p>
        </w:tc>
      </w:tr>
      <w:tr w:rsidR="00205469" w:rsidRPr="00627FDF" w14:paraId="6A4A7A00" w14:textId="77777777" w:rsidTr="00601D8A">
        <w:tc>
          <w:tcPr>
            <w:tcW w:w="1077" w:type="pct"/>
          </w:tcPr>
          <w:p w14:paraId="12EA3C9E" w14:textId="77777777" w:rsidR="00205469" w:rsidRPr="00627FDF" w:rsidRDefault="00205469" w:rsidP="00100EF9">
            <w:pPr>
              <w:tabs>
                <w:tab w:val="center" w:pos="284"/>
              </w:tabs>
              <w:overflowPunct w:val="0"/>
              <w:autoSpaceDE w:val="0"/>
              <w:autoSpaceDN w:val="0"/>
              <w:adjustRightInd w:val="0"/>
              <w:ind w:left="266" w:hanging="266"/>
              <w:textAlignment w:val="baseline"/>
              <w:rPr>
                <w:b/>
              </w:rPr>
            </w:pPr>
          </w:p>
        </w:tc>
        <w:tc>
          <w:tcPr>
            <w:tcW w:w="3923" w:type="pct"/>
          </w:tcPr>
          <w:p w14:paraId="3F242FCC" w14:textId="77777777" w:rsidR="00205469" w:rsidRPr="00627FDF" w:rsidRDefault="00205469" w:rsidP="00100EF9">
            <w:pPr>
              <w:tabs>
                <w:tab w:val="center" w:pos="284"/>
              </w:tabs>
              <w:overflowPunct w:val="0"/>
              <w:autoSpaceDE w:val="0"/>
              <w:autoSpaceDN w:val="0"/>
              <w:adjustRightInd w:val="0"/>
              <w:ind w:left="266" w:right="-3091" w:hanging="266"/>
              <w:textAlignment w:val="baseline"/>
              <w:rPr>
                <w:bCs/>
                <w:lang w:val="en-GB"/>
              </w:rPr>
            </w:pPr>
          </w:p>
        </w:tc>
      </w:tr>
      <w:tr w:rsidR="00627FDF" w:rsidRPr="00627FDF" w14:paraId="261B2615" w14:textId="77777777" w:rsidTr="00601D8A">
        <w:tc>
          <w:tcPr>
            <w:tcW w:w="1077" w:type="pct"/>
          </w:tcPr>
          <w:p w14:paraId="5DFE7408" w14:textId="6FA9C295"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05B63FA9" w14:textId="3576FDD2" w:rsidR="00627FDF" w:rsidRPr="00627FDF" w:rsidRDefault="00627FDF" w:rsidP="00100EF9">
            <w:pPr>
              <w:tabs>
                <w:tab w:val="center" w:pos="284"/>
              </w:tabs>
              <w:overflowPunct w:val="0"/>
              <w:autoSpaceDE w:val="0"/>
              <w:autoSpaceDN w:val="0"/>
              <w:adjustRightInd w:val="0"/>
              <w:ind w:left="266" w:right="-3091" w:hanging="266"/>
              <w:textAlignment w:val="baseline"/>
            </w:pPr>
            <w:r>
              <w:t xml:space="preserve">COM(2025) 955 </w:t>
            </w:r>
            <w:proofErr w:type="spellStart"/>
            <w:r>
              <w:t>final</w:t>
            </w:r>
            <w:proofErr w:type="spellEnd"/>
          </w:p>
          <w:p w14:paraId="3BB4E753" w14:textId="77777777" w:rsidR="00627FDF" w:rsidRPr="00627FDF" w:rsidRDefault="00627FDF" w:rsidP="00100EF9">
            <w:pPr>
              <w:tabs>
                <w:tab w:val="center" w:pos="284"/>
              </w:tabs>
              <w:overflowPunct w:val="0"/>
              <w:autoSpaceDE w:val="0"/>
              <w:autoSpaceDN w:val="0"/>
              <w:adjustRightInd w:val="0"/>
              <w:ind w:left="266" w:right="-3091" w:hanging="266"/>
              <w:textAlignment w:val="baseline"/>
            </w:pPr>
            <w:r>
              <w:t>EESC-2025-03794-00-00-AC</w:t>
            </w:r>
          </w:p>
        </w:tc>
      </w:tr>
    </w:tbl>
    <w:p w14:paraId="7A90BFAE"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pt-PT"/>
        </w:rPr>
      </w:pPr>
    </w:p>
    <w:p w14:paraId="1E165E10" w14:textId="77777777" w:rsidR="00627FDF" w:rsidRDefault="00627FDF" w:rsidP="00100EF9">
      <w:pPr>
        <w:overflowPunct w:val="0"/>
        <w:autoSpaceDE w:val="0"/>
        <w:autoSpaceDN w:val="0"/>
        <w:adjustRightInd w:val="0"/>
        <w:textAlignment w:val="baseline"/>
        <w:rPr>
          <w:b/>
        </w:rPr>
      </w:pPr>
      <w:r>
        <w:rPr>
          <w:b/>
        </w:rPr>
        <w:t>Galvenās nostādnes</w:t>
      </w:r>
    </w:p>
    <w:p w14:paraId="6A1E467B" w14:textId="77777777" w:rsidR="002F4AD1" w:rsidRPr="00627FDF" w:rsidRDefault="002F4AD1" w:rsidP="00100EF9">
      <w:pPr>
        <w:overflowPunct w:val="0"/>
        <w:autoSpaceDE w:val="0"/>
        <w:autoSpaceDN w:val="0"/>
        <w:adjustRightInd w:val="0"/>
        <w:textAlignment w:val="baseline"/>
        <w:rPr>
          <w:bCs/>
          <w:iCs/>
          <w:lang w:val="en-GB"/>
        </w:rPr>
      </w:pPr>
    </w:p>
    <w:p w14:paraId="5B235C5C" w14:textId="77777777" w:rsidR="00627FDF" w:rsidRDefault="00627FDF" w:rsidP="00100EF9">
      <w:pPr>
        <w:overflowPunct w:val="0"/>
        <w:autoSpaceDE w:val="0"/>
        <w:autoSpaceDN w:val="0"/>
        <w:adjustRightInd w:val="0"/>
        <w:textAlignment w:val="baseline"/>
        <w:rPr>
          <w:bCs/>
          <w:iCs/>
        </w:rPr>
      </w:pPr>
      <w:r>
        <w:t>EESK:</w:t>
      </w:r>
    </w:p>
    <w:p w14:paraId="769B1960"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pauž nožēlu par to, ka Komisija atkal ir atturējusies iesniegt </w:t>
      </w:r>
      <w:r>
        <w:rPr>
          <w:b/>
        </w:rPr>
        <w:t>gada ilgtspējīgas izaugsmes pētījumu (GIIP)</w:t>
      </w:r>
      <w:r>
        <w:t xml:space="preserve">, un uzsver, ka </w:t>
      </w:r>
      <w:r>
        <w:rPr>
          <w:b/>
        </w:rPr>
        <w:t>ilgtspējīga ekonomikas izaugsme</w:t>
      </w:r>
      <w:r>
        <w:t xml:space="preserve"> ir vajadzīgs nosacījums, lai Eiropa varētu izpildīt savas daudzās saistības; atzinīgi vērtē </w:t>
      </w:r>
      <w:r>
        <w:rPr>
          <w:b/>
        </w:rPr>
        <w:t>Eiropas makroekonomikas ziņojumu</w:t>
      </w:r>
      <w:r>
        <w:t xml:space="preserve">, kurā sniegts padziļināts ieskats pamatā esošajās strukturālajās problēmās, ar kurām saskaras Eiropas Savienība, un </w:t>
      </w:r>
      <w:r>
        <w:rPr>
          <w:b/>
        </w:rPr>
        <w:t xml:space="preserve">jauno ieteikumu par </w:t>
      </w:r>
      <w:proofErr w:type="spellStart"/>
      <w:r>
        <w:rPr>
          <w:b/>
        </w:rPr>
        <w:t>cilvēkkapitālu</w:t>
      </w:r>
      <w:proofErr w:type="spellEnd"/>
      <w:r>
        <w:t>, kas ir būtisks elements, lai novērstu ES tehnoloģisko plaisu, ņemot vērā arī ES demogrāfiskās problēmas;</w:t>
      </w:r>
    </w:p>
    <w:p w14:paraId="37295D8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atkārtoti aicina stiprināt </w:t>
      </w:r>
      <w:r>
        <w:rPr>
          <w:b/>
        </w:rPr>
        <w:t>kopējās fiskālās spējas,</w:t>
      </w:r>
      <w:r>
        <w:t xml:space="preserve"> ko atbalsta mērķtiecīgas kopīgu parāda vērtspapīru emisijas, lai palīdzētu novērst šo pieaugošo publisko investīciju nepietiekamību, un izveidot pastāvīgus makroekonomikas stabilizācijas instrumentus satricinājumu novēršanai, pamatojoties uz pieredzi, kas gūta saistībā ar Eiropas pagaidu atbalsta instrumentu bezdarba risku mazināšanai ārkārtas situācijā (</w:t>
      </w:r>
      <w:r>
        <w:rPr>
          <w:i/>
          <w:iCs/>
        </w:rPr>
        <w:t>SURE</w:t>
      </w:r>
      <w:r>
        <w:t>), kurš būtu jāpadara par pastāvīgu instrumentu;</w:t>
      </w:r>
    </w:p>
    <w:p w14:paraId="48F6D6C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joprojām pauž bažas par </w:t>
      </w:r>
      <w:r>
        <w:rPr>
          <w:b/>
        </w:rPr>
        <w:t>ES finanšu tirgu sadrumstalotību</w:t>
      </w:r>
      <w:r>
        <w:t xml:space="preserve"> un aicina Komisiju izvērtēt, vai </w:t>
      </w:r>
      <w:r>
        <w:rPr>
          <w:b/>
        </w:rPr>
        <w:t>ES līmeņa instrumentu kopums, kas būtu līdzvērtīgs ASV Valsts vērtspapīru tirgu uzlabošanas aktam (</w:t>
      </w:r>
      <w:r>
        <w:rPr>
          <w:b/>
          <w:i/>
          <w:iCs/>
        </w:rPr>
        <w:t>NSMIA</w:t>
      </w:r>
      <w:r>
        <w:rPr>
          <w:b/>
        </w:rPr>
        <w:t>)</w:t>
      </w:r>
      <w:r>
        <w:t>, varētu vienkāršot pārrobežu piekļuvi tirgum, samazināt atbilstības sadrumstalotību un atbalstīt dziļākus, efektīvākus un likvīdākus tirgus, vienlaikus saglabājot nepieciešamo pašreizējās drošības līmeni;</w:t>
      </w:r>
    </w:p>
    <w:p w14:paraId="409B0B27"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atkārtoti aicina Komisiju steidzami </w:t>
      </w:r>
      <w:r>
        <w:rPr>
          <w:b/>
        </w:rPr>
        <w:t>pārskatīt ierosināto rādītāju kopumu, lai uzraudzītu makroekonomikas nelīdzsvarotības novēršanas procedūru (MNNP)</w:t>
      </w:r>
      <w:r>
        <w:t>. Viens no risinājumiem, kā uzlabot pašreizējo MNNP rezultātu pārskatu, varētu būt apvienotā sviras efekta attīstības uzraudzība, nevis pieturēšanās pie atsevišķām izolētām sistēmām;</w:t>
      </w:r>
    </w:p>
    <w:p w14:paraId="1707B61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uzskata, ka ir </w:t>
      </w:r>
      <w:r>
        <w:rPr>
          <w:b/>
        </w:rPr>
        <w:t>racionālāk jāizmanto sociālo rezultātu pārskats, pārskatītais MNNP rezultātu pārskats</w:t>
      </w:r>
      <w:r>
        <w:t xml:space="preserve"> un </w:t>
      </w:r>
      <w:r>
        <w:rPr>
          <w:b/>
        </w:rPr>
        <w:t xml:space="preserve">pārskatītā parāda </w:t>
      </w:r>
      <w:proofErr w:type="spellStart"/>
      <w:r>
        <w:rPr>
          <w:b/>
        </w:rPr>
        <w:t>atmaksājamības</w:t>
      </w:r>
      <w:proofErr w:type="spellEnd"/>
      <w:r>
        <w:rPr>
          <w:b/>
        </w:rPr>
        <w:t xml:space="preserve"> analīzes (DSA) metodika</w:t>
      </w:r>
      <w:r>
        <w:t xml:space="preserve">, </w:t>
      </w:r>
      <w:r>
        <w:rPr>
          <w:b/>
        </w:rPr>
        <w:t>ko papildina</w:t>
      </w:r>
      <w:r>
        <w:t xml:space="preserve"> Kopīgā pētniecības centra (</w:t>
      </w:r>
      <w:r>
        <w:rPr>
          <w:i/>
          <w:iCs/>
        </w:rPr>
        <w:t>JRC</w:t>
      </w:r>
      <w:r>
        <w:t xml:space="preserve">) ierosinātie jaunie </w:t>
      </w:r>
      <w:proofErr w:type="spellStart"/>
      <w:r>
        <w:rPr>
          <w:b/>
        </w:rPr>
        <w:t>labbūttības</w:t>
      </w:r>
      <w:proofErr w:type="spellEnd"/>
      <w:r>
        <w:rPr>
          <w:b/>
        </w:rPr>
        <w:t xml:space="preserve"> rādītāji</w:t>
      </w:r>
      <w:r>
        <w:t>;</w:t>
      </w:r>
    </w:p>
    <w:p w14:paraId="1DE1E29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aicina Komisiju </w:t>
      </w:r>
      <w:r>
        <w:rPr>
          <w:b/>
        </w:rPr>
        <w:t>sociālās konverģences sistēmu uzskatīt par līdzvērtīgu fiskālajai sistēmai</w:t>
      </w:r>
      <w:r>
        <w:t xml:space="preserve"> un nākamajos konkrētai valstij adresētos ieteikumos (KVAI) attiecīgi </w:t>
      </w:r>
      <w:r>
        <w:rPr>
          <w:b/>
        </w:rPr>
        <w:t>formulēt skaidrus ieteikumus</w:t>
      </w:r>
      <w:r>
        <w:t xml:space="preserve"> katrai dalībvalstij; aicina Komisiju ierosināt konkrētus stimulus dalībvalstīm, lai palielinātu </w:t>
      </w:r>
      <w:r>
        <w:rPr>
          <w:b/>
        </w:rPr>
        <w:t>elastības klauzulas izmantošanu sociālajiem ieguldījumiem</w:t>
      </w:r>
      <w:r>
        <w:t>;</w:t>
      </w:r>
    </w:p>
    <w:p w14:paraId="7DBF2201"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atkārtoti aicina veikt </w:t>
      </w:r>
      <w:r>
        <w:rPr>
          <w:b/>
        </w:rPr>
        <w:t>padziļinātu analīzi un precizēt paziņoto saikni starp Eiropas pusgadu</w:t>
      </w:r>
      <w:r>
        <w:t>, k</w:t>
      </w:r>
      <w:r>
        <w:rPr>
          <w:b/>
        </w:rPr>
        <w:t>onkurētspējas koordinācijas instrumentu</w:t>
      </w:r>
      <w:r>
        <w:t xml:space="preserve"> un ierosināto nākamo </w:t>
      </w:r>
      <w:r>
        <w:rPr>
          <w:b/>
        </w:rPr>
        <w:t>daudzgadu finanšu shēmu (DFS)</w:t>
      </w:r>
      <w:r>
        <w:t xml:space="preserve">; </w:t>
      </w:r>
    </w:p>
    <w:p w14:paraId="28888E6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aicina </w:t>
      </w:r>
      <w:r>
        <w:rPr>
          <w:b/>
        </w:rPr>
        <w:t>Eiropas Parlamentu</w:t>
      </w:r>
      <w:r>
        <w:t xml:space="preserve">, tāpat kā Atveseļošanas un noturības mehānisma (ANM) gadījumā, </w:t>
      </w:r>
      <w:r>
        <w:rPr>
          <w:b/>
        </w:rPr>
        <w:t>izveidot pastāvīgu uzraudzības un novērtēšanas komiteju “jaunajam” Eiropas pusgadam, valsts vidēja termiņa fiskālo strukturālo plānu</w:t>
      </w:r>
      <w:r>
        <w:t xml:space="preserve"> (VTFSP), </w:t>
      </w:r>
      <w:r>
        <w:rPr>
          <w:b/>
        </w:rPr>
        <w:t>KVAI īstenošanai un ikgadējai novērtēšanai un to konkrēto savstarpējo saistību ar turpmākajiem valstu un reģionu partnerības plāniem</w:t>
      </w:r>
      <w:r>
        <w:t xml:space="preserve"> (VRP plāniem) </w:t>
      </w:r>
      <w:r>
        <w:rPr>
          <w:b/>
        </w:rPr>
        <w:t>īstenošanai un ikgadējai novērtēšanai</w:t>
      </w:r>
      <w:r>
        <w:t>;</w:t>
      </w:r>
    </w:p>
    <w:p w14:paraId="19CCD46D"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lastRenderedPageBreak/>
        <w:t xml:space="preserve">aicina Komisiju </w:t>
      </w:r>
      <w:r>
        <w:rPr>
          <w:b/>
        </w:rPr>
        <w:t>izstrādāt izņēmuma klauzulu kā pagaidu ārkārtas instrumentu</w:t>
      </w:r>
      <w:r>
        <w:t xml:space="preserve">, nevis kā saskaņotas ilgtermiņa fiskālās un izaugsmes stratēģijas aizstājēju; aicina Komisiju novērtēt </w:t>
      </w:r>
      <w:r>
        <w:rPr>
          <w:b/>
        </w:rPr>
        <w:t>aizsardzības izdevumu pieaugošo lomu ES ilgtspējīgā izaugsmē</w:t>
      </w:r>
      <w:r>
        <w:t xml:space="preserve"> un to ietekmi uz turpmāko nodarbinātību un fiskālo stabilitāti;</w:t>
      </w:r>
    </w:p>
    <w:p w14:paraId="61FE117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atkārtoti aicina Eiropas pusgada cikla īstenošanā </w:t>
      </w:r>
      <w:r>
        <w:rPr>
          <w:b/>
        </w:rPr>
        <w:t xml:space="preserve">spēcīgāk, </w:t>
      </w:r>
      <w:proofErr w:type="spellStart"/>
      <w:r>
        <w:rPr>
          <w:b/>
        </w:rPr>
        <w:t>strukturētāk</w:t>
      </w:r>
      <w:proofErr w:type="spellEnd"/>
      <w:r>
        <w:rPr>
          <w:b/>
        </w:rPr>
        <w:t xml:space="preserve"> un </w:t>
      </w:r>
      <w:proofErr w:type="spellStart"/>
      <w:r>
        <w:rPr>
          <w:b/>
        </w:rPr>
        <w:t>jēgpilnāk</w:t>
      </w:r>
      <w:proofErr w:type="spellEnd"/>
      <w:r>
        <w:rPr>
          <w:b/>
        </w:rPr>
        <w:t xml:space="preserve"> iesaistīt sociālos partnerus un pilsoniskās sabiedrības organizācijas Eiropas, valstu un vietējā līmenī</w:t>
      </w:r>
      <w:r>
        <w:t>.</w:t>
      </w:r>
    </w:p>
    <w:p w14:paraId="6AF1FBF1" w14:textId="77777777" w:rsidR="00627FDF" w:rsidRPr="00627FDF" w:rsidRDefault="00627FDF" w:rsidP="00100EF9">
      <w:pPr>
        <w:widowControl w:val="0"/>
        <w:overflowPunct w:val="0"/>
        <w:autoSpaceDE w:val="0"/>
        <w:autoSpaceDN w:val="0"/>
        <w:adjustRightInd w:val="0"/>
        <w:ind w:left="567"/>
        <w:textAlignment w:val="baseline"/>
        <w:rPr>
          <w:bCs/>
          <w:i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694"/>
      </w:tblGrid>
      <w:tr w:rsidR="00627FDF" w:rsidRPr="00627FDF" w14:paraId="52F142FB" w14:textId="77777777" w:rsidTr="00601D8A">
        <w:tc>
          <w:tcPr>
            <w:tcW w:w="625" w:type="pct"/>
          </w:tcPr>
          <w:p w14:paraId="605B3F57" w14:textId="77777777" w:rsidR="00627FDF" w:rsidRPr="00627FDF" w:rsidRDefault="00627FDF" w:rsidP="00100EF9">
            <w:pPr>
              <w:overflowPunct w:val="0"/>
              <w:autoSpaceDE w:val="0"/>
              <w:autoSpaceDN w:val="0"/>
              <w:adjustRightInd w:val="0"/>
              <w:textAlignment w:val="baseline"/>
              <w:rPr>
                <w:i/>
              </w:rPr>
            </w:pPr>
            <w:r>
              <w:rPr>
                <w:b/>
                <w:i/>
              </w:rPr>
              <w:t>Kontaktpersona:</w:t>
            </w:r>
          </w:p>
        </w:tc>
        <w:tc>
          <w:tcPr>
            <w:tcW w:w="4375" w:type="pct"/>
          </w:tcPr>
          <w:p w14:paraId="2799D0F0" w14:textId="77777777" w:rsidR="00627FDF" w:rsidRPr="00627FDF" w:rsidRDefault="00627FDF" w:rsidP="00100EF9">
            <w:pPr>
              <w:overflowPunct w:val="0"/>
              <w:autoSpaceDE w:val="0"/>
              <w:autoSpaceDN w:val="0"/>
              <w:adjustRightInd w:val="0"/>
              <w:textAlignment w:val="baseline"/>
              <w:rPr>
                <w:i/>
              </w:rPr>
            </w:pPr>
            <w:r>
              <w:rPr>
                <w:i/>
              </w:rPr>
              <w:t xml:space="preserve">Anna </w:t>
            </w:r>
            <w:proofErr w:type="spellStart"/>
            <w:r>
              <w:rPr>
                <w:i/>
              </w:rPr>
              <w:t>Pantazi</w:t>
            </w:r>
            <w:proofErr w:type="spellEnd"/>
          </w:p>
        </w:tc>
      </w:tr>
      <w:tr w:rsidR="00627FDF" w:rsidRPr="00627FDF" w14:paraId="2AECF76E" w14:textId="77777777" w:rsidTr="00601D8A">
        <w:tc>
          <w:tcPr>
            <w:tcW w:w="625" w:type="pct"/>
          </w:tcPr>
          <w:p w14:paraId="0CA36F14" w14:textId="77777777" w:rsidR="00627FDF" w:rsidRPr="00627FDF" w:rsidRDefault="00627FDF" w:rsidP="00100EF9">
            <w:pPr>
              <w:overflowPunct w:val="0"/>
              <w:autoSpaceDE w:val="0"/>
              <w:autoSpaceDN w:val="0"/>
              <w:adjustRightInd w:val="0"/>
              <w:textAlignment w:val="baseline"/>
              <w:rPr>
                <w:i/>
              </w:rPr>
            </w:pPr>
            <w:r>
              <w:rPr>
                <w:i/>
              </w:rPr>
              <w:t>Tālr.:</w:t>
            </w:r>
          </w:p>
        </w:tc>
        <w:tc>
          <w:tcPr>
            <w:tcW w:w="4375" w:type="pct"/>
          </w:tcPr>
          <w:p w14:paraId="74E90836" w14:textId="1D42CC9B" w:rsidR="00627FDF" w:rsidRPr="00627FDF" w:rsidRDefault="00627FDF" w:rsidP="00100EF9">
            <w:pPr>
              <w:overflowPunct w:val="0"/>
              <w:autoSpaceDE w:val="0"/>
              <w:autoSpaceDN w:val="0"/>
              <w:adjustRightInd w:val="0"/>
              <w:textAlignment w:val="baseline"/>
              <w:rPr>
                <w:i/>
              </w:rPr>
            </w:pPr>
            <w:r>
              <w:rPr>
                <w:i/>
              </w:rPr>
              <w:t>+32 25469231</w:t>
            </w:r>
          </w:p>
        </w:tc>
      </w:tr>
      <w:tr w:rsidR="00627FDF" w:rsidRPr="00627FDF" w14:paraId="03A39DE3" w14:textId="77777777" w:rsidTr="00601D8A">
        <w:tc>
          <w:tcPr>
            <w:tcW w:w="625" w:type="pct"/>
          </w:tcPr>
          <w:p w14:paraId="5FDCFB85" w14:textId="77777777" w:rsidR="00627FDF" w:rsidRPr="00627FDF" w:rsidRDefault="00627FDF" w:rsidP="00100EF9">
            <w:pPr>
              <w:overflowPunct w:val="0"/>
              <w:autoSpaceDE w:val="0"/>
              <w:autoSpaceDN w:val="0"/>
              <w:adjustRightInd w:val="0"/>
              <w:textAlignment w:val="baseline"/>
              <w:rPr>
                <w:i/>
              </w:rPr>
            </w:pPr>
            <w:r>
              <w:rPr>
                <w:i/>
              </w:rPr>
              <w:t>E-pasts:</w:t>
            </w:r>
          </w:p>
        </w:tc>
        <w:tc>
          <w:tcPr>
            <w:tcW w:w="4375" w:type="pct"/>
          </w:tcPr>
          <w:p w14:paraId="3BA9FEE0" w14:textId="77777777" w:rsidR="00627FDF" w:rsidRPr="00627FDF" w:rsidRDefault="00E2492E" w:rsidP="00100EF9">
            <w:pPr>
              <w:overflowPunct w:val="0"/>
              <w:autoSpaceDE w:val="0"/>
              <w:autoSpaceDN w:val="0"/>
              <w:adjustRightInd w:val="0"/>
              <w:textAlignment w:val="baseline"/>
              <w:rPr>
                <w:i/>
              </w:rPr>
            </w:pPr>
            <w:hyperlink r:id="rId24" w:history="1">
              <w:r w:rsidR="00E235D3">
                <w:rPr>
                  <w:i/>
                  <w:color w:val="0000FF"/>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4EE86689" w:rsidR="00532F99" w:rsidRPr="00153E09" w:rsidRDefault="00E2492E" w:rsidP="00100EF9">
      <w:pPr>
        <w:widowControl w:val="0"/>
        <w:numPr>
          <w:ilvl w:val="0"/>
          <w:numId w:val="6"/>
        </w:numPr>
        <w:overflowPunct w:val="0"/>
        <w:autoSpaceDE w:val="0"/>
        <w:autoSpaceDN w:val="0"/>
        <w:adjustRightInd w:val="0"/>
        <w:ind w:hanging="567"/>
        <w:textAlignment w:val="baseline"/>
        <w:rPr>
          <w:b/>
          <w:i/>
          <w:iCs/>
          <w:sz w:val="28"/>
          <w:szCs w:val="28"/>
        </w:rPr>
      </w:pPr>
      <w:hyperlink r:id="rId25" w:history="1">
        <w:r w:rsidR="00532F99">
          <w:rPr>
            <w:b/>
            <w:i/>
            <w:color w:val="0000FF"/>
            <w:sz w:val="28"/>
            <w:u w:val="single"/>
          </w:rPr>
          <w:t>Salu dimensija Eiropas kohēzijas, konkurētspējas un ilgtspējīgas attīstības politikā</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32F99" w:rsidRPr="00532F99" w14:paraId="67745AC7" w14:textId="77777777" w:rsidTr="00D0608D">
        <w:tc>
          <w:tcPr>
            <w:tcW w:w="1701" w:type="dxa"/>
          </w:tcPr>
          <w:p w14:paraId="61C2DFEA"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Ziņotājs</w:t>
            </w:r>
          </w:p>
        </w:tc>
        <w:tc>
          <w:tcPr>
            <w:tcW w:w="7479" w:type="dxa"/>
          </w:tcPr>
          <w:p w14:paraId="1D4B2919" w14:textId="013947C3" w:rsidR="00153E09" w:rsidRPr="00532F99" w:rsidRDefault="00532F99" w:rsidP="00100EF9">
            <w:pPr>
              <w:tabs>
                <w:tab w:val="center" w:pos="284"/>
              </w:tabs>
              <w:overflowPunct w:val="0"/>
              <w:autoSpaceDE w:val="0"/>
              <w:autoSpaceDN w:val="0"/>
              <w:adjustRightInd w:val="0"/>
              <w:ind w:left="266" w:hanging="266"/>
              <w:textAlignment w:val="baseline"/>
            </w:pPr>
            <w:proofErr w:type="spellStart"/>
            <w:r>
              <w:t>Ioannis</w:t>
            </w:r>
            <w:proofErr w:type="spellEnd"/>
            <w:r>
              <w:t> VARDAKASTANIS (Pilsoniskās sabiedrības organizāciju grupa – EL)</w:t>
            </w:r>
          </w:p>
        </w:tc>
      </w:tr>
      <w:tr w:rsidR="00205469" w:rsidRPr="00532F99" w14:paraId="1E28C030" w14:textId="77777777" w:rsidTr="00D0608D">
        <w:tc>
          <w:tcPr>
            <w:tcW w:w="1701" w:type="dxa"/>
          </w:tcPr>
          <w:p w14:paraId="6556B0F0" w14:textId="77777777" w:rsidR="00205469" w:rsidRPr="00532F99"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49CED0B0" w14:textId="77777777" w:rsidR="00205469" w:rsidRPr="00532F99" w:rsidRDefault="00205469" w:rsidP="00100EF9">
            <w:pPr>
              <w:tabs>
                <w:tab w:val="center" w:pos="284"/>
              </w:tabs>
              <w:overflowPunct w:val="0"/>
              <w:autoSpaceDE w:val="0"/>
              <w:autoSpaceDN w:val="0"/>
              <w:adjustRightInd w:val="0"/>
              <w:ind w:left="266" w:hanging="266"/>
              <w:textAlignment w:val="baseline"/>
              <w:rPr>
                <w:bCs/>
              </w:rPr>
            </w:pPr>
          </w:p>
        </w:tc>
      </w:tr>
      <w:tr w:rsidR="00532F99" w:rsidRPr="00532F99" w14:paraId="6B1B0BDA" w14:textId="77777777" w:rsidTr="00D0608D">
        <w:tc>
          <w:tcPr>
            <w:tcW w:w="1701" w:type="dxa"/>
          </w:tcPr>
          <w:p w14:paraId="2C89221D"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Atsauces</w:t>
            </w:r>
          </w:p>
        </w:tc>
        <w:tc>
          <w:tcPr>
            <w:tcW w:w="7479" w:type="dxa"/>
          </w:tcPr>
          <w:p w14:paraId="23EE8050" w14:textId="0AD297F8" w:rsidR="00532F99" w:rsidRPr="00532F99" w:rsidRDefault="00532F99" w:rsidP="00100EF9">
            <w:pPr>
              <w:tabs>
                <w:tab w:val="center" w:pos="321"/>
              </w:tabs>
              <w:overflowPunct w:val="0"/>
              <w:autoSpaceDE w:val="0"/>
              <w:autoSpaceDN w:val="0"/>
              <w:adjustRightInd w:val="0"/>
              <w:textAlignment w:val="baseline"/>
            </w:pPr>
            <w:r>
              <w:t>(izpētes atzinums pēc ES Padomes prezidentvalsts Kipras pieprasījuma)</w:t>
            </w:r>
          </w:p>
          <w:p w14:paraId="0FBD455F" w14:textId="4C1CCA1A" w:rsidR="00532F99" w:rsidRPr="00532F99" w:rsidRDefault="00532F99" w:rsidP="00100EF9">
            <w:pPr>
              <w:tabs>
                <w:tab w:val="center" w:pos="284"/>
              </w:tabs>
              <w:overflowPunct w:val="0"/>
              <w:autoSpaceDE w:val="0"/>
              <w:autoSpaceDN w:val="0"/>
              <w:adjustRightInd w:val="0"/>
              <w:ind w:left="266" w:hanging="266"/>
              <w:textAlignment w:val="baseline"/>
            </w:pPr>
            <w: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rPr>
      </w:pPr>
      <w:r>
        <w:t>EESK:</w:t>
      </w:r>
    </w:p>
    <w:p w14:paraId="4843EC5E" w14:textId="77777777" w:rsidR="00532F99" w:rsidRPr="00AD4D97" w:rsidRDefault="00532F99" w:rsidP="007526DA">
      <w:pPr>
        <w:pStyle w:val="ListParagraph"/>
        <w:numPr>
          <w:ilvl w:val="0"/>
          <w:numId w:val="28"/>
        </w:numPr>
        <w:ind w:left="567" w:hanging="567"/>
      </w:pPr>
      <w:bookmarkStart w:id="5" w:name="_Toc222825817"/>
      <w:r>
        <w:t xml:space="preserve">uzskata, ka ES salas saskaras ar </w:t>
      </w:r>
      <w:r>
        <w:rPr>
          <w:u w:val="single"/>
        </w:rPr>
        <w:t>pastāvīgiem strukturāliem šķēršļiem</w:t>
      </w:r>
      <w:r>
        <w:t>, t. i., ģeogrāfiskiem, ekonomiskiem, demogrāfiskiem un ar klimatu saistītiem ierobežojumiem, piemēram, izolāciju, ledus kušanu, augstām transporta un enerģijas izmaksām, mājokļu spiedienu, darbaspēka trūkumu un pārmērīgu paļaušanos uz tūrismu;</w:t>
      </w:r>
      <w:bookmarkEnd w:id="5"/>
    </w:p>
    <w:p w14:paraId="70CF9AE7" w14:textId="77777777" w:rsidR="00532F99" w:rsidRPr="00AD4D97" w:rsidRDefault="00532F99" w:rsidP="007526DA">
      <w:pPr>
        <w:pStyle w:val="ListParagraph"/>
        <w:numPr>
          <w:ilvl w:val="0"/>
          <w:numId w:val="28"/>
        </w:numPr>
        <w:ind w:left="567" w:hanging="567"/>
        <w:rPr>
          <w:u w:val="single"/>
        </w:rPr>
      </w:pPr>
      <w:bookmarkStart w:id="6" w:name="_Toc222825818"/>
      <w:r>
        <w:t>uzskata, ka salām ir būtiska nozīme ES ģeopolitiskajā pozicionēšanā, migrācijas pārvaldībā, jūras drošībā un enerģētikas pārkārtošanā. To jūras ekosistēmas un ekskluzīvās ekonomiskās zonas ir zilās ekonomikas un bioloģiskās daudzveidības mērķu pamatā. Lai gan salu unikālās problēmas ir atzītas ES līgumos un politiskajos paziņojumos, ES nozaru politikā tās nav pienācīgi risinātas. Salām ir potenciāls kļūt par inovācijas un ilgtspējas laboratorijām, kas demonstrē risinājumus attiecībā uz pielāgošanos klimata pārmaiņām, atjaunīgo enerģiju, jūras saglabāšanu un ilgtspējīgu tūrismu;</w:t>
      </w:r>
      <w:bookmarkEnd w:id="6"/>
    </w:p>
    <w:p w14:paraId="67767811" w14:textId="77777777" w:rsidR="00532F99" w:rsidRPr="00AD4D97" w:rsidRDefault="00532F99" w:rsidP="007526DA">
      <w:pPr>
        <w:pStyle w:val="ListParagraph"/>
        <w:numPr>
          <w:ilvl w:val="0"/>
          <w:numId w:val="28"/>
        </w:numPr>
        <w:ind w:left="567" w:hanging="567"/>
      </w:pPr>
      <w:bookmarkStart w:id="7" w:name="_Toc222825819"/>
      <w:r>
        <w:rPr>
          <w:u w:val="single"/>
        </w:rPr>
        <w:t>atzīst, ka ir vajadzīga sistēmiska pieeja</w:t>
      </w:r>
      <w:r>
        <w:t>. Efektīvai ES politikai attiecībā uz salām un salu teritorijām kopumā (tostarp tālākajiem reģioniem un ezeru reģioniem) ir vajadzīgas integrētas starpnozaru stratēģijas, kas pievēršas savienojamībai, ekonomikas dažādošanai, sociālajai kohēzijai, ekoloģiskajai, sociālajai un ekonomiskajai noturībai un ģeopolitiskajai gatavībai;</w:t>
      </w:r>
      <w:bookmarkEnd w:id="7"/>
    </w:p>
    <w:p w14:paraId="46E91099" w14:textId="77777777" w:rsidR="00532F99" w:rsidRPr="00AD4D97" w:rsidRDefault="00532F99" w:rsidP="007526DA">
      <w:pPr>
        <w:pStyle w:val="ListParagraph"/>
        <w:numPr>
          <w:ilvl w:val="0"/>
          <w:numId w:val="28"/>
        </w:numPr>
        <w:ind w:left="567" w:hanging="567"/>
      </w:pPr>
      <w:bookmarkStart w:id="8" w:name="_Toc222825820"/>
      <w:r>
        <w:t>aicina izveidot īpašu Savienības stratēģiju salām (</w:t>
      </w:r>
      <w:r>
        <w:rPr>
          <w:b/>
        </w:rPr>
        <w:t>Salu pakts</w:t>
      </w:r>
      <w:r>
        <w:t>), ko atbalstītu īpašs tiesiskais regulējums (</w:t>
      </w:r>
      <w:r>
        <w:rPr>
          <w:b/>
        </w:rPr>
        <w:t>Salu akts</w:t>
      </w:r>
      <w:r>
        <w:t>). Minētais satvars būtu jāpapildina ar oficiālu stratēģiju, un tam būtu jānodrošina “</w:t>
      </w:r>
      <w:r>
        <w:rPr>
          <w:b/>
        </w:rPr>
        <w:t>salu izolētības klauzulas</w:t>
      </w:r>
      <w:r>
        <w:t>” efektīva īstenošana, lai salu īpašās vajadzības un ierobežojumus sistemātiski integrētu Savienības kohēzijas, transporta, enerģētikas, valsts atbalsta, vides un jūrlietu politikā;</w:t>
      </w:r>
      <w:bookmarkEnd w:id="8"/>
    </w:p>
    <w:p w14:paraId="762E910D" w14:textId="77777777" w:rsidR="00532F99" w:rsidRPr="00AD4D97" w:rsidRDefault="00532F99" w:rsidP="007526DA">
      <w:pPr>
        <w:pStyle w:val="ListParagraph"/>
        <w:numPr>
          <w:ilvl w:val="0"/>
          <w:numId w:val="28"/>
        </w:numPr>
        <w:ind w:left="567" w:hanging="567"/>
      </w:pPr>
      <w:bookmarkStart w:id="9" w:name="_Toc222825821"/>
      <w:r>
        <w:t xml:space="preserve">uzsver, ka salu teritoriju savienojamības un infrastruktūras uzlabošana ir būtiska teritoriālajai kohēzijai, un aicina uzlabot transporta un sabiedriskās mobilitātes sistēmas, pastiprināt digitālo savienojamību un noturīgākus </w:t>
      </w:r>
      <w:proofErr w:type="spellStart"/>
      <w:r>
        <w:t>energotīklus</w:t>
      </w:r>
      <w:proofErr w:type="spellEnd"/>
      <w:r>
        <w:t>, skaidri koncentrējoties uz dekarbonizāciju, enerģētisko autonomiju;</w:t>
      </w:r>
      <w:bookmarkEnd w:id="9"/>
    </w:p>
    <w:p w14:paraId="737F86E5" w14:textId="77777777" w:rsidR="00532F99" w:rsidRPr="00AD4D97" w:rsidRDefault="00532F99" w:rsidP="007526DA">
      <w:pPr>
        <w:pStyle w:val="ListParagraph"/>
        <w:numPr>
          <w:ilvl w:val="0"/>
          <w:numId w:val="28"/>
        </w:numPr>
        <w:ind w:left="567" w:hanging="567"/>
      </w:pPr>
      <w:bookmarkStart w:id="10" w:name="_Toc222825822"/>
      <w:r>
        <w:t>uzsver, ka salu reģioniem būtu jādažādo sava ekonomika, attīstot ilgtspējīgu un konkurētspējīgu zilo ekonomiku, kuras pamatā ir to unikālās priekšrocības, piemēram, jūras resursi, atjaunīgās enerģijas potenciāls, tūrisms, kultūras mantojums un radošās nozares;</w:t>
      </w:r>
      <w:bookmarkEnd w:id="10"/>
    </w:p>
    <w:p w14:paraId="7E670409" w14:textId="77777777" w:rsidR="00532F99" w:rsidRPr="00AD4D97" w:rsidRDefault="00532F99" w:rsidP="007526DA">
      <w:pPr>
        <w:pStyle w:val="ListParagraph"/>
        <w:numPr>
          <w:ilvl w:val="0"/>
          <w:numId w:val="28"/>
        </w:numPr>
        <w:ind w:left="567" w:hanging="567"/>
      </w:pPr>
      <w:bookmarkStart w:id="11" w:name="_Toc222825823"/>
      <w:r>
        <w:t xml:space="preserve">uzsver, ka sociālā kohēzija un </w:t>
      </w:r>
      <w:proofErr w:type="spellStart"/>
      <w:r>
        <w:t>cilvēkkapitāla</w:t>
      </w:r>
      <w:proofErr w:type="spellEnd"/>
      <w:r>
        <w:t xml:space="preserve"> attīstība ir būtiska salu kopienu ilgtermiņa ilgtspējas nodrošināšanai. Tā aicina, izmantojot iekļaujošu izglītību, kvalitatīvas nodarbinātības iespējas un cenas ziņā pieejamus mājokļu risinājumus, kas pielāgoti salu īpatnībām, īstenot mērķtiecīgu politiku, lai novērstu mājokļu trūkumu, darba tirgus neatbilstību, prasmju trūkumu un jauniešu izceļošanu;</w:t>
      </w:r>
      <w:bookmarkEnd w:id="11"/>
    </w:p>
    <w:p w14:paraId="5112CF6B" w14:textId="77777777" w:rsidR="00532F99" w:rsidRPr="00AD4D97" w:rsidRDefault="00532F99" w:rsidP="007526DA">
      <w:pPr>
        <w:pStyle w:val="ListParagraph"/>
        <w:numPr>
          <w:ilvl w:val="0"/>
          <w:numId w:val="28"/>
        </w:numPr>
        <w:ind w:left="567" w:hanging="567"/>
        <w:rPr>
          <w:sz w:val="24"/>
          <w:szCs w:val="24"/>
        </w:rPr>
      </w:pPr>
      <w:bookmarkStart w:id="12" w:name="_Toc222825824"/>
      <w:r>
        <w:t xml:space="preserve">uzsver, ka ir steidzami jāpanāk progress vides aizsardzības un </w:t>
      </w:r>
      <w:proofErr w:type="spellStart"/>
      <w:r>
        <w:t>klimatnoturības</w:t>
      </w:r>
      <w:proofErr w:type="spellEnd"/>
      <w:r>
        <w:t xml:space="preserve"> jomā salu teritorijās, kuras ir nesamērīgi pakļautas klimata pārmaiņām;</w:t>
      </w:r>
      <w:bookmarkEnd w:id="12"/>
    </w:p>
    <w:p w14:paraId="59AC2957" w14:textId="77777777" w:rsidR="00532F99" w:rsidRPr="00AD4D97" w:rsidRDefault="00532F99" w:rsidP="007526DA">
      <w:pPr>
        <w:pStyle w:val="ListParagraph"/>
        <w:numPr>
          <w:ilvl w:val="0"/>
          <w:numId w:val="28"/>
        </w:numPr>
        <w:ind w:left="567" w:hanging="567"/>
      </w:pPr>
      <w:bookmarkStart w:id="13" w:name="_Toc222825825"/>
      <w:r>
        <w:lastRenderedPageBreak/>
        <w:t xml:space="preserve">aicina salu politikā oficiāli integrēt uzraudzību, prognozēšanu un līdzdalīgu pārvaldību un ierosina sniegt </w:t>
      </w:r>
      <w:r>
        <w:rPr>
          <w:b/>
        </w:rPr>
        <w:t>regulāru īstenošanas ziņojumu par salu</w:t>
      </w:r>
      <w:r>
        <w:t>, lai izsekotu svarīgākos demogrāfiskos, ekonomiskos, sociālos un vides rādītājus;</w:t>
      </w:r>
      <w:bookmarkEnd w:id="13"/>
      <w:r>
        <w:t xml:space="preserve"> </w:t>
      </w:r>
    </w:p>
    <w:p w14:paraId="3CBAD6E8" w14:textId="77777777" w:rsidR="00532F99" w:rsidRPr="00AD4D97" w:rsidRDefault="00532F99" w:rsidP="007526DA">
      <w:pPr>
        <w:pStyle w:val="ListParagraph"/>
        <w:numPr>
          <w:ilvl w:val="0"/>
          <w:numId w:val="28"/>
        </w:numPr>
        <w:ind w:left="567" w:hanging="567"/>
      </w:pPr>
      <w:bookmarkStart w:id="14" w:name="_Toc222825826"/>
      <w:r>
        <w:t xml:space="preserve">uzskata, ka ES salas vairs nedrīkst uzskatīt par </w:t>
      </w:r>
      <w:proofErr w:type="spellStart"/>
      <w:r>
        <w:t>perifērām</w:t>
      </w:r>
      <w:proofErr w:type="spellEnd"/>
      <w:r>
        <w:t xml:space="preserve"> teritorijām. Tie ir Eiropas suverenitātes, noturības un inovācijas spēju priekšplāna reģioni. Mērķtiecīga, sistēmiska un juridiski nostiprināta ES salu stratēģija (</w:t>
      </w:r>
      <w:r>
        <w:rPr>
          <w:b/>
        </w:rPr>
        <w:t>Salu pakts</w:t>
      </w:r>
      <w:r>
        <w:t xml:space="preserve">) būtu nozīmīga, lai salas kļūtu par ilgtspējīgas izaugsmes, </w:t>
      </w:r>
      <w:proofErr w:type="spellStart"/>
      <w:r>
        <w:t>klimatnoturības</w:t>
      </w:r>
      <w:proofErr w:type="spellEnd"/>
      <w:r>
        <w:t xml:space="preserve"> un ģeopolitiskās drošības dzinējspēku, nodrošinot salu kopienu uzplaukumu un vienlaikus stiprinot Eiropas stratēģisko autonomiju un kohēziju. To nesen skaidri parādīja Grenlandes ģeopolitiskā centrālā loma Arktikas drošības dinamikā, transatlantiskajās attiecībās un lielvaru konkurencē, kā arī tās nozīme Eiropas stratēģiskajā autonomijā aizsardzības jomā.</w:t>
      </w:r>
      <w:bookmarkEnd w:id="14"/>
    </w:p>
    <w:p w14:paraId="66D35620" w14:textId="77777777" w:rsidR="00532F99" w:rsidRPr="00532F99" w:rsidRDefault="00532F99" w:rsidP="00100EF9">
      <w:pPr>
        <w:ind w:left="284" w:hanging="284"/>
        <w:rPr>
          <w:bCs/>
          <w:iCs/>
          <w:lang w:val="en-GB"/>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8"/>
      </w:tblGrid>
      <w:tr w:rsidR="00532F99" w:rsidRPr="00532F99" w14:paraId="51FA2FFC" w14:textId="77777777" w:rsidTr="00D0608D">
        <w:tc>
          <w:tcPr>
            <w:tcW w:w="1526" w:type="dxa"/>
          </w:tcPr>
          <w:p w14:paraId="549BED47" w14:textId="77777777" w:rsidR="00532F99" w:rsidRPr="00532F99" w:rsidRDefault="00532F99" w:rsidP="00D0608D">
            <w:pPr>
              <w:overflowPunct w:val="0"/>
              <w:autoSpaceDE w:val="0"/>
              <w:autoSpaceDN w:val="0"/>
              <w:adjustRightInd w:val="0"/>
              <w:ind w:right="-77"/>
              <w:textAlignment w:val="baseline"/>
              <w:rPr>
                <w:i/>
              </w:rPr>
            </w:pPr>
            <w:r>
              <w:rPr>
                <w:b/>
                <w:i/>
              </w:rPr>
              <w:t>Kontaktpersona:</w:t>
            </w:r>
          </w:p>
        </w:tc>
        <w:tc>
          <w:tcPr>
            <w:tcW w:w="7688" w:type="dxa"/>
          </w:tcPr>
          <w:p w14:paraId="7CEAACF5" w14:textId="0581C1FF" w:rsidR="00532F99" w:rsidRPr="00532F99" w:rsidRDefault="00532F99" w:rsidP="00100EF9">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532F99" w:rsidRPr="00532F99" w14:paraId="0AEF2AEB" w14:textId="77777777" w:rsidTr="00D0608D">
        <w:tc>
          <w:tcPr>
            <w:tcW w:w="1526" w:type="dxa"/>
          </w:tcPr>
          <w:p w14:paraId="060FAF7E" w14:textId="77777777" w:rsidR="00532F99" w:rsidRPr="00532F99" w:rsidRDefault="00532F99" w:rsidP="00100EF9">
            <w:pPr>
              <w:overflowPunct w:val="0"/>
              <w:autoSpaceDE w:val="0"/>
              <w:autoSpaceDN w:val="0"/>
              <w:adjustRightInd w:val="0"/>
              <w:textAlignment w:val="baseline"/>
              <w:rPr>
                <w:i/>
              </w:rPr>
            </w:pPr>
            <w:r>
              <w:rPr>
                <w:i/>
              </w:rPr>
              <w:t>Tālr.:</w:t>
            </w:r>
          </w:p>
        </w:tc>
        <w:tc>
          <w:tcPr>
            <w:tcW w:w="7688" w:type="dxa"/>
          </w:tcPr>
          <w:p w14:paraId="22CC1931" w14:textId="49FE5AFE" w:rsidR="00532F99" w:rsidRPr="00532F99" w:rsidRDefault="00532F99" w:rsidP="00100EF9">
            <w:pPr>
              <w:overflowPunct w:val="0"/>
              <w:autoSpaceDE w:val="0"/>
              <w:autoSpaceDN w:val="0"/>
              <w:adjustRightInd w:val="0"/>
              <w:textAlignment w:val="baseline"/>
              <w:rPr>
                <w:i/>
              </w:rPr>
            </w:pPr>
            <w:r>
              <w:rPr>
                <w:i/>
              </w:rPr>
              <w:t>+32 25469795</w:t>
            </w:r>
          </w:p>
        </w:tc>
      </w:tr>
      <w:tr w:rsidR="00532F99" w:rsidRPr="00532F99" w14:paraId="20E9D1C8" w14:textId="77777777" w:rsidTr="00D0608D">
        <w:tc>
          <w:tcPr>
            <w:tcW w:w="1526" w:type="dxa"/>
          </w:tcPr>
          <w:p w14:paraId="144E431B" w14:textId="64663E9D" w:rsidR="00532F99" w:rsidRPr="00532F99" w:rsidRDefault="0037319B" w:rsidP="00100EF9">
            <w:pPr>
              <w:overflowPunct w:val="0"/>
              <w:autoSpaceDE w:val="0"/>
              <w:autoSpaceDN w:val="0"/>
              <w:adjustRightInd w:val="0"/>
              <w:textAlignment w:val="baseline"/>
              <w:rPr>
                <w:i/>
              </w:rPr>
            </w:pPr>
            <w:r>
              <w:rPr>
                <w:i/>
              </w:rPr>
              <w:t>E-pasts:</w:t>
            </w:r>
          </w:p>
        </w:tc>
        <w:tc>
          <w:tcPr>
            <w:tcW w:w="7688" w:type="dxa"/>
          </w:tcPr>
          <w:p w14:paraId="19710C19" w14:textId="1ECFC656" w:rsidR="00532F99" w:rsidRPr="00532F99" w:rsidRDefault="00E2492E" w:rsidP="00100EF9">
            <w:pPr>
              <w:overflowPunct w:val="0"/>
              <w:autoSpaceDE w:val="0"/>
              <w:autoSpaceDN w:val="0"/>
              <w:adjustRightInd w:val="0"/>
              <w:textAlignment w:val="baseline"/>
              <w:rPr>
                <w:i/>
                <w:iCs/>
              </w:rPr>
            </w:pPr>
            <w:hyperlink r:id="rId26" w:history="1">
              <w:r w:rsidR="00E235D3">
                <w:rPr>
                  <w:i/>
                  <w:color w:val="0000FF"/>
                  <w:u w:val="single"/>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718F1B93" w:rsidR="007652C3" w:rsidRPr="007652C3" w:rsidRDefault="00E2492E" w:rsidP="00100EF9">
      <w:pPr>
        <w:widowControl w:val="0"/>
        <w:numPr>
          <w:ilvl w:val="0"/>
          <w:numId w:val="6"/>
        </w:numPr>
        <w:overflowPunct w:val="0"/>
        <w:autoSpaceDE w:val="0"/>
        <w:autoSpaceDN w:val="0"/>
        <w:adjustRightInd w:val="0"/>
        <w:ind w:hanging="567"/>
        <w:textAlignment w:val="baseline"/>
        <w:rPr>
          <w:b/>
          <w:i/>
          <w:iCs/>
          <w:sz w:val="28"/>
          <w:szCs w:val="28"/>
        </w:rPr>
      </w:pPr>
      <w:hyperlink r:id="rId27" w:history="1">
        <w:r w:rsidR="00E235D3">
          <w:rPr>
            <w:b/>
            <w:i/>
            <w:color w:val="0000FF"/>
            <w:sz w:val="28"/>
            <w:u w:val="single"/>
          </w:rPr>
          <w:t>Tabakas nodokļu direktīvas pārskatīšana</w:t>
        </w:r>
      </w:hyperlink>
    </w:p>
    <w:p w14:paraId="14832C64"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7"/>
      </w:tblGrid>
      <w:tr w:rsidR="007652C3" w:rsidRPr="007652C3" w14:paraId="4B4C09EE" w14:textId="77777777" w:rsidTr="00D0608D">
        <w:tc>
          <w:tcPr>
            <w:tcW w:w="1526" w:type="dxa"/>
          </w:tcPr>
          <w:p w14:paraId="074AAFB4"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Ziņotājs</w:t>
            </w:r>
          </w:p>
        </w:tc>
        <w:tc>
          <w:tcPr>
            <w:tcW w:w="7547" w:type="dxa"/>
          </w:tcPr>
          <w:p w14:paraId="574348C8" w14:textId="1A21DC9A" w:rsidR="00FC4D6F" w:rsidRPr="007652C3" w:rsidRDefault="007652C3" w:rsidP="00100EF9">
            <w:pPr>
              <w:tabs>
                <w:tab w:val="center" w:pos="284"/>
              </w:tabs>
              <w:overflowPunct w:val="0"/>
              <w:autoSpaceDE w:val="0"/>
              <w:autoSpaceDN w:val="0"/>
              <w:adjustRightInd w:val="0"/>
              <w:ind w:left="266" w:hanging="266"/>
              <w:textAlignment w:val="baseline"/>
            </w:pPr>
            <w:proofErr w:type="spellStart"/>
            <w:r>
              <w:t>Matteo</w:t>
            </w:r>
            <w:proofErr w:type="spellEnd"/>
            <w:r>
              <w:t xml:space="preserve"> </w:t>
            </w:r>
            <w:proofErr w:type="spellStart"/>
            <w:r>
              <w:t>Carlo</w:t>
            </w:r>
            <w:proofErr w:type="spellEnd"/>
            <w:r>
              <w:t xml:space="preserve"> BORSANI (Darba devēju grupa – IT)</w:t>
            </w:r>
          </w:p>
        </w:tc>
      </w:tr>
      <w:tr w:rsidR="00205469" w:rsidRPr="007652C3" w14:paraId="6586AC35" w14:textId="77777777" w:rsidTr="00D0608D">
        <w:tc>
          <w:tcPr>
            <w:tcW w:w="1526" w:type="dxa"/>
          </w:tcPr>
          <w:p w14:paraId="6C41B8BD" w14:textId="77777777" w:rsidR="00205469" w:rsidRPr="007652C3" w:rsidRDefault="00205469" w:rsidP="00100EF9">
            <w:pPr>
              <w:tabs>
                <w:tab w:val="center" w:pos="284"/>
              </w:tabs>
              <w:overflowPunct w:val="0"/>
              <w:autoSpaceDE w:val="0"/>
              <w:autoSpaceDN w:val="0"/>
              <w:adjustRightInd w:val="0"/>
              <w:ind w:left="266" w:hanging="266"/>
              <w:textAlignment w:val="baseline"/>
              <w:rPr>
                <w:b/>
              </w:rPr>
            </w:pPr>
          </w:p>
        </w:tc>
        <w:tc>
          <w:tcPr>
            <w:tcW w:w="7547" w:type="dxa"/>
          </w:tcPr>
          <w:p w14:paraId="30591BA7" w14:textId="77777777" w:rsidR="00205469" w:rsidRPr="007652C3" w:rsidRDefault="00205469" w:rsidP="00100EF9">
            <w:pPr>
              <w:tabs>
                <w:tab w:val="center" w:pos="284"/>
              </w:tabs>
              <w:overflowPunct w:val="0"/>
              <w:autoSpaceDE w:val="0"/>
              <w:autoSpaceDN w:val="0"/>
              <w:adjustRightInd w:val="0"/>
              <w:ind w:left="266" w:hanging="266"/>
              <w:textAlignment w:val="baseline"/>
              <w:rPr>
                <w:bCs/>
              </w:rPr>
            </w:pPr>
          </w:p>
        </w:tc>
      </w:tr>
      <w:tr w:rsidR="007652C3" w:rsidRPr="00100EF9" w14:paraId="2243F74F" w14:textId="77777777" w:rsidTr="00D0608D">
        <w:tc>
          <w:tcPr>
            <w:tcW w:w="1526" w:type="dxa"/>
          </w:tcPr>
          <w:p w14:paraId="3F25D12B"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Atsauces</w:t>
            </w:r>
          </w:p>
        </w:tc>
        <w:tc>
          <w:tcPr>
            <w:tcW w:w="7547" w:type="dxa"/>
          </w:tcPr>
          <w:p w14:paraId="28D63311" w14:textId="2018BFB6" w:rsidR="007652C3" w:rsidRPr="007652C3" w:rsidRDefault="007652C3" w:rsidP="00100EF9">
            <w:pPr>
              <w:tabs>
                <w:tab w:val="center" w:pos="284"/>
              </w:tabs>
              <w:overflowPunct w:val="0"/>
              <w:autoSpaceDE w:val="0"/>
              <w:autoSpaceDN w:val="0"/>
              <w:adjustRightInd w:val="0"/>
              <w:ind w:left="266" w:hanging="266"/>
              <w:textAlignment w:val="baseline"/>
            </w:pPr>
            <w:r>
              <w:t xml:space="preserve">COM(2025) 580 </w:t>
            </w:r>
            <w:proofErr w:type="spellStart"/>
            <w:r>
              <w:t>final</w:t>
            </w:r>
            <w:proofErr w:type="spellEnd"/>
          </w:p>
          <w:p w14:paraId="3C71E1DA" w14:textId="707F72B2" w:rsidR="007652C3" w:rsidRPr="007652C3" w:rsidRDefault="007652C3" w:rsidP="00100EF9">
            <w:pPr>
              <w:tabs>
                <w:tab w:val="center" w:pos="284"/>
              </w:tabs>
              <w:overflowPunct w:val="0"/>
              <w:autoSpaceDE w:val="0"/>
              <w:autoSpaceDN w:val="0"/>
              <w:adjustRightInd w:val="0"/>
              <w:ind w:left="266" w:hanging="266"/>
              <w:textAlignment w:val="baseline"/>
            </w:pPr>
            <w:r>
              <w:t xml:space="preserve">COM(2025) 581 </w:t>
            </w:r>
            <w:proofErr w:type="spellStart"/>
            <w:r>
              <w:t>final</w:t>
            </w:r>
            <w:proofErr w:type="spellEnd"/>
          </w:p>
          <w:p w14:paraId="77F23764" w14:textId="645FFEBD" w:rsidR="007652C3" w:rsidRPr="007652C3" w:rsidRDefault="007652C3" w:rsidP="00100EF9">
            <w:pPr>
              <w:tabs>
                <w:tab w:val="center" w:pos="284"/>
              </w:tabs>
              <w:overflowPunct w:val="0"/>
              <w:autoSpaceDE w:val="0"/>
              <w:autoSpaceDN w:val="0"/>
              <w:adjustRightInd w:val="0"/>
              <w:ind w:left="266" w:hanging="266"/>
              <w:textAlignment w:val="baseline"/>
            </w:pPr>
            <w:r>
              <w:t>EESC-2025-02514-00-00-AC</w:t>
            </w:r>
          </w:p>
        </w:tc>
      </w:tr>
    </w:tbl>
    <w:p w14:paraId="24734E78" w14:textId="77777777" w:rsidR="007652C3" w:rsidRPr="00153E09" w:rsidRDefault="007652C3" w:rsidP="00100EF9">
      <w:pPr>
        <w:tabs>
          <w:tab w:val="center" w:pos="284"/>
        </w:tabs>
        <w:overflowPunct w:val="0"/>
        <w:autoSpaceDE w:val="0"/>
        <w:autoSpaceDN w:val="0"/>
        <w:adjustRightInd w:val="0"/>
        <w:ind w:left="266" w:hanging="266"/>
        <w:textAlignment w:val="baseline"/>
        <w:rPr>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761660A5"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rPr>
      </w:pPr>
      <w:r>
        <w:t>EESK:</w:t>
      </w:r>
    </w:p>
    <w:p w14:paraId="3447BDD3" w14:textId="77777777" w:rsidR="007652C3" w:rsidRPr="00205469" w:rsidRDefault="007652C3" w:rsidP="007526DA">
      <w:pPr>
        <w:pStyle w:val="ListParagraph"/>
        <w:numPr>
          <w:ilvl w:val="0"/>
          <w:numId w:val="30"/>
        </w:numPr>
        <w:ind w:left="567" w:hanging="567"/>
      </w:pPr>
      <w:r>
        <w:rPr>
          <w:b/>
        </w:rPr>
        <w:t>atbalsta</w:t>
      </w:r>
      <w:r>
        <w:t xml:space="preserve"> Tabakas nodokļu direktīvas pārskatīšanu, atzīstot vajadzību pielāgot akcīzes nodokļa sistēmu tirgus attīstībai, jauniem izstrādājumiem un sabiedrības veselības mērķiem un vienlaikus uzsverot, ka reformai arī turpmāk jābūt samērīgai, paredzamai un ekonomiski ilgtspējīgai;</w:t>
      </w:r>
    </w:p>
    <w:p w14:paraId="3F4A26E3" w14:textId="77777777" w:rsidR="007652C3" w:rsidRPr="00205469" w:rsidRDefault="007652C3" w:rsidP="007526DA">
      <w:pPr>
        <w:pStyle w:val="ListParagraph"/>
        <w:numPr>
          <w:ilvl w:val="0"/>
          <w:numId w:val="30"/>
        </w:numPr>
        <w:ind w:left="567" w:hanging="567"/>
      </w:pPr>
      <w:bookmarkStart w:id="15" w:name="_Toc222825827"/>
      <w:r>
        <w:rPr>
          <w:b/>
        </w:rPr>
        <w:t>brīdina,</w:t>
      </w:r>
      <w:r>
        <w:t xml:space="preserve">, ka akcīzes nodokļu pēkšņa vai pārmērīga palielināšana var veicināt nelegālu tirdzniecību, mazināt fiskālos ieņēmumus un vājināt sabiedrības veselības rādītājus. Tāpēc EESK </w:t>
      </w:r>
      <w:r>
        <w:rPr>
          <w:b/>
        </w:rPr>
        <w:t>iesaka</w:t>
      </w:r>
      <w:r>
        <w:t xml:space="preserve"> akcīzes nodokļa korekcijas veikt pakāpeniski un vienlaikus stiprināt izpildes panākšanu, muitas sadarbību un pārrobežu kontrabandas apkarošanas pasākumus;</w:t>
      </w:r>
      <w:bookmarkEnd w:id="15"/>
    </w:p>
    <w:p w14:paraId="1AC2A723" w14:textId="77777777" w:rsidR="007652C3" w:rsidRPr="00205469" w:rsidRDefault="007652C3" w:rsidP="007526DA">
      <w:pPr>
        <w:pStyle w:val="ListParagraph"/>
        <w:numPr>
          <w:ilvl w:val="0"/>
          <w:numId w:val="30"/>
        </w:numPr>
        <w:ind w:left="567" w:hanging="567"/>
      </w:pPr>
      <w:bookmarkStart w:id="16" w:name="_Toc222825828"/>
      <w:r>
        <w:rPr>
          <w:b/>
        </w:rPr>
        <w:t>aicina</w:t>
      </w:r>
      <w:r>
        <w:t xml:space="preserve"> konsekventi piemērot riskam proporcionālus nodokļus, nodrošinot, ka nedegošiem un samazināta riska izstrādājumiem piemērotie nodokļi atšķiras no degošiem tabakas izstrādājumiem piemērotajiem nodokļiem saskaņā ar principu “mazāks kaitējums, mazāki nodokļi” un Eiropas Vēža uzveikšanas plāna mērķiem;</w:t>
      </w:r>
      <w:bookmarkEnd w:id="16"/>
    </w:p>
    <w:p w14:paraId="3892A6EF" w14:textId="77777777" w:rsidR="007652C3" w:rsidRPr="00205469" w:rsidRDefault="007652C3" w:rsidP="007526DA">
      <w:pPr>
        <w:pStyle w:val="ListParagraph"/>
        <w:numPr>
          <w:ilvl w:val="0"/>
          <w:numId w:val="30"/>
        </w:numPr>
        <w:ind w:left="567" w:hanging="567"/>
      </w:pPr>
      <w:bookmarkStart w:id="17" w:name="_Toc222825829"/>
      <w:r>
        <w:rPr>
          <w:b/>
        </w:rPr>
        <w:t>iesaka</w:t>
      </w:r>
      <w:r>
        <w:t xml:space="preserve"> uzlabot juridisko skaidrību un izstrādājumu definīciju saskaņošanu, it īpaši skaidri definējot karsējamos tabakas izstrādājumus, skaidri nošķirot tos no degošiem izstrādājumiem;</w:t>
      </w:r>
      <w:bookmarkEnd w:id="17"/>
    </w:p>
    <w:p w14:paraId="6D1AE1A8" w14:textId="77777777" w:rsidR="007652C3" w:rsidRPr="00205469" w:rsidRDefault="007652C3" w:rsidP="007526DA">
      <w:pPr>
        <w:pStyle w:val="ListParagraph"/>
        <w:numPr>
          <w:ilvl w:val="0"/>
          <w:numId w:val="30"/>
        </w:numPr>
        <w:ind w:left="567" w:hanging="567"/>
      </w:pPr>
      <w:bookmarkStart w:id="18" w:name="_Toc222825830"/>
      <w:r>
        <w:rPr>
          <w:b/>
        </w:rPr>
        <w:t>lūdz</w:t>
      </w:r>
      <w:r>
        <w:t xml:space="preserve"> Komisiju uzlabot saskaņotību starp akcīzes nodokļa definīcijām un kombinēto nomenklatūru (KN), pastāvīgi atjauninot atbilstības tabulas un sniedzot skaidrojošus norādījumus ikreiz, kad izmaiņas muitas klasifikācijās ietekmē akcīzes klasifikāciju;</w:t>
      </w:r>
      <w:bookmarkEnd w:id="18"/>
    </w:p>
    <w:p w14:paraId="3B4FEB22" w14:textId="77777777" w:rsidR="007652C3" w:rsidRPr="00205469" w:rsidRDefault="007652C3" w:rsidP="007526DA">
      <w:pPr>
        <w:pStyle w:val="ListParagraph"/>
        <w:numPr>
          <w:ilvl w:val="0"/>
          <w:numId w:val="30"/>
        </w:numPr>
        <w:ind w:left="567" w:hanging="567"/>
      </w:pPr>
      <w:bookmarkStart w:id="19" w:name="_Toc222825831"/>
      <w:r>
        <w:rPr>
          <w:b/>
        </w:rPr>
        <w:t>aicina</w:t>
      </w:r>
      <w:r>
        <w:t xml:space="preserve"> nodrošināt dalībvalstīm pietiekamu elastību akcīzes nodokļu struktūrās, tostarp iespēju izvēlēties starp karsējamās tabakas izstrādājumu aplikšanu ar nodokli, kas balstīts uz vienību vai svaru, lai atspoguļotu valsts tirgus apstākļus, vienlaikus respektējot ES mēroga minimālos līmeņus;</w:t>
      </w:r>
      <w:bookmarkEnd w:id="19"/>
    </w:p>
    <w:p w14:paraId="03FC4FFF" w14:textId="77777777" w:rsidR="007652C3" w:rsidRPr="00205469" w:rsidRDefault="007652C3" w:rsidP="007526DA">
      <w:pPr>
        <w:pStyle w:val="ListParagraph"/>
        <w:numPr>
          <w:ilvl w:val="0"/>
          <w:numId w:val="30"/>
        </w:numPr>
        <w:ind w:left="567" w:hanging="567"/>
      </w:pPr>
      <w:bookmarkStart w:id="20" w:name="_Toc222825832"/>
      <w:r>
        <w:rPr>
          <w:b/>
        </w:rPr>
        <w:t xml:space="preserve">aicina </w:t>
      </w:r>
      <w:r>
        <w:t>sagatavot visaptverošu pārskatu par nozares profesijām un prasmēm un vienlaikus novērtēt vidēja termiņa un ilgāka termiņa attīstības scenārijus saistībā ar priekšlikumu, kā arī izstrādāt skaidras prognozes par tā ietekmi uz nodarbinātību;</w:t>
      </w:r>
      <w:bookmarkEnd w:id="20"/>
    </w:p>
    <w:p w14:paraId="0195988C" w14:textId="77777777" w:rsidR="007652C3" w:rsidRPr="00205469" w:rsidRDefault="007652C3" w:rsidP="007526DA">
      <w:pPr>
        <w:pStyle w:val="ListParagraph"/>
        <w:numPr>
          <w:ilvl w:val="0"/>
          <w:numId w:val="30"/>
        </w:numPr>
        <w:ind w:left="567" w:hanging="567"/>
      </w:pPr>
      <w:bookmarkStart w:id="21" w:name="_Toc222825833"/>
      <w:r>
        <w:rPr>
          <w:b/>
        </w:rPr>
        <w:t>aicina</w:t>
      </w:r>
      <w:r>
        <w:t xml:space="preserve"> saskaņā ar subsidiaritāti un dalībvalstu fiskālo suverenitāti paredzami un ierobežoti izmantot deleģētos aktus, kas attiecas tikai uz tehniskām inflācijas korekcijām.</w:t>
      </w:r>
      <w:bookmarkEnd w:id="21"/>
    </w:p>
    <w:p w14:paraId="6309DB18" w14:textId="77777777" w:rsidR="007652C3" w:rsidRPr="00B922EA" w:rsidRDefault="007652C3" w:rsidP="00100EF9">
      <w:pPr>
        <w:ind w:left="567" w:hanging="567"/>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546"/>
      </w:tblGrid>
      <w:tr w:rsidR="007652C3" w:rsidRPr="007652C3" w14:paraId="7534B913" w14:textId="77777777" w:rsidTr="00D0608D">
        <w:tc>
          <w:tcPr>
            <w:tcW w:w="1526" w:type="dxa"/>
          </w:tcPr>
          <w:p w14:paraId="0C271651" w14:textId="77777777" w:rsidR="007652C3" w:rsidRPr="007652C3" w:rsidRDefault="007652C3" w:rsidP="00100EF9">
            <w:pPr>
              <w:overflowPunct w:val="0"/>
              <w:autoSpaceDE w:val="0"/>
              <w:autoSpaceDN w:val="0"/>
              <w:adjustRightInd w:val="0"/>
              <w:textAlignment w:val="baseline"/>
              <w:rPr>
                <w:i/>
              </w:rPr>
            </w:pPr>
            <w:r>
              <w:rPr>
                <w:b/>
                <w:i/>
              </w:rPr>
              <w:t>Kontaktpersona:</w:t>
            </w:r>
          </w:p>
        </w:tc>
        <w:tc>
          <w:tcPr>
            <w:tcW w:w="7546" w:type="dxa"/>
          </w:tcPr>
          <w:p w14:paraId="528FE443" w14:textId="5FF87165" w:rsidR="007652C3" w:rsidRPr="007652C3" w:rsidRDefault="007652C3" w:rsidP="00100EF9">
            <w:pPr>
              <w:overflowPunct w:val="0"/>
              <w:autoSpaceDE w:val="0"/>
              <w:autoSpaceDN w:val="0"/>
              <w:adjustRightInd w:val="0"/>
              <w:textAlignment w:val="baseline"/>
              <w:rPr>
                <w:i/>
              </w:rPr>
            </w:pPr>
            <w:proofErr w:type="spellStart"/>
            <w:r>
              <w:rPr>
                <w:i/>
              </w:rPr>
              <w:t>Jüri</w:t>
            </w:r>
            <w:proofErr w:type="spellEnd"/>
            <w:r>
              <w:rPr>
                <w:i/>
              </w:rPr>
              <w:t xml:space="preserve"> </w:t>
            </w:r>
            <w:proofErr w:type="spellStart"/>
            <w:r>
              <w:rPr>
                <w:i/>
              </w:rPr>
              <w:t>Soosaar</w:t>
            </w:r>
            <w:proofErr w:type="spellEnd"/>
          </w:p>
        </w:tc>
      </w:tr>
      <w:tr w:rsidR="007652C3" w:rsidRPr="007652C3" w14:paraId="6D9C46AC" w14:textId="77777777" w:rsidTr="00D0608D">
        <w:tc>
          <w:tcPr>
            <w:tcW w:w="1526" w:type="dxa"/>
          </w:tcPr>
          <w:p w14:paraId="02AD0CD6" w14:textId="77777777" w:rsidR="007652C3" w:rsidRPr="007652C3" w:rsidRDefault="007652C3" w:rsidP="00100EF9">
            <w:pPr>
              <w:overflowPunct w:val="0"/>
              <w:autoSpaceDE w:val="0"/>
              <w:autoSpaceDN w:val="0"/>
              <w:adjustRightInd w:val="0"/>
              <w:textAlignment w:val="baseline"/>
              <w:rPr>
                <w:i/>
              </w:rPr>
            </w:pPr>
            <w:r>
              <w:rPr>
                <w:i/>
              </w:rPr>
              <w:t>Tālr.:</w:t>
            </w:r>
          </w:p>
        </w:tc>
        <w:tc>
          <w:tcPr>
            <w:tcW w:w="7546" w:type="dxa"/>
          </w:tcPr>
          <w:p w14:paraId="43D215D4" w14:textId="14B49C37" w:rsidR="007652C3" w:rsidRPr="007652C3" w:rsidRDefault="007652C3" w:rsidP="00100EF9">
            <w:pPr>
              <w:overflowPunct w:val="0"/>
              <w:autoSpaceDE w:val="0"/>
              <w:autoSpaceDN w:val="0"/>
              <w:adjustRightInd w:val="0"/>
              <w:textAlignment w:val="baseline"/>
              <w:rPr>
                <w:i/>
              </w:rPr>
            </w:pPr>
            <w:r>
              <w:rPr>
                <w:i/>
              </w:rPr>
              <w:t>+32 25469628</w:t>
            </w:r>
          </w:p>
        </w:tc>
      </w:tr>
      <w:tr w:rsidR="007652C3" w:rsidRPr="007652C3" w14:paraId="5C3011C3" w14:textId="77777777" w:rsidTr="00D0608D">
        <w:tc>
          <w:tcPr>
            <w:tcW w:w="1526" w:type="dxa"/>
          </w:tcPr>
          <w:p w14:paraId="1F503178" w14:textId="77777777" w:rsidR="007652C3" w:rsidRPr="007652C3" w:rsidRDefault="007652C3" w:rsidP="00100EF9">
            <w:pPr>
              <w:overflowPunct w:val="0"/>
              <w:autoSpaceDE w:val="0"/>
              <w:autoSpaceDN w:val="0"/>
              <w:adjustRightInd w:val="0"/>
              <w:textAlignment w:val="baseline"/>
              <w:rPr>
                <w:i/>
              </w:rPr>
            </w:pPr>
            <w:r>
              <w:rPr>
                <w:i/>
              </w:rPr>
              <w:t>E-pasts:</w:t>
            </w:r>
          </w:p>
        </w:tc>
        <w:tc>
          <w:tcPr>
            <w:tcW w:w="7546" w:type="dxa"/>
          </w:tcPr>
          <w:p w14:paraId="62867B2B" w14:textId="5E2EB6F6" w:rsidR="007652C3" w:rsidRPr="007652C3" w:rsidRDefault="00E2492E" w:rsidP="00100EF9">
            <w:pPr>
              <w:overflowPunct w:val="0"/>
              <w:autoSpaceDE w:val="0"/>
              <w:autoSpaceDN w:val="0"/>
              <w:adjustRightInd w:val="0"/>
              <w:textAlignment w:val="baseline"/>
              <w:rPr>
                <w:i/>
                <w:iCs/>
              </w:rPr>
            </w:pPr>
            <w:hyperlink r:id="rId28" w:history="1">
              <w:r w:rsidR="00E235D3">
                <w:rPr>
                  <w:i/>
                  <w:color w:val="0000FF"/>
                  <w:u w:val="single"/>
                </w:rPr>
                <w:t>Juri.Soosaar@eesc.europa.eu</w:t>
              </w:r>
            </w:hyperlink>
          </w:p>
        </w:tc>
      </w:tr>
    </w:tbl>
    <w:p w14:paraId="4982DD98" w14:textId="11429B92" w:rsidR="00302594" w:rsidRDefault="00302594" w:rsidP="00100EF9">
      <w:pPr>
        <w:jc w:val="left"/>
      </w:pPr>
    </w:p>
    <w:p w14:paraId="4356DB93" w14:textId="77777777" w:rsidR="00302594" w:rsidRDefault="00302594" w:rsidP="00100EF9">
      <w:pPr>
        <w:jc w:val="left"/>
      </w:pPr>
      <w:r>
        <w:br w:type="page"/>
      </w:r>
    </w:p>
    <w:p w14:paraId="4982DD99" w14:textId="77777777" w:rsidR="004D7AC0" w:rsidRDefault="004D7AC0" w:rsidP="00100EF9">
      <w:pPr>
        <w:pStyle w:val="Heading1"/>
        <w:rPr>
          <w:b/>
        </w:rPr>
      </w:pPr>
      <w:bookmarkStart w:id="22" w:name="_Toc75527081"/>
      <w:bookmarkStart w:id="23" w:name="_Toc223510390"/>
      <w:r>
        <w:rPr>
          <w:b/>
        </w:rPr>
        <w:lastRenderedPageBreak/>
        <w:t>NODARBINĀTĪBA, SOCIĀLĀS LIETAS UN PILSONISKUMS</w:t>
      </w:r>
      <w:bookmarkEnd w:id="22"/>
      <w:bookmarkEnd w:id="23"/>
    </w:p>
    <w:p w14:paraId="4982DD9A" w14:textId="77777777" w:rsidR="004D7AC0" w:rsidRPr="00153E09" w:rsidRDefault="004D7AC0" w:rsidP="00100EF9"/>
    <w:p w14:paraId="095440CA" w14:textId="6E6558FC" w:rsidR="001653D7" w:rsidRPr="001653D7" w:rsidRDefault="00E2492E" w:rsidP="00100EF9">
      <w:pPr>
        <w:widowControl w:val="0"/>
        <w:numPr>
          <w:ilvl w:val="0"/>
          <w:numId w:val="6"/>
        </w:numPr>
        <w:ind w:hanging="567"/>
        <w:rPr>
          <w:sz w:val="24"/>
          <w:szCs w:val="24"/>
        </w:rPr>
      </w:pPr>
      <w:hyperlink r:id="rId29" w:history="1">
        <w:r w:rsidR="00E235D3">
          <w:rPr>
            <w:b/>
            <w:i/>
            <w:color w:val="0000FF"/>
            <w:sz w:val="28"/>
            <w:u w:val="single"/>
          </w:rPr>
          <w:t>Savienības atbalsts patvērumam, migrācijai un integrācijai; iekšējā drošība un integrēta robežu pārvaldība un vīzu politika</w:t>
        </w:r>
      </w:hyperlink>
    </w:p>
    <w:p w14:paraId="00463498" w14:textId="77777777" w:rsidR="001653D7" w:rsidRPr="001653D7" w:rsidRDefault="001653D7" w:rsidP="00100EF9">
      <w:pPr>
        <w:tabs>
          <w:tab w:val="center" w:pos="284"/>
        </w:tabs>
        <w:ind w:left="266" w:hanging="266"/>
        <w:rPr>
          <w:b/>
          <w:sz w:val="20"/>
          <w:szCs w:val="20"/>
        </w:rPr>
      </w:pP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479"/>
      </w:tblGrid>
      <w:tr w:rsidR="001653D7" w:rsidRPr="00100EF9" w14:paraId="47B2AE04" w14:textId="77777777" w:rsidTr="00D0608D">
        <w:tc>
          <w:tcPr>
            <w:tcW w:w="1559" w:type="dxa"/>
          </w:tcPr>
          <w:p w14:paraId="0F6809D8" w14:textId="4113B348" w:rsidR="001653D7" w:rsidRPr="001653D7" w:rsidRDefault="001653D7" w:rsidP="007526DA">
            <w:pPr>
              <w:tabs>
                <w:tab w:val="center" w:pos="284"/>
              </w:tabs>
              <w:ind w:left="266" w:right="206" w:hanging="374"/>
              <w:rPr>
                <w:b/>
              </w:rPr>
            </w:pPr>
            <w:r>
              <w:rPr>
                <w:b/>
              </w:rPr>
              <w:t>Ziņotājs</w:t>
            </w:r>
          </w:p>
        </w:tc>
        <w:tc>
          <w:tcPr>
            <w:tcW w:w="7479" w:type="dxa"/>
          </w:tcPr>
          <w:p w14:paraId="4C613172" w14:textId="2BD1B530" w:rsidR="001653D7" w:rsidRPr="001653D7" w:rsidRDefault="001653D7" w:rsidP="007526DA">
            <w:pPr>
              <w:tabs>
                <w:tab w:val="center" w:pos="284"/>
              </w:tabs>
              <w:ind w:left="266" w:hanging="374"/>
            </w:pPr>
            <w:proofErr w:type="spellStart"/>
            <w:r>
              <w:t>José</w:t>
            </w:r>
            <w:proofErr w:type="spellEnd"/>
            <w:r>
              <w:t> Antonio MORENO DIAZ (Darba ņēmēju grupa – ES)</w:t>
            </w:r>
          </w:p>
        </w:tc>
      </w:tr>
      <w:tr w:rsidR="00205469" w:rsidRPr="00100EF9" w14:paraId="60304579" w14:textId="77777777" w:rsidTr="00D0608D">
        <w:tc>
          <w:tcPr>
            <w:tcW w:w="1559" w:type="dxa"/>
          </w:tcPr>
          <w:p w14:paraId="2F580098" w14:textId="77777777" w:rsidR="00205469" w:rsidRPr="003F66F7" w:rsidRDefault="00205469" w:rsidP="00100EF9">
            <w:pPr>
              <w:tabs>
                <w:tab w:val="center" w:pos="284"/>
              </w:tabs>
              <w:ind w:left="266" w:hanging="374"/>
              <w:rPr>
                <w:b/>
                <w:lang w:val="es-ES"/>
              </w:rPr>
            </w:pPr>
          </w:p>
        </w:tc>
        <w:tc>
          <w:tcPr>
            <w:tcW w:w="7479" w:type="dxa"/>
          </w:tcPr>
          <w:p w14:paraId="5E1B80FD" w14:textId="77777777" w:rsidR="00205469" w:rsidRPr="001653D7" w:rsidRDefault="00205469" w:rsidP="00100EF9">
            <w:pPr>
              <w:tabs>
                <w:tab w:val="center" w:pos="284"/>
              </w:tabs>
              <w:ind w:left="266" w:hanging="374"/>
              <w:rPr>
                <w:lang w:val="es-ES"/>
              </w:rPr>
            </w:pPr>
          </w:p>
        </w:tc>
      </w:tr>
      <w:tr w:rsidR="001653D7" w:rsidRPr="00153E09" w14:paraId="396210B3" w14:textId="77777777" w:rsidTr="00D0608D">
        <w:tc>
          <w:tcPr>
            <w:tcW w:w="1559" w:type="dxa"/>
          </w:tcPr>
          <w:p w14:paraId="2CCAB3DC" w14:textId="2720B8B9" w:rsidR="001653D7" w:rsidRPr="001653D7" w:rsidRDefault="001653D7" w:rsidP="007526DA">
            <w:pPr>
              <w:tabs>
                <w:tab w:val="center" w:pos="284"/>
              </w:tabs>
              <w:ind w:left="266" w:hanging="374"/>
              <w:rPr>
                <w:b/>
              </w:rPr>
            </w:pPr>
            <w:r>
              <w:rPr>
                <w:b/>
              </w:rPr>
              <w:t>Atsauces</w:t>
            </w:r>
          </w:p>
        </w:tc>
        <w:tc>
          <w:tcPr>
            <w:tcW w:w="7479" w:type="dxa"/>
          </w:tcPr>
          <w:p w14:paraId="7762C1AE" w14:textId="23946629" w:rsidR="001653D7" w:rsidRPr="001653D7" w:rsidRDefault="001653D7" w:rsidP="007526DA">
            <w:pPr>
              <w:tabs>
                <w:tab w:val="center" w:pos="284"/>
              </w:tabs>
              <w:ind w:left="266" w:hanging="374"/>
            </w:pPr>
            <w:r>
              <w:t xml:space="preserve">COM(2025) 540 </w:t>
            </w:r>
            <w:proofErr w:type="spellStart"/>
            <w:r>
              <w:t>final</w:t>
            </w:r>
            <w:proofErr w:type="spellEnd"/>
          </w:p>
          <w:p w14:paraId="22AD2A59" w14:textId="56B0125B" w:rsidR="001653D7" w:rsidRPr="001653D7" w:rsidRDefault="001653D7" w:rsidP="007526DA">
            <w:pPr>
              <w:tabs>
                <w:tab w:val="center" w:pos="284"/>
              </w:tabs>
              <w:ind w:left="266" w:hanging="374"/>
            </w:pPr>
            <w:r>
              <w:t xml:space="preserve">COM(2025) 541 </w:t>
            </w:r>
            <w:proofErr w:type="spellStart"/>
            <w:r>
              <w:t>final</w:t>
            </w:r>
            <w:proofErr w:type="spellEnd"/>
          </w:p>
          <w:p w14:paraId="63B53E3C" w14:textId="5CBBC2DD" w:rsidR="001653D7" w:rsidRDefault="001653D7" w:rsidP="00100EF9">
            <w:pPr>
              <w:tabs>
                <w:tab w:val="center" w:pos="284"/>
              </w:tabs>
              <w:ind w:left="266" w:hanging="374"/>
            </w:pPr>
            <w:r>
              <w:t xml:space="preserve">COM(2025) 542 </w:t>
            </w:r>
            <w:proofErr w:type="spellStart"/>
            <w:r>
              <w:t>final</w:t>
            </w:r>
            <w:proofErr w:type="spellEnd"/>
          </w:p>
          <w:p w14:paraId="683E4ECE" w14:textId="10942A06" w:rsidR="00205469" w:rsidRPr="001653D7" w:rsidRDefault="00205469" w:rsidP="00100EF9">
            <w:pPr>
              <w:tabs>
                <w:tab w:val="center" w:pos="284"/>
              </w:tabs>
              <w:ind w:left="266" w:hanging="374"/>
            </w:pPr>
            <w:r>
              <w:t>EESC-2025-03434-00-00-AC</w:t>
            </w:r>
          </w:p>
        </w:tc>
      </w:tr>
    </w:tbl>
    <w:p w14:paraId="0460B2E8" w14:textId="77777777" w:rsidR="001653D7" w:rsidRPr="001653D7" w:rsidRDefault="001653D7" w:rsidP="00100EF9">
      <w:pPr>
        <w:tabs>
          <w:tab w:val="center" w:pos="284"/>
        </w:tabs>
        <w:ind w:left="266" w:hanging="266"/>
        <w:rPr>
          <w:sz w:val="20"/>
          <w:szCs w:val="20"/>
        </w:rPr>
      </w:pPr>
    </w:p>
    <w:p w14:paraId="0CBC1DF0" w14:textId="77777777" w:rsidR="001653D7" w:rsidRPr="001653D7" w:rsidRDefault="001653D7" w:rsidP="00100EF9">
      <w:pPr>
        <w:keepNext/>
        <w:keepLines/>
        <w:tabs>
          <w:tab w:val="center" w:pos="284"/>
        </w:tabs>
        <w:ind w:left="266" w:hanging="266"/>
        <w:rPr>
          <w:b/>
        </w:rPr>
      </w:pPr>
      <w:r>
        <w:rPr>
          <w:b/>
        </w:rPr>
        <w:t>Galvenās nostādnes</w:t>
      </w:r>
    </w:p>
    <w:p w14:paraId="27D547BF" w14:textId="77777777" w:rsidR="001653D7" w:rsidRPr="001653D7" w:rsidRDefault="001653D7" w:rsidP="00100EF9">
      <w:pPr>
        <w:keepNext/>
        <w:keepLines/>
        <w:tabs>
          <w:tab w:val="center" w:pos="284"/>
        </w:tabs>
        <w:ind w:left="266" w:hanging="266"/>
        <w:rPr>
          <w:bCs/>
          <w:sz w:val="20"/>
          <w:szCs w:val="20"/>
        </w:rPr>
      </w:pPr>
    </w:p>
    <w:p w14:paraId="3C2E2FC5" w14:textId="77777777" w:rsidR="001653D7" w:rsidRPr="001653D7" w:rsidRDefault="001653D7" w:rsidP="00100EF9">
      <w:pPr>
        <w:rPr>
          <w:bCs/>
          <w:iCs/>
        </w:rPr>
      </w:pPr>
      <w:r>
        <w:t>EESK:</w:t>
      </w:r>
    </w:p>
    <w:p w14:paraId="2EB60443" w14:textId="77777777" w:rsidR="001653D7" w:rsidRPr="001653D7" w:rsidRDefault="001653D7" w:rsidP="007526DA">
      <w:pPr>
        <w:numPr>
          <w:ilvl w:val="0"/>
          <w:numId w:val="19"/>
        </w:numPr>
        <w:ind w:left="567" w:hanging="567"/>
        <w:contextualSpacing/>
        <w:rPr>
          <w:bCs/>
          <w:iCs/>
        </w:rPr>
      </w:pPr>
      <w:r>
        <w:t>uzsver, ka steidzami jāizstrādā imigrācijas politika, kas nodrošina likumīgus, drošus un efektīvus kanālus ieceļošanai Eiropas Savienībā. Šī nostāja atbilst iepriekšējiem atzinumiem, kuros EESK uzsvēra, ka ir svarīgi nodrošināt likumīgus ceļus uz Eiropas Savienību, aizsargāt migrantu pamattiesības un uzlabot mobilitātes pārvaldību Eiropas Savienībā;</w:t>
      </w:r>
    </w:p>
    <w:p w14:paraId="17CE5961" w14:textId="77777777" w:rsidR="001653D7" w:rsidRPr="001653D7" w:rsidRDefault="001653D7" w:rsidP="007526DA">
      <w:pPr>
        <w:numPr>
          <w:ilvl w:val="0"/>
          <w:numId w:val="19"/>
        </w:numPr>
        <w:ind w:left="567" w:hanging="567"/>
        <w:contextualSpacing/>
        <w:rPr>
          <w:bCs/>
          <w:iCs/>
        </w:rPr>
      </w:pPr>
      <w:r>
        <w:t>norāda, ka visas trīs regulas kopā atklāj ES prioritāšu strukturālu pārorientāciju, liekot izteiktāku uzsvaru uz kontroli un drošību. Pievēršot pastiprinātu uzmanību iekšējai un ārējai drošībai, bieži vien tiek aizmirsti atbalsta pasākumi integrācijas un iekļaušanas jomā. EESK uzsver, ka migrācijas politiku nevar reducēt uz drošības virzītu pieeju;</w:t>
      </w:r>
    </w:p>
    <w:p w14:paraId="6247AC50" w14:textId="77777777" w:rsidR="001653D7" w:rsidRPr="001653D7" w:rsidRDefault="001653D7" w:rsidP="007526DA">
      <w:pPr>
        <w:numPr>
          <w:ilvl w:val="0"/>
          <w:numId w:val="19"/>
        </w:numPr>
        <w:ind w:left="567" w:hanging="567"/>
        <w:contextualSpacing/>
        <w:rPr>
          <w:bCs/>
          <w:iCs/>
        </w:rPr>
      </w:pPr>
      <w:r>
        <w:t>norāda, ka pilns rīku un instrumentu kopums likumīgas migrācijas pārvaldībai un pārkāpumu novēršanai ir svarīgs labi funkcionējošas migrācijas sistēmas elements, tostarp atgriešana attiecīgā gadījumā un pilnīgā saskaņā ar ES un starptautiskajām tiesībām. Tomēr rīku izmantošana ir rūpīgi jālīdzsvaro, respektējot pamattiesības, it īpaši tiesības uz individuālu aizsardzību;</w:t>
      </w:r>
    </w:p>
    <w:p w14:paraId="72AA5D3D" w14:textId="77777777" w:rsidR="001653D7" w:rsidRPr="001653D7" w:rsidRDefault="001653D7" w:rsidP="007526DA">
      <w:pPr>
        <w:numPr>
          <w:ilvl w:val="0"/>
          <w:numId w:val="19"/>
        </w:numPr>
        <w:ind w:left="567" w:hanging="567"/>
        <w:contextualSpacing/>
        <w:rPr>
          <w:bCs/>
          <w:iCs/>
        </w:rPr>
      </w:pPr>
      <w:r>
        <w:t>uzskata, ka ir būtiski uzlabot mehānismus pamattiesību un humanitāro apstākļu neatkarīgai uzraudzībai pie robežām, izmantojot pārredzamus ziņošanas mehānismus;</w:t>
      </w:r>
    </w:p>
    <w:p w14:paraId="0CC7E7BF" w14:textId="77777777" w:rsidR="001653D7" w:rsidRPr="001653D7" w:rsidRDefault="001653D7" w:rsidP="007526DA">
      <w:pPr>
        <w:numPr>
          <w:ilvl w:val="0"/>
          <w:numId w:val="19"/>
        </w:numPr>
        <w:ind w:left="567" w:hanging="567"/>
        <w:contextualSpacing/>
        <w:rPr>
          <w:bCs/>
          <w:iCs/>
        </w:rPr>
      </w:pPr>
      <w:r>
        <w:t>uzskata, ka visās trijās regulās, kuras kopā pieņēma 2028.–2034. gadam, liels uzsvars likts uz drošības pasākumiem un robežkontroles nodošanu ārpakalpojumu sniedzējiem, un pauž bažas par iespējamiem riskiem pamattiesībām. Ir būtiski nodrošināt, ka vienlaikus tiek aizsargātas cilvēka pamattiesības.</w:t>
      </w:r>
    </w:p>
    <w:p w14:paraId="6C124427" w14:textId="77777777" w:rsidR="001653D7" w:rsidRPr="001653D7" w:rsidRDefault="001653D7" w:rsidP="00100EF9">
      <w:pPr>
        <w:widowControl w:val="0"/>
        <w:ind w:left="709"/>
        <w:rPr>
          <w:sz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696"/>
      </w:tblGrid>
      <w:tr w:rsidR="001653D7" w:rsidRPr="001653D7" w14:paraId="211429B1" w14:textId="77777777" w:rsidTr="00D0608D">
        <w:tc>
          <w:tcPr>
            <w:tcW w:w="821" w:type="pct"/>
          </w:tcPr>
          <w:p w14:paraId="13CD8E19" w14:textId="77777777" w:rsidR="001653D7" w:rsidRPr="001653D7" w:rsidRDefault="001653D7" w:rsidP="00100EF9">
            <w:pPr>
              <w:rPr>
                <w:i/>
              </w:rPr>
            </w:pPr>
            <w:r>
              <w:rPr>
                <w:b/>
                <w:i/>
              </w:rPr>
              <w:t>Kontaktpersona:</w:t>
            </w:r>
          </w:p>
        </w:tc>
        <w:tc>
          <w:tcPr>
            <w:tcW w:w="4179" w:type="pct"/>
          </w:tcPr>
          <w:p w14:paraId="4FD1075C" w14:textId="32E95F9F" w:rsidR="001653D7" w:rsidRPr="00D05167" w:rsidRDefault="001653D7" w:rsidP="00100EF9">
            <w:pPr>
              <w:rPr>
                <w:i/>
              </w:rPr>
            </w:pPr>
            <w:proofErr w:type="spellStart"/>
            <w:r>
              <w:rPr>
                <w:i/>
              </w:rPr>
              <w:t>Gemma</w:t>
            </w:r>
            <w:proofErr w:type="spellEnd"/>
            <w:r>
              <w:rPr>
                <w:i/>
              </w:rPr>
              <w:t xml:space="preserve"> </w:t>
            </w:r>
            <w:proofErr w:type="spellStart"/>
            <w:r>
              <w:rPr>
                <w:i/>
              </w:rPr>
              <w:t>Amran</w:t>
            </w:r>
            <w:proofErr w:type="spellEnd"/>
          </w:p>
        </w:tc>
      </w:tr>
      <w:tr w:rsidR="001653D7" w:rsidRPr="001653D7" w14:paraId="3BC05E8A" w14:textId="77777777" w:rsidTr="00D0608D">
        <w:tc>
          <w:tcPr>
            <w:tcW w:w="821" w:type="pct"/>
          </w:tcPr>
          <w:p w14:paraId="1D9039E7" w14:textId="77777777" w:rsidR="001653D7" w:rsidRPr="001653D7" w:rsidRDefault="001653D7" w:rsidP="00100EF9">
            <w:pPr>
              <w:rPr>
                <w:i/>
              </w:rPr>
            </w:pPr>
            <w:r>
              <w:rPr>
                <w:i/>
              </w:rPr>
              <w:t>Tālr.:</w:t>
            </w:r>
          </w:p>
        </w:tc>
        <w:tc>
          <w:tcPr>
            <w:tcW w:w="4179" w:type="pct"/>
          </w:tcPr>
          <w:p w14:paraId="410A1B26" w14:textId="0CC1E8ED" w:rsidR="001653D7" w:rsidRPr="00D05167" w:rsidRDefault="001653D7" w:rsidP="00100EF9">
            <w:pPr>
              <w:rPr>
                <w:i/>
              </w:rPr>
            </w:pPr>
            <w:r>
              <w:rPr>
                <w:i/>
              </w:rPr>
              <w:t>+32 25469415</w:t>
            </w:r>
          </w:p>
        </w:tc>
      </w:tr>
      <w:tr w:rsidR="001653D7" w:rsidRPr="001653D7" w14:paraId="653F335D" w14:textId="77777777" w:rsidTr="00D0608D">
        <w:tc>
          <w:tcPr>
            <w:tcW w:w="821" w:type="pct"/>
          </w:tcPr>
          <w:p w14:paraId="5DF7B6E3" w14:textId="77777777" w:rsidR="001653D7" w:rsidRPr="001653D7" w:rsidRDefault="001653D7" w:rsidP="00100EF9">
            <w:pPr>
              <w:rPr>
                <w:i/>
              </w:rPr>
            </w:pPr>
            <w:r>
              <w:rPr>
                <w:i/>
              </w:rPr>
              <w:t>E-pasts:</w:t>
            </w:r>
          </w:p>
        </w:tc>
        <w:tc>
          <w:tcPr>
            <w:tcW w:w="4179" w:type="pct"/>
          </w:tcPr>
          <w:p w14:paraId="03300BBE" w14:textId="77777777" w:rsidR="001653D7" w:rsidRPr="001653D7" w:rsidRDefault="00E2492E" w:rsidP="00100EF9">
            <w:pPr>
              <w:rPr>
                <w:i/>
              </w:rPr>
            </w:pPr>
            <w:hyperlink r:id="rId30" w:history="1">
              <w:r w:rsidR="00E235D3">
                <w:rPr>
                  <w:i/>
                  <w:color w:val="0000FF"/>
                  <w:u w:val="single"/>
                </w:rPr>
                <w:t>Gemma.Amran@eesc.europa.eu</w:t>
              </w:r>
            </w:hyperlink>
          </w:p>
        </w:tc>
      </w:tr>
    </w:tbl>
    <w:p w14:paraId="4982DDC4" w14:textId="77777777" w:rsidR="004D7AC0" w:rsidRPr="00803CA6" w:rsidRDefault="004D7AC0" w:rsidP="00100EF9">
      <w:pPr>
        <w:pStyle w:val="ListParagraph"/>
        <w:ind w:left="0"/>
      </w:pPr>
    </w:p>
    <w:p w14:paraId="4982DDC5" w14:textId="77777777" w:rsidR="004D7AC0" w:rsidRDefault="004D7AC0" w:rsidP="00100EF9">
      <w:pPr>
        <w:jc w:val="left"/>
      </w:pPr>
      <w:r>
        <w:br w:type="page"/>
      </w:r>
    </w:p>
    <w:p w14:paraId="4982DDC6" w14:textId="77777777" w:rsidR="004D7AC0" w:rsidRDefault="004D7AC0" w:rsidP="00100EF9">
      <w:pPr>
        <w:pStyle w:val="Heading1"/>
        <w:rPr>
          <w:b/>
        </w:rPr>
      </w:pPr>
      <w:bookmarkStart w:id="24" w:name="_Toc24617160"/>
      <w:bookmarkStart w:id="25" w:name="_Toc75527082"/>
      <w:bookmarkStart w:id="26" w:name="_Toc223510391"/>
      <w:r>
        <w:rPr>
          <w:b/>
        </w:rPr>
        <w:lastRenderedPageBreak/>
        <w:t>TRANSPORTS, ENERĢĒTIKA, INFRASTRUKTŪRA UN INFORMĀCIJAS SABIEDRĪBA</w:t>
      </w:r>
      <w:bookmarkEnd w:id="24"/>
      <w:bookmarkEnd w:id="25"/>
      <w:bookmarkEnd w:id="26"/>
    </w:p>
    <w:p w14:paraId="4982DDC7" w14:textId="77777777" w:rsidR="004D7AC0" w:rsidRDefault="004D7AC0" w:rsidP="00100EF9"/>
    <w:p w14:paraId="33F22FD2" w14:textId="2A2F8B4D" w:rsidR="00B55C6C" w:rsidRPr="008D45C7" w:rsidRDefault="00E2492E" w:rsidP="00100EF9">
      <w:pPr>
        <w:widowControl w:val="0"/>
        <w:numPr>
          <w:ilvl w:val="0"/>
          <w:numId w:val="6"/>
        </w:numPr>
        <w:ind w:hanging="567"/>
        <w:rPr>
          <w:sz w:val="28"/>
          <w:szCs w:val="28"/>
        </w:rPr>
      </w:pPr>
      <w:hyperlink r:id="rId31" w:history="1">
        <w:r w:rsidR="00E235D3" w:rsidRPr="008D45C7">
          <w:rPr>
            <w:b/>
            <w:i/>
            <w:color w:val="0000FF"/>
            <w:sz w:val="28"/>
            <w:szCs w:val="28"/>
            <w:u w:val="single"/>
          </w:rPr>
          <w:t>Eiropas dzīvības zinātņu stratēģija un pētniecības un tehnoloģiju infrastruktūru stratēģija ar uzsvaru uz reto slimību ārstēšanu</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400"/>
      </w:tblGrid>
      <w:tr w:rsidR="00B55C6C" w:rsidRPr="00B55C6C" w14:paraId="2B64E1A2" w14:textId="77777777" w:rsidTr="00D0608D">
        <w:tc>
          <w:tcPr>
            <w:tcW w:w="1673" w:type="dxa"/>
          </w:tcPr>
          <w:p w14:paraId="31E45AAF" w14:textId="77777777" w:rsidR="00B55C6C" w:rsidRPr="00B55C6C" w:rsidRDefault="00B55C6C" w:rsidP="00100EF9">
            <w:pPr>
              <w:tabs>
                <w:tab w:val="center" w:pos="284"/>
              </w:tabs>
              <w:ind w:left="266" w:hanging="266"/>
              <w:rPr>
                <w:b/>
              </w:rPr>
            </w:pPr>
            <w:r>
              <w:rPr>
                <w:b/>
              </w:rPr>
              <w:t>Ziņotāja</w:t>
            </w:r>
          </w:p>
        </w:tc>
        <w:tc>
          <w:tcPr>
            <w:tcW w:w="7400" w:type="dxa"/>
          </w:tcPr>
          <w:p w14:paraId="2077B4EE" w14:textId="7CFFDBD7" w:rsidR="0027149A" w:rsidRPr="00B55C6C" w:rsidRDefault="00B55C6C" w:rsidP="00100EF9">
            <w:pPr>
              <w:tabs>
                <w:tab w:val="center" w:pos="284"/>
              </w:tabs>
              <w:ind w:left="266" w:hanging="266"/>
            </w:pPr>
            <w:r>
              <w:t>Milena ANGELOVA (Darba devēju grupa – BG)</w:t>
            </w:r>
          </w:p>
        </w:tc>
      </w:tr>
      <w:tr w:rsidR="00205469" w:rsidRPr="00B55C6C" w14:paraId="035AE27D" w14:textId="77777777" w:rsidTr="00D0608D">
        <w:tc>
          <w:tcPr>
            <w:tcW w:w="1673" w:type="dxa"/>
          </w:tcPr>
          <w:p w14:paraId="582588EB" w14:textId="77777777" w:rsidR="00205469" w:rsidRPr="00B55C6C" w:rsidRDefault="00205469" w:rsidP="00100EF9">
            <w:pPr>
              <w:tabs>
                <w:tab w:val="center" w:pos="284"/>
              </w:tabs>
              <w:ind w:left="266" w:hanging="266"/>
              <w:rPr>
                <w:b/>
              </w:rPr>
            </w:pPr>
          </w:p>
        </w:tc>
        <w:tc>
          <w:tcPr>
            <w:tcW w:w="7400" w:type="dxa"/>
          </w:tcPr>
          <w:p w14:paraId="33028952" w14:textId="77777777" w:rsidR="00205469" w:rsidRPr="00B55C6C" w:rsidRDefault="00205469" w:rsidP="00100EF9">
            <w:pPr>
              <w:tabs>
                <w:tab w:val="center" w:pos="284"/>
              </w:tabs>
              <w:ind w:left="266" w:hanging="266"/>
            </w:pPr>
          </w:p>
        </w:tc>
      </w:tr>
      <w:tr w:rsidR="00B55C6C" w:rsidRPr="00B55C6C" w14:paraId="416210B9" w14:textId="77777777" w:rsidTr="00D0608D">
        <w:tc>
          <w:tcPr>
            <w:tcW w:w="1673" w:type="dxa"/>
          </w:tcPr>
          <w:p w14:paraId="5830CF27" w14:textId="77777777" w:rsidR="00B55C6C" w:rsidRPr="00B55C6C" w:rsidRDefault="00B55C6C" w:rsidP="00100EF9">
            <w:pPr>
              <w:tabs>
                <w:tab w:val="center" w:pos="284"/>
              </w:tabs>
              <w:ind w:left="266" w:hanging="266"/>
              <w:rPr>
                <w:b/>
              </w:rPr>
            </w:pPr>
            <w:r>
              <w:rPr>
                <w:b/>
              </w:rPr>
              <w:t>Atsauces</w:t>
            </w:r>
          </w:p>
        </w:tc>
        <w:tc>
          <w:tcPr>
            <w:tcW w:w="7400" w:type="dxa"/>
          </w:tcPr>
          <w:p w14:paraId="6387FA0F" w14:textId="29179DE5" w:rsidR="00B55C6C" w:rsidRPr="00B55C6C" w:rsidRDefault="00B55C6C" w:rsidP="00100EF9">
            <w:pPr>
              <w:tabs>
                <w:tab w:val="center" w:pos="284"/>
              </w:tabs>
              <w:ind w:left="266" w:right="-108" w:hanging="266"/>
              <w:jc w:val="left"/>
            </w:pPr>
            <w:r>
              <w:t>Izpētes atzinums pēc ES Padomes prezidentvalsts Kipras pieprasījuma</w:t>
            </w:r>
          </w:p>
          <w:p w14:paraId="72910B0E" w14:textId="77777777" w:rsidR="00B55C6C" w:rsidRPr="00B55C6C" w:rsidRDefault="00B55C6C" w:rsidP="00100EF9">
            <w:pPr>
              <w:tabs>
                <w:tab w:val="center" w:pos="284"/>
              </w:tabs>
              <w:ind w:left="266" w:hanging="266"/>
            </w:pPr>
            <w: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Pr>
          <w:b/>
        </w:rPr>
        <w:t>Galvenās nostādnes</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t>EESK:</w:t>
      </w:r>
    </w:p>
    <w:p w14:paraId="383812B3" w14:textId="77777777" w:rsidR="00B55C6C" w:rsidRPr="00B55C6C" w:rsidRDefault="00B55C6C" w:rsidP="007526DA">
      <w:pPr>
        <w:numPr>
          <w:ilvl w:val="0"/>
          <w:numId w:val="20"/>
        </w:numPr>
        <w:shd w:val="clear" w:color="auto" w:fill="FFFFFF" w:themeFill="background1"/>
        <w:ind w:left="567" w:hanging="567"/>
        <w:contextualSpacing/>
        <w:rPr>
          <w:rFonts w:ascii="Calibri" w:hAnsi="Calibri"/>
          <w:color w:val="242424"/>
          <w:u w:val="single"/>
        </w:rPr>
      </w:pPr>
      <w:r>
        <w:rPr>
          <w:color w:val="242424"/>
        </w:rPr>
        <w:t xml:space="preserve">atzinīgi vērtē Eiropas dzīvības zinātņu stratēģiju un uzsver, ka </w:t>
      </w:r>
      <w:r>
        <w:rPr>
          <w:b/>
          <w:color w:val="242424"/>
        </w:rPr>
        <w:t>holistiskas pieejas</w:t>
      </w:r>
      <w:r>
        <w:rPr>
          <w:color w:val="242424"/>
        </w:rPr>
        <w:t xml:space="preserve"> un bagātinošas vides nodrošināšana var padarīt Eiropu par </w:t>
      </w:r>
      <w:r>
        <w:rPr>
          <w:b/>
          <w:color w:val="242424"/>
        </w:rPr>
        <w:t>pasaules dzīvības zinātņu līderi</w:t>
      </w:r>
      <w:r>
        <w:rPr>
          <w:color w:val="242424"/>
        </w:rPr>
        <w:t xml:space="preserve"> (īpaši reto slimību un </w:t>
      </w:r>
      <w:proofErr w:type="spellStart"/>
      <w:r>
        <w:rPr>
          <w:color w:val="242424"/>
        </w:rPr>
        <w:t>genomikas</w:t>
      </w:r>
      <w:proofErr w:type="spellEnd"/>
      <w:r>
        <w:rPr>
          <w:color w:val="242424"/>
        </w:rPr>
        <w:t xml:space="preserve"> jomā).</w:t>
      </w:r>
      <w:r>
        <w:rPr>
          <w:color w:val="242424"/>
          <w:u w:val="single"/>
        </w:rPr>
        <w:t xml:space="preserve"> Šāda </w:t>
      </w:r>
      <w:r>
        <w:rPr>
          <w:b/>
          <w:color w:val="242424"/>
          <w:u w:val="single"/>
        </w:rPr>
        <w:t>pieeja</w:t>
      </w:r>
      <w:r>
        <w:rPr>
          <w:color w:val="242424"/>
          <w:u w:val="single"/>
        </w:rPr>
        <w:t xml:space="preserve"> ietver:</w:t>
      </w:r>
    </w:p>
    <w:p w14:paraId="5A323DAF" w14:textId="746DCEF3"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visaptverošas zinātniskas un uz datiem balstītas metodes, kuru uzdevums ir diagnosticēt un izprast slimību cēloņus (tie var būt, piemēram, ģenētika, neveselīgi ieradumi un dzīvesveids, piesārņojums, stress u. c.);</w:t>
      </w:r>
    </w:p>
    <w:p w14:paraId="54755404" w14:textId="5C9C4720"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informācijas izplatīšanu par profilaksi un agrīno diagnostiku;</w:t>
      </w:r>
    </w:p>
    <w:p w14:paraId="3424F771" w14:textId="30D8CD98" w:rsidR="00B55C6C" w:rsidRPr="00B55C6C" w:rsidRDefault="00B55C6C" w:rsidP="007526DA">
      <w:pPr>
        <w:numPr>
          <w:ilvl w:val="1"/>
          <w:numId w:val="26"/>
        </w:numPr>
        <w:shd w:val="clear" w:color="auto" w:fill="FFFFFF" w:themeFill="background1"/>
        <w:ind w:left="851" w:hanging="284"/>
        <w:contextualSpacing/>
        <w:rPr>
          <w:color w:val="242424"/>
          <w:u w:val="single"/>
        </w:rPr>
      </w:pPr>
      <w:proofErr w:type="spellStart"/>
      <w:r>
        <w:rPr>
          <w:color w:val="242424"/>
          <w:u w:val="single"/>
        </w:rPr>
        <w:t>skrīningu</w:t>
      </w:r>
      <w:proofErr w:type="spellEnd"/>
      <w:r>
        <w:rPr>
          <w:color w:val="242424"/>
          <w:u w:val="single"/>
        </w:rPr>
        <w:t>, efektīvu un pieejamu ārstēšanu;</w:t>
      </w:r>
    </w:p>
    <w:p w14:paraId="093589AA" w14:textId="77777777"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augstas kvalitātes aprūpi un pacientiem un viņu ģimenēm pieejamu atbalsta infrastruktūru.</w:t>
      </w:r>
    </w:p>
    <w:p w14:paraId="65EEE98A" w14:textId="7EA1C342" w:rsidR="00B55C6C" w:rsidRPr="00B55C6C" w:rsidRDefault="00B55C6C" w:rsidP="007526DA">
      <w:pPr>
        <w:numPr>
          <w:ilvl w:val="0"/>
          <w:numId w:val="20"/>
        </w:numPr>
        <w:shd w:val="clear" w:color="auto" w:fill="FFFFFF" w:themeFill="background1"/>
        <w:ind w:left="567" w:hanging="567"/>
        <w:contextualSpacing/>
        <w:rPr>
          <w:color w:val="242424"/>
          <w:u w:val="single"/>
        </w:rPr>
      </w:pPr>
      <w:r>
        <w:t xml:space="preserve">atbalsta Eiropas Parlamenta aicinājumu bez kavēšanās pieņemt </w:t>
      </w:r>
      <w:hyperlink r:id="rId32">
        <w:r>
          <w:rPr>
            <w:b/>
            <w:color w:val="242424"/>
            <w:u w:val="single"/>
          </w:rPr>
          <w:t>ES rīcības plānu reto slimību jomā</w:t>
        </w:r>
      </w:hyperlink>
      <w:r>
        <w:t xml:space="preserve">, tostarp šajā nolūkā atkārtot un turpinot izvērst </w:t>
      </w:r>
      <w:hyperlink r:id="rId33">
        <w:r>
          <w:rPr>
            <w:b/>
            <w:color w:val="242424"/>
            <w:u w:val="single"/>
          </w:rPr>
          <w:t>Tartu aicinājumu uz veselīgu dzīvesveidu</w:t>
        </w:r>
      </w:hyperlink>
      <w:r>
        <w:t xml:space="preserve"> un izmantot </w:t>
      </w:r>
      <w:hyperlink r:id="rId34">
        <w:proofErr w:type="spellStart"/>
        <w:r>
          <w:rPr>
            <w:b/>
            <w:color w:val="242424"/>
            <w:u w:val="single"/>
          </w:rPr>
          <w:t>pieeju“Viena</w:t>
        </w:r>
        <w:proofErr w:type="spellEnd"/>
        <w:r>
          <w:rPr>
            <w:b/>
            <w:color w:val="242424"/>
            <w:u w:val="single"/>
          </w:rPr>
          <w:t xml:space="preserve"> veselība”</w:t>
        </w:r>
      </w:hyperlink>
      <w:r>
        <w:t>;</w:t>
      </w:r>
    </w:p>
    <w:p w14:paraId="19824879" w14:textId="1ECCBA6F" w:rsidR="00B55C6C" w:rsidRPr="00B55C6C" w:rsidRDefault="00B55C6C" w:rsidP="007526DA">
      <w:pPr>
        <w:numPr>
          <w:ilvl w:val="0"/>
          <w:numId w:val="22"/>
        </w:numPr>
        <w:shd w:val="clear" w:color="auto" w:fill="FFFFFF" w:themeFill="background1"/>
        <w:ind w:left="567" w:hanging="567"/>
        <w:contextualSpacing/>
        <w:rPr>
          <w:b/>
          <w:bCs/>
          <w:color w:val="242424"/>
        </w:rPr>
      </w:pPr>
      <w:r>
        <w:rPr>
          <w:color w:val="242424"/>
        </w:rPr>
        <w:t xml:space="preserve">uzskata, ka pētniecības un tehnoloģiju infrastruktūra (tostarp tāda, kuras uzmanības centrā ir retās slimības) ir svarīga dzīvības zinātņu un </w:t>
      </w:r>
      <w:proofErr w:type="spellStart"/>
      <w:r>
        <w:rPr>
          <w:color w:val="242424"/>
        </w:rPr>
        <w:t>ilgdzīvošanas</w:t>
      </w:r>
      <w:proofErr w:type="spellEnd"/>
      <w:r>
        <w:rPr>
          <w:color w:val="242424"/>
        </w:rPr>
        <w:t xml:space="preserve"> ekonomikas attīstības veicinātāja un ka tai būtu jāaptver </w:t>
      </w:r>
      <w:r>
        <w:rPr>
          <w:b/>
          <w:color w:val="242424"/>
        </w:rPr>
        <w:t xml:space="preserve">visa </w:t>
      </w:r>
      <w:proofErr w:type="spellStart"/>
      <w:r>
        <w:rPr>
          <w:b/>
          <w:color w:val="242424"/>
        </w:rPr>
        <w:t>ilgdzīvošanas</w:t>
      </w:r>
      <w:proofErr w:type="spellEnd"/>
      <w:r>
        <w:rPr>
          <w:b/>
          <w:color w:val="242424"/>
        </w:rPr>
        <w:t xml:space="preserve"> kultūra</w:t>
      </w:r>
      <w:r>
        <w:rPr>
          <w:color w:val="242424"/>
        </w:rPr>
        <w:t xml:space="preserve"> (tostarp profilakse, veselīga pārtika, dzīvesveids, </w:t>
      </w:r>
      <w:proofErr w:type="spellStart"/>
      <w:r>
        <w:rPr>
          <w:color w:val="242424"/>
        </w:rPr>
        <w:t>balneoterapija</w:t>
      </w:r>
      <w:proofErr w:type="spellEnd"/>
      <w:r>
        <w:rPr>
          <w:color w:val="242424"/>
        </w:rPr>
        <w:t xml:space="preserve"> un atpūta, fiziskā un psihoemocionālā veselība un daudzi citi elementi), kas sniedzas tālāk par slimību diagnostiku un ārstēšanu;</w:t>
      </w:r>
    </w:p>
    <w:p w14:paraId="36230EAB" w14:textId="2F18E6C1"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iesaka </w:t>
      </w:r>
      <w:r>
        <w:rPr>
          <w:b/>
          <w:color w:val="242424"/>
        </w:rPr>
        <w:t>katrā dalībvalstī</w:t>
      </w:r>
      <w:r>
        <w:rPr>
          <w:color w:val="242424"/>
        </w:rPr>
        <w:t xml:space="preserve"> izveidot </w:t>
      </w:r>
      <w:proofErr w:type="spellStart"/>
      <w:r>
        <w:rPr>
          <w:b/>
          <w:color w:val="242424"/>
        </w:rPr>
        <w:t>translatīvus</w:t>
      </w:r>
      <w:proofErr w:type="spellEnd"/>
      <w:r>
        <w:rPr>
          <w:b/>
          <w:color w:val="242424"/>
        </w:rPr>
        <w:t xml:space="preserve"> reto slimību jomā specializētus centrus</w:t>
      </w:r>
      <w:r>
        <w:rPr>
          <w:color w:val="242424"/>
        </w:rPr>
        <w:t>, kas konsekvences nolūkā tiktu koordinēti ES līmenī;</w:t>
      </w:r>
    </w:p>
    <w:p w14:paraId="79F67F3F" w14:textId="695936F4"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norāda, ka Eiropas partnerības ir vitāli svarīgas visu veidu ieinteresēto personu jēgpilnas un strukturētas iesaistes veicināšanai, un mudina nodrošināt formālus šo personu līdzdalības mehānismus;</w:t>
      </w:r>
    </w:p>
    <w:p w14:paraId="007C9EE2" w14:textId="77777777"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atbalsta </w:t>
      </w:r>
      <w:r>
        <w:rPr>
          <w:b/>
          <w:color w:val="242424"/>
        </w:rPr>
        <w:t>pacientu organizāciju, sociālo partneru un pilsoniskās sabiedrības obligātu pārstāvību pārvaldības struktūrās</w:t>
      </w:r>
      <w:r>
        <w:rPr>
          <w:color w:val="242424"/>
        </w:rPr>
        <w:t>, jo strukturēta, pārredzama un sistemātiska pacientu organizāciju, sociālo partneru un pilsoniskās sabiedrības organizāciju iesaiste dos iespēju noteikt prioritātes un datu protokolus, lēmumu pieņemšanas un datu izmantošanas pārredzamības prasības un mehānismu efektīvai viņu pienesuma integrācija.</w:t>
      </w:r>
    </w:p>
    <w:p w14:paraId="47E7F57B" w14:textId="77777777" w:rsidR="00B55C6C" w:rsidRPr="008D45C7" w:rsidRDefault="00B55C6C" w:rsidP="00100EF9">
      <w:pPr>
        <w:ind w:left="720"/>
        <w:rPr>
          <w:sz w:val="16"/>
          <w:szCs w:val="16"/>
        </w:rPr>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B55C6C" w:rsidRPr="00B55C6C" w14:paraId="1B7BB807" w14:textId="77777777" w:rsidTr="00D0608D">
        <w:tc>
          <w:tcPr>
            <w:tcW w:w="1668" w:type="dxa"/>
          </w:tcPr>
          <w:p w14:paraId="28C13E10" w14:textId="77777777" w:rsidR="00B55C6C" w:rsidRPr="00B55C6C" w:rsidRDefault="00B55C6C" w:rsidP="00100EF9">
            <w:pPr>
              <w:rPr>
                <w:i/>
              </w:rPr>
            </w:pPr>
            <w:r>
              <w:rPr>
                <w:b/>
                <w:i/>
              </w:rPr>
              <w:t>Kontaktpersona:</w:t>
            </w:r>
          </w:p>
        </w:tc>
        <w:tc>
          <w:tcPr>
            <w:tcW w:w="7404" w:type="dxa"/>
          </w:tcPr>
          <w:p w14:paraId="1876AA9B" w14:textId="77777777" w:rsidR="00B55C6C" w:rsidRPr="00B55C6C" w:rsidRDefault="00B55C6C" w:rsidP="00100EF9">
            <w:pPr>
              <w:rPr>
                <w:i/>
              </w:rPr>
            </w:pPr>
            <w:r>
              <w:rPr>
                <w:i/>
              </w:rPr>
              <w:t xml:space="preserve">Konstantina </w:t>
            </w:r>
            <w:proofErr w:type="spellStart"/>
            <w:r>
              <w:rPr>
                <w:i/>
              </w:rPr>
              <w:t>Angelopoulou</w:t>
            </w:r>
            <w:proofErr w:type="spellEnd"/>
          </w:p>
        </w:tc>
      </w:tr>
      <w:tr w:rsidR="00B55C6C" w:rsidRPr="00B55C6C" w14:paraId="3A6228E8" w14:textId="77777777" w:rsidTr="00D0608D">
        <w:tc>
          <w:tcPr>
            <w:tcW w:w="1668" w:type="dxa"/>
          </w:tcPr>
          <w:p w14:paraId="744FB576" w14:textId="77777777" w:rsidR="00B55C6C" w:rsidRPr="00B55C6C" w:rsidRDefault="00B55C6C" w:rsidP="00100EF9">
            <w:pPr>
              <w:rPr>
                <w:i/>
              </w:rPr>
            </w:pPr>
            <w:r>
              <w:rPr>
                <w:i/>
              </w:rPr>
              <w:t>Tālr.:</w:t>
            </w:r>
          </w:p>
        </w:tc>
        <w:tc>
          <w:tcPr>
            <w:tcW w:w="7404" w:type="dxa"/>
          </w:tcPr>
          <w:p w14:paraId="30F176AA" w14:textId="69662FEA" w:rsidR="00B55C6C" w:rsidRPr="00B55C6C" w:rsidRDefault="00B55C6C" w:rsidP="00100EF9">
            <w:pPr>
              <w:rPr>
                <w:i/>
              </w:rPr>
            </w:pPr>
            <w:r>
              <w:rPr>
                <w:i/>
              </w:rPr>
              <w:t>+32 25469747</w:t>
            </w:r>
          </w:p>
        </w:tc>
      </w:tr>
      <w:tr w:rsidR="00B55C6C" w:rsidRPr="00B55C6C" w14:paraId="3F5E6411" w14:textId="77777777" w:rsidTr="00D0608D">
        <w:tc>
          <w:tcPr>
            <w:tcW w:w="1668" w:type="dxa"/>
          </w:tcPr>
          <w:p w14:paraId="62C81B41" w14:textId="1E9E1B5D" w:rsidR="00B55C6C" w:rsidRPr="00B55C6C" w:rsidRDefault="00256B74" w:rsidP="00100EF9">
            <w:pPr>
              <w:rPr>
                <w:i/>
              </w:rPr>
            </w:pPr>
            <w:r>
              <w:rPr>
                <w:i/>
              </w:rPr>
              <w:t>E-pasts:</w:t>
            </w:r>
          </w:p>
        </w:tc>
        <w:tc>
          <w:tcPr>
            <w:tcW w:w="7404" w:type="dxa"/>
          </w:tcPr>
          <w:p w14:paraId="31CA77B0" w14:textId="77777777" w:rsidR="00B55C6C" w:rsidRPr="00B55C6C" w:rsidRDefault="00E2492E" w:rsidP="00100EF9">
            <w:pPr>
              <w:rPr>
                <w:i/>
                <w:iCs/>
              </w:rPr>
            </w:pPr>
            <w:hyperlink r:id="rId35" w:history="1">
              <w:r w:rsidR="00E235D3">
                <w:rPr>
                  <w:i/>
                  <w:color w:val="0000FF"/>
                  <w:u w:val="single"/>
                </w:rPr>
                <w:t>Konstantina.Angelopoulou@eesc.europa.eu</w:t>
              </w:r>
            </w:hyperlink>
          </w:p>
        </w:tc>
      </w:tr>
    </w:tbl>
    <w:p w14:paraId="4483536B" w14:textId="77777777" w:rsidR="00EE1B31" w:rsidRDefault="00EE1B31" w:rsidP="00100EF9">
      <w:pPr>
        <w:jc w:val="left"/>
      </w:pPr>
      <w:r>
        <w:br w:type="page"/>
      </w:r>
    </w:p>
    <w:p w14:paraId="20E4C813" w14:textId="328C87C4" w:rsidR="00594237" w:rsidRPr="00594237" w:rsidRDefault="00E2492E" w:rsidP="00100EF9">
      <w:pPr>
        <w:widowControl w:val="0"/>
        <w:numPr>
          <w:ilvl w:val="0"/>
          <w:numId w:val="6"/>
        </w:numPr>
        <w:overflowPunct w:val="0"/>
        <w:autoSpaceDE w:val="0"/>
        <w:autoSpaceDN w:val="0"/>
        <w:adjustRightInd w:val="0"/>
        <w:ind w:hanging="567"/>
        <w:textAlignment w:val="baseline"/>
        <w:rPr>
          <w:sz w:val="20"/>
          <w:szCs w:val="20"/>
        </w:rPr>
      </w:pPr>
      <w:hyperlink r:id="rId36" w:history="1">
        <w:proofErr w:type="spellStart"/>
        <w:r w:rsidR="00E235D3">
          <w:rPr>
            <w:b/>
            <w:i/>
            <w:color w:val="0000FF"/>
            <w:sz w:val="28"/>
            <w:u w:val="single"/>
          </w:rPr>
          <w:t>Energotīklu</w:t>
        </w:r>
        <w:proofErr w:type="spellEnd"/>
        <w:r w:rsidR="00E235D3">
          <w:rPr>
            <w:b/>
            <w:i/>
            <w:color w:val="0000FF"/>
            <w:sz w:val="28"/>
            <w:u w:val="single"/>
          </w:rPr>
          <w:t xml:space="preserve"> </w:t>
        </w:r>
        <w:proofErr w:type="spellStart"/>
        <w:r w:rsidR="00E235D3">
          <w:rPr>
            <w:b/>
            <w:i/>
            <w:color w:val="0000FF"/>
            <w:sz w:val="28"/>
            <w:u w:val="single"/>
          </w:rPr>
          <w:t>savienotība</w:t>
        </w:r>
        <w:proofErr w:type="spellEnd"/>
        <w:r w:rsidR="00E235D3">
          <w:rPr>
            <w:b/>
            <w:i/>
            <w:color w:val="0000FF"/>
            <w:sz w:val="28"/>
            <w:u w:val="single"/>
          </w:rPr>
          <w:t xml:space="preserve"> un elektrotīkli</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5"/>
      </w:tblGrid>
      <w:tr w:rsidR="00594237" w:rsidRPr="00594237" w14:paraId="0B3E8F32" w14:textId="77777777" w:rsidTr="00D0608D">
        <w:tc>
          <w:tcPr>
            <w:tcW w:w="1668" w:type="dxa"/>
          </w:tcPr>
          <w:p w14:paraId="3305D113" w14:textId="77777777"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Ziņotājs</w:t>
            </w:r>
          </w:p>
        </w:tc>
        <w:tc>
          <w:tcPr>
            <w:tcW w:w="7405" w:type="dxa"/>
          </w:tcPr>
          <w:p w14:paraId="01328C57" w14:textId="544140E5" w:rsidR="00F172E5" w:rsidRPr="00594237" w:rsidRDefault="00594237" w:rsidP="00100EF9">
            <w:pPr>
              <w:tabs>
                <w:tab w:val="center" w:pos="284"/>
              </w:tabs>
              <w:overflowPunct w:val="0"/>
              <w:autoSpaceDE w:val="0"/>
              <w:autoSpaceDN w:val="0"/>
              <w:adjustRightInd w:val="0"/>
              <w:ind w:left="266" w:hanging="266"/>
              <w:textAlignment w:val="baseline"/>
            </w:pPr>
            <w:proofErr w:type="spellStart"/>
            <w:r>
              <w:t>Christophe</w:t>
            </w:r>
            <w:proofErr w:type="spellEnd"/>
            <w:r>
              <w:t> BÉGUINET (Darba ņēmēju grupa – FR)</w:t>
            </w:r>
          </w:p>
        </w:tc>
      </w:tr>
      <w:tr w:rsidR="00205469" w:rsidRPr="00594237" w14:paraId="4D1871B6" w14:textId="77777777" w:rsidTr="00D0608D">
        <w:tc>
          <w:tcPr>
            <w:tcW w:w="1668" w:type="dxa"/>
          </w:tcPr>
          <w:p w14:paraId="589D2486" w14:textId="77777777" w:rsidR="00205469" w:rsidRPr="00594237" w:rsidRDefault="00205469" w:rsidP="00100EF9">
            <w:pPr>
              <w:tabs>
                <w:tab w:val="center" w:pos="284"/>
              </w:tabs>
              <w:overflowPunct w:val="0"/>
              <w:autoSpaceDE w:val="0"/>
              <w:autoSpaceDN w:val="0"/>
              <w:adjustRightInd w:val="0"/>
              <w:ind w:left="266" w:hanging="266"/>
              <w:textAlignment w:val="baseline"/>
              <w:rPr>
                <w:b/>
              </w:rPr>
            </w:pPr>
          </w:p>
        </w:tc>
        <w:tc>
          <w:tcPr>
            <w:tcW w:w="7405" w:type="dxa"/>
          </w:tcPr>
          <w:p w14:paraId="1F8F0751" w14:textId="77777777" w:rsidR="00205469" w:rsidRPr="00594237" w:rsidRDefault="00205469" w:rsidP="00100EF9">
            <w:pPr>
              <w:tabs>
                <w:tab w:val="center" w:pos="284"/>
              </w:tabs>
              <w:overflowPunct w:val="0"/>
              <w:autoSpaceDE w:val="0"/>
              <w:autoSpaceDN w:val="0"/>
              <w:adjustRightInd w:val="0"/>
              <w:ind w:left="266" w:hanging="266"/>
              <w:textAlignment w:val="baseline"/>
            </w:pPr>
          </w:p>
        </w:tc>
      </w:tr>
      <w:tr w:rsidR="00594237" w:rsidRPr="00594237" w14:paraId="57747D28" w14:textId="77777777" w:rsidTr="00D0608D">
        <w:tc>
          <w:tcPr>
            <w:tcW w:w="1668" w:type="dxa"/>
          </w:tcPr>
          <w:p w14:paraId="7A081D5F" w14:textId="1DA4EDF6"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Atsauces</w:t>
            </w:r>
          </w:p>
        </w:tc>
        <w:tc>
          <w:tcPr>
            <w:tcW w:w="7405" w:type="dxa"/>
          </w:tcPr>
          <w:p w14:paraId="245BB14C" w14:textId="0A43048D" w:rsidR="00594237" w:rsidRPr="00594237" w:rsidRDefault="00594237" w:rsidP="00100EF9">
            <w:pPr>
              <w:tabs>
                <w:tab w:val="center" w:pos="284"/>
              </w:tabs>
              <w:overflowPunct w:val="0"/>
              <w:autoSpaceDE w:val="0"/>
              <w:autoSpaceDN w:val="0"/>
              <w:adjustRightInd w:val="0"/>
              <w:ind w:left="266" w:hanging="266"/>
              <w:textAlignment w:val="baseline"/>
            </w:pPr>
            <w:r>
              <w:t>Izpētes atzinums pēc ES Padomes prezidentvalsts Kipras pieprasījuma</w:t>
            </w:r>
          </w:p>
          <w:p w14:paraId="6CAD8281" w14:textId="77777777" w:rsidR="00594237" w:rsidRPr="00594237" w:rsidRDefault="00594237" w:rsidP="00100EF9">
            <w:pPr>
              <w:tabs>
                <w:tab w:val="center" w:pos="284"/>
              </w:tabs>
              <w:overflowPunct w:val="0"/>
              <w:autoSpaceDE w:val="0"/>
              <w:autoSpaceDN w:val="0"/>
              <w:adjustRightInd w:val="0"/>
              <w:ind w:left="266" w:hanging="266"/>
              <w:textAlignment w:val="baseline"/>
            </w:pPr>
            <w:r>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rPr>
      </w:pPr>
      <w:r>
        <w:t>EESK:</w:t>
      </w:r>
    </w:p>
    <w:p w14:paraId="646A6D1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uzsver, ka Eiropas elektroenerģijas nozarei ir jāspēj plānot elektroenerģijas sistēmas vajadzības ES līmenī un partnervalstīs, pamatojoties uz kopīgu Komisijas un valstu sistēmu operatoru noteikto enerģētikas scenāriju;</w:t>
      </w:r>
    </w:p>
    <w:p w14:paraId="61E86BFD"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 xml:space="preserve">norāda, ka starpsavienojumu nozīme būtu jāskata vai nu divpusējas pieejas ietvaros kā divu valstu kopīgs ieguvums vai arī, raugoties ārpus to divu dalībvalstu perspektīvas, starp kurām šis starpsavienojums izveidots, kā kopīgs visas sistēmas ieguvums. Šajā otrajā gadījumā </w:t>
      </w:r>
      <w:proofErr w:type="spellStart"/>
      <w:r>
        <w:t>Energoregulatoru</w:t>
      </w:r>
      <w:proofErr w:type="spellEnd"/>
      <w:r>
        <w:t xml:space="preserve"> sadarbības aģentūras, valstu regulatoru un tīkla operatoru sadarbības rezultātā ir jārodas jauniem ekonomikas modeļiem.</w:t>
      </w:r>
    </w:p>
    <w:p w14:paraId="2C83B82E"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uzsver, ka starpsavienojumu efektivitātes nolūkā līdztekus to attīstībai ir jāveido attiecīgas valstu infrastruktūras, it īpaši pārvades sistēmas operatoru un sadales sistēmas operatoru līmenī. Starpsavienojumu jaudas veidošana ir jāizmanto kā iespēja stiprināt Eiropas solidaritāti elektroenerģijas tīklu jomā;</w:t>
      </w:r>
    </w:p>
    <w:p w14:paraId="543D8C6F"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uzsver, ka Eiropas elektroenerģijas sistēmas ekonomiskās optimizācijas nolūkā ir nepieciešams plaši ieviest viedos skaitītājus, veikt citas papildu investīcijas pārvades un sadales tīklos un panākt enerģijas plūsmas datu pieejamību;</w:t>
      </w:r>
    </w:p>
    <w:p w14:paraId="5841625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 xml:space="preserve">uzskata, ka elektroenerģijas sistēmas drošībai ir jābūt prioritātei, un tas attiecas uz fiziskiem uzbrukumiem, uz sabotāžas aktiem, uz </w:t>
      </w:r>
      <w:proofErr w:type="spellStart"/>
      <w:r>
        <w:t>kiberriskiem</w:t>
      </w:r>
      <w:proofErr w:type="spellEnd"/>
      <w:r>
        <w:t xml:space="preserve"> un uz sistēmas balansēšanas riskiem;</w:t>
      </w:r>
    </w:p>
    <w:p w14:paraId="5F670357"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aicina pirms jaunu infrastruktūras ieceru veidošanas par prioritāti uzskatīt pastāvošās infrastruktūras optimizēšanu.</w:t>
      </w:r>
    </w:p>
    <w:p w14:paraId="7F7D5FFE" w14:textId="77777777" w:rsidR="00594237" w:rsidRPr="00594237" w:rsidRDefault="00594237" w:rsidP="00100EF9">
      <w:pPr>
        <w:widowControl w:val="0"/>
        <w:overflowPunct w:val="0"/>
        <w:autoSpaceDE w:val="0"/>
        <w:autoSpaceDN w:val="0"/>
        <w:adjustRightInd w:val="0"/>
        <w:ind w:left="709"/>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594237" w:rsidRPr="00594237" w14:paraId="0AB1B93A" w14:textId="77777777" w:rsidTr="00D0608D">
        <w:tc>
          <w:tcPr>
            <w:tcW w:w="1668" w:type="dxa"/>
          </w:tcPr>
          <w:p w14:paraId="07D8992D" w14:textId="77777777" w:rsidR="00594237" w:rsidRPr="00594237" w:rsidRDefault="00594237" w:rsidP="00100EF9">
            <w:pPr>
              <w:overflowPunct w:val="0"/>
              <w:autoSpaceDE w:val="0"/>
              <w:autoSpaceDN w:val="0"/>
              <w:adjustRightInd w:val="0"/>
              <w:textAlignment w:val="baseline"/>
              <w:rPr>
                <w:i/>
              </w:rPr>
            </w:pPr>
            <w:r>
              <w:rPr>
                <w:b/>
                <w:i/>
              </w:rPr>
              <w:t>Kontaktpersona:</w:t>
            </w:r>
          </w:p>
        </w:tc>
        <w:tc>
          <w:tcPr>
            <w:tcW w:w="7512" w:type="dxa"/>
          </w:tcPr>
          <w:p w14:paraId="1B78F73E" w14:textId="78914975" w:rsidR="00594237" w:rsidRPr="00594237" w:rsidRDefault="00594237" w:rsidP="00100EF9">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594237" w:rsidRPr="00594237" w14:paraId="6912C935" w14:textId="77777777" w:rsidTr="00D0608D">
        <w:tc>
          <w:tcPr>
            <w:tcW w:w="1668" w:type="dxa"/>
          </w:tcPr>
          <w:p w14:paraId="5F1BA648" w14:textId="77777777" w:rsidR="00594237" w:rsidRPr="00594237" w:rsidRDefault="00594237" w:rsidP="00100EF9">
            <w:pPr>
              <w:overflowPunct w:val="0"/>
              <w:autoSpaceDE w:val="0"/>
              <w:autoSpaceDN w:val="0"/>
              <w:adjustRightInd w:val="0"/>
              <w:textAlignment w:val="baseline"/>
              <w:rPr>
                <w:i/>
              </w:rPr>
            </w:pPr>
            <w:r>
              <w:rPr>
                <w:i/>
              </w:rPr>
              <w:t>Tālr.:</w:t>
            </w:r>
          </w:p>
        </w:tc>
        <w:tc>
          <w:tcPr>
            <w:tcW w:w="7512" w:type="dxa"/>
          </w:tcPr>
          <w:p w14:paraId="42C70B8C" w14:textId="0FF6B91B" w:rsidR="00594237" w:rsidRPr="00594237" w:rsidRDefault="00594237" w:rsidP="00100EF9">
            <w:pPr>
              <w:overflowPunct w:val="0"/>
              <w:autoSpaceDE w:val="0"/>
              <w:autoSpaceDN w:val="0"/>
              <w:adjustRightInd w:val="0"/>
              <w:textAlignment w:val="baseline"/>
              <w:rPr>
                <w:i/>
              </w:rPr>
            </w:pPr>
            <w:r>
              <w:rPr>
                <w:i/>
              </w:rPr>
              <w:t>+32 25468535</w:t>
            </w:r>
          </w:p>
        </w:tc>
      </w:tr>
      <w:tr w:rsidR="00594237" w:rsidRPr="00594237" w14:paraId="2BBC59B6" w14:textId="77777777" w:rsidTr="00D0608D">
        <w:tc>
          <w:tcPr>
            <w:tcW w:w="1668" w:type="dxa"/>
          </w:tcPr>
          <w:p w14:paraId="10BDDDCF" w14:textId="77777777" w:rsidR="00594237" w:rsidRPr="00594237" w:rsidRDefault="00594237" w:rsidP="00100EF9">
            <w:pPr>
              <w:overflowPunct w:val="0"/>
              <w:autoSpaceDE w:val="0"/>
              <w:autoSpaceDN w:val="0"/>
              <w:adjustRightInd w:val="0"/>
              <w:textAlignment w:val="baseline"/>
              <w:rPr>
                <w:i/>
              </w:rPr>
            </w:pPr>
            <w:r>
              <w:rPr>
                <w:i/>
              </w:rPr>
              <w:t>E-pasts:</w:t>
            </w:r>
          </w:p>
        </w:tc>
        <w:tc>
          <w:tcPr>
            <w:tcW w:w="7512" w:type="dxa"/>
          </w:tcPr>
          <w:p w14:paraId="5EF302B9" w14:textId="77777777" w:rsidR="00594237" w:rsidRPr="00594237" w:rsidRDefault="00E2492E" w:rsidP="00100EF9">
            <w:pPr>
              <w:overflowPunct w:val="0"/>
              <w:autoSpaceDE w:val="0"/>
              <w:autoSpaceDN w:val="0"/>
              <w:adjustRightInd w:val="0"/>
              <w:textAlignment w:val="baseline"/>
              <w:rPr>
                <w:i/>
              </w:rPr>
            </w:pPr>
            <w:hyperlink r:id="rId37" w:history="1">
              <w:r w:rsidR="00E235D3">
                <w:rPr>
                  <w:i/>
                  <w:color w:val="0000FF"/>
                  <w:u w:val="single"/>
                </w:rPr>
                <w:t>GiorgiaAndrea.Bordignon@eesc.europa.eu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3510392"/>
      <w:r>
        <w:rPr>
          <w:b/>
        </w:rPr>
        <w:lastRenderedPageBreak/>
        <w:t>LAUKSAIMNIECĪBA, LAUKU ATTĪSTĪBA UN VIDE</w:t>
      </w:r>
      <w:bookmarkEnd w:id="27"/>
      <w:bookmarkEnd w:id="28"/>
      <w:bookmarkEnd w:id="29"/>
    </w:p>
    <w:p w14:paraId="4982DE20" w14:textId="77777777" w:rsidR="004D7AC0" w:rsidRDefault="004D7AC0" w:rsidP="00100EF9"/>
    <w:p w14:paraId="2C76C141" w14:textId="0727FF4D" w:rsidR="00621347" w:rsidRPr="00621347" w:rsidRDefault="00E2492E" w:rsidP="00100EF9">
      <w:pPr>
        <w:widowControl w:val="0"/>
        <w:numPr>
          <w:ilvl w:val="0"/>
          <w:numId w:val="6"/>
        </w:numPr>
        <w:overflowPunct w:val="0"/>
        <w:autoSpaceDE w:val="0"/>
        <w:autoSpaceDN w:val="0"/>
        <w:adjustRightInd w:val="0"/>
        <w:ind w:hanging="567"/>
        <w:textAlignment w:val="baseline"/>
        <w:rPr>
          <w:i/>
          <w:iCs/>
          <w:sz w:val="28"/>
          <w:szCs w:val="28"/>
        </w:rPr>
      </w:pPr>
      <w:hyperlink r:id="rId38" w:history="1">
        <w:r w:rsidR="00E235D3">
          <w:rPr>
            <w:b/>
            <w:i/>
            <w:color w:val="0000FF"/>
            <w:sz w:val="28"/>
            <w:u w:val="single"/>
          </w:rPr>
          <w:t>Dabas kredītu ceļvedis</w:t>
        </w:r>
      </w:hyperlink>
    </w:p>
    <w:p w14:paraId="62E0B68C"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5980278B" w14:textId="77777777" w:rsidTr="00D0608D">
        <w:tc>
          <w:tcPr>
            <w:tcW w:w="898" w:type="pct"/>
          </w:tcPr>
          <w:p w14:paraId="61C81431"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Ziņotājs</w:t>
            </w:r>
          </w:p>
        </w:tc>
        <w:tc>
          <w:tcPr>
            <w:tcW w:w="4102" w:type="pct"/>
          </w:tcPr>
          <w:p w14:paraId="53BB74E4" w14:textId="19992D32" w:rsidR="00621347" w:rsidRPr="00621347" w:rsidRDefault="00621347" w:rsidP="00100EF9">
            <w:pPr>
              <w:tabs>
                <w:tab w:val="center" w:pos="284"/>
              </w:tabs>
              <w:overflowPunct w:val="0"/>
              <w:autoSpaceDE w:val="0"/>
              <w:autoSpaceDN w:val="0"/>
              <w:adjustRightInd w:val="0"/>
              <w:ind w:left="266" w:right="-3091" w:hanging="266"/>
              <w:textAlignment w:val="baseline"/>
            </w:pPr>
            <w:proofErr w:type="spellStart"/>
            <w:r>
              <w:t>Arnaud</w:t>
            </w:r>
            <w:proofErr w:type="spellEnd"/>
            <w:r>
              <w:t> SCHWARTZ (Pilsoniskās sabiedrības organizāciju grupa – FR)</w:t>
            </w:r>
          </w:p>
        </w:tc>
      </w:tr>
      <w:tr w:rsidR="00621347" w:rsidRPr="00621347" w14:paraId="0CEBEBE7" w14:textId="77777777" w:rsidTr="00D0608D">
        <w:tc>
          <w:tcPr>
            <w:tcW w:w="898" w:type="pct"/>
          </w:tcPr>
          <w:p w14:paraId="2479DBBC"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Līdzziņotājs</w:t>
            </w:r>
          </w:p>
        </w:tc>
        <w:tc>
          <w:tcPr>
            <w:tcW w:w="4102" w:type="pct"/>
          </w:tcPr>
          <w:p w14:paraId="71EF85C6" w14:textId="36F8549C" w:rsidR="00630779" w:rsidRPr="00621347" w:rsidRDefault="00621347" w:rsidP="00100EF9">
            <w:pPr>
              <w:tabs>
                <w:tab w:val="center" w:pos="284"/>
              </w:tabs>
              <w:overflowPunct w:val="0"/>
              <w:autoSpaceDE w:val="0"/>
              <w:autoSpaceDN w:val="0"/>
              <w:adjustRightInd w:val="0"/>
              <w:ind w:left="266" w:right="-3091" w:hanging="266"/>
              <w:textAlignment w:val="baseline"/>
            </w:pPr>
            <w:proofErr w:type="spellStart"/>
            <w:r>
              <w:t>Teppo</w:t>
            </w:r>
            <w:proofErr w:type="spellEnd"/>
            <w:r>
              <w:t xml:space="preserve"> SÄKKINEN (Darba devēju grupa – FI)</w:t>
            </w:r>
          </w:p>
        </w:tc>
      </w:tr>
      <w:tr w:rsidR="00205469" w:rsidRPr="00621347" w14:paraId="778CD321" w14:textId="77777777" w:rsidTr="00D0608D">
        <w:tc>
          <w:tcPr>
            <w:tcW w:w="898" w:type="pct"/>
          </w:tcPr>
          <w:p w14:paraId="7759C9B9" w14:textId="77777777" w:rsidR="00205469" w:rsidRPr="003F66F7" w:rsidRDefault="00205469" w:rsidP="00100EF9">
            <w:pPr>
              <w:tabs>
                <w:tab w:val="center" w:pos="284"/>
              </w:tabs>
              <w:overflowPunct w:val="0"/>
              <w:autoSpaceDE w:val="0"/>
              <w:autoSpaceDN w:val="0"/>
              <w:adjustRightInd w:val="0"/>
              <w:ind w:left="266" w:hanging="266"/>
              <w:textAlignment w:val="baseline"/>
              <w:rPr>
                <w:b/>
                <w:lang w:val="en-GB"/>
              </w:rPr>
            </w:pPr>
          </w:p>
        </w:tc>
        <w:tc>
          <w:tcPr>
            <w:tcW w:w="4102" w:type="pct"/>
          </w:tcPr>
          <w:p w14:paraId="4A9CAC5A" w14:textId="77777777" w:rsidR="00205469" w:rsidRPr="00621347" w:rsidRDefault="00205469" w:rsidP="00100EF9">
            <w:pPr>
              <w:tabs>
                <w:tab w:val="center" w:pos="284"/>
              </w:tabs>
              <w:overflowPunct w:val="0"/>
              <w:autoSpaceDE w:val="0"/>
              <w:autoSpaceDN w:val="0"/>
              <w:adjustRightInd w:val="0"/>
              <w:ind w:left="266" w:right="-3091" w:hanging="266"/>
              <w:textAlignment w:val="baseline"/>
            </w:pPr>
          </w:p>
        </w:tc>
      </w:tr>
      <w:tr w:rsidR="00621347" w:rsidRPr="00621347" w14:paraId="27481885" w14:textId="77777777" w:rsidTr="00D0608D">
        <w:tc>
          <w:tcPr>
            <w:tcW w:w="898" w:type="pct"/>
          </w:tcPr>
          <w:p w14:paraId="51C5B0D8"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Atsauces</w:t>
            </w:r>
          </w:p>
        </w:tc>
        <w:tc>
          <w:tcPr>
            <w:tcW w:w="4102" w:type="pct"/>
          </w:tcPr>
          <w:p w14:paraId="72CD413C" w14:textId="352FF01B" w:rsidR="00CC7D10" w:rsidRDefault="00124E6A" w:rsidP="00100EF9">
            <w:pPr>
              <w:tabs>
                <w:tab w:val="center" w:pos="284"/>
              </w:tabs>
              <w:overflowPunct w:val="0"/>
              <w:autoSpaceDE w:val="0"/>
              <w:autoSpaceDN w:val="0"/>
              <w:adjustRightInd w:val="0"/>
              <w:ind w:left="266" w:right="-3091" w:hanging="266"/>
              <w:textAlignment w:val="baseline"/>
            </w:pPr>
            <w:r>
              <w:t xml:space="preserve">COM(2025) 374 </w:t>
            </w:r>
            <w:proofErr w:type="spellStart"/>
            <w:r>
              <w:t>final</w:t>
            </w:r>
            <w:proofErr w:type="spellEnd"/>
          </w:p>
          <w:p w14:paraId="281E2397" w14:textId="6410C7C8" w:rsidR="00621347" w:rsidRPr="00621347" w:rsidRDefault="00621347" w:rsidP="00100EF9">
            <w:pPr>
              <w:tabs>
                <w:tab w:val="center" w:pos="284"/>
              </w:tabs>
              <w:overflowPunct w:val="0"/>
              <w:autoSpaceDE w:val="0"/>
              <w:autoSpaceDN w:val="0"/>
              <w:adjustRightInd w:val="0"/>
              <w:ind w:left="266" w:right="-3091" w:hanging="266"/>
              <w:textAlignment w:val="baseline"/>
            </w:pPr>
            <w: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rPr>
      </w:pPr>
      <w:r>
        <w:t>EESK aicina Eiropas Komisiju:</w:t>
      </w:r>
    </w:p>
    <w:p w14:paraId="3274DE4E" w14:textId="0652F3F9" w:rsidR="00621347" w:rsidRPr="00621347" w:rsidRDefault="00621347" w:rsidP="007526DA">
      <w:pPr>
        <w:pStyle w:val="ListParagraph"/>
        <w:numPr>
          <w:ilvl w:val="0"/>
          <w:numId w:val="29"/>
        </w:numPr>
        <w:ind w:left="567" w:hanging="578"/>
        <w:rPr>
          <w:szCs w:val="20"/>
        </w:rPr>
      </w:pPr>
      <w:bookmarkStart w:id="30" w:name="_Toc222988740"/>
      <w:bookmarkStart w:id="31" w:name="_Toc222989237"/>
      <w:bookmarkStart w:id="32" w:name="_Toc222989275"/>
      <w:bookmarkStart w:id="33" w:name="_Toc222825837"/>
      <w:bookmarkEnd w:id="30"/>
      <w:bookmarkEnd w:id="31"/>
      <w:bookmarkEnd w:id="32"/>
      <w:r>
        <w:t>nodrošināt, lai tiktu sasniegti globālajā biodaudzveidības satvarā noteiktie biodaudzveidības finansēšanas mērķi. Šajā nolūkā ir vajadzīgs pietiekami liels, stabils un savlaicīgs publiskais finansējums, tostarp no ES budžeta, un pakāpeniski ir jāatceļ videi kaitīgās subsīdijas, kādas saņem, piemēram, fosilā degviela. Dabas kredīti var palīdzēt novērst finansējuma trūkumu un piesaistīt privāto finansējumu, kas nevis aizstāj, bet papildina publiskos līdzekļus;</w:t>
      </w:r>
      <w:bookmarkEnd w:id="33"/>
    </w:p>
    <w:p w14:paraId="48812E9A" w14:textId="77777777" w:rsidR="00621347" w:rsidRPr="00F43315" w:rsidRDefault="00621347" w:rsidP="007526DA">
      <w:pPr>
        <w:pStyle w:val="ListParagraph"/>
        <w:numPr>
          <w:ilvl w:val="0"/>
          <w:numId w:val="29"/>
        </w:numPr>
        <w:ind w:left="567" w:hanging="578"/>
        <w:rPr>
          <w:szCs w:val="20"/>
        </w:rPr>
      </w:pPr>
      <w:bookmarkStart w:id="34" w:name="_Toc222825838"/>
      <w:r>
        <w:t>izpildīt vides tiesību aktus un pamatprincipus, jo tie ir efektīvs instruments, kas nodrošina biodaudzveidības mērķrādītāju sasniegšanu, novērš finansējuma trūkumu un ir uzticams dabas kredītu satvars;</w:t>
      </w:r>
      <w:bookmarkEnd w:id="34"/>
    </w:p>
    <w:p w14:paraId="1EE5A2BD" w14:textId="6CCEB5F0" w:rsidR="00621347" w:rsidRPr="00F43315" w:rsidRDefault="00621347" w:rsidP="007526DA">
      <w:pPr>
        <w:pStyle w:val="ListParagraph"/>
        <w:numPr>
          <w:ilvl w:val="0"/>
          <w:numId w:val="29"/>
        </w:numPr>
        <w:ind w:left="567" w:hanging="578"/>
        <w:rPr>
          <w:szCs w:val="20"/>
        </w:rPr>
      </w:pPr>
      <w:bookmarkStart w:id="35" w:name="_Toc222825839"/>
      <w:r>
        <w:t xml:space="preserve">nodrošināt, lai dabas kredītu satvara pamatā būtu stingri principi, kas nodrošina augstu integritāti, kā arī </w:t>
      </w:r>
      <w:proofErr w:type="spellStart"/>
      <w:r>
        <w:t>mitigācijas</w:t>
      </w:r>
      <w:proofErr w:type="spellEnd"/>
      <w:r>
        <w:t xml:space="preserve"> hierarhija un citi vides, klimata un sociālie aizsardzības pasākumi, un sistemātiski novērtēt projektu atbilstību tiem. Izmantotajai metodikai vajadzētu būt holistiskai un zinātniskai, un tās pamatā vajadzētu būt ekoloģiski integrētai, uz rezultātiem balstītai pieejai;</w:t>
      </w:r>
      <w:bookmarkEnd w:id="35"/>
    </w:p>
    <w:p w14:paraId="6AA0E980" w14:textId="011DCE8C" w:rsidR="00621347" w:rsidRPr="00F43315" w:rsidRDefault="00621347" w:rsidP="007526DA">
      <w:pPr>
        <w:pStyle w:val="ListParagraph"/>
        <w:numPr>
          <w:ilvl w:val="0"/>
          <w:numId w:val="29"/>
        </w:numPr>
        <w:ind w:left="567" w:hanging="578"/>
        <w:rPr>
          <w:szCs w:val="20"/>
        </w:rPr>
      </w:pPr>
      <w:bookmarkStart w:id="36" w:name="_Toc222825840"/>
      <w:r>
        <w:t>nodrošināt, lai dabas kredītu tirgus pārvaldības sistēma būtu zinātniski pamatota, iekļaujoša, pārredzama un līdzdalīga un lai īpaša uzmanība tiktu pievērsta tādu dalībnieku iesaistīšanai, kuri dabu spēj atjaunot un saglabāt, kā arī neaizsargātu un marginalizētu grupu, piemēram, jauniešu, sieviešu, lauku kopienu un pirmiedzīvotāju, iesaistīšanai. ir jānodrošina pārredzama un taisnīga datu pārvaldība un piederība;</w:t>
      </w:r>
      <w:bookmarkEnd w:id="36"/>
    </w:p>
    <w:p w14:paraId="3A2AC039" w14:textId="2F75D698" w:rsidR="00621347" w:rsidRPr="00F43315" w:rsidRDefault="00621347" w:rsidP="007526DA">
      <w:pPr>
        <w:pStyle w:val="ListParagraph"/>
        <w:numPr>
          <w:ilvl w:val="0"/>
          <w:numId w:val="29"/>
        </w:numPr>
        <w:ind w:left="567" w:hanging="578"/>
        <w:rPr>
          <w:szCs w:val="20"/>
        </w:rPr>
      </w:pPr>
      <w:bookmarkStart w:id="37" w:name="_Toc222825841"/>
      <w:r>
        <w:t>piesardzīgi attiekties pret direktīvas vai regulas nepieciešamību, jo dabas kredītu izveidei arī turpmāk vajadzētu būt brīvprātīgai, bet vienlaikus ir jāievēro stingri noteikumi un kritēriji. Galvenā uzmanība satvarā būtu jāpievērš pozitīvam ieguldījumam, savukārt kompensēšana būtu jāatstāj dalībvalstu ziņā, lai neapdraudētu pašreizējās vērienīgās valsts līmeņa iniciatīvas;</w:t>
      </w:r>
      <w:bookmarkEnd w:id="37"/>
    </w:p>
    <w:p w14:paraId="151D13B1" w14:textId="3080CBDB" w:rsidR="00621347" w:rsidRPr="00F43315" w:rsidRDefault="00621347" w:rsidP="007526DA">
      <w:pPr>
        <w:pStyle w:val="ListParagraph"/>
        <w:numPr>
          <w:ilvl w:val="0"/>
          <w:numId w:val="29"/>
        </w:numPr>
        <w:ind w:left="567" w:hanging="578"/>
        <w:rPr>
          <w:szCs w:val="20"/>
        </w:rPr>
      </w:pPr>
      <w:bookmarkStart w:id="38" w:name="_Toc222825842"/>
      <w:r>
        <w:t xml:space="preserve">padarīt skaidrāku dabas kredītu saskaņotību ar citām politikas jomām, piemēram, ar KLP. Dabas kredīti ir jāveido tā, lai Eiropas Savienībā varētu attīstīties </w:t>
      </w:r>
      <w:proofErr w:type="spellStart"/>
      <w:r>
        <w:t>bioekonomika</w:t>
      </w:r>
      <w:proofErr w:type="spellEnd"/>
      <w:r>
        <w:t xml:space="preserve">, aprites ekonomika, ilgtspējīga pārtikas ražošana un mežsaimniecība. Regulējumā būtu jāizvairās no nevajadzīga administratīvā </w:t>
      </w:r>
      <w:proofErr w:type="spellStart"/>
      <w:r>
        <w:t>papildsloga</w:t>
      </w:r>
      <w:proofErr w:type="spellEnd"/>
      <w:r>
        <w:t xml:space="preserve"> radīšanas praktiskā darba darītājiem, jo īpaši tad, ja tie ir mazi, un vienlaikus ir jāpanāk augsta integritātes pakāpe un jāpiemēro zinātniski pamatota pieeja;</w:t>
      </w:r>
      <w:bookmarkEnd w:id="38"/>
    </w:p>
    <w:p w14:paraId="17891DA2" w14:textId="173A8059" w:rsidR="00621347" w:rsidRPr="00F43315" w:rsidRDefault="00621347" w:rsidP="007526DA">
      <w:pPr>
        <w:pStyle w:val="ListParagraph"/>
        <w:numPr>
          <w:ilvl w:val="0"/>
          <w:numId w:val="29"/>
        </w:numPr>
        <w:ind w:left="567" w:hanging="578"/>
        <w:rPr>
          <w:szCs w:val="20"/>
        </w:rPr>
      </w:pPr>
      <w:bookmarkStart w:id="39" w:name="_Toc222825843"/>
      <w:r>
        <w:t>ir jānodrošina, lai dabas kredīti dabu nepadarītu par preci. Nekādā gadījumā nedrīkst pieļaut zemes sagrābšanu un spekulāciju. Par dabas kredītu prioritāti vienmēr jāizvirza integritāte, nevis īstermiņa rentabilitāte, kā arī ieguvumu taisnīga sadale, un tiem vajadzētu veicināt nevienlīdzības samazināšanos;</w:t>
      </w:r>
      <w:bookmarkEnd w:id="39"/>
    </w:p>
    <w:p w14:paraId="02428967" w14:textId="77777777" w:rsidR="00621347" w:rsidRPr="00F43315" w:rsidRDefault="00621347" w:rsidP="007526DA">
      <w:pPr>
        <w:pStyle w:val="ListParagraph"/>
        <w:numPr>
          <w:ilvl w:val="0"/>
          <w:numId w:val="29"/>
        </w:numPr>
        <w:ind w:left="567" w:hanging="578"/>
        <w:rPr>
          <w:szCs w:val="20"/>
        </w:rPr>
      </w:pPr>
      <w:bookmarkStart w:id="40" w:name="_Toc222825844"/>
      <w:r>
        <w:lastRenderedPageBreak/>
        <w:t>projektos ārpus ES ir jāiesaistās piesardzīgi, paturot prātā, ka Eiropā izstrādātā metodika un pārvaldības sistēmas var neatbilst ārvalstu sociālajam, kultūras, juridiskajam, politiskajam un ekoloģiskajam kontekstam, un vienlaikus ir jārada dabai labvēlīga ietekme to vērtības ķēdēs ārpus ES.</w:t>
      </w:r>
      <w:bookmarkEnd w:id="40"/>
    </w:p>
    <w:p w14:paraId="4D9DD4B6" w14:textId="77777777" w:rsidR="00621347" w:rsidRPr="00621347" w:rsidRDefault="00621347" w:rsidP="00100EF9">
      <w:pPr>
        <w:widowControl w:val="0"/>
        <w:overflowPunct w:val="0"/>
        <w:autoSpaceDE w:val="0"/>
        <w:autoSpaceDN w:val="0"/>
        <w:adjustRightInd w:val="0"/>
        <w:ind w:left="709"/>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4C4EEF76" w14:textId="77777777" w:rsidTr="00D0608D">
        <w:tc>
          <w:tcPr>
            <w:tcW w:w="898" w:type="pct"/>
          </w:tcPr>
          <w:p w14:paraId="3AF62EF9" w14:textId="77777777" w:rsidR="00621347" w:rsidRPr="00621347" w:rsidRDefault="00621347" w:rsidP="00100EF9">
            <w:pPr>
              <w:overflowPunct w:val="0"/>
              <w:autoSpaceDE w:val="0"/>
              <w:autoSpaceDN w:val="0"/>
              <w:adjustRightInd w:val="0"/>
              <w:textAlignment w:val="baseline"/>
              <w:rPr>
                <w:i/>
              </w:rPr>
            </w:pPr>
            <w:r>
              <w:rPr>
                <w:b/>
                <w:i/>
              </w:rPr>
              <w:t>Kontaktpersona:</w:t>
            </w:r>
          </w:p>
        </w:tc>
        <w:tc>
          <w:tcPr>
            <w:tcW w:w="4102" w:type="pct"/>
          </w:tcPr>
          <w:p w14:paraId="1174E3AC" w14:textId="582EC194" w:rsidR="00621347" w:rsidRPr="00621347" w:rsidRDefault="00621347" w:rsidP="00100EF9">
            <w:pPr>
              <w:overflowPunct w:val="0"/>
              <w:autoSpaceDE w:val="0"/>
              <w:autoSpaceDN w:val="0"/>
              <w:adjustRightInd w:val="0"/>
              <w:textAlignment w:val="baseline"/>
              <w:rPr>
                <w:i/>
              </w:rPr>
            </w:pPr>
            <w:proofErr w:type="spellStart"/>
            <w:r>
              <w:rPr>
                <w:i/>
              </w:rPr>
              <w:t>Gaia</w:t>
            </w:r>
            <w:proofErr w:type="spellEnd"/>
            <w:r>
              <w:rPr>
                <w:i/>
              </w:rPr>
              <w:t xml:space="preserve"> </w:t>
            </w:r>
            <w:proofErr w:type="spellStart"/>
            <w:r>
              <w:rPr>
                <w:i/>
              </w:rPr>
              <w:t>Bottoni</w:t>
            </w:r>
            <w:proofErr w:type="spellEnd"/>
          </w:p>
        </w:tc>
      </w:tr>
      <w:tr w:rsidR="00621347" w:rsidRPr="00621347" w14:paraId="60C3DC59" w14:textId="77777777" w:rsidTr="00D0608D">
        <w:tc>
          <w:tcPr>
            <w:tcW w:w="898" w:type="pct"/>
          </w:tcPr>
          <w:p w14:paraId="0B4561A1" w14:textId="77777777" w:rsidR="00621347" w:rsidRPr="00621347" w:rsidRDefault="00621347" w:rsidP="00100EF9">
            <w:pPr>
              <w:overflowPunct w:val="0"/>
              <w:autoSpaceDE w:val="0"/>
              <w:autoSpaceDN w:val="0"/>
              <w:adjustRightInd w:val="0"/>
              <w:textAlignment w:val="baseline"/>
              <w:rPr>
                <w:i/>
              </w:rPr>
            </w:pPr>
            <w:r>
              <w:rPr>
                <w:i/>
              </w:rPr>
              <w:t>Tālr.:</w:t>
            </w:r>
          </w:p>
        </w:tc>
        <w:tc>
          <w:tcPr>
            <w:tcW w:w="4102" w:type="pct"/>
          </w:tcPr>
          <w:p w14:paraId="7FBF1635" w14:textId="73B5954C" w:rsidR="00621347" w:rsidRPr="00621347" w:rsidRDefault="00621347" w:rsidP="00100EF9">
            <w:pPr>
              <w:overflowPunct w:val="0"/>
              <w:autoSpaceDE w:val="0"/>
              <w:autoSpaceDN w:val="0"/>
              <w:adjustRightInd w:val="0"/>
              <w:textAlignment w:val="baseline"/>
              <w:rPr>
                <w:i/>
              </w:rPr>
            </w:pPr>
            <w:r>
              <w:rPr>
                <w:i/>
              </w:rPr>
              <w:t>+32 25469447</w:t>
            </w:r>
          </w:p>
        </w:tc>
      </w:tr>
      <w:tr w:rsidR="00621347" w:rsidRPr="00621347" w14:paraId="5D7F6D2E" w14:textId="77777777" w:rsidTr="00D0608D">
        <w:tc>
          <w:tcPr>
            <w:tcW w:w="898" w:type="pct"/>
          </w:tcPr>
          <w:p w14:paraId="54E92E27" w14:textId="77777777" w:rsidR="00621347" w:rsidRPr="00621347" w:rsidRDefault="00621347" w:rsidP="00100EF9">
            <w:pPr>
              <w:overflowPunct w:val="0"/>
              <w:autoSpaceDE w:val="0"/>
              <w:autoSpaceDN w:val="0"/>
              <w:adjustRightInd w:val="0"/>
              <w:textAlignment w:val="baseline"/>
              <w:rPr>
                <w:i/>
              </w:rPr>
            </w:pPr>
            <w:r>
              <w:rPr>
                <w:i/>
              </w:rPr>
              <w:t>E-pasts:</w:t>
            </w:r>
          </w:p>
        </w:tc>
        <w:tc>
          <w:tcPr>
            <w:tcW w:w="4102" w:type="pct"/>
          </w:tcPr>
          <w:p w14:paraId="109C769F" w14:textId="6021F70A" w:rsidR="00621347" w:rsidRPr="00621347" w:rsidRDefault="00E2492E" w:rsidP="00100EF9">
            <w:pPr>
              <w:overflowPunct w:val="0"/>
              <w:autoSpaceDE w:val="0"/>
              <w:autoSpaceDN w:val="0"/>
              <w:adjustRightInd w:val="0"/>
              <w:textAlignment w:val="baseline"/>
              <w:rPr>
                <w:i/>
              </w:rPr>
            </w:pPr>
            <w:hyperlink r:id="rId39" w:history="1">
              <w:r w:rsidR="00E235D3">
                <w:rPr>
                  <w:i/>
                  <w:color w:val="0000FF"/>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3510393"/>
      <w:r>
        <w:rPr>
          <w:b/>
          <w:color w:val="222A35" w:themeColor="text2" w:themeShade="80"/>
        </w:rPr>
        <w:lastRenderedPageBreak/>
        <w:t>RŪPNIECĪBAS PĀRMAIŅU KONSULTATĪVĀ KOMISIJA</w:t>
      </w:r>
      <w:bookmarkEnd w:id="41"/>
    </w:p>
    <w:p w14:paraId="713E272F" w14:textId="77777777" w:rsidR="006D2C8A" w:rsidRDefault="006D2C8A" w:rsidP="00100EF9"/>
    <w:p w14:paraId="3CC91A48" w14:textId="77009B70" w:rsidR="003534E0" w:rsidRPr="00153E09" w:rsidRDefault="00E2492E" w:rsidP="00100EF9">
      <w:pPr>
        <w:widowControl w:val="0"/>
        <w:numPr>
          <w:ilvl w:val="0"/>
          <w:numId w:val="6"/>
        </w:numPr>
        <w:overflowPunct w:val="0"/>
        <w:autoSpaceDE w:val="0"/>
        <w:autoSpaceDN w:val="0"/>
        <w:adjustRightInd w:val="0"/>
        <w:ind w:hanging="567"/>
        <w:textAlignment w:val="baseline"/>
        <w:rPr>
          <w:sz w:val="20"/>
          <w:szCs w:val="20"/>
        </w:rPr>
      </w:pPr>
      <w:hyperlink r:id="rId40" w:history="1">
        <w:r w:rsidR="003534E0">
          <w:rPr>
            <w:b/>
            <w:i/>
            <w:color w:val="0000FF"/>
            <w:sz w:val="28"/>
            <w:u w:val="single"/>
          </w:rPr>
          <w:t>Regulas (ES) 2024/1252 grozīšana (Kritiski svarīgo izejvielu akts)</w:t>
        </w:r>
      </w:hyperlink>
    </w:p>
    <w:p w14:paraId="4BAFD485" w14:textId="77777777" w:rsidR="009277D3" w:rsidRDefault="009277D3" w:rsidP="00100EF9">
      <w:pPr>
        <w:tabs>
          <w:tab w:val="center" w:pos="284"/>
        </w:tabs>
        <w:overflowPunct w:val="0"/>
        <w:autoSpaceDE w:val="0"/>
        <w:autoSpaceDN w:val="0"/>
        <w:adjustRightInd w:val="0"/>
        <w:ind w:left="266" w:hanging="266"/>
        <w:textAlignment w:val="baseline"/>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2"/>
      </w:tblGrid>
      <w:tr w:rsidR="00153E09" w14:paraId="65A34AAF" w14:textId="77777777" w:rsidTr="00205469">
        <w:tc>
          <w:tcPr>
            <w:tcW w:w="1701" w:type="dxa"/>
          </w:tcPr>
          <w:p w14:paraId="111B4B02" w14:textId="6AC41F6C" w:rsidR="00153E09" w:rsidRDefault="00153E09" w:rsidP="00100EF9">
            <w:pPr>
              <w:overflowPunct w:val="0"/>
              <w:autoSpaceDE w:val="0"/>
              <w:autoSpaceDN w:val="0"/>
              <w:adjustRightInd w:val="0"/>
              <w:textAlignment w:val="baseline"/>
              <w:rPr>
                <w:b/>
              </w:rPr>
            </w:pPr>
            <w:r>
              <w:rPr>
                <w:b/>
                <w:sz w:val="20"/>
              </w:rPr>
              <w:t>Atsauces</w:t>
            </w:r>
          </w:p>
        </w:tc>
        <w:tc>
          <w:tcPr>
            <w:tcW w:w="7372" w:type="dxa"/>
          </w:tcPr>
          <w:p w14:paraId="0221ADAC" w14:textId="77777777" w:rsidR="00153E09" w:rsidRDefault="00153E09" w:rsidP="00100EF9">
            <w:pPr>
              <w:tabs>
                <w:tab w:val="center" w:pos="284"/>
              </w:tabs>
              <w:overflowPunct w:val="0"/>
              <w:autoSpaceDE w:val="0"/>
              <w:autoSpaceDN w:val="0"/>
              <w:adjustRightInd w:val="0"/>
              <w:textAlignment w:val="baseline"/>
              <w:rPr>
                <w:bCs/>
                <w:sz w:val="20"/>
                <w:szCs w:val="20"/>
              </w:rPr>
            </w:pPr>
            <w:r>
              <w:rPr>
                <w:sz w:val="20"/>
              </w:rPr>
              <w:t xml:space="preserve">COM(2025) 946 </w:t>
            </w:r>
            <w:proofErr w:type="spellStart"/>
            <w:r>
              <w:rPr>
                <w:sz w:val="20"/>
              </w:rPr>
              <w:t>final</w:t>
            </w:r>
            <w:proofErr w:type="spellEnd"/>
          </w:p>
          <w:p w14:paraId="5F1938C2" w14:textId="40D8E2D3" w:rsidR="00153E09" w:rsidRDefault="00153E09" w:rsidP="00100EF9">
            <w:pPr>
              <w:tabs>
                <w:tab w:val="center" w:pos="284"/>
              </w:tabs>
              <w:overflowPunct w:val="0"/>
              <w:autoSpaceDE w:val="0"/>
              <w:autoSpaceDN w:val="0"/>
              <w:adjustRightInd w:val="0"/>
              <w:textAlignment w:val="baseline"/>
              <w:rPr>
                <w:b/>
              </w:rPr>
            </w:pPr>
            <w:r>
              <w:rPr>
                <w:sz w:val="20"/>
              </w:rPr>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77777777" w:rsidR="003534E0" w:rsidRPr="003534E0" w:rsidRDefault="003534E0" w:rsidP="00100EF9">
      <w:pPr>
        <w:widowControl w:val="0"/>
        <w:overflowPunct w:val="0"/>
        <w:autoSpaceDE w:val="0"/>
        <w:autoSpaceDN w:val="0"/>
        <w:adjustRightInd w:val="0"/>
        <w:textAlignment w:val="baseline"/>
        <w:rPr>
          <w:bCs/>
          <w:iCs/>
        </w:rPr>
      </w:pPr>
      <w:r>
        <w:t xml:space="preserve">Tā kā priekšlikuma saturs ir pilnībā pieņemams un Komiteja 2023. gada 12. jūlijā </w:t>
      </w:r>
      <w:hyperlink r:id="rId41" w:history="1">
        <w:r>
          <w:rPr>
            <w:color w:val="0000FF"/>
            <w:u w:val="single"/>
          </w:rPr>
          <w:t>pieņemtajā atzinumā “Kritiski svarīgo izejvielu akts”</w:t>
        </w:r>
      </w:hyperlink>
      <w:r>
        <w:t xml:space="preserve"> par šo tematu jau paudusi savu viedokli, tā nolēma sniegt pozitīvu atzinumu par ierosināto dokumentu un norādīt uz minētajā atzinumā pausto nostāju.</w:t>
      </w:r>
    </w:p>
    <w:p w14:paraId="2B63EAC7" w14:textId="3C6C9A7D" w:rsidR="00950272" w:rsidRDefault="00950272" w:rsidP="00100EF9">
      <w:pPr>
        <w:widowControl w:val="0"/>
        <w:overflowPunct w:val="0"/>
        <w:autoSpaceDE w:val="0"/>
        <w:autoSpaceDN w:val="0"/>
        <w:adjustRightInd w:val="0"/>
        <w:ind w:left="709" w:hanging="709"/>
        <w:textAlignment w:val="baseline"/>
        <w:rPr>
          <w:szCs w:val="20"/>
          <w:lang w:val="en-GB"/>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7553"/>
      </w:tblGrid>
      <w:tr w:rsidR="003534E0" w:rsidRPr="003534E0" w14:paraId="1ABE88A2" w14:textId="77777777" w:rsidTr="007526DA">
        <w:tc>
          <w:tcPr>
            <w:tcW w:w="804" w:type="pct"/>
          </w:tcPr>
          <w:p w14:paraId="148D5606" w14:textId="77777777" w:rsidR="003534E0" w:rsidRPr="003534E0" w:rsidRDefault="003534E0" w:rsidP="007526DA">
            <w:pPr>
              <w:overflowPunct w:val="0"/>
              <w:autoSpaceDE w:val="0"/>
              <w:autoSpaceDN w:val="0"/>
              <w:adjustRightInd w:val="0"/>
              <w:ind w:hanging="110"/>
              <w:textAlignment w:val="baseline"/>
              <w:rPr>
                <w:i/>
              </w:rPr>
            </w:pPr>
            <w:r>
              <w:rPr>
                <w:b/>
                <w:i/>
              </w:rPr>
              <w:t>Kontaktpersona:</w:t>
            </w:r>
          </w:p>
        </w:tc>
        <w:tc>
          <w:tcPr>
            <w:tcW w:w="4196" w:type="pct"/>
          </w:tcPr>
          <w:p w14:paraId="0D29E18D" w14:textId="5491D9AB" w:rsidR="003534E0" w:rsidRPr="003534E0" w:rsidRDefault="003534E0" w:rsidP="007526DA">
            <w:pPr>
              <w:overflowPunct w:val="0"/>
              <w:autoSpaceDE w:val="0"/>
              <w:autoSpaceDN w:val="0"/>
              <w:adjustRightInd w:val="0"/>
              <w:ind w:hanging="110"/>
              <w:textAlignment w:val="baseline"/>
              <w:rPr>
                <w:i/>
              </w:rPr>
            </w:pPr>
            <w:r>
              <w:rPr>
                <w:i/>
              </w:rPr>
              <w:t xml:space="preserve">Adam </w:t>
            </w:r>
            <w:proofErr w:type="spellStart"/>
            <w:r>
              <w:rPr>
                <w:i/>
              </w:rPr>
              <w:t>Dorywalski</w:t>
            </w:r>
            <w:proofErr w:type="spellEnd"/>
          </w:p>
        </w:tc>
      </w:tr>
      <w:tr w:rsidR="003534E0" w:rsidRPr="003534E0" w14:paraId="29310390" w14:textId="77777777" w:rsidTr="007526DA">
        <w:tc>
          <w:tcPr>
            <w:tcW w:w="804" w:type="pct"/>
          </w:tcPr>
          <w:p w14:paraId="1A8C815A" w14:textId="77777777" w:rsidR="003534E0" w:rsidRPr="003534E0" w:rsidRDefault="003534E0" w:rsidP="007526DA">
            <w:pPr>
              <w:overflowPunct w:val="0"/>
              <w:autoSpaceDE w:val="0"/>
              <w:autoSpaceDN w:val="0"/>
              <w:adjustRightInd w:val="0"/>
              <w:ind w:hanging="110"/>
              <w:textAlignment w:val="baseline"/>
              <w:rPr>
                <w:i/>
              </w:rPr>
            </w:pPr>
            <w:r>
              <w:rPr>
                <w:i/>
              </w:rPr>
              <w:t>Tālr.:</w:t>
            </w:r>
          </w:p>
        </w:tc>
        <w:tc>
          <w:tcPr>
            <w:tcW w:w="4196" w:type="pct"/>
          </w:tcPr>
          <w:p w14:paraId="1B4B0CA6" w14:textId="23FF8050" w:rsidR="003534E0" w:rsidRPr="003534E0" w:rsidRDefault="003534E0" w:rsidP="007526DA">
            <w:pPr>
              <w:overflowPunct w:val="0"/>
              <w:autoSpaceDE w:val="0"/>
              <w:autoSpaceDN w:val="0"/>
              <w:adjustRightInd w:val="0"/>
              <w:ind w:hanging="110"/>
              <w:textAlignment w:val="baseline"/>
              <w:rPr>
                <w:i/>
              </w:rPr>
            </w:pPr>
            <w:r>
              <w:rPr>
                <w:i/>
              </w:rPr>
              <w:t>+32 25469397</w:t>
            </w:r>
          </w:p>
        </w:tc>
      </w:tr>
      <w:tr w:rsidR="003534E0" w:rsidRPr="003534E0" w14:paraId="4800E009" w14:textId="77777777" w:rsidTr="007526DA">
        <w:tc>
          <w:tcPr>
            <w:tcW w:w="804" w:type="pct"/>
          </w:tcPr>
          <w:p w14:paraId="58627B2F" w14:textId="77777777" w:rsidR="003534E0" w:rsidRPr="003534E0" w:rsidRDefault="003534E0" w:rsidP="007526DA">
            <w:pPr>
              <w:overflowPunct w:val="0"/>
              <w:autoSpaceDE w:val="0"/>
              <w:autoSpaceDN w:val="0"/>
              <w:adjustRightInd w:val="0"/>
              <w:ind w:hanging="110"/>
              <w:textAlignment w:val="baseline"/>
              <w:rPr>
                <w:i/>
              </w:rPr>
            </w:pPr>
            <w:r>
              <w:rPr>
                <w:i/>
              </w:rPr>
              <w:t>E-pasts:</w:t>
            </w:r>
          </w:p>
        </w:tc>
        <w:tc>
          <w:tcPr>
            <w:tcW w:w="4196" w:type="pct"/>
          </w:tcPr>
          <w:p w14:paraId="551CAC0A" w14:textId="548021BC" w:rsidR="00E25EB4" w:rsidRPr="00153E09" w:rsidRDefault="00E2492E" w:rsidP="007526DA">
            <w:pPr>
              <w:overflowPunct w:val="0"/>
              <w:autoSpaceDE w:val="0"/>
              <w:autoSpaceDN w:val="0"/>
              <w:adjustRightInd w:val="0"/>
              <w:ind w:hanging="110"/>
              <w:textAlignment w:val="baseline"/>
            </w:pPr>
            <w:hyperlink r:id="rId42" w:history="1">
              <w:r w:rsidR="003534E0">
                <w:rPr>
                  <w:i/>
                  <w:color w:val="0000FF"/>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br w:type="page"/>
      </w:r>
    </w:p>
    <w:p w14:paraId="4E1C48EE" w14:textId="6377872A" w:rsidR="00E25EB4" w:rsidRPr="00E25EB4" w:rsidRDefault="00E2492E" w:rsidP="00100EF9">
      <w:pPr>
        <w:widowControl w:val="0"/>
        <w:numPr>
          <w:ilvl w:val="0"/>
          <w:numId w:val="12"/>
        </w:numPr>
        <w:overflowPunct w:val="0"/>
        <w:autoSpaceDE w:val="0"/>
        <w:autoSpaceDN w:val="0"/>
        <w:adjustRightInd w:val="0"/>
        <w:ind w:left="567" w:hanging="567"/>
        <w:contextualSpacing/>
        <w:jc w:val="left"/>
        <w:textAlignment w:val="baseline"/>
        <w:rPr>
          <w:rFonts w:ascii="Calibri" w:hAnsi="Calibri"/>
          <w:b/>
          <w:bCs/>
        </w:rPr>
      </w:pPr>
      <w:hyperlink r:id="rId43" w:tooltip="ES stratēģiskās autonomijas uzlabošana un zaļākas un zilākas ekonomikas attīstīšana: nātrija jonu akumulatoru ražošanas nozares potenciāls" w:history="1">
        <w:r w:rsidR="00E235D3">
          <w:rPr>
            <w:b/>
            <w:i/>
            <w:color w:val="0000FF"/>
            <w:sz w:val="28"/>
            <w:u w:val="single"/>
          </w:rPr>
          <w:t>ES stratēģiskās autonomijas uzlabošana un zaļākas un zilākas ekonomikas attīstīšana: nātrija jonu akumulatoru ražošanas nozares potenciāls</w:t>
        </w:r>
      </w:hyperlink>
    </w:p>
    <w:p w14:paraId="2E26A662" w14:textId="77777777" w:rsidR="00E25EB4" w:rsidRPr="00205469" w:rsidRDefault="00E25EB4" w:rsidP="00100EF9">
      <w:pPr>
        <w:widowControl w:val="0"/>
        <w:ind w:left="567"/>
        <w:contextualSpacing/>
        <w:jc w:val="lef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25EB4" w:rsidRPr="00E25EB4" w14:paraId="0E750117" w14:textId="77777777" w:rsidTr="00153E09">
        <w:tc>
          <w:tcPr>
            <w:tcW w:w="1701" w:type="dxa"/>
          </w:tcPr>
          <w:p w14:paraId="1BC9C1DD"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Ziņotājs</w:t>
            </w:r>
          </w:p>
        </w:tc>
        <w:tc>
          <w:tcPr>
            <w:tcW w:w="7371" w:type="dxa"/>
          </w:tcPr>
          <w:p w14:paraId="261F00F8" w14:textId="77777777" w:rsidR="00E25EB4" w:rsidRPr="00E25EB4" w:rsidRDefault="00E25EB4" w:rsidP="00100EF9">
            <w:pPr>
              <w:tabs>
                <w:tab w:val="center" w:pos="284"/>
              </w:tabs>
              <w:overflowPunct w:val="0"/>
              <w:autoSpaceDE w:val="0"/>
              <w:autoSpaceDN w:val="0"/>
              <w:adjustRightInd w:val="0"/>
              <w:ind w:left="266" w:hanging="266"/>
              <w:textAlignment w:val="baseline"/>
            </w:pPr>
            <w:r>
              <w:t>Paul RÜBIG (Darba devēju grupa – AT)</w:t>
            </w:r>
          </w:p>
        </w:tc>
      </w:tr>
      <w:tr w:rsidR="00E25EB4" w:rsidRPr="00E25EB4" w14:paraId="7E321F8F" w14:textId="77777777" w:rsidTr="00153E09">
        <w:tc>
          <w:tcPr>
            <w:tcW w:w="1701" w:type="dxa"/>
          </w:tcPr>
          <w:p w14:paraId="39B77E69"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Līdzziņotājs</w:t>
            </w:r>
          </w:p>
        </w:tc>
        <w:tc>
          <w:tcPr>
            <w:tcW w:w="7371" w:type="dxa"/>
          </w:tcPr>
          <w:p w14:paraId="4F795EAE" w14:textId="7B894B11" w:rsidR="00E25EB4" w:rsidRPr="00E25EB4" w:rsidRDefault="00E25EB4" w:rsidP="00100EF9">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(2. </w:t>
            </w:r>
            <w:proofErr w:type="spellStart"/>
            <w:r>
              <w:t>kat</w:t>
            </w:r>
            <w:proofErr w:type="spellEnd"/>
            <w:r>
              <w:t>. – FR)</w:t>
            </w:r>
          </w:p>
        </w:tc>
      </w:tr>
      <w:tr w:rsidR="00E25EB4" w:rsidRPr="00E25EB4" w14:paraId="4AD82EE5" w14:textId="77777777" w:rsidTr="00153E09">
        <w:tc>
          <w:tcPr>
            <w:tcW w:w="9072" w:type="dxa"/>
            <w:gridSpan w:val="2"/>
          </w:tcPr>
          <w:p w14:paraId="63F1B5CC" w14:textId="77777777" w:rsidR="00E25EB4" w:rsidRPr="00E25EB4" w:rsidRDefault="00E25EB4" w:rsidP="00100EF9">
            <w:pPr>
              <w:tabs>
                <w:tab w:val="center" w:pos="284"/>
              </w:tabs>
              <w:overflowPunct w:val="0"/>
              <w:autoSpaceDE w:val="0"/>
              <w:autoSpaceDN w:val="0"/>
              <w:adjustRightInd w:val="0"/>
              <w:ind w:left="266" w:hanging="266"/>
              <w:textAlignment w:val="baseline"/>
            </w:pPr>
          </w:p>
        </w:tc>
      </w:tr>
      <w:tr w:rsidR="00E25EB4" w:rsidRPr="00E25EB4" w14:paraId="758D199D" w14:textId="77777777" w:rsidTr="00153E09">
        <w:tc>
          <w:tcPr>
            <w:tcW w:w="1701" w:type="dxa"/>
          </w:tcPr>
          <w:p w14:paraId="628BF496" w14:textId="1BBD7898"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Atsauces</w:t>
            </w:r>
          </w:p>
        </w:tc>
        <w:tc>
          <w:tcPr>
            <w:tcW w:w="7371" w:type="dxa"/>
          </w:tcPr>
          <w:p w14:paraId="1AC738BE" w14:textId="11F7A673" w:rsidR="001A58BD" w:rsidRDefault="00043E7B" w:rsidP="00100EF9">
            <w:pPr>
              <w:tabs>
                <w:tab w:val="center" w:pos="284"/>
              </w:tabs>
              <w:overflowPunct w:val="0"/>
              <w:autoSpaceDE w:val="0"/>
              <w:autoSpaceDN w:val="0"/>
              <w:adjustRightInd w:val="0"/>
              <w:ind w:left="266" w:hanging="266"/>
              <w:textAlignment w:val="baseline"/>
            </w:pPr>
            <w:r>
              <w:t>Izpētes atzinums pēc Eiropas Komisijas pieprasījuma</w:t>
            </w:r>
          </w:p>
          <w:p w14:paraId="2E32FFD3" w14:textId="1F51A8D8" w:rsidR="00E25EB4" w:rsidRPr="00E25EB4" w:rsidRDefault="00E25EB4" w:rsidP="00100EF9">
            <w:pPr>
              <w:tabs>
                <w:tab w:val="center" w:pos="284"/>
              </w:tabs>
              <w:overflowPunct w:val="0"/>
              <w:autoSpaceDE w:val="0"/>
              <w:autoSpaceDN w:val="0"/>
              <w:adjustRightInd w:val="0"/>
              <w:ind w:left="266" w:hanging="266"/>
              <w:textAlignment w:val="baseline"/>
            </w:pPr>
            <w:r>
              <w:t>EESC-2025-02464-00-00-AC</w:t>
            </w:r>
          </w:p>
        </w:tc>
      </w:tr>
    </w:tbl>
    <w:p w14:paraId="270F2408" w14:textId="77777777" w:rsidR="00153E09" w:rsidRPr="00D0608D" w:rsidRDefault="00153E09" w:rsidP="00100EF9">
      <w:pPr>
        <w:keepNext/>
        <w:keepLines/>
        <w:tabs>
          <w:tab w:val="center" w:pos="284"/>
        </w:tabs>
        <w:overflowPunct w:val="0"/>
        <w:autoSpaceDE w:val="0"/>
        <w:autoSpaceDN w:val="0"/>
        <w:adjustRightInd w:val="0"/>
        <w:ind w:left="266" w:hanging="266"/>
        <w:textAlignment w:val="baseline"/>
        <w:rPr>
          <w:bCs/>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rPr>
      </w:pPr>
      <w:r>
        <w:rPr>
          <w:b/>
        </w:rPr>
        <w:t>Galvenās nostādnes</w:t>
      </w:r>
    </w:p>
    <w:p w14:paraId="7022CF32" w14:textId="77777777" w:rsidR="00E25EB4" w:rsidRPr="00D0608D" w:rsidRDefault="00E25EB4" w:rsidP="00100EF9">
      <w:pPr>
        <w:keepNext/>
        <w:keepLines/>
        <w:tabs>
          <w:tab w:val="center" w:pos="284"/>
        </w:tabs>
        <w:overflowPunct w:val="0"/>
        <w:autoSpaceDE w:val="0"/>
        <w:autoSpaceDN w:val="0"/>
        <w:adjustRightInd w:val="0"/>
        <w:ind w:left="266" w:hanging="266"/>
        <w:textAlignment w:val="baseline"/>
        <w:rPr>
          <w:bCs/>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rPr>
      </w:pPr>
      <w:r>
        <w:t>EESK:</w:t>
      </w:r>
    </w:p>
    <w:p w14:paraId="4A4FDC20"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uzskata, ka nātrija jonu akumulatori ir stratēģiska tehnoloģija un ka Eiropai ir liels potenciāls uzņemties tehnoloģisko vadību nātrija-sālsūdens akumulatoru sistēmās;</w:t>
      </w:r>
    </w:p>
    <w:p w14:paraId="74BCA385"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uzsver nātrija jonu akumulatoru potenciālu veicināt ES rūpniecības politikas mērķu sasniegšanu: tie sekmē ES zaļo kursu un ES zilo kursu, tie var būt kritiski svarīgi instrumenti stratēģiskās autonomijas sasniegšanai, bet nātrija jonu akumulatoru </w:t>
      </w:r>
      <w:proofErr w:type="spellStart"/>
      <w:r>
        <w:t>gigarūpnīcu</w:t>
      </w:r>
      <w:proofErr w:type="spellEnd"/>
      <w:r>
        <w:t xml:space="preserve"> izveide Eiropā palielinātu konkurētspēju un radītu darbvietas visā vērtības ķēdē;</w:t>
      </w:r>
    </w:p>
    <w:p w14:paraId="03DA14BD"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uzsver, ka nātrija jonu akumulatorus iespējams ražot tikai no Eiropas izejvielām, jo nātrijs ir plaši pieejams kontinentā, un tādējādi pieaug ES atsāļošanas nozares potenciāls, turklāt tas var mazināt kritisko izejvielu izmantošanu;</w:t>
      </w:r>
    </w:p>
    <w:p w14:paraId="605A4E08"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aicina ES izlēmīgi un koordinēti rīkoties, lai izveidotu konkurētspējīgu nātrija jonu akumulatoru ražošanas nozari, jo nātrija jonu akumulatori progresē visā pasaulē, taču Eiropai draud vēl lielāka atpalikšana;</w:t>
      </w:r>
    </w:p>
    <w:p w14:paraId="03706BA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iesaka atjaunināt rūpniecisko virzību attiecībā uz akumulatoriem, kas ietvertu gan litija jonu, gan nātrija jonu akumulatorus; industriālajā kursā būtu jāiekļauj ceļvedis darbaspēka un sociālo vajadzību risināšanai ar investīcijām prasmju attīstībā, darbaspēka mobilitātē un stratēģiskā MVU iesaistē;</w:t>
      </w:r>
    </w:p>
    <w:p w14:paraId="0ADF1BAC"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uzstāj, ka svarīgi ir pārvarēt politikas izolētību un saskaņot svarīgākās ES stratēģijas (Konkurētspējas kompasu, sagatavotības savienības stratēģiju, aprites ekonomikas rīcības plānu un Ūdensresursu noturības stratēģiju), lai izveidotu Eiropas nātrija jonu akumulatoru vērtības ķēdi, kas kalpo Eiropas stratēģiskajiem mērķiem; </w:t>
      </w:r>
    </w:p>
    <w:p w14:paraId="2C3550D4"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iesaka nodrošināt investīciju subsīdijas, ražošanas nodokļu atvieglojumus, mērķtiecīgus projektu konkursus, investīciju kuponus rūpniecības sadarbībai ar pētniecības un tehnoloģiju organizācijām;</w:t>
      </w:r>
    </w:p>
    <w:p w14:paraId="146AA976"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aicina nodrošināt elastīgu valsts atbalstu, kas novērš priekšlaicīgu piesaisti, un stiprināt sadarbību pētniecības un izstrādes jomā, ko līdzfinansētu valdība un rūpniecība;</w:t>
      </w:r>
    </w:p>
    <w:p w14:paraId="5AF3E28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 xml:space="preserve">atzīst potenciālu, kas piemīt pašlaik dīkstāvē esošu vai slēgtu rūpniecisko objektu pārveidošanai par nātrija jonu akumulatoru </w:t>
      </w:r>
      <w:proofErr w:type="spellStart"/>
      <w:r>
        <w:t>gigarūpnīcām</w:t>
      </w:r>
      <w:proofErr w:type="spellEnd"/>
      <w:r>
        <w:t>, lai efektīvi un vides jomā atbildīgi izmantotu esošo infrastruktūru;</w:t>
      </w:r>
    </w:p>
    <w:p w14:paraId="1AD7A002" w14:textId="77777777" w:rsidR="008D45C7" w:rsidRDefault="008D45C7">
      <w:pPr>
        <w:spacing w:after="160" w:line="259" w:lineRule="auto"/>
        <w:jc w:val="left"/>
      </w:pPr>
      <w:r>
        <w:br w:type="page"/>
      </w:r>
    </w:p>
    <w:p w14:paraId="5946BDB2" w14:textId="3BE6A869" w:rsidR="00E25EB4" w:rsidRPr="00713CC2"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lastRenderedPageBreak/>
        <w:t xml:space="preserve">atzīst, ka šajā ražošanas nozarē svarīgi ir integrēt </w:t>
      </w:r>
      <w:proofErr w:type="spellStart"/>
      <w:r>
        <w:t>ekodizainu</w:t>
      </w:r>
      <w:proofErr w:type="spellEnd"/>
      <w:r>
        <w:t xml:space="preserve"> un reciklēšanu, veicinot cirkulāru nātrija jonu akumulatoru vērtības ķēdi.</w:t>
      </w:r>
    </w:p>
    <w:p w14:paraId="339FD87D" w14:textId="77777777" w:rsidR="00E25EB4" w:rsidRPr="00E25EB4" w:rsidRDefault="00E25EB4" w:rsidP="00100EF9">
      <w:pPr>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E25EB4" w:rsidRPr="00E25EB4" w14:paraId="3DADE2B6" w14:textId="77777777" w:rsidTr="00D0608D">
        <w:tc>
          <w:tcPr>
            <w:tcW w:w="1668" w:type="dxa"/>
          </w:tcPr>
          <w:p w14:paraId="16410084" w14:textId="77777777" w:rsidR="00E25EB4" w:rsidRPr="00E25EB4" w:rsidRDefault="00E25EB4" w:rsidP="00100EF9">
            <w:pPr>
              <w:overflowPunct w:val="0"/>
              <w:autoSpaceDE w:val="0"/>
              <w:autoSpaceDN w:val="0"/>
              <w:adjustRightInd w:val="0"/>
              <w:textAlignment w:val="baseline"/>
              <w:rPr>
                <w:i/>
              </w:rPr>
            </w:pPr>
            <w:r>
              <w:rPr>
                <w:b/>
                <w:i/>
              </w:rPr>
              <w:t>Kontaktpersona:</w:t>
            </w:r>
          </w:p>
        </w:tc>
        <w:tc>
          <w:tcPr>
            <w:tcW w:w="7512" w:type="dxa"/>
          </w:tcPr>
          <w:p w14:paraId="56BD77E8" w14:textId="5D11D232" w:rsidR="00E25EB4" w:rsidRPr="00153E09" w:rsidRDefault="00E25EB4" w:rsidP="00100EF9">
            <w:pPr>
              <w:overflowPunct w:val="0"/>
              <w:autoSpaceDE w:val="0"/>
              <w:autoSpaceDN w:val="0"/>
              <w:adjustRightInd w:val="0"/>
              <w:textAlignment w:val="baseline"/>
              <w:rPr>
                <w:bCs/>
                <w:i/>
              </w:rPr>
            </w:pPr>
            <w:proofErr w:type="spellStart"/>
            <w:r>
              <w:rPr>
                <w:i/>
              </w:rPr>
              <w:t>Luís</w:t>
            </w:r>
            <w:proofErr w:type="spellEnd"/>
            <w:r>
              <w:rPr>
                <w:i/>
              </w:rPr>
              <w:t xml:space="preserve"> </w:t>
            </w:r>
            <w:proofErr w:type="spellStart"/>
            <w:r>
              <w:rPr>
                <w:i/>
              </w:rPr>
              <w:t>Barbosa</w:t>
            </w:r>
            <w:proofErr w:type="spellEnd"/>
            <w:r>
              <w:rPr>
                <w:i/>
              </w:rPr>
              <w:t xml:space="preserve"> E Silva</w:t>
            </w:r>
          </w:p>
        </w:tc>
      </w:tr>
      <w:tr w:rsidR="00E25EB4" w:rsidRPr="00E25EB4" w14:paraId="6AE7CB28" w14:textId="77777777" w:rsidTr="00D0608D">
        <w:tc>
          <w:tcPr>
            <w:tcW w:w="1668" w:type="dxa"/>
          </w:tcPr>
          <w:p w14:paraId="52DF3B61" w14:textId="77777777" w:rsidR="00E25EB4" w:rsidRPr="00E25EB4" w:rsidRDefault="00E25EB4" w:rsidP="00100EF9">
            <w:pPr>
              <w:overflowPunct w:val="0"/>
              <w:autoSpaceDE w:val="0"/>
              <w:autoSpaceDN w:val="0"/>
              <w:adjustRightInd w:val="0"/>
              <w:textAlignment w:val="baseline"/>
              <w:rPr>
                <w:i/>
              </w:rPr>
            </w:pPr>
            <w:r>
              <w:rPr>
                <w:i/>
              </w:rPr>
              <w:t>Tālr.:</w:t>
            </w:r>
          </w:p>
        </w:tc>
        <w:tc>
          <w:tcPr>
            <w:tcW w:w="7512" w:type="dxa"/>
          </w:tcPr>
          <w:p w14:paraId="58F5DB38" w14:textId="05F56609" w:rsidR="00E25EB4" w:rsidRPr="00E25EB4" w:rsidRDefault="00E25EB4" w:rsidP="00100EF9">
            <w:pPr>
              <w:overflowPunct w:val="0"/>
              <w:autoSpaceDE w:val="0"/>
              <w:autoSpaceDN w:val="0"/>
              <w:adjustRightInd w:val="0"/>
              <w:textAlignment w:val="baseline"/>
              <w:rPr>
                <w:i/>
              </w:rPr>
            </w:pPr>
            <w:r>
              <w:rPr>
                <w:i/>
              </w:rPr>
              <w:t>+32 25468846</w:t>
            </w:r>
          </w:p>
        </w:tc>
      </w:tr>
      <w:tr w:rsidR="00E25EB4" w:rsidRPr="00E25EB4" w14:paraId="7DB45FE9" w14:textId="77777777" w:rsidTr="00D0608D">
        <w:trPr>
          <w:trHeight w:val="244"/>
        </w:trPr>
        <w:tc>
          <w:tcPr>
            <w:tcW w:w="1668" w:type="dxa"/>
          </w:tcPr>
          <w:p w14:paraId="5969B93D" w14:textId="77777777" w:rsidR="00E25EB4" w:rsidRPr="00E25EB4" w:rsidRDefault="00E25EB4" w:rsidP="00100EF9">
            <w:pPr>
              <w:overflowPunct w:val="0"/>
              <w:autoSpaceDE w:val="0"/>
              <w:autoSpaceDN w:val="0"/>
              <w:adjustRightInd w:val="0"/>
              <w:textAlignment w:val="baseline"/>
              <w:rPr>
                <w:i/>
              </w:rPr>
            </w:pPr>
            <w:r>
              <w:rPr>
                <w:i/>
              </w:rPr>
              <w:t>E-pasts:</w:t>
            </w:r>
          </w:p>
        </w:tc>
        <w:tc>
          <w:tcPr>
            <w:tcW w:w="7512" w:type="dxa"/>
          </w:tcPr>
          <w:p w14:paraId="47F42ECE" w14:textId="789F877A" w:rsidR="00187E31" w:rsidRPr="00153E09" w:rsidRDefault="00E2492E" w:rsidP="00100EF9">
            <w:pPr>
              <w:overflowPunct w:val="0"/>
              <w:autoSpaceDE w:val="0"/>
              <w:autoSpaceDN w:val="0"/>
              <w:adjustRightInd w:val="0"/>
              <w:textAlignment w:val="baseline"/>
              <w:rPr>
                <w:i/>
                <w:iCs/>
              </w:rPr>
            </w:pPr>
            <w:hyperlink r:id="rId44" w:history="1">
              <w:r w:rsidR="00E235D3">
                <w:rPr>
                  <w:i/>
                  <w:color w:val="0000FF"/>
                  <w:u w:val="single"/>
                </w:rPr>
                <w:t>Luis.BarbosaESilva@eesc.europa.eu</w:t>
              </w:r>
            </w:hyperlink>
          </w:p>
        </w:tc>
      </w:tr>
    </w:tbl>
    <w:p w14:paraId="2E28EF19" w14:textId="299918AB" w:rsidR="000D394D" w:rsidRPr="00205469" w:rsidRDefault="00E25EB4" w:rsidP="00100EF9">
      <w:pPr>
        <w:overflowPunct w:val="0"/>
        <w:autoSpaceDE w:val="0"/>
        <w:autoSpaceDN w:val="0"/>
        <w:adjustRightInd w:val="0"/>
        <w:jc w:val="center"/>
        <w:textAlignment w:val="baseline"/>
        <w:rPr>
          <w:szCs w:val="20"/>
        </w:rPr>
      </w:pPr>
      <w:r>
        <w:t>_____________</w:t>
      </w:r>
    </w:p>
    <w:sectPr w:rsidR="000D394D" w:rsidRPr="00205469" w:rsidSect="00153E09">
      <w:headerReference w:type="even" r:id="rId45"/>
      <w:headerReference w:type="default" r:id="rId46"/>
      <w:footerReference w:type="even" r:id="rId47"/>
      <w:footerReference w:type="default" r:id="rId48"/>
      <w:headerReference w:type="first" r:id="rId49"/>
      <w:footerReference w:type="first" r:id="rId5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344" w14:textId="77777777" w:rsidR="00153E09" w:rsidRPr="00153E09" w:rsidRDefault="00153E09" w:rsidP="0015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EF32E47"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E235D3">
      <w:t>1</w:t>
    </w:r>
    <w:r>
      <w:fldChar w:fldCharType="end"/>
    </w:r>
    <w:r>
      <w:t>/</w:t>
    </w:r>
    <w:fldSimple w:instr=" NUMPAGES ">
      <w:r w:rsidR="00E235D3">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42C2" w14:textId="77777777" w:rsidR="00153E09" w:rsidRPr="00153E09" w:rsidRDefault="00153E09" w:rsidP="00153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0C6B551C"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7526DA">
      <w:t>15</w:t>
    </w:r>
    <w:r>
      <w:fldChar w:fldCharType="end"/>
    </w:r>
    <w:r>
      <w:t>/</w:t>
    </w:r>
    <w:fldSimple w:instr=" NUMPAGES ">
      <w:r w:rsidR="007526DA">
        <w:t>15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055B"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852" w14:textId="3FAF7247"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48A" w14:textId="77777777" w:rsidR="00153E09" w:rsidRPr="00153E09" w:rsidRDefault="00153E09" w:rsidP="0015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18"/>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1"/>
  </w:num>
  <w:num w:numId="8">
    <w:abstractNumId w:val="8"/>
  </w:num>
  <w:num w:numId="9">
    <w:abstractNumId w:val="19"/>
  </w:num>
  <w:num w:numId="10">
    <w:abstractNumId w:val="16"/>
  </w:num>
  <w:num w:numId="11">
    <w:abstractNumId w:val="20"/>
  </w:num>
  <w:num w:numId="12">
    <w:abstractNumId w:val="4"/>
  </w:num>
  <w:num w:numId="13">
    <w:abstractNumId w:val="7"/>
  </w:num>
  <w:num w:numId="14">
    <w:abstractNumId w:val="14"/>
  </w:num>
  <w:num w:numId="15">
    <w:abstractNumId w:val="17"/>
  </w:num>
  <w:num w:numId="16">
    <w:abstractNumId w:val="26"/>
  </w:num>
  <w:num w:numId="17">
    <w:abstractNumId w:val="3"/>
  </w:num>
  <w:num w:numId="18">
    <w:abstractNumId w:val="25"/>
  </w:num>
  <w:num w:numId="19">
    <w:abstractNumId w:val="28"/>
  </w:num>
  <w:num w:numId="20">
    <w:abstractNumId w:val="23"/>
  </w:num>
  <w:num w:numId="21">
    <w:abstractNumId w:val="9"/>
  </w:num>
  <w:num w:numId="22">
    <w:abstractNumId w:val="15"/>
  </w:num>
  <w:num w:numId="23">
    <w:abstractNumId w:val="2"/>
  </w:num>
  <w:num w:numId="24">
    <w:abstractNumId w:val="6"/>
  </w:num>
  <w:num w:numId="25">
    <w:abstractNumId w:val="22"/>
  </w:num>
  <w:num w:numId="26">
    <w:abstractNumId w:val="5"/>
  </w:num>
  <w:num w:numId="27">
    <w:abstractNumId w:val="12"/>
  </w:num>
  <w:num w:numId="28">
    <w:abstractNumId w:val="10"/>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364"/>
    <w:rsid w:val="00010A4D"/>
    <w:rsid w:val="00043E7B"/>
    <w:rsid w:val="000638B5"/>
    <w:rsid w:val="00063DFF"/>
    <w:rsid w:val="00073F59"/>
    <w:rsid w:val="000D394D"/>
    <w:rsid w:val="00100EF9"/>
    <w:rsid w:val="00120A45"/>
    <w:rsid w:val="00124E6A"/>
    <w:rsid w:val="001313E0"/>
    <w:rsid w:val="00153E09"/>
    <w:rsid w:val="001653D7"/>
    <w:rsid w:val="00167743"/>
    <w:rsid w:val="00187E31"/>
    <w:rsid w:val="001A1F1F"/>
    <w:rsid w:val="001A58BD"/>
    <w:rsid w:val="001A7538"/>
    <w:rsid w:val="001E391D"/>
    <w:rsid w:val="00205469"/>
    <w:rsid w:val="00210CBF"/>
    <w:rsid w:val="00250B70"/>
    <w:rsid w:val="00256B74"/>
    <w:rsid w:val="0027149A"/>
    <w:rsid w:val="00274F1A"/>
    <w:rsid w:val="0027678C"/>
    <w:rsid w:val="002A5636"/>
    <w:rsid w:val="002B7981"/>
    <w:rsid w:val="002D77C8"/>
    <w:rsid w:val="002F4AD1"/>
    <w:rsid w:val="00302594"/>
    <w:rsid w:val="003066BE"/>
    <w:rsid w:val="003066E2"/>
    <w:rsid w:val="003227CC"/>
    <w:rsid w:val="00326237"/>
    <w:rsid w:val="00340FA5"/>
    <w:rsid w:val="003452F9"/>
    <w:rsid w:val="003534E0"/>
    <w:rsid w:val="0037319B"/>
    <w:rsid w:val="0037722B"/>
    <w:rsid w:val="003B6923"/>
    <w:rsid w:val="003E1B8B"/>
    <w:rsid w:val="003F326D"/>
    <w:rsid w:val="003F4F92"/>
    <w:rsid w:val="003F66F7"/>
    <w:rsid w:val="003F79EF"/>
    <w:rsid w:val="00416286"/>
    <w:rsid w:val="00426372"/>
    <w:rsid w:val="0043191A"/>
    <w:rsid w:val="00462F24"/>
    <w:rsid w:val="004A5CD7"/>
    <w:rsid w:val="004C4CDB"/>
    <w:rsid w:val="004C6DA8"/>
    <w:rsid w:val="004D1319"/>
    <w:rsid w:val="004D7AC0"/>
    <w:rsid w:val="004D7E35"/>
    <w:rsid w:val="00527B47"/>
    <w:rsid w:val="00532089"/>
    <w:rsid w:val="00532F99"/>
    <w:rsid w:val="00557848"/>
    <w:rsid w:val="00586B4B"/>
    <w:rsid w:val="00594237"/>
    <w:rsid w:val="005A0BDA"/>
    <w:rsid w:val="005C2B2F"/>
    <w:rsid w:val="005C357F"/>
    <w:rsid w:val="005C6D36"/>
    <w:rsid w:val="005D3E1C"/>
    <w:rsid w:val="005E7651"/>
    <w:rsid w:val="00621347"/>
    <w:rsid w:val="00625CA3"/>
    <w:rsid w:val="00627FDF"/>
    <w:rsid w:val="00630779"/>
    <w:rsid w:val="00632B12"/>
    <w:rsid w:val="00641262"/>
    <w:rsid w:val="006553ED"/>
    <w:rsid w:val="00660482"/>
    <w:rsid w:val="006B2C49"/>
    <w:rsid w:val="006D2C8A"/>
    <w:rsid w:val="006D2D64"/>
    <w:rsid w:val="006E7051"/>
    <w:rsid w:val="00705489"/>
    <w:rsid w:val="00711298"/>
    <w:rsid w:val="00713CC2"/>
    <w:rsid w:val="007526DA"/>
    <w:rsid w:val="00753B41"/>
    <w:rsid w:val="00754027"/>
    <w:rsid w:val="007652C3"/>
    <w:rsid w:val="00766B1A"/>
    <w:rsid w:val="007E284A"/>
    <w:rsid w:val="007F1668"/>
    <w:rsid w:val="007F5784"/>
    <w:rsid w:val="008072FE"/>
    <w:rsid w:val="008402C8"/>
    <w:rsid w:val="00845F24"/>
    <w:rsid w:val="00846483"/>
    <w:rsid w:val="00881A01"/>
    <w:rsid w:val="0088219D"/>
    <w:rsid w:val="00892105"/>
    <w:rsid w:val="008B1A24"/>
    <w:rsid w:val="008B4127"/>
    <w:rsid w:val="008D45C7"/>
    <w:rsid w:val="008D7FAC"/>
    <w:rsid w:val="009277D3"/>
    <w:rsid w:val="00933300"/>
    <w:rsid w:val="009338FC"/>
    <w:rsid w:val="009348BC"/>
    <w:rsid w:val="00940A7B"/>
    <w:rsid w:val="00950272"/>
    <w:rsid w:val="00974BD0"/>
    <w:rsid w:val="009858F5"/>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8B2"/>
    <w:rsid w:val="00B518C9"/>
    <w:rsid w:val="00B55C6C"/>
    <w:rsid w:val="00B922EA"/>
    <w:rsid w:val="00BA0232"/>
    <w:rsid w:val="00BA6AA9"/>
    <w:rsid w:val="00BC7ED2"/>
    <w:rsid w:val="00BD64BD"/>
    <w:rsid w:val="00BE54B3"/>
    <w:rsid w:val="00BE5CBC"/>
    <w:rsid w:val="00BF79AB"/>
    <w:rsid w:val="00C008B4"/>
    <w:rsid w:val="00C17ABD"/>
    <w:rsid w:val="00C26C67"/>
    <w:rsid w:val="00C821A5"/>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35D3"/>
    <w:rsid w:val="00E2492E"/>
    <w:rsid w:val="00E25EB4"/>
    <w:rsid w:val="00E77899"/>
    <w:rsid w:val="00EE1B31"/>
    <w:rsid w:val="00EF5581"/>
    <w:rsid w:val="00F15673"/>
    <w:rsid w:val="00F172E5"/>
    <w:rsid w:val="00F253CA"/>
    <w:rsid w:val="00F25B2E"/>
    <w:rsid w:val="00F43315"/>
    <w:rsid w:val="00F51439"/>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lv/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orgios.Meleas@eesc.europa.eu" TargetMode="External"/><Relationship Id="rId39" Type="http://schemas.openxmlformats.org/officeDocument/2006/relationships/hyperlink" Target="mailto:Gaia.Bottoni@eesc.europa.eu" TargetMode="External"/><Relationship Id="rId3" Type="http://schemas.openxmlformats.org/officeDocument/2006/relationships/customXml" Target="../customXml/item3.xml"/><Relationship Id="rId21" Type="http://schemas.openxmlformats.org/officeDocument/2006/relationships/hyperlink" Target="https://www.eesc.europa.eu/lv/our-work/opinions-information-reports/opinions/eppo-and-olaf-access-vat-information-union-level" TargetMode="External"/><Relationship Id="rId34" Type="http://schemas.openxmlformats.org/officeDocument/2006/relationships/hyperlink" Target="https://health.ec.europa.eu/one-health/overview_en" TargetMode="External"/><Relationship Id="rId42" Type="http://schemas.openxmlformats.org/officeDocument/2006/relationships/hyperlink" Target="mailto:Adam.Dorywalski@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lv/our-work/opinions-information-reports/opinions/island-dimension-european-cohesion-competitiveness-and-sustainable-development-policies" TargetMode="External"/><Relationship Id="rId33" Type="http://schemas.openxmlformats.org/officeDocument/2006/relationships/hyperlink" Target="https://health.ec.europa.eu/publications/tartu-call-healthy-lifestyle-joint-actions-promote-healthy-lifestyles_en" TargetMode="External"/><Relationship Id="rId38" Type="http://schemas.openxmlformats.org/officeDocument/2006/relationships/hyperlink" Target="https://www.eesc.europa.eu/lv/our-work/opinions-information-reports/opinions/roadmap-towards-nature-credits"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esc.europa.eu/lv/our-work/opinions-information-reports/opinions/union-support-asylum-migration-and-integration-internal-security-and-integrated-border-management-and-visa-policy" TargetMode="External"/><Relationship Id="rId41" Type="http://schemas.openxmlformats.org/officeDocument/2006/relationships/hyperlink" Target="https://eur-lex.europa.eu/legal-content/LV/TXT/?uri=CELEX%3A52023AE1573&amp;qid=177066864909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uroparl.europa.eu/RegData/etudes/ATAG/2025/779215/EPRS_ATA(2025)779215_EN.pdf"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our-work/opinions-information-reports/opinions/amending-regulation-eu-20241252-critical-raw-materials-ac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lv/our-work/opinions-information-reports/opinions/2026-european-semester-autumn-package" TargetMode="External"/><Relationship Id="rId28" Type="http://schemas.openxmlformats.org/officeDocument/2006/relationships/hyperlink" Target="mailto:Juri.Soosaar@eesc.europa.eu" TargetMode="External"/><Relationship Id="rId36" Type="http://schemas.openxmlformats.org/officeDocument/2006/relationships/hyperlink" Target="https://www.eesc.europa.eu/lv/our-work/opinions-information-reports/opinions/energy-connectivity-electricity-grid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lv/our-work/opinions-information-reports/opinions/european-life-science-strategy-along-strategy-research-and-technology-infrastructures-focus-treatment-rare-diseases" TargetMode="External"/><Relationship Id="rId44" Type="http://schemas.openxmlformats.org/officeDocument/2006/relationships/hyperlink" Target="mailto:Luis.BarbosaESilva@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lv/our-work/opinions-information-reports/opinions/revision-tobacco-taxation-directive" TargetMode="External"/><Relationship Id="rId30" Type="http://schemas.openxmlformats.org/officeDocument/2006/relationships/hyperlink" Target="mailto:gemma.amran@eesc.europa.eu" TargetMode="External"/><Relationship Id="rId35" Type="http://schemas.openxmlformats.org/officeDocument/2006/relationships/hyperlink" Target="mailto:Konstantina.Angelopoulou@eesc.europa.eu" TargetMode="External"/><Relationship Id="rId43" Type="http://schemas.openxmlformats.org/officeDocument/2006/relationships/hyperlink" Target="https://www.eesc.europa.eu/lv/our-work/opinions-information-reports/opinions/enhancing-eu-strategic-autonomy-and-developing-greener-and-bluer-economy-potential-sodium-battery-manufacturing-sector"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VP3JK3XSEPRV-2087481956-3336</_dlc_DocId>
    <_dlc_DocIdUrl xmlns="7d640e6d-779c-472f-a269-6b546787f1c9">
      <Url>http://dm/eesc/2026/_layouts/15/DocIdRedir.aspx?ID=VP3JK3XSEPRV-2087481956-3336</Url>
      <Description>VP3JK3XSEPRV-2087481956-3336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Skubina Ieva</DisplayName>
        <AccountId>1450</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ssierNumber xmlns="7d640e6d-779c-472f-a269-6b546787f1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2.xml><?xml version="1.0" encoding="utf-8"?>
<ds:datastoreItem xmlns:ds="http://schemas.openxmlformats.org/officeDocument/2006/customXml" ds:itemID="{EBF74BB9-0C60-4827-891B-B832D8B33C9E}"/>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customXml/itemProps5.xml><?xml version="1.0" encoding="utf-8"?>
<ds:datastoreItem xmlns:ds="http://schemas.openxmlformats.org/officeDocument/2006/customXml" ds:itemID="{A5982D98-2B49-4D8D-9E82-3A196D630916}">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Pieņemto atzinumu kopsavilkums - 603. plenārā sesija - 2026. gada februārī</dc:title>
  <dc:subject>ADMIN</dc:subject>
  <dc:creator/>
  <cp:keywords>COR-EESC-2022-02583-00-00-ADMIN-TRA-EN</cp:keywords>
  <dc:description>Rapporteur:  - Original language: EN - Date of document: 20/05/2022 - Date of meeting:  - External documents:  - Administrator:  SUCIU Serban</dc:description>
  <cp:lastModifiedBy/>
  <cp:revision>14</cp:revision>
  <dcterms:created xsi:type="dcterms:W3CDTF">2026-02-26T08:13:00Z</dcterms:created>
  <dcterms:modified xsi:type="dcterms:W3CDTF">2026-03-04T09:46:00Z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d00e7fe4-833f-43be-931d-e1a1e6f797cd</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34;#HR|2f555653-ed1a-4fe6-8362-9082d95989e5;#31;#SL|98a412ae-eb01-49e9-ae3d-585a81724cfc;#28;#PT|50ccc04a-eadd-42ae-a0cb-acaf45f812ba;#27;#ET|ff6c3f4c-b02c-4c3c-ab07-2c37995a7a0a;#25;#FI|87606a43-d45f-42d6-b8c9-e1a3457db5b7;#44;#LT|a7ff5ce7-6123-4f68-865a-a57c31810414;#59;#SPL-CES|32d8cb1f-c9ec-4365-95c7-8385a18618ac;#19;#Unrestricted|826e22d7-d029-4ec0-a450-0c28ff673572;#18;#TCD|cd9d6eb6-3f4f-424a-b2d1-57c9d450eaaf;#51;#LV|46f7e311-5d9f-4663-b433-18aeccb7ace7;#13;#IT|0774613c-01ed-4e5d-a25d-11d2388de825;#12;#ES|e7a6b05b-ae16-40c8-add9-68b64b03aeba;#11;#DE|f6b31e5a-26fa-4935-b661-318e46daf27e;#9;#TRA|150d2a88-1431-44e6-a8ca-0bb753ab8672;#7;#Final|ea5e6674-7b27-4bac-b091-73adbb394efe;#43;#BG|1a1b3951-7821-4e6a-85f5-5673fc08bd2c;#4;#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51;#LV|46f7e311-5d9f-4663-b433-18aeccb7ace7</vt:lpwstr>
  </property>
  <property fmtid="{D5CDD505-2E9C-101B-9397-08002B2CF9AE}" pid="33" name="AvailableTranslations_0">
    <vt:lpwstr>HR|2f555653-ed1a-4fe6-8362-9082d95989e5;BG|1a1b3951-7821-4e6a-85f5-5673fc08bd2c;SL|98a412ae-eb01-49e9-ae3d-585a81724cfc;EN|f2175f21-25d7-44a3-96da-d6a61b075e1b;ES|e7a6b05b-ae16-40c8-add9-68b64b03aeba;DE|f6b31e5a-26fa-4935-b661-318e46daf27e;LT|a7ff5ce7-6123-4f68-865a-a57c31810414;FI|87606a43-d45f-42d6-b8c9-e1a3457db5b7;ET|ff6c3f4c-b02c-4c3c-ab07-2c37995a7a0a;LV|46f7e311-5d9f-4663-b433-18aeccb7ace7;PT|50ccc04a-eadd-42ae-a0cb-acaf45f812ba;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41" name="MeetingDate">
    <vt:filetime>2026-03-18T12:00:00Z</vt:filetime>
  </property>
  <property fmtid="{D5CDD505-2E9C-101B-9397-08002B2CF9AE}" pid="44" name="MeetingNumber">
    <vt:i4>604</vt:i4>
  </property>
</Properties>
</file>