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DD4D" w14:textId="708A6932" w:rsidR="004D7AC0" w:rsidRDefault="00AC71D1" w:rsidP="00100EF9">
      <w:pPr>
        <w:jc w:val="center"/>
      </w:pPr>
      <w:r>
        <w:rPr>
          <w:noProof/>
        </w:rPr>
        <w:drawing>
          <wp:inline distT="0" distB="0" distL="0" distR="0" wp14:anchorId="08F29DD3" wp14:editId="5E9D6877">
            <wp:extent cx="1457528" cy="1219370"/>
            <wp:effectExtent l="0" t="0" r="9525" b="0"/>
            <wp:docPr id="5" name="Picture 5" descr="EESC_logo_letter_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EESC_logo_letter_HR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528" cy="12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7AC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982DE48" wp14:editId="58848FB8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2DE54" w14:textId="77777777" w:rsidR="004D7AC0" w:rsidRPr="00260E65" w:rsidRDefault="004D7AC0" w:rsidP="004D7A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2DE4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" o:allowincell="f" filled="f" stroked="f">
                <v:textbox>
                  <w:txbxContent>
                    <w:p w14:paraId="4982DE54" w14:textId="77777777" w:rsidR="004D7AC0" w:rsidRPr="00260E65" w:rsidRDefault="004D7AC0" w:rsidP="004D7AC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HR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982DD4E" w14:textId="77777777" w:rsidR="004D7AC0" w:rsidRDefault="004D7AC0" w:rsidP="00100EF9"/>
    <w:p w14:paraId="4982DD4F" w14:textId="7AA8E975" w:rsidR="004D7AC0" w:rsidRDefault="004D7AC0" w:rsidP="00100EF9">
      <w:pPr>
        <w:jc w:val="right"/>
      </w:pPr>
      <w:r>
        <w:t>Bruxelles, 04. ožujka 2026.</w:t>
      </w:r>
    </w:p>
    <w:p w14:paraId="4982DD50" w14:textId="77777777" w:rsidR="004D7AC0" w:rsidRDefault="004D7AC0" w:rsidP="00100EF9"/>
    <w:p w14:paraId="4982DD51" w14:textId="77777777" w:rsidR="004D7AC0" w:rsidRDefault="004D7AC0" w:rsidP="00100EF9"/>
    <w:p w14:paraId="4982DD52" w14:textId="77777777" w:rsidR="004D7AC0" w:rsidRDefault="004D7AC0" w:rsidP="00100EF9"/>
    <w:tbl>
      <w:tblPr>
        <w:tblW w:w="0" w:type="auto"/>
        <w:tblLook w:val="04A0" w:firstRow="1" w:lastRow="0" w:firstColumn="1" w:lastColumn="0" w:noHBand="0" w:noVBand="1"/>
      </w:tblPr>
      <w:tblGrid>
        <w:gridCol w:w="9073"/>
      </w:tblGrid>
      <w:tr w:rsidR="004D7AC0" w14:paraId="4982DD59" w14:textId="77777777" w:rsidTr="00600C84">
        <w:tc>
          <w:tcPr>
            <w:tcW w:w="9289" w:type="dxa"/>
            <w:tcBorders>
              <w:bottom w:val="double" w:sz="4" w:space="0" w:color="auto"/>
            </w:tcBorders>
          </w:tcPr>
          <w:p w14:paraId="4982DD53" w14:textId="5E869ADC" w:rsidR="003066BE" w:rsidRDefault="004C4CDB" w:rsidP="00100EF9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603. PLENARNO ZASJEDANJE</w:t>
            </w:r>
          </w:p>
          <w:p w14:paraId="4982DD54" w14:textId="77777777" w:rsidR="003066BE" w:rsidRDefault="003066BE" w:rsidP="00100EF9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14:paraId="4982DD55" w14:textId="6CEFC9D4" w:rsidR="003066BE" w:rsidRDefault="003066E2" w:rsidP="00100EF9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18 i 19. veljače 2026.</w:t>
            </w:r>
          </w:p>
          <w:p w14:paraId="4982DD56" w14:textId="77777777" w:rsidR="003066BE" w:rsidRDefault="003066BE" w:rsidP="00100EF9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14:paraId="4982DD57" w14:textId="5A35E792" w:rsidR="004D7AC0" w:rsidRPr="0081153B" w:rsidRDefault="00754027" w:rsidP="00100EF9">
            <w:pPr>
              <w:snapToGrid w:val="0"/>
              <w:jc w:val="center"/>
              <w:rPr>
                <w:rFonts w:eastAsia="MS Mincho"/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SAŽETAK USVOJENIH MIŠLJENJA, REZOLUCIJA I INFORMATIVNIH/EVALUACIJSKIH IZVJEŠĆA</w:t>
            </w:r>
          </w:p>
          <w:p w14:paraId="4982DD58" w14:textId="77777777" w:rsidR="004D7AC0" w:rsidRDefault="004D7AC0" w:rsidP="00100EF9">
            <w:pPr>
              <w:snapToGrid w:val="0"/>
            </w:pPr>
          </w:p>
        </w:tc>
      </w:tr>
      <w:tr w:rsidR="004D7AC0" w14:paraId="4982DD5F" w14:textId="77777777" w:rsidTr="00600C84">
        <w:tc>
          <w:tcPr>
            <w:tcW w:w="9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82DD5A" w14:textId="0C0FF99D" w:rsidR="004D7AC0" w:rsidRPr="0081153B" w:rsidRDefault="004D7AC0" w:rsidP="00100EF9">
            <w:pPr>
              <w:snapToGrid w:val="0"/>
              <w:jc w:val="center"/>
            </w:pPr>
            <w:r>
              <w:t>Ovaj dokument dostupan je na svim službenim jezicima Europske unije</w:t>
            </w:r>
            <w:r>
              <w:br/>
              <w:t>na internetskim stranicama EGSO-a:</w:t>
            </w:r>
            <w:r>
              <w:br/>
            </w:r>
            <w:r>
              <w:br/>
            </w:r>
            <w:hyperlink r:id="rId13" w:history="1">
              <w:r>
                <w:rPr>
                  <w:rStyle w:val="Hyperlink"/>
                </w:rPr>
                <w:t>https://www.eesc.europa.eu/hr/our-work/opinions-information-reports/plenary-session-summaries</w:t>
              </w:r>
            </w:hyperlink>
          </w:p>
          <w:p w14:paraId="4982DD5B" w14:textId="77777777" w:rsidR="004D7AC0" w:rsidRPr="0081153B" w:rsidRDefault="004D7AC0" w:rsidP="00100EF9">
            <w:pPr>
              <w:snapToGrid w:val="0"/>
              <w:jc w:val="center"/>
            </w:pPr>
          </w:p>
          <w:p w14:paraId="4982DD5C" w14:textId="77777777" w:rsidR="004D7AC0" w:rsidRPr="0081153B" w:rsidRDefault="004D7AC0" w:rsidP="00100EF9">
            <w:pPr>
              <w:snapToGrid w:val="0"/>
              <w:jc w:val="center"/>
              <w:rPr>
                <w:rFonts w:eastAsia="SimSun"/>
              </w:rPr>
            </w:pPr>
          </w:p>
          <w:p w14:paraId="4982DD5D" w14:textId="77777777" w:rsidR="004D7AC0" w:rsidRPr="00044561" w:rsidRDefault="004D7AC0" w:rsidP="00100EF9">
            <w:pPr>
              <w:snapToGrid w:val="0"/>
              <w:jc w:val="center"/>
            </w:pPr>
            <w:r>
              <w:t>Navedenim mišljenjima možete pristupiti na internetu putem tražilice EGSO-a:</w:t>
            </w:r>
            <w:r>
              <w:br/>
            </w:r>
            <w:r>
              <w:br/>
            </w:r>
            <w:hyperlink r:id="rId14" w:history="1">
              <w:r>
                <w:rPr>
                  <w:rStyle w:val="Hyperlink"/>
                </w:rPr>
                <w:t>https://dmsearch.eesc.europa.eu/search/opinion</w:t>
              </w:r>
            </w:hyperlink>
          </w:p>
          <w:p w14:paraId="4982DD5E" w14:textId="77777777" w:rsidR="004D7AC0" w:rsidRPr="00044561" w:rsidRDefault="004D7AC0" w:rsidP="00100EF9">
            <w:pPr>
              <w:snapToGrid w:val="0"/>
              <w:jc w:val="center"/>
            </w:pPr>
          </w:p>
        </w:tc>
      </w:tr>
    </w:tbl>
    <w:p w14:paraId="4982DD60" w14:textId="77777777" w:rsidR="004D7AC0" w:rsidRDefault="004D7AC0" w:rsidP="00100EF9"/>
    <w:p w14:paraId="4982DD61" w14:textId="77777777" w:rsidR="004D7AC0" w:rsidRDefault="004D7AC0" w:rsidP="00100EF9"/>
    <w:p w14:paraId="4982DD62" w14:textId="77777777" w:rsidR="004D7AC0" w:rsidRDefault="004D7AC0" w:rsidP="00100EF9">
      <w:pPr>
        <w:sectPr w:rsidR="004D7AC0" w:rsidSect="00153E09">
          <w:footerReference w:type="default" r:id="rId15"/>
          <w:pgSz w:w="11907" w:h="1683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14:paraId="4982DD63" w14:textId="77777777" w:rsidR="004D7AC0" w:rsidRPr="00A81AFE" w:rsidRDefault="004D7AC0" w:rsidP="00100EF9">
      <w:pPr>
        <w:rPr>
          <w:b/>
        </w:rPr>
      </w:pPr>
      <w:r>
        <w:rPr>
          <w:b/>
        </w:rPr>
        <w:lastRenderedPageBreak/>
        <w:t>Sadržaj: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</w:rPr>
        <w:id w:val="-1700747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982DD64" w14:textId="77777777" w:rsidR="004D7AC0" w:rsidRPr="00A81AFE" w:rsidRDefault="004D7AC0" w:rsidP="00100EF9">
          <w:pPr>
            <w:pStyle w:val="TOCHeading"/>
            <w:spacing w:before="0" w:line="288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</w:p>
        <w:p w14:paraId="17D7614B" w14:textId="04ABF10B" w:rsidR="0011550C" w:rsidRDefault="004D7AC0">
          <w:pPr>
            <w:pStyle w:val="TOC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3338117" w:history="1">
            <w:r w:rsidR="0011550C" w:rsidRPr="0041270F">
              <w:rPr>
                <w:rStyle w:val="Hyperlink"/>
                <w:bCs/>
                <w:noProof/>
              </w:rPr>
              <w:t>1.</w:t>
            </w:r>
            <w:r w:rsidR="0011550C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11550C" w:rsidRPr="0041270F">
              <w:rPr>
                <w:rStyle w:val="Hyperlink"/>
                <w:b/>
                <w:noProof/>
              </w:rPr>
              <w:t>STRUČNA SKUPINA ZA EKONOMSKU I MONETARNU UNIJU TE EKONOMSKU I SOCIJALNU KOHEZIJU</w:t>
            </w:r>
            <w:r w:rsidR="0011550C">
              <w:rPr>
                <w:noProof/>
                <w:webHidden/>
              </w:rPr>
              <w:tab/>
            </w:r>
            <w:r w:rsidR="0011550C">
              <w:rPr>
                <w:noProof/>
                <w:webHidden/>
              </w:rPr>
              <w:fldChar w:fldCharType="begin"/>
            </w:r>
            <w:r w:rsidR="0011550C">
              <w:rPr>
                <w:noProof/>
                <w:webHidden/>
              </w:rPr>
              <w:instrText xml:space="preserve"> PAGEREF _Toc223338117 \h </w:instrText>
            </w:r>
            <w:r w:rsidR="0011550C">
              <w:rPr>
                <w:noProof/>
                <w:webHidden/>
              </w:rPr>
            </w:r>
            <w:r w:rsidR="0011550C">
              <w:rPr>
                <w:noProof/>
                <w:webHidden/>
              </w:rPr>
              <w:fldChar w:fldCharType="separate"/>
            </w:r>
            <w:r w:rsidR="0011550C">
              <w:rPr>
                <w:noProof/>
                <w:webHidden/>
              </w:rPr>
              <w:t>3</w:t>
            </w:r>
            <w:r w:rsidR="0011550C">
              <w:rPr>
                <w:noProof/>
                <w:webHidden/>
              </w:rPr>
              <w:fldChar w:fldCharType="end"/>
            </w:r>
          </w:hyperlink>
        </w:p>
        <w:p w14:paraId="3CBC2C9A" w14:textId="7D3EAD31" w:rsidR="0011550C" w:rsidRDefault="0011550C">
          <w:pPr>
            <w:pStyle w:val="TOC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38118" w:history="1">
            <w:r w:rsidRPr="0041270F">
              <w:rPr>
                <w:rStyle w:val="Hyperlink"/>
                <w:bCs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41270F">
              <w:rPr>
                <w:rStyle w:val="Hyperlink"/>
                <w:b/>
                <w:noProof/>
              </w:rPr>
              <w:t>STRUČNA SKUPINA ZA ZAPOŠLJAVANJE, SOCIJALNA PITANJA I GRAĐANSTVO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7DCD3" w14:textId="2586C414" w:rsidR="0011550C" w:rsidRDefault="0011550C">
          <w:pPr>
            <w:pStyle w:val="TOC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38119" w:history="1">
            <w:r w:rsidRPr="0041270F">
              <w:rPr>
                <w:rStyle w:val="Hyperlink"/>
                <w:bCs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41270F">
              <w:rPr>
                <w:rStyle w:val="Hyperlink"/>
                <w:b/>
                <w:noProof/>
              </w:rPr>
              <w:t>STRUČNA SKUPINA ZA PROMET, ENERGIJU, INFRASTRUKTURU I INFORMACIJSKO DRUŠTVO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AF4C11" w14:textId="7795E421" w:rsidR="0011550C" w:rsidRDefault="0011550C">
          <w:pPr>
            <w:pStyle w:val="TOC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38120" w:history="1">
            <w:r w:rsidRPr="0041270F">
              <w:rPr>
                <w:rStyle w:val="Hyperlink"/>
                <w:bCs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41270F">
              <w:rPr>
                <w:rStyle w:val="Hyperlink"/>
                <w:b/>
                <w:noProof/>
              </w:rPr>
              <w:t>STRUČNA SKUPINA ZA POLJOPRIVREDU, RURALNI RAZVOJ I OKOLIŠ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05F19A" w14:textId="4401FD8D" w:rsidR="0011550C" w:rsidRDefault="0011550C">
          <w:pPr>
            <w:pStyle w:val="TOC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38121" w:history="1">
            <w:r w:rsidRPr="0041270F">
              <w:rPr>
                <w:rStyle w:val="Hyperlink"/>
                <w:bCs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41270F">
              <w:rPr>
                <w:rStyle w:val="Hyperlink"/>
                <w:b/>
                <w:noProof/>
              </w:rPr>
              <w:t>SAVJETODAVNO POVJERENSTVO ZA INDUSTRIJSKE PROMJENE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82DD6A" w14:textId="6912A172" w:rsidR="004D7AC0" w:rsidRDefault="004D7AC0" w:rsidP="00100EF9">
          <w:r>
            <w:rPr>
              <w:b/>
            </w:rPr>
            <w:fldChar w:fldCharType="end"/>
          </w:r>
        </w:p>
      </w:sdtContent>
    </w:sdt>
    <w:p w14:paraId="4982DD6B" w14:textId="77777777" w:rsidR="004D7AC0" w:rsidRDefault="004D7AC0" w:rsidP="00100EF9"/>
    <w:p w14:paraId="4982DD6C" w14:textId="77777777" w:rsidR="004D7AC0" w:rsidRDefault="004D7AC0" w:rsidP="00100EF9">
      <w:pPr>
        <w:jc w:val="left"/>
      </w:pPr>
      <w:r>
        <w:br w:type="page"/>
      </w:r>
    </w:p>
    <w:p w14:paraId="4982DD6D" w14:textId="77777777" w:rsidR="004D7AC0" w:rsidRDefault="004D7AC0" w:rsidP="00100EF9">
      <w:pPr>
        <w:pStyle w:val="Heading1"/>
        <w:rPr>
          <w:b/>
        </w:rPr>
      </w:pPr>
      <w:bookmarkStart w:id="0" w:name="_Toc223338117"/>
      <w:r>
        <w:rPr>
          <w:b/>
        </w:rPr>
        <w:lastRenderedPageBreak/>
        <w:t>STRUČNA SKUPINA ZA EKONOMSKU I MONETARNU UNIJU TE EKONOMSKU I SOCIJALNU KOHEZIJU</w:t>
      </w:r>
      <w:bookmarkEnd w:id="0"/>
    </w:p>
    <w:p w14:paraId="4982DD97" w14:textId="77777777" w:rsidR="004D7AC0" w:rsidRDefault="004D7AC0" w:rsidP="00100EF9">
      <w:pPr>
        <w:pStyle w:val="ListParagraph"/>
        <w:ind w:left="0"/>
      </w:pPr>
    </w:p>
    <w:p w14:paraId="53A1E795" w14:textId="77777777" w:rsidR="008752F0" w:rsidRPr="008752F0" w:rsidRDefault="008752F0" w:rsidP="008752F0">
      <w:pPr>
        <w:pStyle w:val="ListParagraph"/>
        <w:numPr>
          <w:ilvl w:val="0"/>
          <w:numId w:val="31"/>
        </w:numPr>
        <w:rPr>
          <w:b/>
          <w:i/>
          <w:iCs/>
        </w:rPr>
      </w:pPr>
      <w:r w:rsidRPr="008752F0">
        <w:rPr>
          <w:b/>
          <w:i/>
        </w:rPr>
        <w:t xml:space="preserve">ECO/690 – </w:t>
      </w:r>
      <w:hyperlink r:id="rId16" w:history="1">
        <w:r w:rsidRPr="008752F0">
          <w:rPr>
            <w:rStyle w:val="Hyperlink"/>
            <w:b/>
            <w:i/>
          </w:rPr>
          <w:t>Pristup EPPO-a i OLAF-a informacijama o PDV-u na razini Unije</w:t>
        </w:r>
      </w:hyperlink>
    </w:p>
    <w:p w14:paraId="053E2A5B" w14:textId="77777777" w:rsidR="008752F0" w:rsidRPr="008752F0" w:rsidRDefault="008752F0" w:rsidP="008752F0">
      <w:pPr>
        <w:pStyle w:val="ListParagraph"/>
        <w:ind w:left="0"/>
        <w:rPr>
          <w:b/>
          <w:i/>
          <w:iCs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479"/>
      </w:tblGrid>
      <w:tr w:rsidR="008752F0" w:rsidRPr="008752F0" w14:paraId="2576277D" w14:textId="77777777">
        <w:tc>
          <w:tcPr>
            <w:tcW w:w="1701" w:type="dxa"/>
            <w:hideMark/>
          </w:tcPr>
          <w:p w14:paraId="3CEB95C3" w14:textId="77777777" w:rsidR="008752F0" w:rsidRPr="008752F0" w:rsidRDefault="008752F0" w:rsidP="008752F0">
            <w:pPr>
              <w:pStyle w:val="ListParagraph"/>
              <w:ind w:left="0"/>
              <w:rPr>
                <w:b/>
              </w:rPr>
            </w:pPr>
            <w:r w:rsidRPr="008752F0">
              <w:rPr>
                <w:b/>
              </w:rPr>
              <w:t>Izvjestitelj/</w:t>
            </w:r>
            <w:proofErr w:type="spellStart"/>
            <w:r w:rsidRPr="008752F0">
              <w:rPr>
                <w:b/>
              </w:rPr>
              <w:t>ica</w:t>
            </w:r>
            <w:proofErr w:type="spellEnd"/>
            <w:r w:rsidRPr="008752F0">
              <w:rPr>
                <w:b/>
              </w:rPr>
              <w:t>:</w:t>
            </w:r>
          </w:p>
        </w:tc>
        <w:tc>
          <w:tcPr>
            <w:tcW w:w="7479" w:type="dxa"/>
            <w:hideMark/>
          </w:tcPr>
          <w:p w14:paraId="34DD363A" w14:textId="77777777" w:rsidR="008752F0" w:rsidRPr="008752F0" w:rsidRDefault="008752F0" w:rsidP="008752F0">
            <w:pPr>
              <w:pStyle w:val="ListParagraph"/>
              <w:ind w:left="0"/>
            </w:pPr>
            <w:proofErr w:type="spellStart"/>
            <w:r w:rsidRPr="008752F0">
              <w:t>Justyna</w:t>
            </w:r>
            <w:proofErr w:type="spellEnd"/>
            <w:r w:rsidRPr="008752F0">
              <w:t xml:space="preserve"> Kalina OCHĘDZAN (Skupina organizacija civilnog društva – PL)</w:t>
            </w:r>
          </w:p>
        </w:tc>
      </w:tr>
      <w:tr w:rsidR="008752F0" w:rsidRPr="008752F0" w14:paraId="2BF177E9" w14:textId="77777777">
        <w:tc>
          <w:tcPr>
            <w:tcW w:w="1701" w:type="dxa"/>
            <w:hideMark/>
          </w:tcPr>
          <w:p w14:paraId="40D5A6C6" w14:textId="77777777" w:rsidR="008752F0" w:rsidRPr="008752F0" w:rsidRDefault="008752F0" w:rsidP="008752F0">
            <w:pPr>
              <w:pStyle w:val="ListParagraph"/>
              <w:ind w:left="0"/>
              <w:rPr>
                <w:b/>
              </w:rPr>
            </w:pPr>
            <w:r w:rsidRPr="008752F0">
              <w:rPr>
                <w:b/>
              </w:rPr>
              <w:t>Referentni dokument/i:</w:t>
            </w:r>
          </w:p>
        </w:tc>
        <w:tc>
          <w:tcPr>
            <w:tcW w:w="7479" w:type="dxa"/>
            <w:hideMark/>
          </w:tcPr>
          <w:p w14:paraId="5F6BD4E4" w14:textId="77777777" w:rsidR="008752F0" w:rsidRPr="008752F0" w:rsidRDefault="008752F0" w:rsidP="008752F0">
            <w:pPr>
              <w:pStyle w:val="ListParagraph"/>
            </w:pPr>
            <w:r w:rsidRPr="008752F0">
              <w:t xml:space="preserve">COM(2025) 685 </w:t>
            </w:r>
            <w:proofErr w:type="spellStart"/>
            <w:r w:rsidRPr="008752F0">
              <w:t>final</w:t>
            </w:r>
            <w:proofErr w:type="spellEnd"/>
            <w:r w:rsidRPr="008752F0">
              <w:t xml:space="preserve"> – 2025/0348 (CNS)</w:t>
            </w:r>
          </w:p>
          <w:p w14:paraId="46D31C4C" w14:textId="77777777" w:rsidR="008752F0" w:rsidRPr="008752F0" w:rsidRDefault="008752F0" w:rsidP="008752F0">
            <w:pPr>
              <w:pStyle w:val="ListParagraph"/>
              <w:ind w:left="0"/>
            </w:pPr>
            <w:r w:rsidRPr="008752F0">
              <w:t>EESC-2025-04282-00-00-AC-TRA</w:t>
            </w:r>
          </w:p>
        </w:tc>
      </w:tr>
    </w:tbl>
    <w:p w14:paraId="6991F97D" w14:textId="77777777" w:rsidR="008752F0" w:rsidRPr="008752F0" w:rsidRDefault="008752F0" w:rsidP="008752F0">
      <w:pPr>
        <w:pStyle w:val="ListParagraph"/>
        <w:ind w:left="0"/>
        <w:rPr>
          <w:b/>
          <w:lang w:val="pt-PT"/>
        </w:rPr>
      </w:pPr>
    </w:p>
    <w:p w14:paraId="201D1411" w14:textId="77777777" w:rsidR="008752F0" w:rsidRPr="008752F0" w:rsidRDefault="008752F0" w:rsidP="008752F0">
      <w:pPr>
        <w:pStyle w:val="ListParagraph"/>
        <w:ind w:left="0"/>
        <w:rPr>
          <w:b/>
        </w:rPr>
      </w:pPr>
      <w:r w:rsidRPr="008752F0">
        <w:rPr>
          <w:b/>
        </w:rPr>
        <w:t>Ključne točke</w:t>
      </w:r>
    </w:p>
    <w:p w14:paraId="169799FC" w14:textId="77777777" w:rsidR="008752F0" w:rsidRPr="008752F0" w:rsidRDefault="008752F0" w:rsidP="008752F0">
      <w:pPr>
        <w:pStyle w:val="ListParagraph"/>
        <w:ind w:left="0"/>
        <w:rPr>
          <w:b/>
        </w:rPr>
      </w:pPr>
    </w:p>
    <w:p w14:paraId="50FB08CD" w14:textId="77777777" w:rsidR="008752F0" w:rsidRPr="008752F0" w:rsidRDefault="008752F0" w:rsidP="008752F0">
      <w:pPr>
        <w:pStyle w:val="ListParagraph"/>
        <w:rPr>
          <w:bCs/>
          <w:iCs/>
        </w:rPr>
      </w:pPr>
      <w:r w:rsidRPr="008752F0">
        <w:t>EGSO:</w:t>
      </w:r>
    </w:p>
    <w:p w14:paraId="498D796A" w14:textId="77777777" w:rsidR="008752F0" w:rsidRPr="008752F0" w:rsidRDefault="008752F0" w:rsidP="008752F0">
      <w:pPr>
        <w:pStyle w:val="ListParagraph"/>
        <w:rPr>
          <w:bCs/>
          <w:iCs/>
        </w:rPr>
      </w:pPr>
    </w:p>
    <w:p w14:paraId="5377A249" w14:textId="77777777" w:rsidR="008752F0" w:rsidRPr="008752F0" w:rsidRDefault="008752F0" w:rsidP="008752F0">
      <w:pPr>
        <w:pStyle w:val="ListParagraph"/>
        <w:numPr>
          <w:ilvl w:val="0"/>
          <w:numId w:val="32"/>
        </w:numPr>
      </w:pPr>
      <w:r w:rsidRPr="008752F0">
        <w:t xml:space="preserve">u potpunosti </w:t>
      </w:r>
      <w:r w:rsidRPr="008752F0">
        <w:rPr>
          <w:b/>
        </w:rPr>
        <w:t>podržava</w:t>
      </w:r>
      <w:r w:rsidRPr="008752F0">
        <w:t xml:space="preserve"> napore Komisije da promiče sveobuhvatniji i cjelovitiji pristup borbi protiv prijevara u vezi s PDV-om tako što će Uredu europskog javnog tužitelja (EPPO) i Europskom uredu za borbu protiv prijevara (OLAF) omogućiti pristup podacima o porezu na dodanu vrijednost (PDV) u skladu s Uredbom Vijeća (EU) br. 904/2010;</w:t>
      </w:r>
    </w:p>
    <w:p w14:paraId="2F99AF00" w14:textId="77777777" w:rsidR="008752F0" w:rsidRPr="008752F0" w:rsidRDefault="008752F0" w:rsidP="008752F0">
      <w:pPr>
        <w:pStyle w:val="ListParagraph"/>
        <w:numPr>
          <w:ilvl w:val="0"/>
          <w:numId w:val="32"/>
        </w:numPr>
      </w:pPr>
      <w:r w:rsidRPr="008752F0">
        <w:rPr>
          <w:b/>
        </w:rPr>
        <w:t>svjestan je činjenice</w:t>
      </w:r>
      <w:r w:rsidRPr="008752F0">
        <w:t xml:space="preserve"> da je za borbu protiv najizraženijih oblika prijevara u vezi s PDV-om potrebno omogućiti nadležnim tijelima da brzo prikupljaju, upotrebljavaju i upućuju na informacije relevantne za PDV u više država članica, čime se smanjuju kašnjenja u odgovoru nadležnih poreznih tijela na prijevarne radnje;</w:t>
      </w:r>
    </w:p>
    <w:p w14:paraId="35DB5CBB" w14:textId="77777777" w:rsidR="008752F0" w:rsidRPr="008752F0" w:rsidRDefault="008752F0" w:rsidP="008752F0">
      <w:pPr>
        <w:pStyle w:val="ListParagraph"/>
        <w:numPr>
          <w:ilvl w:val="0"/>
          <w:numId w:val="32"/>
        </w:numPr>
      </w:pPr>
      <w:r w:rsidRPr="008752F0">
        <w:rPr>
          <w:b/>
        </w:rPr>
        <w:t>cijeni</w:t>
      </w:r>
      <w:r w:rsidRPr="008752F0">
        <w:t xml:space="preserve"> činjenicu da je prijedlog Komisije uslijedio nakon </w:t>
      </w:r>
      <w:r w:rsidRPr="008752F0">
        <w:rPr>
          <w:i/>
          <w:iCs/>
        </w:rPr>
        <w:t>ex post</w:t>
      </w:r>
      <w:r w:rsidRPr="008752F0">
        <w:t xml:space="preserve"> evaluacije pravila primjenjivih na temelju Uredbe Vijeća (EU) br. 904/2010, uzimajući u obzir povratne informacije koje su dostavile države članice. EGSO </w:t>
      </w:r>
      <w:r w:rsidRPr="008752F0">
        <w:rPr>
          <w:b/>
        </w:rPr>
        <w:t>ističe</w:t>
      </w:r>
      <w:r w:rsidRPr="008752F0">
        <w:t xml:space="preserve"> da u vezi s tim prijedlogom nije provedena procjena učinka, iako priznaje da je do toga došlo zbog hitnog zahtjeva država članica;</w:t>
      </w:r>
    </w:p>
    <w:p w14:paraId="3B814195" w14:textId="77777777" w:rsidR="008752F0" w:rsidRPr="008752F0" w:rsidRDefault="008752F0" w:rsidP="008752F0">
      <w:pPr>
        <w:pStyle w:val="ListParagraph"/>
        <w:numPr>
          <w:ilvl w:val="0"/>
          <w:numId w:val="32"/>
        </w:numPr>
      </w:pPr>
      <w:r w:rsidRPr="008752F0">
        <w:rPr>
          <w:b/>
        </w:rPr>
        <w:t>pozdravlja</w:t>
      </w:r>
      <w:r w:rsidRPr="008752F0">
        <w:t xml:space="preserve"> namjeru Komisije da poboljša suradnju među relevantnim tijelima koja se bore protiv prijevara u vezi s PDV-om, uključujući mogućnost jačanja suradnje između </w:t>
      </w:r>
      <w:proofErr w:type="spellStart"/>
      <w:r w:rsidRPr="008752F0">
        <w:t>Europola</w:t>
      </w:r>
      <w:proofErr w:type="spellEnd"/>
      <w:r w:rsidRPr="008752F0">
        <w:t xml:space="preserve"> i </w:t>
      </w:r>
      <w:proofErr w:type="spellStart"/>
      <w:r w:rsidRPr="008752F0">
        <w:t>Eurofisca</w:t>
      </w:r>
      <w:proofErr w:type="spellEnd"/>
      <w:r w:rsidRPr="008752F0">
        <w:t xml:space="preserve"> u okviru Uredbe Vijeća (EU) br. 904/2010, i poziva na daljnje jačanje strukturirane suradnje među svim nadležnim tijelima u državama članicama.</w:t>
      </w:r>
    </w:p>
    <w:p w14:paraId="68BDCE30" w14:textId="77777777" w:rsidR="008752F0" w:rsidRPr="008752F0" w:rsidRDefault="008752F0" w:rsidP="008752F0">
      <w:pPr>
        <w:pStyle w:val="ListParagraph"/>
        <w:rPr>
          <w:bCs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1"/>
        <w:gridCol w:w="5670"/>
      </w:tblGrid>
      <w:tr w:rsidR="008752F0" w:rsidRPr="008752F0" w14:paraId="20AD6B2A" w14:textId="77777777">
        <w:tc>
          <w:tcPr>
            <w:tcW w:w="1418" w:type="dxa"/>
            <w:hideMark/>
          </w:tcPr>
          <w:p w14:paraId="549BF834" w14:textId="77777777" w:rsidR="008752F0" w:rsidRPr="008752F0" w:rsidRDefault="008752F0" w:rsidP="008752F0">
            <w:pPr>
              <w:pStyle w:val="ListParagraph"/>
              <w:rPr>
                <w:i/>
              </w:rPr>
            </w:pPr>
            <w:r w:rsidRPr="008752F0">
              <w:rPr>
                <w:b/>
                <w:i/>
              </w:rPr>
              <w:t>Kontakt:</w:t>
            </w:r>
          </w:p>
        </w:tc>
        <w:tc>
          <w:tcPr>
            <w:tcW w:w="5670" w:type="dxa"/>
            <w:hideMark/>
          </w:tcPr>
          <w:p w14:paraId="7E8DCAE3" w14:textId="77777777" w:rsidR="008752F0" w:rsidRPr="008752F0" w:rsidRDefault="008752F0" w:rsidP="008752F0">
            <w:pPr>
              <w:pStyle w:val="ListParagraph"/>
              <w:rPr>
                <w:i/>
              </w:rPr>
            </w:pPr>
            <w:proofErr w:type="spellStart"/>
            <w:r w:rsidRPr="008752F0">
              <w:rPr>
                <w:i/>
              </w:rPr>
              <w:t>Jüri</w:t>
            </w:r>
            <w:proofErr w:type="spellEnd"/>
            <w:r w:rsidRPr="008752F0">
              <w:rPr>
                <w:i/>
              </w:rPr>
              <w:t xml:space="preserve"> SOOSAAR</w:t>
            </w:r>
          </w:p>
        </w:tc>
      </w:tr>
      <w:tr w:rsidR="008752F0" w:rsidRPr="008752F0" w14:paraId="48E00AFF" w14:textId="77777777">
        <w:tc>
          <w:tcPr>
            <w:tcW w:w="1418" w:type="dxa"/>
            <w:hideMark/>
          </w:tcPr>
          <w:p w14:paraId="37F4F81C" w14:textId="77777777" w:rsidR="008752F0" w:rsidRPr="008752F0" w:rsidRDefault="008752F0" w:rsidP="008752F0">
            <w:pPr>
              <w:pStyle w:val="ListParagraph"/>
              <w:rPr>
                <w:i/>
              </w:rPr>
            </w:pPr>
            <w:r w:rsidRPr="008752F0">
              <w:rPr>
                <w:i/>
              </w:rPr>
              <w:t>Tel.:</w:t>
            </w:r>
          </w:p>
        </w:tc>
        <w:tc>
          <w:tcPr>
            <w:tcW w:w="5670" w:type="dxa"/>
            <w:hideMark/>
          </w:tcPr>
          <w:p w14:paraId="4BDF1972" w14:textId="77777777" w:rsidR="008752F0" w:rsidRPr="008752F0" w:rsidRDefault="008752F0" w:rsidP="008752F0">
            <w:pPr>
              <w:pStyle w:val="ListParagraph"/>
              <w:rPr>
                <w:i/>
              </w:rPr>
            </w:pPr>
            <w:r w:rsidRPr="008752F0">
              <w:rPr>
                <w:i/>
              </w:rPr>
              <w:t>+32 2</w:t>
            </w:r>
            <w:r w:rsidRPr="008752F0">
              <w:t xml:space="preserve"> </w:t>
            </w:r>
            <w:r w:rsidRPr="008752F0">
              <w:rPr>
                <w:i/>
              </w:rPr>
              <w:t>5469628</w:t>
            </w:r>
          </w:p>
        </w:tc>
      </w:tr>
      <w:tr w:rsidR="008752F0" w:rsidRPr="008752F0" w14:paraId="7C474B1E" w14:textId="77777777">
        <w:tc>
          <w:tcPr>
            <w:tcW w:w="1418" w:type="dxa"/>
            <w:hideMark/>
          </w:tcPr>
          <w:p w14:paraId="5612B7A5" w14:textId="77777777" w:rsidR="008752F0" w:rsidRPr="008752F0" w:rsidRDefault="008752F0" w:rsidP="008752F0">
            <w:pPr>
              <w:pStyle w:val="ListParagraph"/>
              <w:rPr>
                <w:i/>
              </w:rPr>
            </w:pPr>
            <w:r w:rsidRPr="008752F0">
              <w:rPr>
                <w:i/>
              </w:rPr>
              <w:t>E-pošta</w:t>
            </w:r>
            <w:r w:rsidRPr="008752F0">
              <w:rPr>
                <w:i/>
                <w:iCs/>
              </w:rPr>
              <w:t>:</w:t>
            </w:r>
          </w:p>
        </w:tc>
        <w:tc>
          <w:tcPr>
            <w:tcW w:w="5670" w:type="dxa"/>
            <w:hideMark/>
          </w:tcPr>
          <w:p w14:paraId="271C1B12" w14:textId="77777777" w:rsidR="008752F0" w:rsidRPr="008752F0" w:rsidRDefault="008752F0" w:rsidP="008752F0">
            <w:pPr>
              <w:pStyle w:val="ListParagraph"/>
              <w:rPr>
                <w:i/>
                <w:iCs/>
              </w:rPr>
            </w:pPr>
            <w:hyperlink r:id="rId17" w:history="1">
              <w:r w:rsidRPr="008752F0">
                <w:rPr>
                  <w:rStyle w:val="Hyperlink"/>
                  <w:i/>
                </w:rPr>
                <w:t>Juri.Soosaar@eesc.europa.eu</w:t>
              </w:r>
            </w:hyperlink>
            <w:r w:rsidRPr="008752F0">
              <w:rPr>
                <w:i/>
              </w:rPr>
              <w:t xml:space="preserve"> </w:t>
            </w:r>
          </w:p>
        </w:tc>
      </w:tr>
    </w:tbl>
    <w:p w14:paraId="78F085C8" w14:textId="47013726" w:rsidR="00627FDF" w:rsidRDefault="00627FDF" w:rsidP="00100EF9">
      <w:pPr>
        <w:pStyle w:val="ListParagraph"/>
        <w:ind w:left="0"/>
      </w:pPr>
    </w:p>
    <w:p w14:paraId="14AD7ACF" w14:textId="77777777" w:rsidR="00627FDF" w:rsidRDefault="00627FDF" w:rsidP="00100EF9">
      <w:pPr>
        <w:jc w:val="left"/>
      </w:pPr>
      <w:r>
        <w:br w:type="page"/>
      </w:r>
    </w:p>
    <w:p w14:paraId="27E78160" w14:textId="77777777" w:rsidR="00DF0676" w:rsidRDefault="00DF0676" w:rsidP="00DF067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hanging="567"/>
        <w:rPr>
          <w:i/>
          <w:iCs/>
          <w:sz w:val="20"/>
        </w:rPr>
      </w:pPr>
      <w:r>
        <w:rPr>
          <w:b/>
          <w:i/>
          <w:sz w:val="28"/>
        </w:rPr>
        <w:lastRenderedPageBreak/>
        <w:t>ECO/688 –</w:t>
      </w:r>
      <w:r>
        <w:t xml:space="preserve"> </w:t>
      </w:r>
      <w:hyperlink r:id="rId18" w:history="1">
        <w:r>
          <w:rPr>
            <w:rStyle w:val="Hyperlink"/>
            <w:b/>
            <w:i/>
            <w:sz w:val="28"/>
          </w:rPr>
          <w:t>Europski semestar 2026. – jesenski paket</w:t>
        </w:r>
      </w:hyperlink>
    </w:p>
    <w:p w14:paraId="775B00FC" w14:textId="77777777" w:rsidR="00DF0676" w:rsidRDefault="00DF0676" w:rsidP="00DF0676">
      <w:pPr>
        <w:tabs>
          <w:tab w:val="center" w:pos="284"/>
        </w:tabs>
        <w:ind w:left="266" w:hanging="266"/>
        <w:rPr>
          <w:b/>
        </w:rPr>
      </w:pPr>
    </w:p>
    <w:tbl>
      <w:tblPr>
        <w:tblStyle w:val="TableGrid"/>
        <w:tblW w:w="500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7119"/>
      </w:tblGrid>
      <w:tr w:rsidR="00DF0676" w14:paraId="5C815156" w14:textId="77777777">
        <w:tc>
          <w:tcPr>
            <w:tcW w:w="1077" w:type="pct"/>
            <w:hideMark/>
          </w:tcPr>
          <w:p w14:paraId="7941BDD4" w14:textId="77777777" w:rsidR="00DF0676" w:rsidRDefault="00DF0676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923" w:type="pct"/>
            <w:hideMark/>
          </w:tcPr>
          <w:p w14:paraId="6A1C58A3" w14:textId="77777777" w:rsidR="00DF0676" w:rsidRDefault="00DF0676">
            <w:pPr>
              <w:tabs>
                <w:tab w:val="center" w:pos="284"/>
              </w:tabs>
              <w:ind w:left="266" w:right="-3091" w:hanging="266"/>
            </w:pPr>
            <w:r>
              <w:t>Luca JAHIER (Skupina organizacija civilnog društva – IT)</w:t>
            </w:r>
          </w:p>
        </w:tc>
      </w:tr>
      <w:tr w:rsidR="00DF0676" w14:paraId="3044B12A" w14:textId="77777777">
        <w:tc>
          <w:tcPr>
            <w:tcW w:w="1077" w:type="pct"/>
            <w:hideMark/>
          </w:tcPr>
          <w:p w14:paraId="681A2E33" w14:textId="77777777" w:rsidR="00DF0676" w:rsidRDefault="00DF0676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3923" w:type="pct"/>
            <w:hideMark/>
          </w:tcPr>
          <w:p w14:paraId="4F6B5230" w14:textId="77777777" w:rsidR="00DF0676" w:rsidRDefault="00DF0676">
            <w:pPr>
              <w:tabs>
                <w:tab w:val="center" w:pos="284"/>
              </w:tabs>
              <w:ind w:left="266" w:right="-3091" w:hanging="266"/>
            </w:pPr>
            <w:r>
              <w:t xml:space="preserve">COM(2025) 955 </w:t>
            </w:r>
            <w:proofErr w:type="spellStart"/>
            <w:r>
              <w:t>final</w:t>
            </w:r>
            <w:proofErr w:type="spellEnd"/>
          </w:p>
          <w:p w14:paraId="633CD859" w14:textId="77777777" w:rsidR="00DF0676" w:rsidRDefault="00DF0676">
            <w:pPr>
              <w:tabs>
                <w:tab w:val="center" w:pos="284"/>
              </w:tabs>
              <w:ind w:left="266" w:right="-3091" w:hanging="266"/>
            </w:pPr>
            <w:r>
              <w:t>EESC-2025-03794-00-00-AC</w:t>
            </w:r>
          </w:p>
        </w:tc>
      </w:tr>
    </w:tbl>
    <w:p w14:paraId="564D6223" w14:textId="77777777" w:rsidR="00DF0676" w:rsidRDefault="00DF0676" w:rsidP="00DF0676">
      <w:pPr>
        <w:tabs>
          <w:tab w:val="center" w:pos="284"/>
        </w:tabs>
        <w:ind w:left="266" w:hanging="266"/>
        <w:rPr>
          <w:b/>
          <w:lang w:val="pt-PT"/>
        </w:rPr>
      </w:pPr>
    </w:p>
    <w:p w14:paraId="71BAB64C" w14:textId="77777777" w:rsidR="00DF0676" w:rsidRDefault="00DF0676" w:rsidP="00DF0676">
      <w:pPr>
        <w:rPr>
          <w:bCs/>
          <w:iCs/>
        </w:rPr>
      </w:pPr>
      <w:r>
        <w:rPr>
          <w:b/>
        </w:rPr>
        <w:t>Ključne točke</w:t>
      </w:r>
    </w:p>
    <w:p w14:paraId="22F07CCB" w14:textId="77777777" w:rsidR="00DF0676" w:rsidRDefault="00DF0676" w:rsidP="00DF0676">
      <w:pPr>
        <w:rPr>
          <w:bCs/>
          <w:iCs/>
        </w:rPr>
      </w:pPr>
      <w:r>
        <w:t>EGSO:</w:t>
      </w:r>
    </w:p>
    <w:p w14:paraId="7EF042E5" w14:textId="77777777" w:rsidR="00DF0676" w:rsidRDefault="00DF0676" w:rsidP="00DF067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hanging="567"/>
        <w:rPr>
          <w:bCs/>
          <w:iCs/>
        </w:rPr>
      </w:pPr>
      <w:r>
        <w:t xml:space="preserve">žali zbog toga što se Komisija još jednom suzdržala od predstavljanja </w:t>
      </w:r>
      <w:r>
        <w:rPr>
          <w:b/>
        </w:rPr>
        <w:t>godišnjeg pregleda održivog rasta</w:t>
      </w:r>
      <w:r>
        <w:t xml:space="preserve"> i naglašava da je </w:t>
      </w:r>
      <w:r>
        <w:rPr>
          <w:b/>
        </w:rPr>
        <w:t>održiv gospodarski rast</w:t>
      </w:r>
      <w:r>
        <w:t xml:space="preserve"> nužan uvjet da bi Europa ispunila svoje višestruke obveze; pozdravlja </w:t>
      </w:r>
      <w:r>
        <w:rPr>
          <w:b/>
        </w:rPr>
        <w:t>Europsko makroekonomsko izvješće</w:t>
      </w:r>
      <w:r>
        <w:t xml:space="preserve">, u kojem se detaljno razmatraju temeljni strukturni izazovi kojima je EU izložen, i </w:t>
      </w:r>
      <w:r>
        <w:rPr>
          <w:b/>
        </w:rPr>
        <w:t>novu preporuku o ljudskom kapitalu</w:t>
      </w:r>
      <w:r>
        <w:t>, koja je ključan element za popunjavanje tehnoloških nedostataka u EU-u, pri čemu valja uzeti u obzir i demografski izazov EU-a;</w:t>
      </w:r>
    </w:p>
    <w:p w14:paraId="62435283" w14:textId="77777777" w:rsidR="00DF0676" w:rsidRDefault="00DF0676" w:rsidP="00DF067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hanging="567"/>
        <w:rPr>
          <w:bCs/>
          <w:iCs/>
        </w:rPr>
      </w:pPr>
      <w:r>
        <w:t xml:space="preserve">ponovno poziva na </w:t>
      </w:r>
      <w:r>
        <w:rPr>
          <w:b/>
        </w:rPr>
        <w:t>jačanje zajedničkog fiskalnog kapaciteta</w:t>
      </w:r>
      <w:r>
        <w:t>, uz ciljano izdavanje zajedničkog duga, kako bi se nadoknadio taj sve veći nedostatak javnih ulaganja, te na uspostavu trajnih instrumenata makroekonomske stabilizacije za suzbijanje šokova, na temelju iskustva s Europskim instrumentom za privremenu potporu radi smanjenja rizika od nezaposlenosti u izvanrednoj situaciji, koji bi trebao postati trajan;</w:t>
      </w:r>
    </w:p>
    <w:p w14:paraId="4BC1473A" w14:textId="77777777" w:rsidR="00DF0676" w:rsidRDefault="00DF0676" w:rsidP="00DF067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hanging="567"/>
        <w:rPr>
          <w:bCs/>
          <w:iCs/>
        </w:rPr>
      </w:pPr>
      <w:r>
        <w:t xml:space="preserve">i dalje je zabrinut zbog </w:t>
      </w:r>
      <w:r>
        <w:rPr>
          <w:b/>
        </w:rPr>
        <w:t>rascjepkanosti financijskih tržišta EU-a</w:t>
      </w:r>
      <w:r>
        <w:t xml:space="preserve"> i poziva Komisiju da procijeni bi li se </w:t>
      </w:r>
      <w:r>
        <w:rPr>
          <w:b/>
        </w:rPr>
        <w:t>skupom instrumenata na razini EU-a, istovjetnim Zakonu o poboljšanju nacionalnih tržišta vrijednosnih papira SAD-a</w:t>
      </w:r>
      <w:r>
        <w:t>, mogao pojednostavniti prekogranični pristup tržištu, smanjiti fragmentacija usklađenosti i poduprijeti dublja, učinkovitija i likvidnija tržišta, uz istodobno održavanje potrebne razine trenutačne sigurnosti;</w:t>
      </w:r>
    </w:p>
    <w:p w14:paraId="50D65B87" w14:textId="77777777" w:rsidR="00DF0676" w:rsidRDefault="00DF0676" w:rsidP="00DF067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hanging="567"/>
        <w:rPr>
          <w:bCs/>
          <w:iCs/>
        </w:rPr>
      </w:pPr>
      <w:r>
        <w:t xml:space="preserve">ponavlja poziv Komisiji da hitno </w:t>
      </w:r>
      <w:r>
        <w:rPr>
          <w:b/>
        </w:rPr>
        <w:t>revidira skup predloženih pokazatelja za praćenje postupka u slučaju makroekonomske neravnoteže (MIP)</w:t>
      </w:r>
      <w:r>
        <w:t>. Praćenje razvoja kombiniranog učinka financijske poluge umjesto ograničavanja na izolirani pristup moglo bi biti dio rješenja za poboljšanje trenutačnog pregleda pokazatelja MIP-a;</w:t>
      </w:r>
    </w:p>
    <w:p w14:paraId="4A82339E" w14:textId="77777777" w:rsidR="00DF0676" w:rsidRDefault="00DF0676" w:rsidP="00DF067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hanging="567"/>
        <w:rPr>
          <w:bCs/>
          <w:iCs/>
        </w:rPr>
      </w:pPr>
      <w:r>
        <w:t xml:space="preserve">smatra da je potrebno </w:t>
      </w:r>
      <w:r>
        <w:rPr>
          <w:b/>
        </w:rPr>
        <w:t>racionalizirati upotrebu pregleda socijalnih pokazatelja</w:t>
      </w:r>
      <w:r>
        <w:t xml:space="preserve">, </w:t>
      </w:r>
      <w:r>
        <w:rPr>
          <w:b/>
        </w:rPr>
        <w:t>revidiranog pregleda pokazatelja MIP-a</w:t>
      </w:r>
      <w:r>
        <w:t xml:space="preserve"> i </w:t>
      </w:r>
      <w:r>
        <w:rPr>
          <w:b/>
        </w:rPr>
        <w:t>revidirane metodologije analize održivosti duga</w:t>
      </w:r>
      <w:r>
        <w:t xml:space="preserve">, </w:t>
      </w:r>
      <w:r>
        <w:rPr>
          <w:b/>
        </w:rPr>
        <w:t>dopunjene</w:t>
      </w:r>
      <w:r>
        <w:t xml:space="preserve"> novim </w:t>
      </w:r>
      <w:r>
        <w:rPr>
          <w:b/>
        </w:rPr>
        <w:t>pokazateljima dobrobiti</w:t>
      </w:r>
      <w:r>
        <w:t xml:space="preserve"> koje je predložio Zajednički istraživački centar (JRC);</w:t>
      </w:r>
    </w:p>
    <w:p w14:paraId="00030B9F" w14:textId="77777777" w:rsidR="00DF0676" w:rsidRDefault="00DF0676" w:rsidP="00DF067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hanging="567"/>
        <w:rPr>
          <w:bCs/>
          <w:iCs/>
        </w:rPr>
      </w:pPr>
      <w:r>
        <w:t xml:space="preserve">traži od Komisije da </w:t>
      </w:r>
      <w:r>
        <w:rPr>
          <w:b/>
        </w:rPr>
        <w:t>okvir za socijalnu konvergenciju promatra na istoj razini kao i fiskalni okvir i da</w:t>
      </w:r>
      <w:r>
        <w:t xml:space="preserve"> u skladu s time u sljedećim preporukama za pojedine zemlje </w:t>
      </w:r>
      <w:r>
        <w:rPr>
          <w:b/>
        </w:rPr>
        <w:t>sastavi jasne preporuke</w:t>
      </w:r>
      <w:r>
        <w:t xml:space="preserve"> za svaku državu članicu; poziva Komisiju da predloži konkretne poticaje državama članicama kako bi povećale primjenu </w:t>
      </w:r>
      <w:r>
        <w:rPr>
          <w:b/>
        </w:rPr>
        <w:t>klauzule o fleksibilnosti za socijalna ulaganja</w:t>
      </w:r>
      <w:r>
        <w:t>;</w:t>
      </w:r>
    </w:p>
    <w:p w14:paraId="0FE1705D" w14:textId="77777777" w:rsidR="00DF0676" w:rsidRDefault="00DF0676" w:rsidP="00DF067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hanging="567"/>
        <w:rPr>
          <w:bCs/>
          <w:iCs/>
        </w:rPr>
      </w:pPr>
      <w:r>
        <w:t xml:space="preserve">ponavlja poziv na </w:t>
      </w:r>
      <w:r>
        <w:rPr>
          <w:b/>
        </w:rPr>
        <w:t>detaljnu analizu i pojašnjenje najavljenih veza između europskog semestra</w:t>
      </w:r>
      <w:r>
        <w:t xml:space="preserve">, </w:t>
      </w:r>
      <w:r>
        <w:rPr>
          <w:b/>
        </w:rPr>
        <w:t>alata za koordinaciju konkurentnosti</w:t>
      </w:r>
      <w:r>
        <w:t xml:space="preserve"> i predloženog budućeg </w:t>
      </w:r>
      <w:r>
        <w:rPr>
          <w:b/>
        </w:rPr>
        <w:t>višegodišnjeg financijskog okvira (VFO)</w:t>
      </w:r>
      <w:r>
        <w:t xml:space="preserve">; </w:t>
      </w:r>
    </w:p>
    <w:p w14:paraId="56A04998" w14:textId="77777777" w:rsidR="00DF0676" w:rsidRDefault="00DF0676" w:rsidP="00DF067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hanging="567"/>
        <w:rPr>
          <w:bCs/>
          <w:iCs/>
        </w:rPr>
      </w:pPr>
      <w:r>
        <w:t xml:space="preserve">poziva </w:t>
      </w:r>
      <w:r>
        <w:rPr>
          <w:b/>
        </w:rPr>
        <w:t>Europski parlament da</w:t>
      </w:r>
      <w:r>
        <w:t xml:space="preserve"> (kao u slučaju Mehanizma za oporavak i otpornost) </w:t>
      </w:r>
      <w:r>
        <w:rPr>
          <w:b/>
        </w:rPr>
        <w:t>uspostavi stalni odbor za praćenje i ocjenjivanje „novog” europskog semestra, provedbu i godišnju ocjenu srednjoročnih fiskalno-strukturnih planova, preporuka za pojedine zemlje i njihove konkretne povezanosti s budućim nacionalnim i regionalnim partnerskim planovima</w:t>
      </w:r>
      <w:r>
        <w:t>;</w:t>
      </w:r>
    </w:p>
    <w:p w14:paraId="5E344184" w14:textId="77777777" w:rsidR="00DF0676" w:rsidRDefault="00DF0676" w:rsidP="00DF067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hanging="567"/>
        <w:rPr>
          <w:bCs/>
          <w:iCs/>
        </w:rPr>
      </w:pPr>
      <w:r>
        <w:t xml:space="preserve">poziva Komisiju da </w:t>
      </w:r>
      <w:r>
        <w:rPr>
          <w:b/>
        </w:rPr>
        <w:t>klauzulu o odstupanju odredi kao privremeni instrument za hitne slučajeve</w:t>
      </w:r>
      <w:r>
        <w:t xml:space="preserve">, a ne kao zamjenu za dosljednu dugoročnu fiskalnu strategiju i strategiju rasta; poziva Komisiju da procijeni </w:t>
      </w:r>
      <w:r>
        <w:rPr>
          <w:b/>
        </w:rPr>
        <w:t>sve veću ulogu rashoda za obranu u održivom rastu EU-a</w:t>
      </w:r>
      <w:r>
        <w:t xml:space="preserve"> i utjecaj koji </w:t>
      </w:r>
      <w:r>
        <w:lastRenderedPageBreak/>
        <w:t>to ima na zapošljavanje i buduću fiskalnu stabilnost;</w:t>
      </w:r>
    </w:p>
    <w:p w14:paraId="15C25FB0" w14:textId="77777777" w:rsidR="00DF0676" w:rsidRDefault="00DF0676" w:rsidP="00DF067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hanging="567"/>
        <w:rPr>
          <w:bCs/>
          <w:iCs/>
        </w:rPr>
      </w:pPr>
      <w:r>
        <w:t xml:space="preserve">ponovno poziva da </w:t>
      </w:r>
      <w:r>
        <w:rPr>
          <w:b/>
        </w:rPr>
        <w:t xml:space="preserve">socijalni partneri i organizacije civilnog društva na europskoj, nacionalnoj i lokalnoj razini intenzivnije, </w:t>
      </w:r>
      <w:proofErr w:type="spellStart"/>
      <w:r>
        <w:rPr>
          <w:b/>
        </w:rPr>
        <w:t>strukturiranije</w:t>
      </w:r>
      <w:proofErr w:type="spellEnd"/>
      <w:r>
        <w:rPr>
          <w:b/>
        </w:rPr>
        <w:t xml:space="preserve"> i smislenije sudjeluju</w:t>
      </w:r>
      <w:r>
        <w:t xml:space="preserve"> u provedbi ciklusa semestra.</w:t>
      </w:r>
    </w:p>
    <w:p w14:paraId="5CDDAAA4" w14:textId="77777777" w:rsidR="00DF0676" w:rsidRDefault="00DF0676" w:rsidP="00DF0676">
      <w:pPr>
        <w:widowControl w:val="0"/>
        <w:ind w:left="567"/>
        <w:rPr>
          <w:bCs/>
          <w:iCs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939"/>
      </w:tblGrid>
      <w:tr w:rsidR="00DF0676" w14:paraId="2FDE926B" w14:textId="77777777">
        <w:tc>
          <w:tcPr>
            <w:tcW w:w="625" w:type="pct"/>
            <w:hideMark/>
          </w:tcPr>
          <w:p w14:paraId="3EE84F43" w14:textId="77777777" w:rsidR="00DF0676" w:rsidRDefault="00DF0676">
            <w:pPr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4375" w:type="pct"/>
            <w:hideMark/>
          </w:tcPr>
          <w:p w14:paraId="71359694" w14:textId="77777777" w:rsidR="00DF0676" w:rsidRDefault="00DF0676">
            <w:pPr>
              <w:rPr>
                <w:i/>
              </w:rPr>
            </w:pPr>
            <w:r>
              <w:rPr>
                <w:i/>
              </w:rPr>
              <w:t xml:space="preserve">Anna </w:t>
            </w:r>
            <w:proofErr w:type="spellStart"/>
            <w:r>
              <w:rPr>
                <w:i/>
              </w:rPr>
              <w:t>Pantazi</w:t>
            </w:r>
            <w:proofErr w:type="spellEnd"/>
          </w:p>
        </w:tc>
      </w:tr>
      <w:tr w:rsidR="00DF0676" w14:paraId="112E5616" w14:textId="77777777">
        <w:tc>
          <w:tcPr>
            <w:tcW w:w="625" w:type="pct"/>
            <w:hideMark/>
          </w:tcPr>
          <w:p w14:paraId="08A3E705" w14:textId="77777777" w:rsidR="00DF0676" w:rsidRDefault="00DF0676">
            <w:pPr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375" w:type="pct"/>
            <w:hideMark/>
          </w:tcPr>
          <w:p w14:paraId="12E25D9F" w14:textId="77777777" w:rsidR="00DF0676" w:rsidRDefault="00DF0676">
            <w:pPr>
              <w:rPr>
                <w:i/>
              </w:rPr>
            </w:pPr>
            <w:r>
              <w:rPr>
                <w:i/>
              </w:rPr>
              <w:t>+32 25469231</w:t>
            </w:r>
          </w:p>
        </w:tc>
      </w:tr>
      <w:tr w:rsidR="00DF0676" w14:paraId="5A4BE49B" w14:textId="77777777">
        <w:tc>
          <w:tcPr>
            <w:tcW w:w="625" w:type="pct"/>
            <w:hideMark/>
          </w:tcPr>
          <w:p w14:paraId="39A93BBF" w14:textId="77777777" w:rsidR="00DF0676" w:rsidRDefault="00DF0676">
            <w:pPr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4375" w:type="pct"/>
            <w:hideMark/>
          </w:tcPr>
          <w:p w14:paraId="2C65D93E" w14:textId="77777777" w:rsidR="00DF0676" w:rsidRDefault="00DF0676">
            <w:pPr>
              <w:rPr>
                <w:i/>
              </w:rPr>
            </w:pPr>
            <w:hyperlink r:id="rId19" w:history="1">
              <w:r>
                <w:rPr>
                  <w:rStyle w:val="Hyperlink"/>
                  <w:i/>
                </w:rPr>
                <w:t>Anna.Pantazi@eesc.europa.eu</w:t>
              </w:r>
            </w:hyperlink>
          </w:p>
        </w:tc>
      </w:tr>
    </w:tbl>
    <w:p w14:paraId="69D261DC" w14:textId="6E0384BF" w:rsidR="00557848" w:rsidRDefault="00557848" w:rsidP="00100EF9">
      <w:pPr>
        <w:pStyle w:val="ListParagraph"/>
        <w:ind w:left="0"/>
      </w:pPr>
    </w:p>
    <w:p w14:paraId="18087D90" w14:textId="77777777" w:rsidR="00557848" w:rsidRDefault="00557848" w:rsidP="00100EF9">
      <w:pPr>
        <w:jc w:val="left"/>
      </w:pPr>
      <w:r>
        <w:br w:type="page"/>
      </w:r>
    </w:p>
    <w:p w14:paraId="4216B302" w14:textId="77777777" w:rsidR="00D61C72" w:rsidRPr="00D61C72" w:rsidRDefault="00D61C72" w:rsidP="00D61C72">
      <w:pPr>
        <w:pStyle w:val="ListParagraph"/>
        <w:numPr>
          <w:ilvl w:val="0"/>
          <w:numId w:val="31"/>
        </w:numPr>
        <w:rPr>
          <w:b/>
          <w:i/>
          <w:iCs/>
        </w:rPr>
      </w:pPr>
      <w:r w:rsidRPr="00D61C72">
        <w:rPr>
          <w:b/>
          <w:bCs/>
        </w:rPr>
        <w:lastRenderedPageBreak/>
        <w:t>ECO/689 –</w:t>
      </w:r>
      <w:hyperlink r:id="rId20" w:history="1">
        <w:r w:rsidRPr="00D61C72">
          <w:rPr>
            <w:rStyle w:val="Hyperlink"/>
            <w:b/>
            <w:i/>
          </w:rPr>
          <w:t xml:space="preserve"> Otočna dimenzija u politikama EU-a</w:t>
        </w:r>
      </w:hyperlink>
      <w:r w:rsidRPr="00D61C72">
        <w:t xml:space="preserve"> </w:t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946"/>
        <w:gridCol w:w="1413"/>
      </w:tblGrid>
      <w:tr w:rsidR="00D61C72" w:rsidRPr="00D61C72" w14:paraId="08EF1641" w14:textId="77777777">
        <w:tc>
          <w:tcPr>
            <w:tcW w:w="1701" w:type="dxa"/>
          </w:tcPr>
          <w:p w14:paraId="7BDE2A57" w14:textId="77777777" w:rsidR="00D61C72" w:rsidRPr="00D61C72" w:rsidRDefault="00D61C72" w:rsidP="00D61C72">
            <w:pPr>
              <w:pStyle w:val="ListParagraph"/>
              <w:ind w:left="0"/>
              <w:rPr>
                <w:b/>
                <w:lang w:val="en-US"/>
              </w:rPr>
            </w:pPr>
          </w:p>
          <w:p w14:paraId="150B4AE9" w14:textId="77777777" w:rsidR="00D61C72" w:rsidRPr="00D61C72" w:rsidRDefault="00D61C72" w:rsidP="00D61C72">
            <w:pPr>
              <w:pStyle w:val="ListParagraph"/>
              <w:ind w:left="0"/>
              <w:rPr>
                <w:b/>
              </w:rPr>
            </w:pPr>
            <w:r w:rsidRPr="00D61C72">
              <w:rPr>
                <w:b/>
              </w:rPr>
              <w:t>Izvjestitelj/</w:t>
            </w:r>
            <w:proofErr w:type="spellStart"/>
            <w:r w:rsidRPr="00D61C72">
              <w:rPr>
                <w:b/>
              </w:rPr>
              <w:t>ica</w:t>
            </w:r>
            <w:proofErr w:type="spellEnd"/>
            <w:r w:rsidRPr="00D61C72">
              <w:rPr>
                <w:b/>
              </w:rPr>
              <w:t>:</w:t>
            </w:r>
          </w:p>
        </w:tc>
        <w:tc>
          <w:tcPr>
            <w:tcW w:w="8359" w:type="dxa"/>
            <w:gridSpan w:val="2"/>
          </w:tcPr>
          <w:p w14:paraId="6D45977F" w14:textId="77777777" w:rsidR="00D61C72" w:rsidRPr="00D61C72" w:rsidRDefault="00D61C72" w:rsidP="00D61C72">
            <w:pPr>
              <w:pStyle w:val="ListParagraph"/>
              <w:ind w:left="0"/>
              <w:rPr>
                <w:bCs/>
                <w:lang w:val="en-US"/>
              </w:rPr>
            </w:pPr>
          </w:p>
          <w:p w14:paraId="21D1CE96" w14:textId="77777777" w:rsidR="00D61C72" w:rsidRPr="00D61C72" w:rsidRDefault="00D61C72" w:rsidP="00D61C72">
            <w:pPr>
              <w:pStyle w:val="ListParagraph"/>
              <w:ind w:left="0"/>
            </w:pPr>
            <w:proofErr w:type="spellStart"/>
            <w:r w:rsidRPr="00D61C72">
              <w:t>Ioannis</w:t>
            </w:r>
            <w:proofErr w:type="spellEnd"/>
            <w:r w:rsidRPr="00D61C72">
              <w:t xml:space="preserve"> VARDAKASTANIS (Skupina organizacija civilnog društva – EL)</w:t>
            </w:r>
          </w:p>
        </w:tc>
      </w:tr>
      <w:tr w:rsidR="00D61C72" w:rsidRPr="00D61C72" w14:paraId="3891AFEA" w14:textId="77777777">
        <w:trPr>
          <w:gridAfter w:val="1"/>
          <w:wAfter w:w="1413" w:type="dxa"/>
        </w:trPr>
        <w:tc>
          <w:tcPr>
            <w:tcW w:w="8647" w:type="dxa"/>
            <w:gridSpan w:val="2"/>
          </w:tcPr>
          <w:p w14:paraId="57357336" w14:textId="77777777" w:rsidR="00D61C72" w:rsidRPr="00D61C72" w:rsidRDefault="00D61C72" w:rsidP="00D61C72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D61C72" w:rsidRPr="00D61C72" w14:paraId="3E031127" w14:textId="77777777">
        <w:trPr>
          <w:gridAfter w:val="1"/>
          <w:wAfter w:w="1413" w:type="dxa"/>
        </w:trPr>
        <w:tc>
          <w:tcPr>
            <w:tcW w:w="1701" w:type="dxa"/>
            <w:hideMark/>
          </w:tcPr>
          <w:p w14:paraId="481680EB" w14:textId="77777777" w:rsidR="00D61C72" w:rsidRPr="00D61C72" w:rsidRDefault="00D61C72" w:rsidP="00D61C72">
            <w:pPr>
              <w:pStyle w:val="ListParagraph"/>
              <w:ind w:left="0"/>
              <w:rPr>
                <w:b/>
              </w:rPr>
            </w:pPr>
            <w:r w:rsidRPr="00D61C72">
              <w:rPr>
                <w:b/>
              </w:rPr>
              <w:t>Referentni dokumenti/i:</w:t>
            </w:r>
          </w:p>
        </w:tc>
        <w:tc>
          <w:tcPr>
            <w:tcW w:w="6946" w:type="dxa"/>
            <w:hideMark/>
          </w:tcPr>
          <w:p w14:paraId="225C9A34" w14:textId="77777777" w:rsidR="00D61C72" w:rsidRPr="00D61C72" w:rsidRDefault="00D61C72" w:rsidP="00D61C72">
            <w:pPr>
              <w:pStyle w:val="ListParagraph"/>
            </w:pPr>
            <w:proofErr w:type="spellStart"/>
            <w:r w:rsidRPr="00D61C72">
              <w:t>razmatračko</w:t>
            </w:r>
            <w:proofErr w:type="spellEnd"/>
            <w:r w:rsidRPr="00D61C72">
              <w:t xml:space="preserve"> mišljenje na zahtjev ciparskog predsjedništva Vijeća</w:t>
            </w:r>
          </w:p>
          <w:p w14:paraId="559486C5" w14:textId="77777777" w:rsidR="00D61C72" w:rsidRPr="00D61C72" w:rsidRDefault="00D61C72" w:rsidP="00D61C72">
            <w:pPr>
              <w:pStyle w:val="ListParagraph"/>
              <w:ind w:left="0"/>
            </w:pPr>
            <w:r w:rsidRPr="00D61C72">
              <w:t>EESC-2025-03598-00-00-AC-TRA</w:t>
            </w:r>
          </w:p>
        </w:tc>
      </w:tr>
    </w:tbl>
    <w:p w14:paraId="16B5D9FD" w14:textId="77777777" w:rsidR="00D61C72" w:rsidRPr="00D61C72" w:rsidRDefault="00D61C72" w:rsidP="00D61C72">
      <w:pPr>
        <w:pStyle w:val="ListParagraph"/>
        <w:ind w:left="0"/>
        <w:rPr>
          <w:b/>
        </w:rPr>
      </w:pPr>
      <w:r w:rsidRPr="00D61C72">
        <w:rPr>
          <w:b/>
        </w:rPr>
        <w:t>Ključne točke</w:t>
      </w:r>
    </w:p>
    <w:p w14:paraId="59788A10" w14:textId="77777777" w:rsidR="00D61C72" w:rsidRPr="00D61C72" w:rsidRDefault="00D61C72" w:rsidP="00D61C72">
      <w:pPr>
        <w:pStyle w:val="ListParagraph"/>
        <w:ind w:left="0"/>
        <w:rPr>
          <w:b/>
        </w:rPr>
      </w:pPr>
    </w:p>
    <w:p w14:paraId="005568C6" w14:textId="77777777" w:rsidR="00D61C72" w:rsidRPr="00D61C72" w:rsidRDefault="00D61C72" w:rsidP="00D61C72">
      <w:pPr>
        <w:pStyle w:val="ListParagraph"/>
        <w:rPr>
          <w:bCs/>
          <w:iCs/>
        </w:rPr>
      </w:pPr>
      <w:r w:rsidRPr="00D61C72">
        <w:t>EGSO:</w:t>
      </w:r>
    </w:p>
    <w:p w14:paraId="67A1290D" w14:textId="77777777" w:rsidR="00D61C72" w:rsidRPr="00D61C72" w:rsidRDefault="00D61C72" w:rsidP="00D61C72">
      <w:pPr>
        <w:pStyle w:val="ListParagraph"/>
        <w:rPr>
          <w:bCs/>
          <w:iCs/>
        </w:rPr>
      </w:pPr>
    </w:p>
    <w:p w14:paraId="2CB0CF9C" w14:textId="77777777" w:rsidR="00D61C72" w:rsidRPr="00D61C72" w:rsidRDefault="00D61C72" w:rsidP="00D61C72">
      <w:pPr>
        <w:pStyle w:val="ListParagraph"/>
        <w:numPr>
          <w:ilvl w:val="0"/>
          <w:numId w:val="32"/>
        </w:numPr>
      </w:pPr>
      <w:r w:rsidRPr="00D61C72">
        <w:t xml:space="preserve">smatra da se otoci u EU-u suočavaju s </w:t>
      </w:r>
      <w:r w:rsidRPr="00D61C72">
        <w:rPr>
          <w:u w:val="single"/>
        </w:rPr>
        <w:t>trajnim strukturnim nedostacima</w:t>
      </w:r>
      <w:r w:rsidRPr="00D61C72">
        <w:t>, tj. geografskim, gospodarskim, demografskim i klimatskim ograničenjima kao što su izolacija, otapanje leda, visoki troškovi prijevoza i energije, velika potražnja za stambenim prostorom, nedostatak radne snage i prekomjerno oslanjanje na turizam;</w:t>
      </w:r>
    </w:p>
    <w:p w14:paraId="16196D84" w14:textId="77777777" w:rsidR="00D61C72" w:rsidRPr="00D61C72" w:rsidRDefault="00D61C72" w:rsidP="00D61C72">
      <w:pPr>
        <w:pStyle w:val="ListParagraph"/>
        <w:numPr>
          <w:ilvl w:val="0"/>
          <w:numId w:val="32"/>
        </w:numPr>
        <w:rPr>
          <w:u w:val="single"/>
        </w:rPr>
      </w:pPr>
      <w:r w:rsidRPr="00D61C72">
        <w:t>smatra da su otoci izuzetno bitni za geopolitički položaj EU-a, upravljanje migracijama, pomorsku sigurnost i energetsku tranziciju. Njihovi morski ekosustavi i isključivi gospodarski pojasevi osnova su za ciljeve plavog gospodarstva i bioraznolikosti. Iako su jedinstveni izazovi s kojima se otoci suočavaju prepoznati u Ugovorima EU-a i političkim izjavama, u sektorskim politikama EU-a o njima se ne vodi dovoljno računa. Otoci imaju potencijal da postanu laboratoriji za inovacije i održivost u kojima bi se mogla demonstrirati rješenja za prilagodbu klimatskim promjenama, obnovljivu energiju, očuvanje mora i održivi turizam;</w:t>
      </w:r>
    </w:p>
    <w:p w14:paraId="688B0C42" w14:textId="77777777" w:rsidR="00D61C72" w:rsidRPr="00D61C72" w:rsidRDefault="00D61C72" w:rsidP="00D61C72">
      <w:pPr>
        <w:pStyle w:val="ListParagraph"/>
        <w:numPr>
          <w:ilvl w:val="0"/>
          <w:numId w:val="32"/>
        </w:numPr>
      </w:pPr>
      <w:r w:rsidRPr="00D61C72">
        <w:rPr>
          <w:u w:val="single"/>
        </w:rPr>
        <w:t>svjestan je da je potreban sustavni pristup</w:t>
      </w:r>
      <w:r w:rsidRPr="00D61C72">
        <w:t>. Za djelotvornu politiku EU-a za otoke i otočna područja (uključujući najudaljenije i jezerske regije) općenito su potrebne integrirane, međusektorske strategije koje bi se bavile pitanjem povezanosti, gospodarske diversifikacije, socijalne kohezije, ekološke, socijalne i gospodarske otpornosti te geopolitičke spremnosti;</w:t>
      </w:r>
    </w:p>
    <w:p w14:paraId="39623FBB" w14:textId="77777777" w:rsidR="00D61C72" w:rsidRPr="00D61C72" w:rsidRDefault="00D61C72" w:rsidP="00D61C72">
      <w:pPr>
        <w:pStyle w:val="ListParagraph"/>
        <w:numPr>
          <w:ilvl w:val="0"/>
          <w:numId w:val="32"/>
        </w:numPr>
      </w:pPr>
      <w:r w:rsidRPr="00D61C72">
        <w:t>poziva na uspostavu posebne strategije Unije za otoke (</w:t>
      </w:r>
      <w:r w:rsidRPr="00D61C72">
        <w:rPr>
          <w:b/>
          <w:bCs/>
        </w:rPr>
        <w:t>Pakt za otoke</w:t>
      </w:r>
      <w:r w:rsidRPr="00D61C72">
        <w:t>), koju bi podupirao posebni zakonodavni okvir (</w:t>
      </w:r>
      <w:r w:rsidRPr="00D61C72">
        <w:rPr>
          <w:b/>
          <w:bCs/>
        </w:rPr>
        <w:t>Akt o otocima</w:t>
      </w:r>
      <w:r w:rsidRPr="00D61C72">
        <w:t xml:space="preserve">). Taj bi okvir trebao biti popraćen formalnom strategijom i omogućiti djelotvornu primjenu </w:t>
      </w:r>
      <w:r w:rsidRPr="00D61C72">
        <w:rPr>
          <w:b/>
          <w:bCs/>
        </w:rPr>
        <w:t xml:space="preserve">„klauzule o </w:t>
      </w:r>
      <w:proofErr w:type="spellStart"/>
      <w:r w:rsidRPr="00D61C72">
        <w:rPr>
          <w:b/>
          <w:bCs/>
        </w:rPr>
        <w:t>otočnosti</w:t>
      </w:r>
      <w:proofErr w:type="spellEnd"/>
      <w:r w:rsidRPr="00D61C72">
        <w:rPr>
          <w:b/>
          <w:bCs/>
        </w:rPr>
        <w:t>”</w:t>
      </w:r>
      <w:r w:rsidRPr="00D61C72">
        <w:t xml:space="preserve"> u cilju sustavnog uključivanja specifičnih potreba i ograničenja otoka u politike Unije u području kohezije, prometa, energetike, državnih potpora, okoliša i pomorstva;</w:t>
      </w:r>
    </w:p>
    <w:p w14:paraId="0933B72A" w14:textId="77777777" w:rsidR="00D61C72" w:rsidRPr="00D61C72" w:rsidRDefault="00D61C72" w:rsidP="00D61C72">
      <w:pPr>
        <w:pStyle w:val="ListParagraph"/>
        <w:numPr>
          <w:ilvl w:val="0"/>
          <w:numId w:val="32"/>
        </w:numPr>
      </w:pPr>
      <w:r w:rsidRPr="00D61C72">
        <w:t xml:space="preserve">naglašava da je poboljšanje povezanosti i infrastrukture na otočnim područjima od presudne važnosti za teritorijalnu koheziju i poziva na poboljšanje sustava prijevoza i javne mobilnosti, bolju digitalnu </w:t>
      </w:r>
      <w:proofErr w:type="spellStart"/>
      <w:r w:rsidRPr="00D61C72">
        <w:t>povezivost</w:t>
      </w:r>
      <w:proofErr w:type="spellEnd"/>
      <w:r w:rsidRPr="00D61C72">
        <w:t xml:space="preserve"> i otpornije energetske mreže, pri čemu bi u prvom planu trebale biti </w:t>
      </w:r>
      <w:proofErr w:type="spellStart"/>
      <w:r w:rsidRPr="00D61C72">
        <w:t>dekarbonizacija</w:t>
      </w:r>
      <w:proofErr w:type="spellEnd"/>
      <w:r w:rsidRPr="00D61C72">
        <w:t xml:space="preserve"> i energetska autonomija;</w:t>
      </w:r>
    </w:p>
    <w:p w14:paraId="20066BA6" w14:textId="77777777" w:rsidR="00D61C72" w:rsidRPr="00D61C72" w:rsidRDefault="00D61C72" w:rsidP="00D61C72">
      <w:pPr>
        <w:pStyle w:val="ListParagraph"/>
        <w:numPr>
          <w:ilvl w:val="0"/>
          <w:numId w:val="32"/>
        </w:numPr>
      </w:pPr>
      <w:r w:rsidRPr="00D61C72">
        <w:t>naglašava da bi otočne regije trebale diversificirati svoja gospodarstva na način da razvijaju održivo i konkurentno plavo gospodarstvo zasnovano na njihovim jedinstvenim prednostima, kao što su morski resursi, potencijal za proizvodnju obnovljive energije, turizam, kulturna baština i kreativne industrije;</w:t>
      </w:r>
    </w:p>
    <w:p w14:paraId="315C8B48" w14:textId="77777777" w:rsidR="00D61C72" w:rsidRPr="00D61C72" w:rsidRDefault="00D61C72" w:rsidP="00D61C72">
      <w:pPr>
        <w:pStyle w:val="ListParagraph"/>
        <w:numPr>
          <w:ilvl w:val="0"/>
          <w:numId w:val="32"/>
        </w:numPr>
      </w:pPr>
      <w:r w:rsidRPr="00D61C72">
        <w:t xml:space="preserve">naglašava da su za dugoročnu održivost otočnih zajednica izuzetno bitni socijalna kohezija i razvoj ljudskog kapitala. Poziva na ciljane politike za rješavanje problema nedostatka stambenog prostora, neusklađenosti ponude i potražnje na tržištu rada, nedostatka vještina i iseljavanja mladih, uključujući sustave </w:t>
      </w:r>
      <w:proofErr w:type="spellStart"/>
      <w:r w:rsidRPr="00D61C72">
        <w:t>uključivog</w:t>
      </w:r>
      <w:proofErr w:type="spellEnd"/>
      <w:r w:rsidRPr="00D61C72">
        <w:t xml:space="preserve"> obrazovanja, prilike za kvalitetno zapošljavanje i </w:t>
      </w:r>
      <w:proofErr w:type="spellStart"/>
      <w:r w:rsidRPr="00D61C72">
        <w:t>priuštiva</w:t>
      </w:r>
      <w:proofErr w:type="spellEnd"/>
      <w:r w:rsidRPr="00D61C72">
        <w:t xml:space="preserve"> stambena rješenja prilagođena posebnostima otokâ;</w:t>
      </w:r>
    </w:p>
    <w:p w14:paraId="46582A0A" w14:textId="77777777" w:rsidR="00D61C72" w:rsidRPr="00D61C72" w:rsidRDefault="00D61C72" w:rsidP="00D61C72">
      <w:pPr>
        <w:pStyle w:val="ListParagraph"/>
        <w:numPr>
          <w:ilvl w:val="0"/>
          <w:numId w:val="32"/>
        </w:numPr>
      </w:pPr>
      <w:r w:rsidRPr="00D61C72">
        <w:t>ističe da je na otočnim područjima, koja su nerazmjerno izložena klimatskim promjenama, hitno potrebno ostvariti napredak u zaštiti okoliša i otpornosti na klimatske promjene;</w:t>
      </w:r>
    </w:p>
    <w:p w14:paraId="3F519627" w14:textId="77777777" w:rsidR="00D61C72" w:rsidRPr="00D61C72" w:rsidRDefault="00D61C72" w:rsidP="00D61C72">
      <w:pPr>
        <w:pStyle w:val="ListParagraph"/>
        <w:numPr>
          <w:ilvl w:val="0"/>
          <w:numId w:val="32"/>
        </w:numPr>
      </w:pPr>
      <w:r w:rsidRPr="00D61C72">
        <w:lastRenderedPageBreak/>
        <w:t xml:space="preserve">poziva na to da se u politike za otoke formalno uključi praćenje, predviđanje i participativno upravljanje te predlaže uspostavu </w:t>
      </w:r>
      <w:r w:rsidRPr="00D61C72">
        <w:rPr>
          <w:b/>
          <w:bCs/>
        </w:rPr>
        <w:t>redovitog izvješća o provedbi politike za otoke</w:t>
      </w:r>
      <w:r w:rsidRPr="00D61C72">
        <w:t xml:space="preserve"> kako bi se pratili ključni demografski, gospodarski, socijalni i okolišni pokazatelji; </w:t>
      </w:r>
    </w:p>
    <w:p w14:paraId="37FA2BD0" w14:textId="77777777" w:rsidR="00D61C72" w:rsidRPr="00D61C72" w:rsidRDefault="00D61C72" w:rsidP="00D61C72">
      <w:pPr>
        <w:pStyle w:val="ListParagraph"/>
        <w:numPr>
          <w:ilvl w:val="0"/>
          <w:numId w:val="32"/>
        </w:numPr>
      </w:pPr>
      <w:r w:rsidRPr="00D61C72">
        <w:t>smatra da se otoci EU-a više ne smiju tretirati kao periferna područja. Oni su regije koje se nalaze u prvim redovima kad je riječ o suverenitetu, otpornosti i kapacitetu Europe za inovacije. Ciljana, sustavna i pravno utemeljena strategija EU-a za otoke (</w:t>
      </w:r>
      <w:r w:rsidRPr="00D61C72">
        <w:rPr>
          <w:b/>
          <w:bCs/>
        </w:rPr>
        <w:t>Pakt za otoke</w:t>
      </w:r>
      <w:r w:rsidRPr="00D61C72">
        <w:t>) bila bi izuzetno važna za pretvaranje otoka u pokretače održivog rasta, otpornosti na klimatske promjene i geopolitičke sigurnosti, a time bi se i osiguralo da otočne zajednice mogu prosperirati i istovremeno jačati stratešku autonomiju i koheziju Europe. To je nedavno jasno izašlo na vidjelo kad se Grenland našao u geopolitičkom središtu sigurnosne dinamike na Arktiku, transatlantskih odnosa i nadmetanja velikih sila, a na to ukazuje i njegova važnost za stratešku autonomiju Europe u području obrane.</w:t>
      </w:r>
    </w:p>
    <w:p w14:paraId="136F95A5" w14:textId="77777777" w:rsidR="00D61C72" w:rsidRPr="00D61C72" w:rsidRDefault="00D61C72" w:rsidP="00D61C72">
      <w:pPr>
        <w:pStyle w:val="ListParagraph"/>
        <w:rPr>
          <w:bCs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1"/>
        <w:gridCol w:w="5670"/>
      </w:tblGrid>
      <w:tr w:rsidR="00D61C72" w:rsidRPr="00D61C72" w14:paraId="3AF731AB" w14:textId="77777777">
        <w:tc>
          <w:tcPr>
            <w:tcW w:w="1418" w:type="dxa"/>
            <w:hideMark/>
          </w:tcPr>
          <w:p w14:paraId="3ACC8E91" w14:textId="77777777" w:rsidR="00D61C72" w:rsidRPr="00D61C72" w:rsidRDefault="00D61C72" w:rsidP="00D61C72">
            <w:pPr>
              <w:pStyle w:val="ListParagraph"/>
              <w:rPr>
                <w:i/>
              </w:rPr>
            </w:pPr>
            <w:r w:rsidRPr="00D61C72">
              <w:rPr>
                <w:b/>
                <w:i/>
              </w:rPr>
              <w:t>Kontakt:</w:t>
            </w:r>
          </w:p>
        </w:tc>
        <w:tc>
          <w:tcPr>
            <w:tcW w:w="5670" w:type="dxa"/>
            <w:hideMark/>
          </w:tcPr>
          <w:p w14:paraId="54863049" w14:textId="77777777" w:rsidR="00D61C72" w:rsidRPr="00D61C72" w:rsidRDefault="00D61C72" w:rsidP="00D61C72">
            <w:pPr>
              <w:pStyle w:val="ListParagraph"/>
              <w:rPr>
                <w:i/>
              </w:rPr>
            </w:pPr>
            <w:proofErr w:type="spellStart"/>
            <w:r w:rsidRPr="00D61C72">
              <w:rPr>
                <w:i/>
              </w:rPr>
              <w:t>Georgios</w:t>
            </w:r>
            <w:proofErr w:type="spellEnd"/>
            <w:r w:rsidRPr="00D61C72">
              <w:rPr>
                <w:i/>
              </w:rPr>
              <w:t xml:space="preserve"> MELEAS</w:t>
            </w:r>
          </w:p>
        </w:tc>
      </w:tr>
      <w:tr w:rsidR="00D61C72" w:rsidRPr="00D61C72" w14:paraId="0DD8E7E1" w14:textId="77777777">
        <w:tc>
          <w:tcPr>
            <w:tcW w:w="1418" w:type="dxa"/>
            <w:hideMark/>
          </w:tcPr>
          <w:p w14:paraId="38393C19" w14:textId="77777777" w:rsidR="00D61C72" w:rsidRPr="00D61C72" w:rsidRDefault="00D61C72" w:rsidP="00D61C72">
            <w:pPr>
              <w:pStyle w:val="ListParagraph"/>
              <w:rPr>
                <w:i/>
              </w:rPr>
            </w:pPr>
            <w:r w:rsidRPr="00D61C72">
              <w:rPr>
                <w:i/>
              </w:rPr>
              <w:t>Tel.:</w:t>
            </w:r>
          </w:p>
        </w:tc>
        <w:tc>
          <w:tcPr>
            <w:tcW w:w="5670" w:type="dxa"/>
            <w:hideMark/>
          </w:tcPr>
          <w:p w14:paraId="06C34FCC" w14:textId="77777777" w:rsidR="00D61C72" w:rsidRPr="00D61C72" w:rsidRDefault="00D61C72" w:rsidP="00D61C72">
            <w:pPr>
              <w:pStyle w:val="ListParagraph"/>
              <w:rPr>
                <w:i/>
              </w:rPr>
            </w:pPr>
            <w:r w:rsidRPr="00D61C72">
              <w:rPr>
                <w:i/>
              </w:rPr>
              <w:t>+32 2 5469795</w:t>
            </w:r>
          </w:p>
        </w:tc>
      </w:tr>
      <w:tr w:rsidR="00D61C72" w:rsidRPr="00D61C72" w14:paraId="29C76951" w14:textId="77777777">
        <w:tc>
          <w:tcPr>
            <w:tcW w:w="1418" w:type="dxa"/>
            <w:hideMark/>
          </w:tcPr>
          <w:p w14:paraId="55446101" w14:textId="77777777" w:rsidR="00D61C72" w:rsidRPr="00D61C72" w:rsidRDefault="00D61C72" w:rsidP="00D61C72">
            <w:pPr>
              <w:pStyle w:val="ListParagraph"/>
              <w:rPr>
                <w:i/>
              </w:rPr>
            </w:pPr>
            <w:r w:rsidRPr="00D61C72">
              <w:rPr>
                <w:i/>
              </w:rPr>
              <w:t>E-pošta:</w:t>
            </w:r>
          </w:p>
        </w:tc>
        <w:tc>
          <w:tcPr>
            <w:tcW w:w="5670" w:type="dxa"/>
            <w:hideMark/>
          </w:tcPr>
          <w:p w14:paraId="3B4A3B08" w14:textId="77777777" w:rsidR="00D61C72" w:rsidRPr="00D61C72" w:rsidRDefault="00D61C72" w:rsidP="00D61C72">
            <w:pPr>
              <w:pStyle w:val="ListParagraph"/>
              <w:rPr>
                <w:i/>
                <w:iCs/>
              </w:rPr>
            </w:pPr>
            <w:hyperlink r:id="rId21" w:history="1">
              <w:r w:rsidRPr="00D61C72">
                <w:rPr>
                  <w:rStyle w:val="Hyperlink"/>
                  <w:i/>
                </w:rPr>
                <w:t>Georgios.Meleas@eesc.europa.eu</w:t>
              </w:r>
            </w:hyperlink>
            <w:r w:rsidRPr="00D61C72">
              <w:rPr>
                <w:i/>
              </w:rPr>
              <w:t xml:space="preserve"> </w:t>
            </w:r>
          </w:p>
        </w:tc>
      </w:tr>
    </w:tbl>
    <w:p w14:paraId="3016994A" w14:textId="77777777" w:rsidR="007652C3" w:rsidRDefault="007652C3" w:rsidP="00100EF9">
      <w:pPr>
        <w:pStyle w:val="ListParagraph"/>
        <w:ind w:left="0"/>
      </w:pPr>
    </w:p>
    <w:p w14:paraId="28F747AB" w14:textId="77777777" w:rsidR="007652C3" w:rsidRDefault="007652C3" w:rsidP="00100EF9">
      <w:pPr>
        <w:jc w:val="left"/>
      </w:pPr>
      <w:r>
        <w:br w:type="page"/>
      </w:r>
    </w:p>
    <w:p w14:paraId="11929DCB" w14:textId="77777777" w:rsidR="00864A9E" w:rsidRPr="00864A9E" w:rsidRDefault="00864A9E" w:rsidP="00864A9E">
      <w:pPr>
        <w:numPr>
          <w:ilvl w:val="0"/>
          <w:numId w:val="33"/>
        </w:numPr>
        <w:jc w:val="left"/>
        <w:rPr>
          <w:b/>
          <w:i/>
          <w:iCs/>
        </w:rPr>
      </w:pPr>
      <w:hyperlink r:id="rId22" w:history="1">
        <w:r w:rsidRPr="00864A9E">
          <w:rPr>
            <w:rStyle w:val="Hyperlink"/>
            <w:b/>
            <w:i/>
          </w:rPr>
          <w:t>ECO/605 – Revizija Direktive o oporezivanju duhana</w:t>
        </w:r>
      </w:hyperlink>
      <w:r w:rsidRPr="00864A9E">
        <w:rPr>
          <w:b/>
          <w:i/>
        </w:rPr>
        <w:t xml:space="preserve"> </w:t>
      </w:r>
    </w:p>
    <w:p w14:paraId="40BC2B38" w14:textId="77777777" w:rsidR="00864A9E" w:rsidRPr="00864A9E" w:rsidRDefault="00864A9E" w:rsidP="00864A9E">
      <w:pPr>
        <w:jc w:val="left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7374"/>
      </w:tblGrid>
      <w:tr w:rsidR="00864A9E" w:rsidRPr="00864A9E" w14:paraId="702E14D2" w14:textId="77777777">
        <w:tc>
          <w:tcPr>
            <w:tcW w:w="1701" w:type="dxa"/>
            <w:hideMark/>
          </w:tcPr>
          <w:p w14:paraId="0DD2DF36" w14:textId="77777777" w:rsidR="00864A9E" w:rsidRPr="00864A9E" w:rsidRDefault="00864A9E" w:rsidP="00864A9E">
            <w:pPr>
              <w:jc w:val="left"/>
              <w:rPr>
                <w:b/>
              </w:rPr>
            </w:pPr>
            <w:r w:rsidRPr="00864A9E">
              <w:rPr>
                <w:b/>
              </w:rPr>
              <w:t>Izvjestitelj/</w:t>
            </w:r>
            <w:proofErr w:type="spellStart"/>
            <w:r w:rsidRPr="00864A9E">
              <w:rPr>
                <w:b/>
              </w:rPr>
              <w:t>ica</w:t>
            </w:r>
            <w:proofErr w:type="spellEnd"/>
            <w:r w:rsidRPr="00864A9E">
              <w:rPr>
                <w:b/>
              </w:rPr>
              <w:t>:</w:t>
            </w:r>
          </w:p>
        </w:tc>
        <w:tc>
          <w:tcPr>
            <w:tcW w:w="7479" w:type="dxa"/>
            <w:hideMark/>
          </w:tcPr>
          <w:p w14:paraId="6DC9C240" w14:textId="77777777" w:rsidR="00864A9E" w:rsidRPr="00864A9E" w:rsidRDefault="00864A9E" w:rsidP="00864A9E">
            <w:pPr>
              <w:jc w:val="left"/>
            </w:pPr>
            <w:r w:rsidRPr="00864A9E">
              <w:t>Matteo Carlo BORSANI (Skupina poslodavaca – IT)</w:t>
            </w:r>
          </w:p>
        </w:tc>
      </w:tr>
      <w:tr w:rsidR="00864A9E" w:rsidRPr="00864A9E" w14:paraId="1AF16077" w14:textId="77777777">
        <w:tc>
          <w:tcPr>
            <w:tcW w:w="1701" w:type="dxa"/>
            <w:hideMark/>
          </w:tcPr>
          <w:p w14:paraId="32E1BAFE" w14:textId="77777777" w:rsidR="00864A9E" w:rsidRPr="00864A9E" w:rsidRDefault="00864A9E" w:rsidP="00864A9E">
            <w:pPr>
              <w:jc w:val="left"/>
              <w:rPr>
                <w:b/>
              </w:rPr>
            </w:pPr>
            <w:r w:rsidRPr="00864A9E">
              <w:rPr>
                <w:b/>
              </w:rPr>
              <w:t>Referentni dokumenti/i:</w:t>
            </w:r>
          </w:p>
        </w:tc>
        <w:tc>
          <w:tcPr>
            <w:tcW w:w="7479" w:type="dxa"/>
            <w:hideMark/>
          </w:tcPr>
          <w:p w14:paraId="18CF821C" w14:textId="77777777" w:rsidR="00864A9E" w:rsidRPr="00864A9E" w:rsidRDefault="00864A9E" w:rsidP="00864A9E">
            <w:pPr>
              <w:jc w:val="left"/>
            </w:pPr>
            <w:r w:rsidRPr="00864A9E">
              <w:t xml:space="preserve">COM(2025) 580 </w:t>
            </w:r>
            <w:proofErr w:type="spellStart"/>
            <w:r w:rsidRPr="00864A9E">
              <w:t>final</w:t>
            </w:r>
            <w:proofErr w:type="spellEnd"/>
            <w:r w:rsidRPr="00864A9E">
              <w:t xml:space="preserve"> - 2025/0580 (CNS)</w:t>
            </w:r>
          </w:p>
          <w:p w14:paraId="6BBF2BDC" w14:textId="77777777" w:rsidR="00864A9E" w:rsidRPr="00864A9E" w:rsidRDefault="00864A9E" w:rsidP="00864A9E">
            <w:pPr>
              <w:jc w:val="left"/>
            </w:pPr>
            <w:r w:rsidRPr="00864A9E">
              <w:t xml:space="preserve">COM(2025) 581 </w:t>
            </w:r>
            <w:proofErr w:type="spellStart"/>
            <w:r w:rsidRPr="00864A9E">
              <w:t>final</w:t>
            </w:r>
            <w:proofErr w:type="spellEnd"/>
            <w:r w:rsidRPr="00864A9E">
              <w:t xml:space="preserve"> - 2025/0581 (CNS)</w:t>
            </w:r>
          </w:p>
          <w:p w14:paraId="20027FE6" w14:textId="77777777" w:rsidR="00864A9E" w:rsidRPr="00864A9E" w:rsidRDefault="00864A9E" w:rsidP="00864A9E">
            <w:pPr>
              <w:jc w:val="left"/>
            </w:pPr>
            <w:r w:rsidRPr="00864A9E">
              <w:t>EESC-2025-02514-00-00-AC-TRA</w:t>
            </w:r>
          </w:p>
        </w:tc>
      </w:tr>
    </w:tbl>
    <w:p w14:paraId="390E7AC4" w14:textId="77777777" w:rsidR="00864A9E" w:rsidRPr="00864A9E" w:rsidRDefault="00864A9E" w:rsidP="00864A9E">
      <w:pPr>
        <w:jc w:val="left"/>
        <w:rPr>
          <w:bCs/>
        </w:rPr>
      </w:pPr>
    </w:p>
    <w:p w14:paraId="7B887A41" w14:textId="77777777" w:rsidR="00864A9E" w:rsidRPr="00864A9E" w:rsidRDefault="00864A9E" w:rsidP="00864A9E">
      <w:pPr>
        <w:jc w:val="left"/>
        <w:rPr>
          <w:b/>
        </w:rPr>
      </w:pPr>
      <w:r w:rsidRPr="00864A9E">
        <w:rPr>
          <w:b/>
        </w:rPr>
        <w:t>Ključne točke</w:t>
      </w:r>
    </w:p>
    <w:p w14:paraId="3DC713A3" w14:textId="77777777" w:rsidR="00864A9E" w:rsidRPr="00864A9E" w:rsidRDefault="00864A9E" w:rsidP="00864A9E">
      <w:pPr>
        <w:jc w:val="left"/>
        <w:rPr>
          <w:bCs/>
        </w:rPr>
      </w:pPr>
    </w:p>
    <w:p w14:paraId="19493028" w14:textId="77777777" w:rsidR="00864A9E" w:rsidRPr="00864A9E" w:rsidRDefault="00864A9E" w:rsidP="00864A9E">
      <w:pPr>
        <w:jc w:val="left"/>
        <w:rPr>
          <w:bCs/>
          <w:iCs/>
        </w:rPr>
      </w:pPr>
      <w:r w:rsidRPr="00864A9E">
        <w:t>EGSO:</w:t>
      </w:r>
    </w:p>
    <w:p w14:paraId="27C91D23" w14:textId="77777777" w:rsidR="00864A9E" w:rsidRPr="00864A9E" w:rsidRDefault="00864A9E" w:rsidP="00864A9E">
      <w:pPr>
        <w:jc w:val="left"/>
        <w:rPr>
          <w:bCs/>
        </w:rPr>
      </w:pPr>
    </w:p>
    <w:p w14:paraId="696FA0CD" w14:textId="77777777" w:rsidR="00864A9E" w:rsidRPr="00864A9E" w:rsidRDefault="00864A9E" w:rsidP="00864A9E">
      <w:pPr>
        <w:numPr>
          <w:ilvl w:val="0"/>
          <w:numId w:val="34"/>
        </w:numPr>
        <w:jc w:val="left"/>
      </w:pPr>
      <w:r w:rsidRPr="00864A9E">
        <w:rPr>
          <w:b/>
        </w:rPr>
        <w:t>podržava</w:t>
      </w:r>
      <w:r w:rsidRPr="00864A9E">
        <w:t xml:space="preserve"> reviziju Direktive o oporezivanju duhana i prepoznaju potrebu za prilagodbom okvira za trošarine kretanjima na tržištu, novim proizvodima i ciljevima javnog zdravlja, istodobno naglašavajući da reforma mora ostati razmjerna, predvidljiva i gospodarski održiva;</w:t>
      </w:r>
    </w:p>
    <w:p w14:paraId="7A78D78C" w14:textId="77777777" w:rsidR="00864A9E" w:rsidRPr="00864A9E" w:rsidRDefault="00864A9E" w:rsidP="00864A9E">
      <w:pPr>
        <w:numPr>
          <w:ilvl w:val="1"/>
          <w:numId w:val="35"/>
        </w:numPr>
        <w:jc w:val="left"/>
      </w:pPr>
      <w:r w:rsidRPr="00864A9E">
        <w:rPr>
          <w:b/>
        </w:rPr>
        <w:t>upozorava</w:t>
      </w:r>
      <w:r w:rsidRPr="00864A9E">
        <w:t xml:space="preserve"> na naglo ili prekomjerno povećanje trošarina, koje bi moglo potaknuti nezakonitu trgovinu, ugroziti fiskalne prihode i oslabiti rezultate u području javnog zdravlja; stoga </w:t>
      </w:r>
      <w:r w:rsidRPr="00864A9E">
        <w:rPr>
          <w:b/>
        </w:rPr>
        <w:t>preporučuje</w:t>
      </w:r>
      <w:r w:rsidRPr="00864A9E">
        <w:t xml:space="preserve"> da prilagodbe trošarina budu postupne i popraćene pojačanom provedbom, carinskom suradnjom i prekograničnim mjerama protiv krijumčarenja;</w:t>
      </w:r>
    </w:p>
    <w:p w14:paraId="08F21877" w14:textId="77777777" w:rsidR="00864A9E" w:rsidRPr="00864A9E" w:rsidRDefault="00864A9E" w:rsidP="00864A9E">
      <w:pPr>
        <w:numPr>
          <w:ilvl w:val="1"/>
          <w:numId w:val="35"/>
        </w:numPr>
        <w:jc w:val="left"/>
      </w:pPr>
      <w:r w:rsidRPr="00864A9E">
        <w:rPr>
          <w:b/>
        </w:rPr>
        <w:t>poziva</w:t>
      </w:r>
      <w:r w:rsidRPr="00864A9E">
        <w:t xml:space="preserve"> na dosljednu primjenu oporezivanja koje je razmjerno riziku, pri čemu treba osigurati da se negorivi proizvodi i proizvodi smanjenog rizika ne oporezuju na isti način kao zapaljivi duhanski proizvodi, u skladu s načelom „manje štete, niži porezi” i ciljevima Europskog plana za borbu protiv raka;</w:t>
      </w:r>
    </w:p>
    <w:p w14:paraId="4AA1316C" w14:textId="77777777" w:rsidR="00864A9E" w:rsidRPr="00864A9E" w:rsidRDefault="00864A9E" w:rsidP="00864A9E">
      <w:pPr>
        <w:numPr>
          <w:ilvl w:val="1"/>
          <w:numId w:val="35"/>
        </w:numPr>
        <w:jc w:val="left"/>
      </w:pPr>
      <w:r w:rsidRPr="00864A9E">
        <w:rPr>
          <w:b/>
        </w:rPr>
        <w:t>preporučuje</w:t>
      </w:r>
      <w:r w:rsidRPr="00864A9E">
        <w:t xml:space="preserve"> poboljšanje pravne jasnoće i usklađenosti definicija proizvoda, posebno izričitim definiranjem grijanih duhanskih proizvoda, njihovim jasnim razlikovanjem od zapaljivih proizvoda;</w:t>
      </w:r>
    </w:p>
    <w:p w14:paraId="24F1CBCF" w14:textId="77777777" w:rsidR="00864A9E" w:rsidRPr="00864A9E" w:rsidRDefault="00864A9E" w:rsidP="00864A9E">
      <w:pPr>
        <w:numPr>
          <w:ilvl w:val="1"/>
          <w:numId w:val="36"/>
        </w:numPr>
        <w:jc w:val="left"/>
      </w:pPr>
      <w:r w:rsidRPr="00864A9E">
        <w:rPr>
          <w:b/>
        </w:rPr>
        <w:t>poziva</w:t>
      </w:r>
      <w:r w:rsidRPr="00864A9E">
        <w:t xml:space="preserve"> Komisiju da poboljša usklađenost između definicija trošarina i kombinirane nomenklature kroz održavanje ažuriranih korelacijskih tablica i pružanje smjernica za tumačenje kad god izmjene carinskih klasifikacija utječu na kategorizaciju trošarina;</w:t>
      </w:r>
    </w:p>
    <w:p w14:paraId="6B249A4A" w14:textId="77777777" w:rsidR="00864A9E" w:rsidRPr="00864A9E" w:rsidRDefault="00864A9E" w:rsidP="00864A9E">
      <w:pPr>
        <w:numPr>
          <w:ilvl w:val="1"/>
          <w:numId w:val="36"/>
        </w:numPr>
        <w:jc w:val="left"/>
      </w:pPr>
      <w:r w:rsidRPr="00864A9E">
        <w:rPr>
          <w:b/>
        </w:rPr>
        <w:t>poziva</w:t>
      </w:r>
      <w:r w:rsidRPr="00864A9E">
        <w:t xml:space="preserve"> na dovoljnu fleksibilnost za države članice u pogledu struktura trošarina, uključujući mogućnost odabira između oporezivanja grijanih duhanskih proizvoda na temelju jedinice ili mase, kako bi se uzeli u obzir nacionalni tržišni uvjeti uz istodobno poštovanje minimalnih razina na razini EU-a;</w:t>
      </w:r>
    </w:p>
    <w:p w14:paraId="763FFDC5" w14:textId="77777777" w:rsidR="00864A9E" w:rsidRPr="00864A9E" w:rsidRDefault="00864A9E" w:rsidP="00864A9E">
      <w:pPr>
        <w:numPr>
          <w:ilvl w:val="1"/>
          <w:numId w:val="37"/>
        </w:numPr>
        <w:jc w:val="left"/>
      </w:pPr>
      <w:r w:rsidRPr="00864A9E">
        <w:rPr>
          <w:b/>
        </w:rPr>
        <w:t>preporučuje</w:t>
      </w:r>
      <w:r w:rsidRPr="00864A9E">
        <w:t xml:space="preserve"> sveobuhvatno i detaljno mapiranje postojećih radnih mjesta i vještina u sektoru, uz ocjenjivanje srednjoročnih i dugoročnih scenarija povezanih s ovim prijedlogom, kao i razvoj jasnih prognoza učinka na zapošljavanje;</w:t>
      </w:r>
    </w:p>
    <w:p w14:paraId="0FF75632" w14:textId="77777777" w:rsidR="00864A9E" w:rsidRPr="00864A9E" w:rsidRDefault="00864A9E" w:rsidP="00864A9E">
      <w:pPr>
        <w:numPr>
          <w:ilvl w:val="1"/>
          <w:numId w:val="37"/>
        </w:numPr>
        <w:jc w:val="left"/>
      </w:pPr>
      <w:r w:rsidRPr="00864A9E">
        <w:rPr>
          <w:b/>
        </w:rPr>
        <w:t>poziva</w:t>
      </w:r>
      <w:r w:rsidRPr="00864A9E">
        <w:t xml:space="preserve"> na predvidljivu i ograničenu upotrebu delegiranih akata, strogo ograničenu na tehničke prilagodbe zbog inflacije, u skladu sa supsidijarnošću i proračunskim suverenitetom država članica.</w:t>
      </w:r>
    </w:p>
    <w:p w14:paraId="1EB277BC" w14:textId="77777777" w:rsidR="00864A9E" w:rsidRPr="00864A9E" w:rsidRDefault="00864A9E" w:rsidP="00864A9E">
      <w:pPr>
        <w:jc w:val="left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="00864A9E" w:rsidRPr="00864A9E" w14:paraId="6F3F5FB3" w14:textId="77777777">
        <w:tc>
          <w:tcPr>
            <w:tcW w:w="1418" w:type="dxa"/>
            <w:hideMark/>
          </w:tcPr>
          <w:p w14:paraId="3FA82A48" w14:textId="77777777" w:rsidR="00864A9E" w:rsidRPr="00864A9E" w:rsidRDefault="00864A9E" w:rsidP="00864A9E">
            <w:pPr>
              <w:jc w:val="left"/>
              <w:rPr>
                <w:i/>
              </w:rPr>
            </w:pPr>
            <w:r w:rsidRPr="00864A9E">
              <w:rPr>
                <w:b/>
                <w:i/>
              </w:rPr>
              <w:t>Kontakt:</w:t>
            </w:r>
          </w:p>
        </w:tc>
        <w:tc>
          <w:tcPr>
            <w:tcW w:w="5670" w:type="dxa"/>
            <w:hideMark/>
          </w:tcPr>
          <w:p w14:paraId="316AF4D5" w14:textId="77777777" w:rsidR="00864A9E" w:rsidRPr="00864A9E" w:rsidRDefault="00864A9E" w:rsidP="00864A9E">
            <w:pPr>
              <w:jc w:val="left"/>
              <w:rPr>
                <w:i/>
              </w:rPr>
            </w:pPr>
            <w:proofErr w:type="spellStart"/>
            <w:r w:rsidRPr="00864A9E">
              <w:rPr>
                <w:i/>
              </w:rPr>
              <w:t>Jüri</w:t>
            </w:r>
            <w:proofErr w:type="spellEnd"/>
            <w:r w:rsidRPr="00864A9E">
              <w:rPr>
                <w:i/>
              </w:rPr>
              <w:t xml:space="preserve"> SOOSAAR</w:t>
            </w:r>
          </w:p>
        </w:tc>
      </w:tr>
      <w:tr w:rsidR="00864A9E" w:rsidRPr="00864A9E" w14:paraId="42ED1FE3" w14:textId="77777777">
        <w:tc>
          <w:tcPr>
            <w:tcW w:w="1418" w:type="dxa"/>
            <w:hideMark/>
          </w:tcPr>
          <w:p w14:paraId="6D474B70" w14:textId="77777777" w:rsidR="00864A9E" w:rsidRPr="00864A9E" w:rsidRDefault="00864A9E" w:rsidP="00864A9E">
            <w:pPr>
              <w:jc w:val="left"/>
              <w:rPr>
                <w:i/>
              </w:rPr>
            </w:pPr>
            <w:r w:rsidRPr="00864A9E">
              <w:rPr>
                <w:i/>
              </w:rPr>
              <w:t>Tel.:</w:t>
            </w:r>
          </w:p>
        </w:tc>
        <w:tc>
          <w:tcPr>
            <w:tcW w:w="5670" w:type="dxa"/>
            <w:hideMark/>
          </w:tcPr>
          <w:p w14:paraId="6325F9CD" w14:textId="77777777" w:rsidR="00864A9E" w:rsidRPr="00864A9E" w:rsidRDefault="00864A9E" w:rsidP="00864A9E">
            <w:pPr>
              <w:jc w:val="left"/>
              <w:rPr>
                <w:i/>
              </w:rPr>
            </w:pPr>
            <w:r w:rsidRPr="00864A9E">
              <w:rPr>
                <w:i/>
              </w:rPr>
              <w:t>+32 2</w:t>
            </w:r>
            <w:r w:rsidRPr="00864A9E">
              <w:t xml:space="preserve"> </w:t>
            </w:r>
            <w:r w:rsidRPr="00864A9E">
              <w:rPr>
                <w:i/>
              </w:rPr>
              <w:t>5469628</w:t>
            </w:r>
          </w:p>
        </w:tc>
      </w:tr>
      <w:tr w:rsidR="00864A9E" w:rsidRPr="00864A9E" w14:paraId="533BA2AB" w14:textId="77777777">
        <w:tc>
          <w:tcPr>
            <w:tcW w:w="1418" w:type="dxa"/>
            <w:hideMark/>
          </w:tcPr>
          <w:p w14:paraId="1DED2F51" w14:textId="77777777" w:rsidR="00864A9E" w:rsidRPr="00864A9E" w:rsidRDefault="00864A9E" w:rsidP="00864A9E">
            <w:pPr>
              <w:jc w:val="left"/>
              <w:rPr>
                <w:i/>
              </w:rPr>
            </w:pPr>
            <w:r w:rsidRPr="00864A9E">
              <w:rPr>
                <w:i/>
              </w:rPr>
              <w:t>E-pošta:</w:t>
            </w:r>
          </w:p>
        </w:tc>
        <w:tc>
          <w:tcPr>
            <w:tcW w:w="5670" w:type="dxa"/>
            <w:hideMark/>
          </w:tcPr>
          <w:p w14:paraId="2F3D06D3" w14:textId="77777777" w:rsidR="00864A9E" w:rsidRPr="00864A9E" w:rsidRDefault="00864A9E" w:rsidP="00864A9E">
            <w:pPr>
              <w:jc w:val="left"/>
              <w:rPr>
                <w:i/>
                <w:iCs/>
              </w:rPr>
            </w:pPr>
            <w:hyperlink r:id="rId23" w:history="1">
              <w:r w:rsidRPr="00864A9E">
                <w:rPr>
                  <w:rStyle w:val="Hyperlink"/>
                  <w:i/>
                </w:rPr>
                <w:t>Juri.Soosaar@eesc.europa.eu</w:t>
              </w:r>
            </w:hyperlink>
            <w:r w:rsidRPr="00864A9E">
              <w:rPr>
                <w:i/>
              </w:rPr>
              <w:t xml:space="preserve"> </w:t>
            </w:r>
          </w:p>
        </w:tc>
      </w:tr>
    </w:tbl>
    <w:p w14:paraId="4982DD98" w14:textId="11429B92" w:rsidR="00302594" w:rsidRDefault="00302594" w:rsidP="00100EF9">
      <w:pPr>
        <w:jc w:val="left"/>
      </w:pPr>
    </w:p>
    <w:p w14:paraId="4356DB93" w14:textId="77777777" w:rsidR="00302594" w:rsidRDefault="00302594" w:rsidP="00100EF9">
      <w:pPr>
        <w:jc w:val="left"/>
      </w:pPr>
      <w:r>
        <w:br w:type="page"/>
      </w:r>
    </w:p>
    <w:p w14:paraId="4982DD99" w14:textId="77777777" w:rsidR="004D7AC0" w:rsidRDefault="004D7AC0" w:rsidP="00100EF9">
      <w:pPr>
        <w:pStyle w:val="Heading1"/>
        <w:rPr>
          <w:b/>
        </w:rPr>
      </w:pPr>
      <w:bookmarkStart w:id="1" w:name="_Toc75527081"/>
      <w:bookmarkStart w:id="2" w:name="_Toc223338118"/>
      <w:r>
        <w:rPr>
          <w:b/>
        </w:rPr>
        <w:lastRenderedPageBreak/>
        <w:t>STRUČNA SKUPINA ZA ZAPOŠLJAVANJE, SOCIJALNA PITANJA I GRAĐANSTVO</w:t>
      </w:r>
      <w:bookmarkEnd w:id="1"/>
      <w:bookmarkEnd w:id="2"/>
    </w:p>
    <w:p w14:paraId="4982DD9A" w14:textId="77777777" w:rsidR="004D7AC0" w:rsidRPr="00153E09" w:rsidRDefault="004D7AC0" w:rsidP="00100EF9"/>
    <w:p w14:paraId="641201ED" w14:textId="77777777" w:rsidR="00162B1C" w:rsidRPr="00B4456F" w:rsidRDefault="00162B1C" w:rsidP="00162B1C">
      <w:pPr>
        <w:widowControl w:val="0"/>
        <w:numPr>
          <w:ilvl w:val="0"/>
          <w:numId w:val="31"/>
        </w:numPr>
        <w:ind w:hanging="567"/>
        <w:rPr>
          <w:sz w:val="24"/>
          <w:szCs w:val="24"/>
        </w:rPr>
      </w:pPr>
      <w:r>
        <w:rPr>
          <w:b/>
          <w:i/>
          <w:sz w:val="28"/>
        </w:rPr>
        <w:t xml:space="preserve">SOC/844 – </w:t>
      </w:r>
      <w:hyperlink r:id="rId24" w:history="1">
        <w:r>
          <w:rPr>
            <w:rStyle w:val="Hyperlink"/>
            <w:b/>
            <w:i/>
            <w:sz w:val="28"/>
          </w:rPr>
          <w:t>Potpora Unije za azil, migracije i integraciju, unutarnju sigurnost te integrirano upravljanje granicama i viznu politiku</w:t>
        </w:r>
      </w:hyperlink>
    </w:p>
    <w:p w14:paraId="21E0DCE2" w14:textId="77777777" w:rsidR="00162B1C" w:rsidRPr="004A2473" w:rsidRDefault="00162B1C" w:rsidP="00162B1C">
      <w:pPr>
        <w:tabs>
          <w:tab w:val="center" w:pos="284"/>
        </w:tabs>
        <w:ind w:left="266" w:hanging="266"/>
        <w:rPr>
          <w:b/>
          <w:sz w:val="20"/>
          <w:szCs w:val="20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237"/>
      </w:tblGrid>
      <w:tr w:rsidR="00162B1C" w:rsidRPr="00663636" w14:paraId="5FC5A9CF" w14:textId="77777777" w:rsidTr="006C5879">
        <w:tc>
          <w:tcPr>
            <w:tcW w:w="2552" w:type="dxa"/>
          </w:tcPr>
          <w:p w14:paraId="4A868046" w14:textId="77777777" w:rsidR="00162B1C" w:rsidRPr="00A03ACD" w:rsidRDefault="00162B1C" w:rsidP="006C5879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  <w:p w14:paraId="24F3E3C9" w14:textId="77777777" w:rsidR="00162B1C" w:rsidRPr="00A03ACD" w:rsidRDefault="00162B1C" w:rsidP="006C5879">
            <w:pPr>
              <w:tabs>
                <w:tab w:val="center" w:pos="284"/>
              </w:tabs>
              <w:ind w:left="266" w:hanging="266"/>
              <w:rPr>
                <w:b/>
              </w:rPr>
            </w:pPr>
          </w:p>
        </w:tc>
        <w:tc>
          <w:tcPr>
            <w:tcW w:w="6237" w:type="dxa"/>
          </w:tcPr>
          <w:p w14:paraId="3B764E24" w14:textId="77777777" w:rsidR="00162B1C" w:rsidRPr="008B515F" w:rsidRDefault="00162B1C" w:rsidP="006C5879">
            <w:pPr>
              <w:tabs>
                <w:tab w:val="center" w:pos="284"/>
              </w:tabs>
              <w:ind w:left="266" w:hanging="266"/>
            </w:pPr>
            <w:r>
              <w:t>José Antonio MORENO DÍAZ (Skupina radnika – ES)</w:t>
            </w:r>
          </w:p>
          <w:p w14:paraId="44A096CA" w14:textId="77777777" w:rsidR="00162B1C" w:rsidRPr="008B515F" w:rsidRDefault="00162B1C" w:rsidP="006C5879">
            <w:pPr>
              <w:tabs>
                <w:tab w:val="center" w:pos="284"/>
              </w:tabs>
              <w:ind w:left="266" w:hanging="266"/>
              <w:rPr>
                <w:lang w:val="es-ES"/>
              </w:rPr>
            </w:pPr>
          </w:p>
        </w:tc>
      </w:tr>
      <w:tr w:rsidR="00162B1C" w:rsidRPr="00FF36DF" w14:paraId="7F9E470D" w14:textId="77777777" w:rsidTr="006C5879">
        <w:tc>
          <w:tcPr>
            <w:tcW w:w="2552" w:type="dxa"/>
            <w:vMerge w:val="restart"/>
          </w:tcPr>
          <w:p w14:paraId="3D104FA7" w14:textId="77777777" w:rsidR="00162B1C" w:rsidRPr="00B4456F" w:rsidRDefault="00162B1C" w:rsidP="006C5879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 xml:space="preserve">Referentni dokument/i: </w:t>
            </w:r>
          </w:p>
        </w:tc>
        <w:tc>
          <w:tcPr>
            <w:tcW w:w="6237" w:type="dxa"/>
          </w:tcPr>
          <w:p w14:paraId="35CC9143" w14:textId="77777777" w:rsidR="00162B1C" w:rsidRPr="00FF36DF" w:rsidRDefault="00162B1C" w:rsidP="006C5879">
            <w:pPr>
              <w:tabs>
                <w:tab w:val="center" w:pos="284"/>
              </w:tabs>
              <w:ind w:left="266" w:hanging="266"/>
            </w:pPr>
            <w:r>
              <w:t xml:space="preserve">COM(2025) 540 </w:t>
            </w:r>
            <w:proofErr w:type="spellStart"/>
            <w:r>
              <w:t>final</w:t>
            </w:r>
            <w:proofErr w:type="spellEnd"/>
            <w:r>
              <w:t xml:space="preserve"> 2025/0540(COD)</w:t>
            </w:r>
          </w:p>
          <w:p w14:paraId="03ED77C8" w14:textId="77777777" w:rsidR="00162B1C" w:rsidRDefault="00162B1C" w:rsidP="006C5879">
            <w:pPr>
              <w:tabs>
                <w:tab w:val="center" w:pos="284"/>
              </w:tabs>
              <w:ind w:left="266" w:hanging="266"/>
            </w:pPr>
            <w:r>
              <w:t xml:space="preserve">COM(2025) 541 </w:t>
            </w:r>
            <w:proofErr w:type="spellStart"/>
            <w:r>
              <w:t>final</w:t>
            </w:r>
            <w:proofErr w:type="spellEnd"/>
            <w:r>
              <w:t xml:space="preserve"> 2025/0541(COD)</w:t>
            </w:r>
          </w:p>
          <w:p w14:paraId="4818EF39" w14:textId="77777777" w:rsidR="00162B1C" w:rsidRPr="00FF36DF" w:rsidRDefault="00162B1C" w:rsidP="006C5879">
            <w:pPr>
              <w:tabs>
                <w:tab w:val="center" w:pos="284"/>
              </w:tabs>
              <w:ind w:left="266" w:hanging="266"/>
            </w:pPr>
            <w:r>
              <w:t xml:space="preserve">COM(2025) 542 </w:t>
            </w:r>
            <w:proofErr w:type="spellStart"/>
            <w:r>
              <w:t>final</w:t>
            </w:r>
            <w:proofErr w:type="spellEnd"/>
            <w:r>
              <w:t xml:space="preserve"> 2025/0542(COD)</w:t>
            </w:r>
          </w:p>
        </w:tc>
      </w:tr>
      <w:tr w:rsidR="00162B1C" w:rsidRPr="00B4456F" w14:paraId="72C56B40" w14:textId="77777777" w:rsidTr="006C5879">
        <w:tc>
          <w:tcPr>
            <w:tcW w:w="2552" w:type="dxa"/>
            <w:vMerge/>
          </w:tcPr>
          <w:p w14:paraId="7618CCC2" w14:textId="77777777" w:rsidR="00162B1C" w:rsidRPr="00FF36DF" w:rsidRDefault="00162B1C" w:rsidP="006C5879">
            <w:pPr>
              <w:tabs>
                <w:tab w:val="center" w:pos="284"/>
              </w:tabs>
              <w:ind w:left="266" w:hanging="266"/>
              <w:rPr>
                <w:b/>
                <w:lang w:val="pt-PT"/>
              </w:rPr>
            </w:pPr>
          </w:p>
        </w:tc>
        <w:tc>
          <w:tcPr>
            <w:tcW w:w="6237" w:type="dxa"/>
          </w:tcPr>
          <w:p w14:paraId="3074253D" w14:textId="77777777" w:rsidR="00162B1C" w:rsidRPr="00B4456F" w:rsidRDefault="00162B1C" w:rsidP="006C5879">
            <w:pPr>
              <w:tabs>
                <w:tab w:val="center" w:pos="284"/>
              </w:tabs>
              <w:ind w:left="266" w:hanging="266"/>
            </w:pPr>
            <w:r>
              <w:t>EESC-2025-03434-00-00-AC-TRA</w:t>
            </w:r>
          </w:p>
        </w:tc>
      </w:tr>
    </w:tbl>
    <w:p w14:paraId="1AB06B24" w14:textId="77777777" w:rsidR="00162B1C" w:rsidRPr="004A2473" w:rsidRDefault="00162B1C" w:rsidP="00162B1C">
      <w:pPr>
        <w:tabs>
          <w:tab w:val="center" w:pos="284"/>
        </w:tabs>
        <w:ind w:left="266" w:hanging="266"/>
        <w:rPr>
          <w:sz w:val="20"/>
          <w:szCs w:val="20"/>
        </w:rPr>
      </w:pPr>
    </w:p>
    <w:p w14:paraId="7D0B0556" w14:textId="77777777" w:rsidR="00162B1C" w:rsidRPr="00B4456F" w:rsidRDefault="00162B1C" w:rsidP="00162B1C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Ključne točke</w:t>
      </w:r>
    </w:p>
    <w:p w14:paraId="2AD8BC77" w14:textId="77777777" w:rsidR="00162B1C" w:rsidRPr="004A2473" w:rsidRDefault="00162B1C" w:rsidP="00162B1C">
      <w:pPr>
        <w:keepNext/>
        <w:keepLines/>
        <w:tabs>
          <w:tab w:val="center" w:pos="284"/>
        </w:tabs>
        <w:ind w:left="266" w:hanging="266"/>
        <w:rPr>
          <w:bCs/>
          <w:sz w:val="20"/>
          <w:szCs w:val="20"/>
        </w:rPr>
      </w:pPr>
    </w:p>
    <w:p w14:paraId="57C2DD66" w14:textId="77777777" w:rsidR="00162B1C" w:rsidRDefault="00162B1C" w:rsidP="00162B1C">
      <w:pPr>
        <w:rPr>
          <w:bCs/>
          <w:iCs/>
        </w:rPr>
      </w:pPr>
      <w:r>
        <w:t>EGSO:</w:t>
      </w:r>
    </w:p>
    <w:p w14:paraId="69B4666C" w14:textId="77777777" w:rsidR="00162B1C" w:rsidRPr="004A2473" w:rsidRDefault="00162B1C" w:rsidP="00162B1C">
      <w:pPr>
        <w:rPr>
          <w:bCs/>
          <w:iCs/>
          <w:sz w:val="20"/>
          <w:szCs w:val="20"/>
        </w:rPr>
      </w:pPr>
    </w:p>
    <w:p w14:paraId="48CA2B4E" w14:textId="77777777" w:rsidR="00162B1C" w:rsidRDefault="00162B1C" w:rsidP="00162B1C">
      <w:pPr>
        <w:pStyle w:val="ListParagraph"/>
        <w:numPr>
          <w:ilvl w:val="0"/>
          <w:numId w:val="31"/>
        </w:numPr>
        <w:ind w:hanging="567"/>
        <w:jc w:val="left"/>
        <w:rPr>
          <w:bCs/>
          <w:iCs/>
        </w:rPr>
      </w:pPr>
      <w:r>
        <w:t>naglašava hitnu potrebu za uspostavom imigracijske politike kojom bi se osigurali zakoniti, sigurni i učinkoviti kanali za pristup EU-u. To je stajalište u skladu s prethodnim mišljenjima u kojima je EGSO naglasio važnost osiguravanja zakonitih putova u EU, zaštite temeljnih prava migranata i poboljšanja upravljanja mobilnošću unutar EU-a;</w:t>
      </w:r>
    </w:p>
    <w:p w14:paraId="0EEC22A9" w14:textId="77777777" w:rsidR="00162B1C" w:rsidRPr="008B515F" w:rsidRDefault="00162B1C" w:rsidP="00162B1C">
      <w:pPr>
        <w:pStyle w:val="ListParagraph"/>
        <w:numPr>
          <w:ilvl w:val="0"/>
          <w:numId w:val="31"/>
        </w:numPr>
        <w:ind w:hanging="567"/>
        <w:jc w:val="left"/>
        <w:rPr>
          <w:bCs/>
          <w:iCs/>
        </w:rPr>
      </w:pPr>
      <w:r>
        <w:t>napominje da se u sve tri uredbe prioriteti EU-a strukturno preusmjeravaju, uz znatan pomak prema kontroli i sigurnosti. Zbog snažne usmjerenosti na unutarnju i vanjsku sigurnost često se zanemaruju mjere potpore za integraciju i uključivanje. EGSO naglašava da se migracijska politika ne može svesti na pristup utemeljen na sigurnosti;</w:t>
      </w:r>
    </w:p>
    <w:p w14:paraId="13FA6046" w14:textId="77777777" w:rsidR="00162B1C" w:rsidRDefault="00162B1C" w:rsidP="00162B1C">
      <w:pPr>
        <w:pStyle w:val="ListParagraph"/>
        <w:numPr>
          <w:ilvl w:val="0"/>
          <w:numId w:val="31"/>
        </w:numPr>
        <w:ind w:hanging="567"/>
        <w:jc w:val="left"/>
        <w:rPr>
          <w:bCs/>
          <w:iCs/>
        </w:rPr>
      </w:pPr>
      <w:r>
        <w:t>naglašava da je važan aspekt funkcionalnog migracijskog sustava cjelovit set alata i instrumenata za upravljanje zakonitim migracijama i izbjegavanje nepravilnosti, što, ako je primjenjivo i u potpunosti u skladu s pravom EU-a i međunarodnim pravom, uključuje i vraćanje. Međutim, njihova provedba mora biti pažljivo uravnotežena jer te mjere nikada ne smiju biti nauštrb temeljnih prava, posebno prava na zaštitu pojedinaca;</w:t>
      </w:r>
    </w:p>
    <w:p w14:paraId="074C1DB9" w14:textId="77777777" w:rsidR="00162B1C" w:rsidRPr="008B515F" w:rsidRDefault="00162B1C" w:rsidP="00162B1C">
      <w:pPr>
        <w:pStyle w:val="ListParagraph"/>
        <w:numPr>
          <w:ilvl w:val="0"/>
          <w:numId w:val="31"/>
        </w:numPr>
        <w:ind w:hanging="567"/>
        <w:jc w:val="left"/>
        <w:rPr>
          <w:bCs/>
          <w:iCs/>
        </w:rPr>
      </w:pPr>
      <w:r>
        <w:t>smatra da je, uz transparentne mehanizme izvješćivanja, ključno poboljšati mehanizme za neovisno praćenje temeljnih prava i humanitarnih uvjeta na granicama;</w:t>
      </w:r>
    </w:p>
    <w:p w14:paraId="0E1CEFD7" w14:textId="77777777" w:rsidR="00162B1C" w:rsidRPr="008B515F" w:rsidRDefault="00162B1C" w:rsidP="00162B1C">
      <w:pPr>
        <w:pStyle w:val="ListParagraph"/>
        <w:numPr>
          <w:ilvl w:val="0"/>
          <w:numId w:val="31"/>
        </w:numPr>
        <w:ind w:hanging="567"/>
        <w:jc w:val="left"/>
        <w:rPr>
          <w:bCs/>
          <w:iCs/>
        </w:rPr>
      </w:pPr>
      <w:r>
        <w:t>smatra da sve tri uredbe koje su zajedno donesene za razdoblje 2028. – 2034. stavljaju snažan naglasak na sigurnosne mjere i eksternalizaciju nadzora državne granice, što dovodi do zabrinutosti zbog mogućeg rizika od ugrožavanja temeljnih prava. Od presudne je važnosti i osigurati zaštitu temeljnih ljudskih prava.</w:t>
      </w:r>
    </w:p>
    <w:p w14:paraId="0729D656" w14:textId="77777777" w:rsidR="00162B1C" w:rsidRDefault="00162B1C" w:rsidP="00162B1C">
      <w:pPr>
        <w:widowControl w:val="0"/>
        <w:ind w:left="709"/>
        <w:rPr>
          <w:sz w:val="20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7"/>
        <w:gridCol w:w="7118"/>
      </w:tblGrid>
      <w:tr w:rsidR="00162B1C" w:rsidRPr="00A6689B" w14:paraId="3D30ACF0" w14:textId="77777777" w:rsidTr="006C5879">
        <w:tc>
          <w:tcPr>
            <w:tcW w:w="1078" w:type="pct"/>
          </w:tcPr>
          <w:p w14:paraId="6B1062CD" w14:textId="77777777" w:rsidR="00162B1C" w:rsidRPr="00A6689B" w:rsidRDefault="00162B1C" w:rsidP="006C5879">
            <w:pPr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3922" w:type="pct"/>
          </w:tcPr>
          <w:p w14:paraId="6EAB5033" w14:textId="77777777" w:rsidR="00162B1C" w:rsidRPr="00A6689B" w:rsidRDefault="00162B1C" w:rsidP="006C5879">
            <w:pPr>
              <w:rPr>
                <w:i/>
              </w:rPr>
            </w:pPr>
            <w:proofErr w:type="spellStart"/>
            <w:r>
              <w:t>Gemma</w:t>
            </w:r>
            <w:proofErr w:type="spellEnd"/>
            <w:r>
              <w:t xml:space="preserve"> AMRAN</w:t>
            </w:r>
          </w:p>
        </w:tc>
      </w:tr>
      <w:tr w:rsidR="00162B1C" w:rsidRPr="00A6689B" w14:paraId="66B9B00E" w14:textId="77777777" w:rsidTr="006C5879">
        <w:tc>
          <w:tcPr>
            <w:tcW w:w="1078" w:type="pct"/>
          </w:tcPr>
          <w:p w14:paraId="0F674922" w14:textId="77777777" w:rsidR="00162B1C" w:rsidRPr="00A6689B" w:rsidRDefault="00162B1C" w:rsidP="006C5879">
            <w:pPr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3922" w:type="pct"/>
          </w:tcPr>
          <w:p w14:paraId="086D5DF2" w14:textId="77777777" w:rsidR="00162B1C" w:rsidRPr="00A6689B" w:rsidRDefault="00162B1C" w:rsidP="006C5879">
            <w:pPr>
              <w:rPr>
                <w:i/>
              </w:rPr>
            </w:pPr>
            <w:r>
              <w:t>+32 25469415</w:t>
            </w:r>
          </w:p>
        </w:tc>
      </w:tr>
      <w:tr w:rsidR="00162B1C" w:rsidRPr="00A6689B" w14:paraId="698BD16C" w14:textId="77777777" w:rsidTr="006C5879">
        <w:tc>
          <w:tcPr>
            <w:tcW w:w="1078" w:type="pct"/>
          </w:tcPr>
          <w:p w14:paraId="7CA3EA31" w14:textId="77777777" w:rsidR="00162B1C" w:rsidRPr="00A6689B" w:rsidRDefault="00162B1C" w:rsidP="006C5879">
            <w:pPr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3922" w:type="pct"/>
          </w:tcPr>
          <w:p w14:paraId="375C433A" w14:textId="77777777" w:rsidR="00162B1C" w:rsidRPr="00A6689B" w:rsidRDefault="00162B1C" w:rsidP="006C5879">
            <w:pPr>
              <w:rPr>
                <w:i/>
              </w:rPr>
            </w:pPr>
            <w:hyperlink r:id="rId25" w:history="1">
              <w:r>
                <w:rPr>
                  <w:rStyle w:val="Hyperlink"/>
                  <w:i/>
                </w:rPr>
                <w:t>Gemma.Amran@eesc.europa.eu</w:t>
              </w:r>
            </w:hyperlink>
          </w:p>
        </w:tc>
      </w:tr>
    </w:tbl>
    <w:p w14:paraId="4982DDC4" w14:textId="77777777" w:rsidR="004D7AC0" w:rsidRPr="00803CA6" w:rsidRDefault="004D7AC0" w:rsidP="00100EF9">
      <w:pPr>
        <w:pStyle w:val="ListParagraph"/>
        <w:ind w:left="0"/>
      </w:pPr>
    </w:p>
    <w:p w14:paraId="4982DDC5" w14:textId="77777777" w:rsidR="004D7AC0" w:rsidRDefault="004D7AC0" w:rsidP="00100EF9">
      <w:pPr>
        <w:jc w:val="left"/>
      </w:pPr>
      <w:r>
        <w:br w:type="page"/>
      </w:r>
    </w:p>
    <w:p w14:paraId="4982DDC6" w14:textId="77777777" w:rsidR="004D7AC0" w:rsidRDefault="004D7AC0" w:rsidP="00100EF9">
      <w:pPr>
        <w:pStyle w:val="Heading1"/>
        <w:rPr>
          <w:b/>
        </w:rPr>
      </w:pPr>
      <w:bookmarkStart w:id="3" w:name="_Toc24617160"/>
      <w:bookmarkStart w:id="4" w:name="_Toc75527082"/>
      <w:bookmarkStart w:id="5" w:name="_Toc223338119"/>
      <w:r>
        <w:rPr>
          <w:b/>
        </w:rPr>
        <w:lastRenderedPageBreak/>
        <w:t>STRUČNA SKUPINA ZA PROMET, ENERGIJU, INFRASTRUKTURU I INFORMACIJSKO DRUŠTVO</w:t>
      </w:r>
      <w:bookmarkEnd w:id="3"/>
      <w:bookmarkEnd w:id="4"/>
      <w:bookmarkEnd w:id="5"/>
    </w:p>
    <w:p w14:paraId="4982DDC7" w14:textId="77777777" w:rsidR="004D7AC0" w:rsidRDefault="004D7AC0" w:rsidP="00100EF9"/>
    <w:p w14:paraId="1123C9FA" w14:textId="77777777" w:rsidR="008355A5" w:rsidRPr="006F37F5" w:rsidRDefault="008355A5" w:rsidP="008355A5">
      <w:pPr>
        <w:widowControl w:val="0"/>
        <w:numPr>
          <w:ilvl w:val="0"/>
          <w:numId w:val="31"/>
        </w:numPr>
        <w:ind w:hanging="567"/>
        <w:rPr>
          <w:sz w:val="24"/>
          <w:szCs w:val="24"/>
        </w:rPr>
      </w:pPr>
      <w:r>
        <w:rPr>
          <w:b/>
          <w:i/>
          <w:sz w:val="24"/>
        </w:rPr>
        <w:t xml:space="preserve">TEN/867 – </w:t>
      </w:r>
      <w:hyperlink r:id="rId26" w:history="1">
        <w:r>
          <w:rPr>
            <w:rStyle w:val="Hyperlink"/>
            <w:b/>
            <w:i/>
            <w:sz w:val="24"/>
          </w:rPr>
          <w:t>Europska strategija za biološke znanosti i Strategija za istraživačku i tehnološku infrastrukturu s posebnim naglaskom na liječenju rijetkih bolesti</w:t>
        </w:r>
      </w:hyperlink>
    </w:p>
    <w:p w14:paraId="25084780" w14:textId="77777777" w:rsidR="008355A5" w:rsidRPr="00A6689B" w:rsidRDefault="008355A5" w:rsidP="008355A5">
      <w:pPr>
        <w:tabs>
          <w:tab w:val="center" w:pos="284"/>
        </w:tabs>
        <w:ind w:left="266" w:hanging="266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7376"/>
      </w:tblGrid>
      <w:tr w:rsidR="008355A5" w:rsidRPr="00A6689B" w14:paraId="2936B994" w14:textId="77777777" w:rsidTr="006C5879">
        <w:tc>
          <w:tcPr>
            <w:tcW w:w="1701" w:type="dxa"/>
          </w:tcPr>
          <w:p w14:paraId="49ABBE82" w14:textId="77777777" w:rsidR="008355A5" w:rsidRPr="00A6689B" w:rsidRDefault="008355A5" w:rsidP="006C5879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763" w:type="dxa"/>
          </w:tcPr>
          <w:p w14:paraId="5CB8663A" w14:textId="77777777" w:rsidR="008355A5" w:rsidRPr="00545B74" w:rsidRDefault="008355A5" w:rsidP="006C5879">
            <w:pPr>
              <w:tabs>
                <w:tab w:val="center" w:pos="284"/>
              </w:tabs>
              <w:ind w:left="266" w:hanging="266"/>
            </w:pPr>
            <w:r>
              <w:t>Milena ANGELOVA (Skupina poslodavaca – BG)</w:t>
            </w:r>
          </w:p>
        </w:tc>
      </w:tr>
      <w:tr w:rsidR="008355A5" w:rsidRPr="00DA7AE7" w14:paraId="70FBB0CD" w14:textId="77777777" w:rsidTr="006C5879">
        <w:tc>
          <w:tcPr>
            <w:tcW w:w="1701" w:type="dxa"/>
          </w:tcPr>
          <w:p w14:paraId="337A3BEE" w14:textId="77777777" w:rsidR="008355A5" w:rsidRPr="00A6689B" w:rsidRDefault="008355A5" w:rsidP="006C5879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7763" w:type="dxa"/>
          </w:tcPr>
          <w:p w14:paraId="7359F924" w14:textId="77777777" w:rsidR="008355A5" w:rsidRPr="00DA7AE7" w:rsidRDefault="008355A5" w:rsidP="006C5879">
            <w:pPr>
              <w:tabs>
                <w:tab w:val="center" w:pos="284"/>
              </w:tabs>
              <w:ind w:left="266" w:right="-108" w:hanging="266"/>
              <w:jc w:val="left"/>
            </w:pPr>
            <w:proofErr w:type="spellStart"/>
            <w:r>
              <w:t>Razmatračko</w:t>
            </w:r>
            <w:proofErr w:type="spellEnd"/>
            <w:r>
              <w:t xml:space="preserve"> mišljenje na zahtjev ciparskog predsjedništva Vijeća EU-a</w:t>
            </w:r>
          </w:p>
          <w:p w14:paraId="5DB7D88E" w14:textId="77777777" w:rsidR="008355A5" w:rsidRPr="00016AA1" w:rsidRDefault="008355A5" w:rsidP="006C5879">
            <w:pPr>
              <w:tabs>
                <w:tab w:val="center" w:pos="284"/>
              </w:tabs>
              <w:ind w:left="266" w:hanging="266"/>
            </w:pPr>
            <w:r>
              <w:t>EESC-2025-03652-00-00-AC</w:t>
            </w:r>
          </w:p>
        </w:tc>
      </w:tr>
    </w:tbl>
    <w:p w14:paraId="02BA93ED" w14:textId="77777777" w:rsidR="008355A5" w:rsidRDefault="008355A5" w:rsidP="008355A5">
      <w:pPr>
        <w:keepNext/>
        <w:keepLines/>
        <w:tabs>
          <w:tab w:val="center" w:pos="284"/>
        </w:tabs>
        <w:ind w:left="266" w:hanging="266"/>
        <w:rPr>
          <w:b/>
          <w:bCs/>
        </w:rPr>
      </w:pPr>
    </w:p>
    <w:p w14:paraId="4AC98A7E" w14:textId="77777777" w:rsidR="008355A5" w:rsidRDefault="008355A5" w:rsidP="008355A5">
      <w:pPr>
        <w:keepNext/>
        <w:keepLines/>
        <w:tabs>
          <w:tab w:val="center" w:pos="284"/>
        </w:tabs>
        <w:ind w:left="266" w:hanging="266"/>
        <w:rPr>
          <w:b/>
          <w:bCs/>
        </w:rPr>
      </w:pPr>
      <w:r>
        <w:rPr>
          <w:b/>
        </w:rPr>
        <w:t xml:space="preserve">Ključne točke </w:t>
      </w:r>
    </w:p>
    <w:p w14:paraId="30D2E1BD" w14:textId="77777777" w:rsidR="008355A5" w:rsidRPr="00A6689B" w:rsidRDefault="008355A5" w:rsidP="008355A5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252AD199" w14:textId="77777777" w:rsidR="008355A5" w:rsidRPr="006E3C7B" w:rsidRDefault="008355A5" w:rsidP="008355A5">
      <w:r>
        <w:t>EGSO:</w:t>
      </w:r>
    </w:p>
    <w:p w14:paraId="76B7AE6C" w14:textId="77777777" w:rsidR="008355A5" w:rsidRPr="004C6906" w:rsidRDefault="008355A5" w:rsidP="008355A5">
      <w:pPr>
        <w:pStyle w:val="ListParagraph"/>
        <w:numPr>
          <w:ilvl w:val="0"/>
          <w:numId w:val="11"/>
        </w:numPr>
        <w:shd w:val="clear" w:color="auto" w:fill="FFFFFF" w:themeFill="background1"/>
        <w:spacing w:line="276" w:lineRule="auto"/>
        <w:ind w:left="567" w:hanging="567"/>
        <w:rPr>
          <w:rStyle w:val="Hyperlink"/>
          <w:color w:val="242424"/>
        </w:rPr>
      </w:pPr>
      <w:r>
        <w:rPr>
          <w:color w:val="242424"/>
        </w:rPr>
        <w:t xml:space="preserve">pozdravlja Strategiju za europske biološke znanosti i naglašava da osiguravanje </w:t>
      </w:r>
      <w:r>
        <w:rPr>
          <w:b/>
          <w:color w:val="242424"/>
        </w:rPr>
        <w:t>holističkog pristupa</w:t>
      </w:r>
      <w:r>
        <w:rPr>
          <w:color w:val="242424"/>
        </w:rPr>
        <w:t xml:space="preserve"> i poticajnog okruženja može Europu učiniti </w:t>
      </w:r>
      <w:r>
        <w:rPr>
          <w:b/>
          <w:color w:val="242424"/>
        </w:rPr>
        <w:t>globalnim liderom u području bioloških znanosti</w:t>
      </w:r>
      <w:r>
        <w:rPr>
          <w:color w:val="242424"/>
        </w:rPr>
        <w:t xml:space="preserve"> (posebno za rijetke bolesti i </w:t>
      </w:r>
      <w:proofErr w:type="spellStart"/>
      <w:r>
        <w:rPr>
          <w:color w:val="242424"/>
        </w:rPr>
        <w:t>genomiku</w:t>
      </w:r>
      <w:proofErr w:type="spellEnd"/>
      <w:r>
        <w:rPr>
          <w:color w:val="242424"/>
        </w:rPr>
        <w:t>).</w:t>
      </w:r>
      <w:r>
        <w:rPr>
          <w:rStyle w:val="Hyperlink"/>
          <w:color w:val="242424"/>
        </w:rPr>
        <w:t xml:space="preserve"> Takav </w:t>
      </w:r>
      <w:r>
        <w:rPr>
          <w:rStyle w:val="Hyperlink"/>
          <w:b/>
          <w:color w:val="242424"/>
        </w:rPr>
        <w:t>pristup</w:t>
      </w:r>
      <w:r>
        <w:rPr>
          <w:rStyle w:val="Hyperlink"/>
          <w:color w:val="242424"/>
        </w:rPr>
        <w:t xml:space="preserve"> obuhvaća:</w:t>
      </w:r>
    </w:p>
    <w:p w14:paraId="7FAB6F40" w14:textId="77777777" w:rsidR="008355A5" w:rsidRPr="004E1554" w:rsidRDefault="008355A5" w:rsidP="008355A5">
      <w:pPr>
        <w:pStyle w:val="ListParagraph"/>
        <w:numPr>
          <w:ilvl w:val="1"/>
          <w:numId w:val="11"/>
        </w:numPr>
        <w:shd w:val="clear" w:color="auto" w:fill="FFFFFF" w:themeFill="background1"/>
        <w:spacing w:line="276" w:lineRule="auto"/>
        <w:ind w:left="1134" w:hanging="567"/>
        <w:rPr>
          <w:rStyle w:val="Hyperlink"/>
          <w:color w:val="242424"/>
        </w:rPr>
      </w:pPr>
      <w:r>
        <w:rPr>
          <w:rStyle w:val="Hyperlink"/>
          <w:color w:val="242424"/>
        </w:rPr>
        <w:t xml:space="preserve"> sveobuhvatne znanstvene metode i metode utemeljene na podacima radi dijagnosticiranja i razumijevanja uzrokâ bolesti (npr. genetika, nezdrave navike i način života, onečišćenje, stres itd.),</w:t>
      </w:r>
    </w:p>
    <w:p w14:paraId="6ED7DA91" w14:textId="77777777" w:rsidR="008355A5" w:rsidRPr="00F81BC1" w:rsidRDefault="008355A5" w:rsidP="008355A5">
      <w:pPr>
        <w:pStyle w:val="ListParagraph"/>
        <w:numPr>
          <w:ilvl w:val="1"/>
          <w:numId w:val="11"/>
        </w:numPr>
        <w:shd w:val="clear" w:color="auto" w:fill="FFFFFF" w:themeFill="background1"/>
        <w:spacing w:line="276" w:lineRule="auto"/>
        <w:ind w:left="1134" w:hanging="567"/>
        <w:rPr>
          <w:rStyle w:val="Hyperlink"/>
          <w:color w:val="242424"/>
        </w:rPr>
      </w:pPr>
      <w:r>
        <w:rPr>
          <w:rStyle w:val="Hyperlink"/>
          <w:color w:val="242424"/>
        </w:rPr>
        <w:t>diseminaciju informacija o prevenciji i ranoj dijagnozi,</w:t>
      </w:r>
    </w:p>
    <w:p w14:paraId="69E8D14D" w14:textId="77777777" w:rsidR="008355A5" w:rsidRPr="003D1790" w:rsidRDefault="008355A5" w:rsidP="008355A5">
      <w:pPr>
        <w:pStyle w:val="ListParagraph"/>
        <w:numPr>
          <w:ilvl w:val="1"/>
          <w:numId w:val="11"/>
        </w:numPr>
        <w:shd w:val="clear" w:color="auto" w:fill="FFFFFF" w:themeFill="background1"/>
        <w:spacing w:line="276" w:lineRule="auto"/>
        <w:ind w:left="1134" w:hanging="567"/>
        <w:rPr>
          <w:rStyle w:val="Hyperlink"/>
          <w:color w:val="242424"/>
        </w:rPr>
      </w:pPr>
      <w:r>
        <w:rPr>
          <w:rStyle w:val="Hyperlink"/>
          <w:color w:val="242424"/>
        </w:rPr>
        <w:t>zdravstvene preglede i učinkovito i pristupačno liječenje,</w:t>
      </w:r>
    </w:p>
    <w:p w14:paraId="23B27514" w14:textId="77777777" w:rsidR="008355A5" w:rsidRDefault="008355A5" w:rsidP="008355A5">
      <w:pPr>
        <w:pStyle w:val="ListParagraph"/>
        <w:numPr>
          <w:ilvl w:val="1"/>
          <w:numId w:val="11"/>
        </w:numPr>
        <w:shd w:val="clear" w:color="auto" w:fill="FFFFFF" w:themeFill="background1"/>
        <w:spacing w:line="276" w:lineRule="auto"/>
        <w:ind w:left="1134" w:hanging="567"/>
        <w:rPr>
          <w:rStyle w:val="Hyperlink"/>
          <w:color w:val="242424"/>
        </w:rPr>
      </w:pPr>
      <w:r>
        <w:rPr>
          <w:rStyle w:val="Hyperlink"/>
          <w:color w:val="242424"/>
        </w:rPr>
        <w:t>visokokvalitetnu skrb i pristupačnu infrastrukturu za potporu pacijentima i njihovim obiteljima.</w:t>
      </w:r>
    </w:p>
    <w:p w14:paraId="10424EA5" w14:textId="77777777" w:rsidR="008355A5" w:rsidRPr="00E86056" w:rsidRDefault="008355A5" w:rsidP="008355A5">
      <w:pPr>
        <w:pStyle w:val="ListParagraph"/>
        <w:numPr>
          <w:ilvl w:val="0"/>
          <w:numId w:val="11"/>
        </w:numPr>
        <w:shd w:val="clear" w:color="auto" w:fill="FFFFFF" w:themeFill="background1"/>
        <w:spacing w:line="276" w:lineRule="auto"/>
        <w:ind w:left="567" w:hanging="567"/>
        <w:rPr>
          <w:rStyle w:val="Hyperlink"/>
          <w:color w:val="242424"/>
        </w:rPr>
      </w:pPr>
      <w:r>
        <w:rPr>
          <w:color w:val="242424"/>
        </w:rPr>
        <w:t xml:space="preserve">podržava poziv Europskog parlamenta da se brzo donese </w:t>
      </w:r>
      <w:hyperlink r:id="rId27">
        <w:r>
          <w:rPr>
            <w:rStyle w:val="Hyperlink"/>
            <w:b/>
            <w:color w:val="242424"/>
          </w:rPr>
          <w:t>akcijski plan EU-a za rijetke bolesti</w:t>
        </w:r>
      </w:hyperlink>
      <w:r>
        <w:rPr>
          <w:color w:val="242424"/>
        </w:rPr>
        <w:t xml:space="preserve">, među ostalim i oživljavanjem i daljnjim razvojem </w:t>
      </w:r>
      <w:hyperlink r:id="rId28">
        <w:r>
          <w:rPr>
            <w:rStyle w:val="Hyperlink"/>
            <w:b/>
            <w:color w:val="242424"/>
          </w:rPr>
          <w:t xml:space="preserve">„Poziva iz </w:t>
        </w:r>
        <w:proofErr w:type="spellStart"/>
        <w:r>
          <w:rPr>
            <w:rStyle w:val="Hyperlink"/>
            <w:b/>
            <w:color w:val="242424"/>
          </w:rPr>
          <w:t>Tartua</w:t>
        </w:r>
        <w:proofErr w:type="spellEnd"/>
        <w:r>
          <w:rPr>
            <w:rStyle w:val="Hyperlink"/>
            <w:b/>
            <w:color w:val="242424"/>
          </w:rPr>
          <w:t xml:space="preserve"> na zdrav način života”</w:t>
        </w:r>
      </w:hyperlink>
      <w:r>
        <w:rPr>
          <w:color w:val="242424"/>
        </w:rPr>
        <w:t xml:space="preserve"> i širokom primjenom </w:t>
      </w:r>
      <w:hyperlink r:id="rId29">
        <w:r>
          <w:rPr>
            <w:rStyle w:val="Hyperlink"/>
            <w:b/>
            <w:color w:val="242424"/>
          </w:rPr>
          <w:t>pristupa „Jedno zdravlje”</w:t>
        </w:r>
      </w:hyperlink>
      <w:r>
        <w:rPr>
          <w:color w:val="242424"/>
        </w:rPr>
        <w:t>;</w:t>
      </w:r>
    </w:p>
    <w:p w14:paraId="5ACFC344" w14:textId="77777777" w:rsidR="008355A5" w:rsidRPr="005F2618" w:rsidRDefault="008355A5" w:rsidP="008355A5">
      <w:pPr>
        <w:pStyle w:val="ListParagraph"/>
        <w:numPr>
          <w:ilvl w:val="0"/>
          <w:numId w:val="11"/>
        </w:numPr>
        <w:shd w:val="clear" w:color="auto" w:fill="FFFFFF" w:themeFill="background1"/>
        <w:spacing w:line="276" w:lineRule="auto"/>
        <w:ind w:left="567" w:hanging="567"/>
        <w:rPr>
          <w:b/>
          <w:bCs/>
          <w:color w:val="242424"/>
        </w:rPr>
      </w:pPr>
      <w:r>
        <w:rPr>
          <w:color w:val="242424"/>
        </w:rPr>
        <w:t xml:space="preserve">smatra da je istraživačka i tehnološka infrastruktura (uključujući ona za rijetke bolesti) ključna za poticanje razvoja bioloških znanosti i gospodarstva dugovječnosti i da bi trebala uključivati i </w:t>
      </w:r>
      <w:r>
        <w:rPr>
          <w:b/>
          <w:color w:val="242424"/>
        </w:rPr>
        <w:t>cijelu kulturu dugovječnosti</w:t>
      </w:r>
      <w:r>
        <w:rPr>
          <w:color w:val="242424"/>
        </w:rPr>
        <w:t xml:space="preserve"> (uključujući prevenciju, zdravu hranu, način života, balneoterapiju i rekreaciju, fizičko i mentalno zdravlje i mnoge druge elemente) koja obuhvaća puno više od dijagnosticiranja i liječenja bolesti;</w:t>
      </w:r>
    </w:p>
    <w:p w14:paraId="6F82F1CD" w14:textId="77777777" w:rsidR="008355A5" w:rsidRPr="0089753E" w:rsidRDefault="008355A5" w:rsidP="008355A5">
      <w:pPr>
        <w:pStyle w:val="ListParagraph"/>
        <w:numPr>
          <w:ilvl w:val="0"/>
          <w:numId w:val="11"/>
        </w:numPr>
        <w:shd w:val="clear" w:color="auto" w:fill="FFFFFF" w:themeFill="background1"/>
        <w:spacing w:line="276" w:lineRule="auto"/>
        <w:ind w:left="567" w:hanging="567"/>
        <w:rPr>
          <w:color w:val="242424"/>
        </w:rPr>
      </w:pPr>
      <w:r>
        <w:rPr>
          <w:color w:val="242424"/>
        </w:rPr>
        <w:t xml:space="preserve">preporučuje da se </w:t>
      </w:r>
      <w:r>
        <w:rPr>
          <w:b/>
          <w:color w:val="242424"/>
        </w:rPr>
        <w:t>u svakoj državi članici</w:t>
      </w:r>
      <w:r>
        <w:rPr>
          <w:color w:val="242424"/>
        </w:rPr>
        <w:t xml:space="preserve"> uspostave </w:t>
      </w:r>
      <w:r>
        <w:rPr>
          <w:b/>
          <w:color w:val="242424"/>
        </w:rPr>
        <w:t>centri za translacijska istraživanja specijalizirani za rijetke bolesti</w:t>
      </w:r>
      <w:r>
        <w:rPr>
          <w:color w:val="242424"/>
        </w:rPr>
        <w:t xml:space="preserve"> koji bi se koordinirali na razini EU-a radi dosljednosti;</w:t>
      </w:r>
    </w:p>
    <w:p w14:paraId="0D83271C" w14:textId="77777777" w:rsidR="008355A5" w:rsidRPr="0089753E" w:rsidRDefault="008355A5" w:rsidP="008355A5">
      <w:pPr>
        <w:pStyle w:val="ListParagraph"/>
        <w:numPr>
          <w:ilvl w:val="0"/>
          <w:numId w:val="11"/>
        </w:numPr>
        <w:shd w:val="clear" w:color="auto" w:fill="FFFFFF" w:themeFill="background1"/>
        <w:spacing w:line="276" w:lineRule="auto"/>
        <w:ind w:left="567" w:hanging="567"/>
        <w:rPr>
          <w:color w:val="242424"/>
        </w:rPr>
      </w:pPr>
      <w:r>
        <w:rPr>
          <w:color w:val="242424"/>
        </w:rPr>
        <w:t>naglašava da su europska partnerstva bitna za poticanje svrsishodnog i strukturiranog angažmana cijele lepeze dionika i traži uspostavu formaliziranih mehanizama za njihovo sudjelovanje;</w:t>
      </w:r>
    </w:p>
    <w:p w14:paraId="7B80045B" w14:textId="77777777" w:rsidR="008355A5" w:rsidRPr="00730B24" w:rsidRDefault="008355A5" w:rsidP="008355A5">
      <w:pPr>
        <w:pStyle w:val="ListParagraph"/>
        <w:numPr>
          <w:ilvl w:val="0"/>
          <w:numId w:val="11"/>
        </w:numPr>
        <w:shd w:val="clear" w:color="auto" w:fill="FFFFFF" w:themeFill="background1"/>
        <w:spacing w:line="276" w:lineRule="auto"/>
        <w:ind w:left="567" w:hanging="567"/>
        <w:rPr>
          <w:color w:val="242424"/>
        </w:rPr>
      </w:pPr>
      <w:r>
        <w:rPr>
          <w:color w:val="242424"/>
        </w:rPr>
        <w:t xml:space="preserve">zalaže se za </w:t>
      </w:r>
      <w:r>
        <w:rPr>
          <w:b/>
          <w:color w:val="242424"/>
        </w:rPr>
        <w:t>obaveznu zastupljenost organizacija pacijenata, socijalnih partnera i civilnog društva u upravljačkim tijelima</w:t>
      </w:r>
      <w:r>
        <w:rPr>
          <w:color w:val="242424"/>
        </w:rPr>
        <w:t xml:space="preserve"> jer će njihovo strukturirano, transparentno i sustavno uključivanje omogućiti definiranje prioriteta i podatkovnih protokola, ispunjavanje zahtjeva u pogledu transparentnosti o odlukama i upotrebi podataka te mehanizam kojim će se osigurati istinsko uzimanje u obzir njihovih doprinosa.</w:t>
      </w:r>
    </w:p>
    <w:p w14:paraId="7934172F" w14:textId="77777777" w:rsidR="008355A5" w:rsidRDefault="008355A5" w:rsidP="008355A5">
      <w:pPr>
        <w:ind w:left="720"/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188"/>
      </w:tblGrid>
      <w:tr w:rsidR="008355A5" w:rsidRPr="00A6689B" w14:paraId="0FDA6B5C" w14:textId="77777777" w:rsidTr="006C5879">
        <w:tc>
          <w:tcPr>
            <w:tcW w:w="1418" w:type="dxa"/>
          </w:tcPr>
          <w:p w14:paraId="5E6A574A" w14:textId="77777777" w:rsidR="008355A5" w:rsidRPr="00A6689B" w:rsidRDefault="008355A5" w:rsidP="006C5879">
            <w:pPr>
              <w:spacing w:line="240" w:lineRule="auto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8188" w:type="dxa"/>
          </w:tcPr>
          <w:p w14:paraId="30A39D68" w14:textId="77777777" w:rsidR="008355A5" w:rsidRPr="00A6689B" w:rsidRDefault="008355A5" w:rsidP="006C5879">
            <w:pPr>
              <w:spacing w:line="240" w:lineRule="auto"/>
              <w:rPr>
                <w:i/>
              </w:rPr>
            </w:pPr>
            <w:r>
              <w:rPr>
                <w:i/>
              </w:rPr>
              <w:t xml:space="preserve">Konstantina </w:t>
            </w:r>
            <w:proofErr w:type="spellStart"/>
            <w:r>
              <w:rPr>
                <w:i/>
              </w:rPr>
              <w:t>Angelopoulou</w:t>
            </w:r>
            <w:proofErr w:type="spellEnd"/>
          </w:p>
        </w:tc>
      </w:tr>
      <w:tr w:rsidR="008355A5" w:rsidRPr="00A6689B" w14:paraId="6AF75AD0" w14:textId="77777777" w:rsidTr="006C5879">
        <w:tc>
          <w:tcPr>
            <w:tcW w:w="1418" w:type="dxa"/>
          </w:tcPr>
          <w:p w14:paraId="49557453" w14:textId="77777777" w:rsidR="008355A5" w:rsidRPr="00A6689B" w:rsidRDefault="008355A5" w:rsidP="006C5879">
            <w:pPr>
              <w:spacing w:line="240" w:lineRule="auto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8188" w:type="dxa"/>
          </w:tcPr>
          <w:p w14:paraId="6E5C6E10" w14:textId="77777777" w:rsidR="008355A5" w:rsidRPr="00A6689B" w:rsidRDefault="008355A5" w:rsidP="006C5879">
            <w:pPr>
              <w:spacing w:line="240" w:lineRule="auto"/>
              <w:rPr>
                <w:i/>
              </w:rPr>
            </w:pPr>
            <w:r>
              <w:rPr>
                <w:i/>
              </w:rPr>
              <w:t>+32 25469747</w:t>
            </w:r>
          </w:p>
        </w:tc>
      </w:tr>
      <w:tr w:rsidR="008355A5" w:rsidRPr="00A6689B" w14:paraId="6DB56E31" w14:textId="77777777" w:rsidTr="006C5879">
        <w:tc>
          <w:tcPr>
            <w:tcW w:w="1418" w:type="dxa"/>
          </w:tcPr>
          <w:p w14:paraId="2E63D945" w14:textId="77777777" w:rsidR="008355A5" w:rsidRPr="00A6689B" w:rsidRDefault="008355A5" w:rsidP="006C5879">
            <w:pPr>
              <w:spacing w:line="240" w:lineRule="auto"/>
              <w:rPr>
                <w:i/>
              </w:rPr>
            </w:pPr>
            <w:r>
              <w:rPr>
                <w:i/>
              </w:rPr>
              <w:t>E-pošta:</w:t>
            </w:r>
          </w:p>
        </w:tc>
        <w:tc>
          <w:tcPr>
            <w:tcW w:w="8188" w:type="dxa"/>
          </w:tcPr>
          <w:p w14:paraId="479301B6" w14:textId="77777777" w:rsidR="008355A5" w:rsidRPr="000B2E63" w:rsidRDefault="008355A5" w:rsidP="006C5879">
            <w:pPr>
              <w:spacing w:line="240" w:lineRule="auto"/>
              <w:rPr>
                <w:i/>
                <w:iCs/>
              </w:rPr>
            </w:pPr>
            <w:hyperlink r:id="rId30" w:history="1">
              <w:r>
                <w:rPr>
                  <w:rStyle w:val="Hyperlink"/>
                  <w:i/>
                </w:rPr>
                <w:t>Konstantina.Angelopoulou@eesc.europa.eu</w:t>
              </w:r>
            </w:hyperlink>
          </w:p>
        </w:tc>
      </w:tr>
    </w:tbl>
    <w:p w14:paraId="4982DDF1" w14:textId="3CAFEF7D" w:rsidR="00EE1B31" w:rsidRDefault="00EE1B31" w:rsidP="00100EF9">
      <w:pPr>
        <w:pStyle w:val="ListParagraph"/>
        <w:ind w:left="0"/>
      </w:pPr>
    </w:p>
    <w:p w14:paraId="4483536B" w14:textId="77777777" w:rsidR="00EE1B31" w:rsidRDefault="00EE1B31" w:rsidP="00100EF9">
      <w:pPr>
        <w:jc w:val="left"/>
      </w:pPr>
      <w:r>
        <w:br w:type="page"/>
      </w:r>
    </w:p>
    <w:p w14:paraId="70AF76D4" w14:textId="77777777" w:rsidR="008355A5" w:rsidRPr="001424C7" w:rsidRDefault="008355A5" w:rsidP="008355A5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</w:rPr>
      </w:pPr>
      <w:r>
        <w:rPr>
          <w:b/>
          <w:bCs/>
          <w:i/>
          <w:iCs/>
        </w:rPr>
        <w:lastRenderedPageBreak/>
        <w:t>TEN/865</w:t>
      </w:r>
      <w:r>
        <w:t xml:space="preserve"> – </w:t>
      </w:r>
      <w:hyperlink r:id="rId31" w:history="1">
        <w:r>
          <w:rPr>
            <w:rStyle w:val="Hyperlink"/>
            <w:b/>
            <w:i/>
            <w:sz w:val="28"/>
          </w:rPr>
          <w:t>Energetska povezanost, elektroenergetske mreže</w:t>
        </w:r>
      </w:hyperlink>
    </w:p>
    <w:p w14:paraId="166E8D1E" w14:textId="77777777" w:rsidR="008355A5" w:rsidRPr="00A6689B" w:rsidRDefault="008355A5" w:rsidP="008355A5">
      <w:pPr>
        <w:tabs>
          <w:tab w:val="center" w:pos="284"/>
        </w:tabs>
        <w:ind w:left="266" w:hanging="266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6"/>
        <w:gridCol w:w="7127"/>
      </w:tblGrid>
      <w:tr w:rsidR="008355A5" w:rsidRPr="00A6689B" w14:paraId="1011BFE2" w14:textId="77777777" w:rsidTr="006C5879">
        <w:tc>
          <w:tcPr>
            <w:tcW w:w="1951" w:type="dxa"/>
          </w:tcPr>
          <w:p w14:paraId="2A28732B" w14:textId="77777777" w:rsidR="008355A5" w:rsidRPr="00A6689B" w:rsidRDefault="008355A5" w:rsidP="006C5879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229" w:type="dxa"/>
          </w:tcPr>
          <w:p w14:paraId="6CD70618" w14:textId="77777777" w:rsidR="008355A5" w:rsidRPr="00A6689B" w:rsidRDefault="008355A5" w:rsidP="006C5879">
            <w:pPr>
              <w:tabs>
                <w:tab w:val="center" w:pos="284"/>
              </w:tabs>
              <w:ind w:left="266" w:hanging="266"/>
            </w:pPr>
            <w:r>
              <w:t>Christophe BÉGUINET (Skupina radnika – FR)</w:t>
            </w:r>
          </w:p>
        </w:tc>
      </w:tr>
      <w:tr w:rsidR="008355A5" w:rsidRPr="00D25C71" w14:paraId="6D9DE4E2" w14:textId="77777777" w:rsidTr="006C5879">
        <w:tc>
          <w:tcPr>
            <w:tcW w:w="1951" w:type="dxa"/>
          </w:tcPr>
          <w:p w14:paraId="13FAE9A4" w14:textId="77777777" w:rsidR="008355A5" w:rsidRPr="00A6689B" w:rsidRDefault="008355A5" w:rsidP="006C5879">
            <w:pPr>
              <w:tabs>
                <w:tab w:val="center" w:pos="284"/>
              </w:tabs>
              <w:ind w:left="266" w:hanging="266"/>
              <w:jc w:val="center"/>
              <w:rPr>
                <w:b/>
              </w:rPr>
            </w:pPr>
            <w:r>
              <w:rPr>
                <w:b/>
              </w:rPr>
              <w:t>Referentni dokumenti/i:</w:t>
            </w:r>
          </w:p>
        </w:tc>
        <w:tc>
          <w:tcPr>
            <w:tcW w:w="7229" w:type="dxa"/>
          </w:tcPr>
          <w:p w14:paraId="1BE1F652" w14:textId="77777777" w:rsidR="008355A5" w:rsidRPr="00FE4C2E" w:rsidRDefault="008355A5" w:rsidP="006C5879">
            <w:pPr>
              <w:tabs>
                <w:tab w:val="center" w:pos="284"/>
              </w:tabs>
              <w:ind w:left="266" w:hanging="266"/>
            </w:pPr>
            <w:proofErr w:type="spellStart"/>
            <w:r>
              <w:t>Razmatračko</w:t>
            </w:r>
            <w:proofErr w:type="spellEnd"/>
            <w:r>
              <w:t xml:space="preserve"> mišljenje na zahtjev predsjedništva</w:t>
            </w:r>
          </w:p>
          <w:p w14:paraId="46B3750A" w14:textId="77777777" w:rsidR="008355A5" w:rsidRPr="00FE4C2E" w:rsidRDefault="008355A5" w:rsidP="006C5879">
            <w:pPr>
              <w:tabs>
                <w:tab w:val="center" w:pos="284"/>
              </w:tabs>
              <w:ind w:left="266" w:hanging="266"/>
            </w:pPr>
            <w:r>
              <w:t>EESC-2025-03570-00-00-AC</w:t>
            </w:r>
          </w:p>
        </w:tc>
      </w:tr>
    </w:tbl>
    <w:p w14:paraId="5D62B3A7" w14:textId="77777777" w:rsidR="008355A5" w:rsidRPr="00FE4C2E" w:rsidRDefault="008355A5" w:rsidP="008355A5">
      <w:pPr>
        <w:tabs>
          <w:tab w:val="center" w:pos="284"/>
        </w:tabs>
        <w:ind w:left="266" w:hanging="266"/>
        <w:rPr>
          <w:lang w:val="en-US"/>
        </w:rPr>
      </w:pPr>
    </w:p>
    <w:p w14:paraId="2E92E9C2" w14:textId="77777777" w:rsidR="008355A5" w:rsidRPr="00A6689B" w:rsidRDefault="008355A5" w:rsidP="008355A5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Ključne točke</w:t>
      </w:r>
    </w:p>
    <w:p w14:paraId="551E7405" w14:textId="77777777" w:rsidR="008355A5" w:rsidRPr="00A6689B" w:rsidRDefault="008355A5" w:rsidP="008355A5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0C55B4AB" w14:textId="77777777" w:rsidR="008355A5" w:rsidRPr="00A6689B" w:rsidRDefault="008355A5" w:rsidP="008355A5">
      <w:pPr>
        <w:rPr>
          <w:bCs/>
          <w:iCs/>
        </w:rPr>
      </w:pPr>
      <w:r>
        <w:t>EGSO:</w:t>
      </w:r>
    </w:p>
    <w:p w14:paraId="4F00B739" w14:textId="77777777" w:rsidR="008355A5" w:rsidRPr="00600CBA" w:rsidRDefault="008355A5" w:rsidP="008355A5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naglašava da europski sektor električne energije mora biti u stanju planirati potrebe elektroenergetskog sustava na razini EU-a i u partnerskim zemljama na temelju zajedničkog energetskog scenarija koji su utvrdili Komisija i nacionalni operatori;</w:t>
      </w:r>
    </w:p>
    <w:p w14:paraId="6981DAE6" w14:textId="77777777" w:rsidR="008355A5" w:rsidRPr="006F2027" w:rsidRDefault="008355A5" w:rsidP="008355A5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napominje da bi vrijednost međupovezanosti trebalo promatrati ili bilateralno – iz perspektive koristi koju dijele dvije zemlje – ili u smislu postizanja sveopće koristi za sustav koja nadilazi dvije zemlje koje su ostvarile međupovezanost. U potonjem slučaju moraju se razviti novi ekonomski modeli na temelju suradnje Agencije Europske unije za suradnju energetskih regulatora, nacionalnih regulatora i operatora mreže;</w:t>
      </w:r>
    </w:p>
    <w:p w14:paraId="35B7978D" w14:textId="77777777" w:rsidR="008355A5" w:rsidRPr="006F2027" w:rsidRDefault="008355A5" w:rsidP="008355A5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ističe da, kako bi međupovezanost bila djelotvorna, paralelno s njom mora se razvijati relevantna nacionalna infrastruktura, posebno na razini operatora prijenosnih sustava (OPS-ovi) i operatora distribucijskih sustava (ODS-ovi). Stvaranje prijenosnog kapaciteta mora biti prilika za poticanje europske solidarnosti u pogledu elektroenergetskih mreža;</w:t>
      </w:r>
    </w:p>
    <w:p w14:paraId="5F3DC893" w14:textId="77777777" w:rsidR="008355A5" w:rsidRPr="006F2027" w:rsidRDefault="008355A5" w:rsidP="008355A5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ističe da gospodarska optimizacija europskog elektroenergetskog sustava zahtijeva široku ugradnju pametnih brojila, dodatna ulaganja u prijenosne i distribucijske mreže i dostupnost podataka o protoku energije;</w:t>
      </w:r>
    </w:p>
    <w:p w14:paraId="60448CC3" w14:textId="77777777" w:rsidR="008355A5" w:rsidRPr="006F2027" w:rsidRDefault="008355A5" w:rsidP="008355A5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smatra da prioritet mora biti sigurnost elektroenergetskog sustava u pogledu učinaka klimatskih promjena, fizičkih napada, sabotaže, kibernetičkih rizika i rizika povezanih s uravnoteženjem sustava;</w:t>
      </w:r>
    </w:p>
    <w:p w14:paraId="40D8FB1E" w14:textId="77777777" w:rsidR="008355A5" w:rsidRDefault="008355A5" w:rsidP="008355A5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poziva na davanje prioriteta optimizaciji postojeće infrastrukture prije nego što se počne razmatrati razvoj nove.</w:t>
      </w:r>
    </w:p>
    <w:p w14:paraId="5F26856A" w14:textId="77777777" w:rsidR="008355A5" w:rsidRPr="006F2027" w:rsidRDefault="008355A5" w:rsidP="008355A5">
      <w:pPr>
        <w:widowControl w:val="0"/>
        <w:ind w:left="567"/>
        <w:rPr>
          <w:bCs/>
          <w:iCs/>
        </w:rPr>
      </w:pPr>
    </w:p>
    <w:p w14:paraId="63D91357" w14:textId="77777777" w:rsidR="008355A5" w:rsidRPr="000624A9" w:rsidRDefault="008355A5" w:rsidP="008355A5">
      <w:pPr>
        <w:widowControl w:val="0"/>
        <w:ind w:left="709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7147"/>
      </w:tblGrid>
      <w:tr w:rsidR="008355A5" w:rsidRPr="00A6689B" w14:paraId="100C1690" w14:textId="77777777" w:rsidTr="006C5879">
        <w:tc>
          <w:tcPr>
            <w:tcW w:w="1951" w:type="dxa"/>
          </w:tcPr>
          <w:p w14:paraId="19C7D6A9" w14:textId="77777777" w:rsidR="008355A5" w:rsidRPr="00A6689B" w:rsidRDefault="008355A5" w:rsidP="006C5879">
            <w:pPr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7229" w:type="dxa"/>
          </w:tcPr>
          <w:p w14:paraId="2282D402" w14:textId="77777777" w:rsidR="008355A5" w:rsidRPr="00A6689B" w:rsidRDefault="008355A5" w:rsidP="006C5879">
            <w:pPr>
              <w:rPr>
                <w:i/>
              </w:rPr>
            </w:pPr>
            <w:proofErr w:type="spellStart"/>
            <w:r>
              <w:rPr>
                <w:i/>
              </w:rPr>
              <w:t>Giorgia</w:t>
            </w:r>
            <w:proofErr w:type="spellEnd"/>
            <w:r>
              <w:rPr>
                <w:i/>
              </w:rPr>
              <w:t xml:space="preserve"> BORDIGNON</w:t>
            </w:r>
          </w:p>
        </w:tc>
      </w:tr>
      <w:tr w:rsidR="008355A5" w:rsidRPr="00A6689B" w14:paraId="1896B24C" w14:textId="77777777" w:rsidTr="006C5879">
        <w:tc>
          <w:tcPr>
            <w:tcW w:w="1951" w:type="dxa"/>
          </w:tcPr>
          <w:p w14:paraId="3ACA50E1" w14:textId="77777777" w:rsidR="008355A5" w:rsidRPr="00A6689B" w:rsidRDefault="008355A5" w:rsidP="006C5879">
            <w:pPr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229" w:type="dxa"/>
          </w:tcPr>
          <w:p w14:paraId="7E8D94E9" w14:textId="77777777" w:rsidR="008355A5" w:rsidRPr="00A6689B" w:rsidRDefault="008355A5" w:rsidP="006C5879">
            <w:pPr>
              <w:rPr>
                <w:i/>
              </w:rPr>
            </w:pPr>
            <w:r>
              <w:rPr>
                <w:i/>
              </w:rPr>
              <w:t>+32 22546 8535</w:t>
            </w:r>
          </w:p>
        </w:tc>
      </w:tr>
      <w:tr w:rsidR="008355A5" w:rsidRPr="00A6689B" w14:paraId="5890010E" w14:textId="77777777" w:rsidTr="006C5879">
        <w:tc>
          <w:tcPr>
            <w:tcW w:w="1951" w:type="dxa"/>
          </w:tcPr>
          <w:p w14:paraId="6842C6A1" w14:textId="77777777" w:rsidR="008355A5" w:rsidRPr="00A6689B" w:rsidRDefault="008355A5" w:rsidP="006C5879">
            <w:pPr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7229" w:type="dxa"/>
          </w:tcPr>
          <w:p w14:paraId="64CAF118" w14:textId="77777777" w:rsidR="008355A5" w:rsidRPr="00A6689B" w:rsidRDefault="008355A5" w:rsidP="006C5879">
            <w:pPr>
              <w:rPr>
                <w:i/>
              </w:rPr>
            </w:pPr>
            <w:hyperlink r:id="rId32" w:history="1">
              <w:r>
                <w:rPr>
                  <w:rStyle w:val="Hyperlink"/>
                  <w:i/>
                </w:rPr>
                <w:t>GiorgiaAndrea.Bordignon@eesc.europa.eu</w:t>
              </w:r>
            </w:hyperlink>
          </w:p>
        </w:tc>
      </w:tr>
    </w:tbl>
    <w:p w14:paraId="79D0072B" w14:textId="77777777" w:rsidR="004D7AC0" w:rsidRDefault="004D7AC0" w:rsidP="00100EF9">
      <w:pPr>
        <w:pStyle w:val="ListParagraph"/>
        <w:ind w:left="0"/>
      </w:pPr>
    </w:p>
    <w:p w14:paraId="4982DDF2" w14:textId="77777777" w:rsidR="004D7AC0" w:rsidRDefault="004D7AC0" w:rsidP="00100EF9">
      <w:pPr>
        <w:jc w:val="left"/>
      </w:pPr>
      <w:r>
        <w:br w:type="page"/>
      </w:r>
    </w:p>
    <w:p w14:paraId="4982DE1F" w14:textId="77777777" w:rsidR="004D7AC0" w:rsidRDefault="004D7AC0" w:rsidP="00100EF9">
      <w:pPr>
        <w:pStyle w:val="Heading1"/>
        <w:rPr>
          <w:b/>
        </w:rPr>
      </w:pPr>
      <w:bookmarkStart w:id="6" w:name="_Toc70322234"/>
      <w:bookmarkStart w:id="7" w:name="_Toc75527084"/>
      <w:bookmarkStart w:id="8" w:name="_Toc223338120"/>
      <w:r>
        <w:rPr>
          <w:b/>
        </w:rPr>
        <w:lastRenderedPageBreak/>
        <w:t>STRUČNA SKUPINA ZA POLJOPRIVREDU, RURALNI RAZVOJ I OKOLIŠ</w:t>
      </w:r>
      <w:bookmarkEnd w:id="6"/>
      <w:bookmarkEnd w:id="7"/>
      <w:bookmarkEnd w:id="8"/>
    </w:p>
    <w:p w14:paraId="4982DE20" w14:textId="77777777" w:rsidR="004D7AC0" w:rsidRDefault="004D7AC0" w:rsidP="00100EF9"/>
    <w:p w14:paraId="4979136F" w14:textId="77777777" w:rsidR="008355A5" w:rsidRPr="00EE1452" w:rsidRDefault="008355A5" w:rsidP="008355A5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hanging="567"/>
        <w:textAlignment w:val="baseline"/>
        <w:rPr>
          <w:i/>
          <w:iCs/>
          <w:sz w:val="28"/>
          <w:szCs w:val="28"/>
        </w:rPr>
      </w:pPr>
      <w:r>
        <w:rPr>
          <w:b/>
          <w:i/>
          <w:sz w:val="28"/>
        </w:rPr>
        <w:t xml:space="preserve">NAT/961 – </w:t>
      </w:r>
      <w:hyperlink r:id="rId33" w:history="1">
        <w:r>
          <w:rPr>
            <w:rStyle w:val="Hyperlink"/>
            <w:b/>
            <w:i/>
            <w:sz w:val="28"/>
          </w:rPr>
          <w:t>Plan za kredite za zaštitu prirode</w:t>
        </w:r>
      </w:hyperlink>
    </w:p>
    <w:p w14:paraId="44EB663C" w14:textId="77777777" w:rsidR="008355A5" w:rsidRPr="00A6689B" w:rsidRDefault="008355A5" w:rsidP="008355A5">
      <w:pPr>
        <w:tabs>
          <w:tab w:val="center" w:pos="284"/>
        </w:tabs>
        <w:ind w:left="266" w:hanging="266"/>
        <w:rPr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7119"/>
      </w:tblGrid>
      <w:tr w:rsidR="008355A5" w:rsidRPr="00A6689B" w14:paraId="4F15D3BC" w14:textId="77777777" w:rsidTr="006C5879">
        <w:tc>
          <w:tcPr>
            <w:tcW w:w="1077" w:type="pct"/>
          </w:tcPr>
          <w:p w14:paraId="15BDEEA1" w14:textId="77777777" w:rsidR="008355A5" w:rsidRPr="00A6689B" w:rsidRDefault="008355A5" w:rsidP="006C5879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923" w:type="pct"/>
          </w:tcPr>
          <w:p w14:paraId="3278605E" w14:textId="77777777" w:rsidR="008355A5" w:rsidRPr="00A6689B" w:rsidRDefault="008355A5" w:rsidP="006C5879">
            <w:pPr>
              <w:tabs>
                <w:tab w:val="center" w:pos="284"/>
              </w:tabs>
              <w:ind w:left="266" w:right="-3091" w:hanging="266"/>
            </w:pPr>
            <w:proofErr w:type="spellStart"/>
            <w:r>
              <w:t>Arnaud</w:t>
            </w:r>
            <w:proofErr w:type="spellEnd"/>
            <w:r>
              <w:t xml:space="preserve"> SCHWARTZ</w:t>
            </w:r>
          </w:p>
        </w:tc>
      </w:tr>
      <w:tr w:rsidR="008355A5" w:rsidRPr="00A6689B" w14:paraId="5A869DAE" w14:textId="77777777" w:rsidTr="006C5879">
        <w:tc>
          <w:tcPr>
            <w:tcW w:w="1077" w:type="pct"/>
          </w:tcPr>
          <w:p w14:paraId="1368A81E" w14:textId="77777777" w:rsidR="008355A5" w:rsidRPr="00A6689B" w:rsidRDefault="008355A5" w:rsidP="006C5879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Suizvjestitelj/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923" w:type="pct"/>
          </w:tcPr>
          <w:p w14:paraId="3106520E" w14:textId="77777777" w:rsidR="008355A5" w:rsidRPr="00A6689B" w:rsidRDefault="008355A5" w:rsidP="006C5879">
            <w:pPr>
              <w:tabs>
                <w:tab w:val="center" w:pos="284"/>
              </w:tabs>
              <w:ind w:left="266" w:right="-3091" w:hanging="266"/>
            </w:pPr>
            <w:proofErr w:type="spellStart"/>
            <w:r>
              <w:t>Teppo</w:t>
            </w:r>
            <w:proofErr w:type="spellEnd"/>
            <w:r>
              <w:t xml:space="preserve"> SÄKKINEN</w:t>
            </w:r>
          </w:p>
        </w:tc>
      </w:tr>
      <w:tr w:rsidR="008355A5" w:rsidRPr="00A6689B" w14:paraId="52706FAD" w14:textId="77777777" w:rsidTr="006C5879">
        <w:tc>
          <w:tcPr>
            <w:tcW w:w="1077" w:type="pct"/>
          </w:tcPr>
          <w:p w14:paraId="795BF7B2" w14:textId="77777777" w:rsidR="008355A5" w:rsidRPr="00A6689B" w:rsidRDefault="008355A5" w:rsidP="006C5879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Referentni dokumenti/i:</w:t>
            </w:r>
          </w:p>
        </w:tc>
        <w:tc>
          <w:tcPr>
            <w:tcW w:w="3923" w:type="pct"/>
          </w:tcPr>
          <w:p w14:paraId="583A5F8C" w14:textId="77777777" w:rsidR="008355A5" w:rsidRPr="00A6689B" w:rsidRDefault="008355A5" w:rsidP="006C5879">
            <w:pPr>
              <w:tabs>
                <w:tab w:val="center" w:pos="284"/>
              </w:tabs>
              <w:ind w:left="266" w:right="-3091" w:hanging="266"/>
            </w:pPr>
            <w:r>
              <w:t>EESC-2025-03041-00-00-AC</w:t>
            </w:r>
          </w:p>
        </w:tc>
      </w:tr>
    </w:tbl>
    <w:p w14:paraId="3E791651" w14:textId="77777777" w:rsidR="008355A5" w:rsidRDefault="008355A5" w:rsidP="008355A5">
      <w:pPr>
        <w:tabs>
          <w:tab w:val="center" w:pos="284"/>
        </w:tabs>
        <w:ind w:left="266" w:hanging="266"/>
        <w:rPr>
          <w:b/>
        </w:rPr>
      </w:pPr>
    </w:p>
    <w:p w14:paraId="4659EC6E" w14:textId="77777777" w:rsidR="008355A5" w:rsidRPr="00A6689B" w:rsidRDefault="008355A5" w:rsidP="008355A5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Ključne točke</w:t>
      </w:r>
    </w:p>
    <w:p w14:paraId="02D00AFC" w14:textId="77777777" w:rsidR="008355A5" w:rsidRPr="00A6689B" w:rsidRDefault="008355A5" w:rsidP="008355A5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024222EB" w14:textId="77777777" w:rsidR="008355A5" w:rsidRPr="00A6689B" w:rsidRDefault="008355A5" w:rsidP="008355A5">
      <w:pPr>
        <w:rPr>
          <w:bCs/>
          <w:iCs/>
        </w:rPr>
      </w:pPr>
      <w:r>
        <w:t>Odbor poziva Europsku komisiju da:</w:t>
      </w:r>
    </w:p>
    <w:p w14:paraId="3E423BC9" w14:textId="77777777" w:rsidR="008355A5" w:rsidRDefault="008355A5" w:rsidP="008355A5">
      <w:pPr>
        <w:pStyle w:val="Heading2"/>
      </w:pPr>
      <w:r>
        <w:t>osigura da se ostvare ciljevi u pogledu financiranja bioraznolikosti utvrđeni Globalnim okvirom za bioraznolikost. Za to je potrebno dostatno, stabilno i pravodobno javno financiranje, među ostalim iz proračuna EU-a, i postupno ukidanje subvencija štetnih za okoliš, kao što su subvencije za fosilna goriva. Krediti za zaštitu prirode mogu biti alat za premošćivanje jaza u financiranju i za mobilizaciju privatnog financiranja koji nadopunjuje, ali ne zamjenjuje javna sredstva;</w:t>
      </w:r>
    </w:p>
    <w:p w14:paraId="0DFC5127" w14:textId="77777777" w:rsidR="008355A5" w:rsidRDefault="008355A5" w:rsidP="008355A5">
      <w:pPr>
        <w:pStyle w:val="Heading2"/>
      </w:pPr>
      <w:r>
        <w:t>provodi zakonodavstvo i temeljna načela u području okoliša kao učinkovit alat za postizanje ciljeva bioraznolikosti, premošćivanje manjka financijskih sredstava i pouzdan okvir za kredite za zaštitu prirode;</w:t>
      </w:r>
    </w:p>
    <w:p w14:paraId="23C20DC7" w14:textId="77777777" w:rsidR="008355A5" w:rsidRDefault="008355A5" w:rsidP="008355A5">
      <w:pPr>
        <w:pStyle w:val="Heading2"/>
      </w:pPr>
      <w:r>
        <w:t>osigura da se okvir za kredite za zaštitu prirode temelji na strogim načelima visokog integriteta i na hijerarhiji ublažavanja i drugim okolišnim, klimatskim i socijalnim zaštitnim mjerama, i da sustavno procjenjuje usklađenost projekata s tim kriterijima. Trebalo bi primjenjivati sveobuhvatne znanstvene metode koje se temelje na ekološki integriranom pristupu usmjerenom na rezultate;</w:t>
      </w:r>
    </w:p>
    <w:p w14:paraId="66973F24" w14:textId="77777777" w:rsidR="008355A5" w:rsidRDefault="008355A5" w:rsidP="008355A5">
      <w:pPr>
        <w:pStyle w:val="Heading2"/>
      </w:pPr>
      <w:r>
        <w:t xml:space="preserve">osigura da okvir upravljanja za tržište kredita za zaštitu prirode bude znanstveno utemeljen, uključiv, transparentan i </w:t>
      </w:r>
      <w:proofErr w:type="spellStart"/>
      <w:r>
        <w:t>participativan</w:t>
      </w:r>
      <w:proofErr w:type="spellEnd"/>
      <w:r>
        <w:t>, sa snažnim naglaskom na akterima s potencijalom za obnovu i očuvanje prirode, kao i ranjivim i marginaliziranim skupinama kao što su mladi, žene, ruralne zajednice i autohtoni narodi. Trebalo bi osigurati transparentno i pravedno upravljanje podacima i vlasništvo nad njima;</w:t>
      </w:r>
    </w:p>
    <w:p w14:paraId="535E3C97" w14:textId="77777777" w:rsidR="008355A5" w:rsidRDefault="008355A5" w:rsidP="008355A5">
      <w:pPr>
        <w:pStyle w:val="Heading2"/>
      </w:pPr>
      <w:r>
        <w:t>oprezno pristupi potrebi za sastavljanjem direktive ili uredbe jer bi uspostava kredita za zaštitu prirode, pri kojoj se zahtijeva poštovanje strogih pravila i kriterija, trebala ostati dobrovoljna. Okvir bi uglavnom trebao biti usmjeren na pozitivne doprinose, a o upotrebi kompenzacije trebale bi odlučivati države članice kako se ne bi ugrozile postojeće ambiciozne inicijative na nacionalnoj razini;</w:t>
      </w:r>
    </w:p>
    <w:p w14:paraId="61475800" w14:textId="77777777" w:rsidR="008355A5" w:rsidRDefault="008355A5" w:rsidP="008355A5">
      <w:pPr>
        <w:pStyle w:val="Heading2"/>
      </w:pPr>
      <w:r>
        <w:t xml:space="preserve">pojasni usklađenost kredita za zaštitu prirode s drugim politikama, kao što je ZPP. Krediti za zaštitu prirode moraju se izgraditi na način kojim se omogućuje uspjeh </w:t>
      </w:r>
      <w:proofErr w:type="spellStart"/>
      <w:r>
        <w:t>biogospodarstva</w:t>
      </w:r>
      <w:proofErr w:type="spellEnd"/>
      <w:r>
        <w:t xml:space="preserve">, kružnog gospodarstva, održive proizvodnje hrane i šumarstva u EU-u. Okvir ne bi </w:t>
      </w:r>
      <w:proofErr w:type="spellStart"/>
      <w:r>
        <w:t>smio</w:t>
      </w:r>
      <w:proofErr w:type="spellEnd"/>
      <w:r>
        <w:t xml:space="preserve"> subjektima, osobito ne malima, nametnuti dodatno nepotrebno administrativno opterećenje, a trebao bi osigurati visoki integritet i znanstveno utemeljen pristup;</w:t>
      </w:r>
    </w:p>
    <w:p w14:paraId="0907EE77" w14:textId="77777777" w:rsidR="008355A5" w:rsidRDefault="008355A5" w:rsidP="008355A5">
      <w:pPr>
        <w:pStyle w:val="Heading2"/>
      </w:pPr>
      <w:r>
        <w:t>osigura da krediti za zaštitu prirode ne dovedu do komercijalizacije prirode. Jagma za zemljištem i špekulacije moraju se spriječiti pod svaku cijenu. Kad je riječ o kreditima za zaštitu prirode, uvijek bi trebalo, umjesto kratkoročnoj profitabilnosti, prednost davati integritetu, kao i pravednoj raspodjeli koristi i smanjenju nejednakosti;</w:t>
      </w:r>
    </w:p>
    <w:p w14:paraId="10540561" w14:textId="77777777" w:rsidR="008355A5" w:rsidRPr="00047BA8" w:rsidRDefault="008355A5" w:rsidP="008355A5">
      <w:pPr>
        <w:pStyle w:val="Heading2"/>
        <w:spacing w:before="480"/>
      </w:pPr>
      <w:r>
        <w:lastRenderedPageBreak/>
        <w:t>oprezno sudjeluje u projektima izvan EU-a, imajući na umu da metode i okviri upravljanja razvijeni u Europi možda ne odgovaraju društvenim, kulturnim, pravnim, političkim i ekološkim kontekstima u inozemstvu, i da istodobno stvara pozitivne učinke na prirodu u njihovim lancima vrijednosti izvan EU-a.</w:t>
      </w:r>
    </w:p>
    <w:p w14:paraId="025F0BEB" w14:textId="77777777" w:rsidR="008355A5" w:rsidRPr="000624A9" w:rsidRDefault="008355A5" w:rsidP="008355A5">
      <w:pPr>
        <w:widowControl w:val="0"/>
        <w:ind w:left="709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7119"/>
      </w:tblGrid>
      <w:tr w:rsidR="008355A5" w:rsidRPr="00A6689B" w14:paraId="376D0A50" w14:textId="77777777" w:rsidTr="006C5879">
        <w:tc>
          <w:tcPr>
            <w:tcW w:w="1077" w:type="pct"/>
          </w:tcPr>
          <w:p w14:paraId="1358FA42" w14:textId="77777777" w:rsidR="008355A5" w:rsidRPr="00A6689B" w:rsidRDefault="008355A5" w:rsidP="006C5879">
            <w:pPr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3923" w:type="pct"/>
          </w:tcPr>
          <w:p w14:paraId="57857F2F" w14:textId="77777777" w:rsidR="008355A5" w:rsidRPr="00A41B22" w:rsidRDefault="008355A5" w:rsidP="006C5879">
            <w:pPr>
              <w:rPr>
                <w:i/>
              </w:rPr>
            </w:pPr>
            <w:proofErr w:type="spellStart"/>
            <w:r>
              <w:rPr>
                <w:i/>
              </w:rPr>
              <w:t>Gaia</w:t>
            </w:r>
            <w:proofErr w:type="spellEnd"/>
            <w:r>
              <w:rPr>
                <w:i/>
              </w:rPr>
              <w:t xml:space="preserve"> BOTTONI</w:t>
            </w:r>
          </w:p>
        </w:tc>
      </w:tr>
      <w:tr w:rsidR="008355A5" w:rsidRPr="00A6689B" w14:paraId="00E539BD" w14:textId="77777777" w:rsidTr="006C5879">
        <w:tc>
          <w:tcPr>
            <w:tcW w:w="1077" w:type="pct"/>
          </w:tcPr>
          <w:p w14:paraId="6D31698A" w14:textId="77777777" w:rsidR="008355A5" w:rsidRPr="00A6689B" w:rsidRDefault="008355A5" w:rsidP="006C5879">
            <w:pPr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3923" w:type="pct"/>
          </w:tcPr>
          <w:p w14:paraId="1BAAC21B" w14:textId="77777777" w:rsidR="008355A5" w:rsidRPr="00A41B22" w:rsidRDefault="008355A5" w:rsidP="006C5879">
            <w:pPr>
              <w:rPr>
                <w:i/>
              </w:rPr>
            </w:pPr>
            <w:r>
              <w:rPr>
                <w:i/>
              </w:rPr>
              <w:t>+32 25469447</w:t>
            </w:r>
          </w:p>
        </w:tc>
      </w:tr>
      <w:tr w:rsidR="008355A5" w:rsidRPr="00A6689B" w14:paraId="265D4EDC" w14:textId="77777777" w:rsidTr="006C5879">
        <w:tc>
          <w:tcPr>
            <w:tcW w:w="1077" w:type="pct"/>
          </w:tcPr>
          <w:p w14:paraId="74E4B66A" w14:textId="77777777" w:rsidR="008355A5" w:rsidRPr="00A6689B" w:rsidRDefault="008355A5" w:rsidP="006C5879">
            <w:pPr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3923" w:type="pct"/>
          </w:tcPr>
          <w:p w14:paraId="0536E78A" w14:textId="77777777" w:rsidR="008355A5" w:rsidRPr="00A6689B" w:rsidRDefault="008355A5" w:rsidP="006C5879">
            <w:pPr>
              <w:rPr>
                <w:i/>
              </w:rPr>
            </w:pPr>
            <w:hyperlink r:id="rId34" w:history="1">
              <w:r>
                <w:rPr>
                  <w:rStyle w:val="Hyperlink"/>
                  <w:i/>
                </w:rPr>
                <w:t>Gaia.Bottoni@eesc.europa.eu</w:t>
              </w:r>
            </w:hyperlink>
            <w:r>
              <w:rPr>
                <w:i/>
              </w:rPr>
              <w:t xml:space="preserve"> </w:t>
            </w:r>
          </w:p>
        </w:tc>
      </w:tr>
    </w:tbl>
    <w:p w14:paraId="715DB2BD" w14:textId="77777777" w:rsidR="007F5784" w:rsidRDefault="007F5784" w:rsidP="00100EF9">
      <w:pPr>
        <w:jc w:val="left"/>
      </w:pPr>
      <w:r>
        <w:br w:type="page"/>
      </w:r>
    </w:p>
    <w:p w14:paraId="528C73AA" w14:textId="46DE726B" w:rsidR="006D2C8A" w:rsidRPr="006D2C8A" w:rsidRDefault="006D2C8A" w:rsidP="00100EF9">
      <w:pPr>
        <w:pStyle w:val="Heading1"/>
        <w:rPr>
          <w:b/>
        </w:rPr>
      </w:pPr>
      <w:bookmarkStart w:id="9" w:name="_Toc223338121"/>
      <w:r>
        <w:rPr>
          <w:b/>
          <w:color w:val="222A35" w:themeColor="text2" w:themeShade="80"/>
        </w:rPr>
        <w:lastRenderedPageBreak/>
        <w:t>SAVJETODAVNO POVJERENSTVO ZA INDUSTRIJSKE PROMJENE</w:t>
      </w:r>
      <w:bookmarkEnd w:id="9"/>
    </w:p>
    <w:p w14:paraId="713E272F" w14:textId="77777777" w:rsidR="006D2C8A" w:rsidRDefault="006D2C8A" w:rsidP="00100EF9"/>
    <w:p w14:paraId="2CDC5E6A" w14:textId="77777777" w:rsidR="008355A5" w:rsidRPr="00DA5578" w:rsidRDefault="008355A5" w:rsidP="008355A5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</w:rPr>
      </w:pPr>
      <w:r>
        <w:rPr>
          <w:b/>
          <w:i/>
          <w:sz w:val="28"/>
        </w:rPr>
        <w:t xml:space="preserve">CCMI/260 – </w:t>
      </w:r>
      <w:hyperlink r:id="rId35" w:history="1">
        <w:r>
          <w:rPr>
            <w:rStyle w:val="Hyperlink"/>
            <w:b/>
            <w:i/>
            <w:sz w:val="28"/>
          </w:rPr>
          <w:t>Akt o kritičnim sirovinama</w:t>
        </w:r>
      </w:hyperlink>
    </w:p>
    <w:p w14:paraId="1D1ED8E9" w14:textId="77777777" w:rsidR="008355A5" w:rsidRPr="00DA5578" w:rsidRDefault="008355A5" w:rsidP="008355A5">
      <w:pPr>
        <w:tabs>
          <w:tab w:val="center" w:pos="284"/>
        </w:tabs>
        <w:ind w:left="266" w:hanging="266"/>
        <w:rPr>
          <w:b/>
          <w:lang w:val="it-IT"/>
        </w:rPr>
      </w:pPr>
    </w:p>
    <w:p w14:paraId="4374124D" w14:textId="77777777" w:rsidR="008355A5" w:rsidRPr="00A6689B" w:rsidRDefault="008355A5" w:rsidP="008355A5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Ključne točke</w:t>
      </w:r>
    </w:p>
    <w:p w14:paraId="56EEDB87" w14:textId="77777777" w:rsidR="008355A5" w:rsidRDefault="008355A5" w:rsidP="008355A5">
      <w:pPr>
        <w:widowControl w:val="0"/>
        <w:rPr>
          <w:bCs/>
          <w:iCs/>
        </w:rPr>
      </w:pPr>
    </w:p>
    <w:p w14:paraId="2468B5CB" w14:textId="77777777" w:rsidR="008355A5" w:rsidRPr="007236FB" w:rsidRDefault="008355A5" w:rsidP="008355A5">
      <w:pPr>
        <w:widowControl w:val="0"/>
        <w:rPr>
          <w:bCs/>
          <w:iCs/>
        </w:rPr>
      </w:pPr>
      <w:r>
        <w:t xml:space="preserve">Budući da Odbor bezrezervno prihvaća sadržaj prijedloga i da je svoj stav o toj temi već iznio u </w:t>
      </w:r>
      <w:hyperlink r:id="rId36" w:history="1">
        <w:r>
          <w:rPr>
            <w:rStyle w:val="Hyperlink"/>
          </w:rPr>
          <w:t>mišljenju o Aktu o kritičnim sirovinama</w:t>
        </w:r>
      </w:hyperlink>
      <w:r>
        <w:t>, usvojenom 12. srpnja 2023., odlučio je o tom prijedlogu dati pozitivno mišljenje i uputiti na stajalište izneseno u navedenom dokumentu.</w:t>
      </w:r>
    </w:p>
    <w:p w14:paraId="6012E7DD" w14:textId="77777777" w:rsidR="008355A5" w:rsidRPr="000624A9" w:rsidRDefault="008355A5" w:rsidP="008355A5">
      <w:pPr>
        <w:widowControl w:val="0"/>
        <w:ind w:left="709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7119"/>
      </w:tblGrid>
      <w:tr w:rsidR="008355A5" w:rsidRPr="00A6689B" w14:paraId="411B1965" w14:textId="77777777" w:rsidTr="006C5879">
        <w:tc>
          <w:tcPr>
            <w:tcW w:w="1077" w:type="pct"/>
          </w:tcPr>
          <w:p w14:paraId="5055EF30" w14:textId="77777777" w:rsidR="008355A5" w:rsidRPr="00A6689B" w:rsidRDefault="008355A5" w:rsidP="006C5879">
            <w:pPr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3923" w:type="pct"/>
          </w:tcPr>
          <w:p w14:paraId="0BC5DF7B" w14:textId="77777777" w:rsidR="008355A5" w:rsidRPr="00A6689B" w:rsidRDefault="008355A5" w:rsidP="006C5879">
            <w:pPr>
              <w:rPr>
                <w:i/>
              </w:rPr>
            </w:pPr>
            <w:r>
              <w:rPr>
                <w:i/>
              </w:rPr>
              <w:t>Adam DORYWALSKI</w:t>
            </w:r>
          </w:p>
        </w:tc>
      </w:tr>
      <w:tr w:rsidR="008355A5" w:rsidRPr="00A6689B" w14:paraId="57BACD91" w14:textId="77777777" w:rsidTr="006C5879">
        <w:tc>
          <w:tcPr>
            <w:tcW w:w="1077" w:type="pct"/>
          </w:tcPr>
          <w:p w14:paraId="47AA1BDF" w14:textId="77777777" w:rsidR="008355A5" w:rsidRPr="00A6689B" w:rsidRDefault="008355A5" w:rsidP="006C5879">
            <w:pPr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3923" w:type="pct"/>
          </w:tcPr>
          <w:p w14:paraId="63FC0E3B" w14:textId="77777777" w:rsidR="008355A5" w:rsidRPr="00A6689B" w:rsidRDefault="008355A5" w:rsidP="006C5879">
            <w:pPr>
              <w:rPr>
                <w:i/>
              </w:rPr>
            </w:pPr>
            <w:r>
              <w:rPr>
                <w:i/>
              </w:rPr>
              <w:t>+32 25469397</w:t>
            </w:r>
          </w:p>
        </w:tc>
      </w:tr>
      <w:tr w:rsidR="008355A5" w:rsidRPr="00A6689B" w14:paraId="143E2101" w14:textId="77777777" w:rsidTr="006C5879">
        <w:tc>
          <w:tcPr>
            <w:tcW w:w="1077" w:type="pct"/>
          </w:tcPr>
          <w:p w14:paraId="346D0F3D" w14:textId="77777777" w:rsidR="008355A5" w:rsidRPr="00A6689B" w:rsidRDefault="008355A5" w:rsidP="006C5879">
            <w:pPr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3923" w:type="pct"/>
          </w:tcPr>
          <w:p w14:paraId="56EE6FA6" w14:textId="77777777" w:rsidR="008355A5" w:rsidRPr="00A6689B" w:rsidRDefault="008355A5" w:rsidP="006C5879">
            <w:pPr>
              <w:rPr>
                <w:i/>
              </w:rPr>
            </w:pPr>
            <w:hyperlink r:id="rId37" w:history="1">
              <w:r>
                <w:rPr>
                  <w:rStyle w:val="Hyperlink"/>
                  <w:i/>
                </w:rPr>
                <w:t>Adam.Dorywalski@eesc.europa.eu</w:t>
              </w:r>
            </w:hyperlink>
          </w:p>
        </w:tc>
      </w:tr>
    </w:tbl>
    <w:p w14:paraId="3FA9F92E" w14:textId="77777777" w:rsidR="00E25EB4" w:rsidRPr="003F66F7" w:rsidRDefault="00E25EB4" w:rsidP="00100EF9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14:paraId="5D7A6973" w14:textId="77777777" w:rsidR="004C4CDB" w:rsidRPr="00153E09" w:rsidRDefault="004C4CDB" w:rsidP="00100EF9">
      <w:pPr>
        <w:jc w:val="left"/>
      </w:pPr>
      <w:r>
        <w:br w:type="page"/>
      </w:r>
    </w:p>
    <w:p w14:paraId="409FD628" w14:textId="77777777" w:rsidR="008355A5" w:rsidRPr="00713DB1" w:rsidRDefault="008355A5" w:rsidP="008355A5">
      <w:pPr>
        <w:pStyle w:val="ListParagraph"/>
        <w:widowControl w:val="0"/>
        <w:numPr>
          <w:ilvl w:val="0"/>
          <w:numId w:val="12"/>
        </w:numPr>
        <w:spacing w:after="200" w:line="276" w:lineRule="auto"/>
        <w:ind w:left="567" w:hanging="567"/>
        <w:jc w:val="left"/>
        <w:rPr>
          <w:b/>
          <w:bCs/>
        </w:rPr>
      </w:pPr>
      <w:r>
        <w:rPr>
          <w:b/>
          <w:i/>
          <w:sz w:val="28"/>
        </w:rPr>
        <w:lastRenderedPageBreak/>
        <w:t>CCMI/250 –</w:t>
      </w:r>
      <w:r>
        <w:t xml:space="preserve"> </w:t>
      </w:r>
      <w:hyperlink r:id="rId38" w:tooltip="Jačanje strateške autonomije EU-a i razvijanje zelenijeg i plavijeg gospodarstva: potencijal sektora proizvodnje natrijevih baterija" w:history="1">
        <w:r>
          <w:rPr>
            <w:rStyle w:val="Hyperlink"/>
            <w:b/>
            <w:i/>
            <w:sz w:val="28"/>
          </w:rPr>
          <w:t xml:space="preserve">Jačanje strateške autonomije EU-a i razvijanje zelenijeg i </w:t>
        </w:r>
        <w:proofErr w:type="spellStart"/>
        <w:r>
          <w:rPr>
            <w:rStyle w:val="Hyperlink"/>
            <w:b/>
            <w:i/>
            <w:sz w:val="28"/>
          </w:rPr>
          <w:t>plavijeg</w:t>
        </w:r>
        <w:proofErr w:type="spellEnd"/>
        <w:r>
          <w:rPr>
            <w:rStyle w:val="Hyperlink"/>
            <w:b/>
            <w:i/>
            <w:sz w:val="28"/>
          </w:rPr>
          <w:t xml:space="preserve"> gospodarstva: potencijal sektora proizvodnje natrijevih baterija</w:t>
        </w:r>
      </w:hyperlink>
    </w:p>
    <w:p w14:paraId="4EE78DD4" w14:textId="77777777" w:rsidR="008355A5" w:rsidRPr="00EB576B" w:rsidRDefault="008355A5" w:rsidP="008355A5">
      <w:pPr>
        <w:pStyle w:val="ListParagraph"/>
        <w:widowControl w:val="0"/>
        <w:ind w:left="567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9"/>
        <w:gridCol w:w="5670"/>
      </w:tblGrid>
      <w:tr w:rsidR="008355A5" w:rsidRPr="002754E8" w14:paraId="3A7EAC57" w14:textId="77777777" w:rsidTr="006C5879">
        <w:tc>
          <w:tcPr>
            <w:tcW w:w="1701" w:type="dxa"/>
          </w:tcPr>
          <w:p w14:paraId="2438DAEE" w14:textId="77777777" w:rsidR="008355A5" w:rsidRPr="00A6689B" w:rsidRDefault="008355A5" w:rsidP="006C5879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670" w:type="dxa"/>
          </w:tcPr>
          <w:p w14:paraId="343398EE" w14:textId="77777777" w:rsidR="008355A5" w:rsidRPr="00057230" w:rsidRDefault="008355A5" w:rsidP="006C5879">
            <w:pPr>
              <w:tabs>
                <w:tab w:val="center" w:pos="284"/>
              </w:tabs>
              <w:ind w:left="266" w:hanging="266"/>
            </w:pPr>
            <w:r>
              <w:t>Paul RÜBIG (Skupina poslodavaca – AT)</w:t>
            </w:r>
          </w:p>
        </w:tc>
      </w:tr>
      <w:tr w:rsidR="008355A5" w:rsidRPr="00A6689B" w14:paraId="0EBB55EB" w14:textId="77777777" w:rsidTr="006C5879">
        <w:tc>
          <w:tcPr>
            <w:tcW w:w="1701" w:type="dxa"/>
          </w:tcPr>
          <w:p w14:paraId="28A66331" w14:textId="77777777" w:rsidR="008355A5" w:rsidRPr="00A6689B" w:rsidRDefault="008355A5" w:rsidP="006C5879">
            <w:pPr>
              <w:tabs>
                <w:tab w:val="center" w:pos="284"/>
              </w:tabs>
              <w:ind w:left="266" w:hanging="266"/>
              <w:jc w:val="center"/>
              <w:rPr>
                <w:b/>
              </w:rPr>
            </w:pPr>
            <w:r>
              <w:rPr>
                <w:b/>
              </w:rPr>
              <w:t>Suizvjestitelj/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670" w:type="dxa"/>
          </w:tcPr>
          <w:p w14:paraId="1238239F" w14:textId="77777777" w:rsidR="008355A5" w:rsidRPr="00A6689B" w:rsidRDefault="008355A5" w:rsidP="006C5879">
            <w:pPr>
              <w:tabs>
                <w:tab w:val="center" w:pos="284"/>
              </w:tabs>
              <w:ind w:left="266" w:hanging="266"/>
            </w:pPr>
            <w:proofErr w:type="spellStart"/>
            <w:r>
              <w:t>Hervé</w:t>
            </w:r>
            <w:proofErr w:type="spellEnd"/>
            <w:r>
              <w:t xml:space="preserve"> JEANNIN (Skupina radnika – FR)</w:t>
            </w:r>
          </w:p>
        </w:tc>
      </w:tr>
      <w:tr w:rsidR="008355A5" w:rsidRPr="00A6689B" w14:paraId="63392937" w14:textId="77777777" w:rsidTr="006C5879">
        <w:tc>
          <w:tcPr>
            <w:tcW w:w="7371" w:type="dxa"/>
            <w:gridSpan w:val="2"/>
          </w:tcPr>
          <w:p w14:paraId="43DBD2F7" w14:textId="77777777" w:rsidR="008355A5" w:rsidRPr="00A6689B" w:rsidRDefault="008355A5" w:rsidP="006C5879">
            <w:pPr>
              <w:tabs>
                <w:tab w:val="center" w:pos="284"/>
              </w:tabs>
              <w:spacing w:line="160" w:lineRule="exact"/>
              <w:ind w:left="266" w:hanging="266"/>
              <w:rPr>
                <w:lang w:val="en-US"/>
              </w:rPr>
            </w:pPr>
          </w:p>
        </w:tc>
      </w:tr>
      <w:tr w:rsidR="008355A5" w:rsidRPr="00A6689B" w14:paraId="2B19F5EA" w14:textId="77777777" w:rsidTr="006C5879">
        <w:tc>
          <w:tcPr>
            <w:tcW w:w="1701" w:type="dxa"/>
            <w:vMerge w:val="restart"/>
          </w:tcPr>
          <w:p w14:paraId="22EF1ADE" w14:textId="77777777" w:rsidR="008355A5" w:rsidRPr="00A6689B" w:rsidRDefault="008355A5" w:rsidP="006C5879">
            <w:pPr>
              <w:tabs>
                <w:tab w:val="center" w:pos="284"/>
              </w:tabs>
              <w:ind w:left="266" w:hanging="266"/>
              <w:jc w:val="center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5670" w:type="dxa"/>
          </w:tcPr>
          <w:p w14:paraId="49E6821A" w14:textId="77777777" w:rsidR="008355A5" w:rsidRPr="00A6689B" w:rsidRDefault="008355A5" w:rsidP="006C5879">
            <w:pPr>
              <w:tabs>
                <w:tab w:val="center" w:pos="284"/>
              </w:tabs>
              <w:ind w:left="266" w:hanging="266"/>
            </w:pPr>
            <w:r>
              <w:t>EESC-2025-02464-00-00-AC</w:t>
            </w:r>
          </w:p>
        </w:tc>
      </w:tr>
      <w:tr w:rsidR="008355A5" w:rsidRPr="00A6689B" w14:paraId="473108E7" w14:textId="77777777" w:rsidTr="006C5879">
        <w:tc>
          <w:tcPr>
            <w:tcW w:w="1701" w:type="dxa"/>
            <w:vMerge/>
          </w:tcPr>
          <w:p w14:paraId="1DFBDD03" w14:textId="77777777" w:rsidR="008355A5" w:rsidRPr="00A6689B" w:rsidRDefault="008355A5" w:rsidP="006C5879">
            <w:pPr>
              <w:tabs>
                <w:tab w:val="center" w:pos="284"/>
              </w:tabs>
              <w:ind w:left="266" w:hanging="266"/>
              <w:rPr>
                <w:b/>
                <w:lang w:val="en-US"/>
              </w:rPr>
            </w:pPr>
          </w:p>
        </w:tc>
        <w:tc>
          <w:tcPr>
            <w:tcW w:w="5670" w:type="dxa"/>
          </w:tcPr>
          <w:p w14:paraId="625A8F1C" w14:textId="77777777" w:rsidR="008355A5" w:rsidRPr="00A6689B" w:rsidRDefault="008355A5" w:rsidP="006C5879">
            <w:pPr>
              <w:tabs>
                <w:tab w:val="center" w:pos="284"/>
              </w:tabs>
              <w:ind w:left="266" w:hanging="266"/>
              <w:rPr>
                <w:lang w:val="en-US"/>
              </w:rPr>
            </w:pPr>
          </w:p>
        </w:tc>
      </w:tr>
    </w:tbl>
    <w:p w14:paraId="3F2F56B1" w14:textId="77777777" w:rsidR="008355A5" w:rsidRDefault="008355A5" w:rsidP="008355A5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Ključne točke</w:t>
      </w:r>
    </w:p>
    <w:p w14:paraId="161D96CD" w14:textId="77777777" w:rsidR="008355A5" w:rsidRDefault="008355A5" w:rsidP="008355A5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082EE96D" w14:textId="77777777" w:rsidR="008355A5" w:rsidRDefault="008355A5" w:rsidP="008355A5">
      <w:pPr>
        <w:keepNext/>
        <w:keepLines/>
        <w:tabs>
          <w:tab w:val="center" w:pos="284"/>
        </w:tabs>
        <w:ind w:left="266" w:hanging="266"/>
        <w:rPr>
          <w:bCs/>
        </w:rPr>
      </w:pPr>
      <w:r>
        <w:t>EGSO:</w:t>
      </w:r>
    </w:p>
    <w:p w14:paraId="0ABDC1DC" w14:textId="77777777" w:rsidR="008355A5" w:rsidRPr="009302ED" w:rsidRDefault="008355A5" w:rsidP="008355A5">
      <w:pPr>
        <w:keepNext/>
        <w:keepLines/>
        <w:tabs>
          <w:tab w:val="center" w:pos="284"/>
        </w:tabs>
        <w:ind w:left="266" w:hanging="266"/>
        <w:rPr>
          <w:bCs/>
        </w:rPr>
      </w:pPr>
    </w:p>
    <w:p w14:paraId="2CC2BE6F" w14:textId="77777777" w:rsidR="008355A5" w:rsidRPr="009302ED" w:rsidRDefault="008355A5" w:rsidP="008355A5">
      <w:pPr>
        <w:pStyle w:val="ListParagraph"/>
        <w:numPr>
          <w:ilvl w:val="0"/>
          <w:numId w:val="13"/>
        </w:numPr>
        <w:shd w:val="clear" w:color="auto" w:fill="FEFEFE"/>
        <w:spacing w:line="276" w:lineRule="auto"/>
        <w:rPr>
          <w:color w:val="333333"/>
          <w:sz w:val="24"/>
          <w:szCs w:val="24"/>
        </w:rPr>
      </w:pPr>
      <w:r>
        <w:rPr>
          <w:sz w:val="24"/>
        </w:rPr>
        <w:t>smatra da su natrijeve baterije strateška tehnologija i da Europa ima velik potencijal za preuzimanje tehnološkog vodstva u području baterijskih sustava na bazi natrija i slane vode;</w:t>
      </w:r>
    </w:p>
    <w:p w14:paraId="461073ED" w14:textId="77777777" w:rsidR="008355A5" w:rsidRPr="009302ED" w:rsidRDefault="008355A5" w:rsidP="008355A5">
      <w:pPr>
        <w:pStyle w:val="ListParagraph"/>
        <w:numPr>
          <w:ilvl w:val="0"/>
          <w:numId w:val="13"/>
        </w:numPr>
        <w:shd w:val="clear" w:color="auto" w:fill="FEFEFE"/>
        <w:spacing w:line="276" w:lineRule="auto"/>
        <w:rPr>
          <w:color w:val="333333"/>
          <w:sz w:val="24"/>
          <w:szCs w:val="24"/>
        </w:rPr>
      </w:pPr>
      <w:r>
        <w:rPr>
          <w:sz w:val="24"/>
        </w:rPr>
        <w:t xml:space="preserve">naglašava potencijal natrijevih baterija kao pokretača ostvarivanja ciljeva industrijske politike EU-a: one podupiru ostvarivanje ciljeva zelenog i plavog plana EU-a, mogu biti ključno sredstvo za postizanje strateške autonomije, a otvaranjem </w:t>
      </w:r>
      <w:proofErr w:type="spellStart"/>
      <w:r>
        <w:rPr>
          <w:sz w:val="24"/>
        </w:rPr>
        <w:t>gigatvornica</w:t>
      </w:r>
      <w:proofErr w:type="spellEnd"/>
      <w:r>
        <w:rPr>
          <w:sz w:val="24"/>
        </w:rPr>
        <w:t xml:space="preserve"> natrijevih baterija povećala bi se konkurentnost i otvorila radna mjesta u cijelom vrijednosnom lancu;</w:t>
      </w:r>
    </w:p>
    <w:p w14:paraId="003C2F81" w14:textId="77777777" w:rsidR="008355A5" w:rsidRPr="009302ED" w:rsidRDefault="008355A5" w:rsidP="008355A5">
      <w:pPr>
        <w:pStyle w:val="ListParagraph"/>
        <w:numPr>
          <w:ilvl w:val="0"/>
          <w:numId w:val="13"/>
        </w:numPr>
        <w:shd w:val="clear" w:color="auto" w:fill="FEFEFE"/>
        <w:spacing w:line="276" w:lineRule="auto"/>
        <w:rPr>
          <w:color w:val="333333"/>
          <w:sz w:val="24"/>
          <w:szCs w:val="24"/>
        </w:rPr>
      </w:pPr>
      <w:r>
        <w:rPr>
          <w:sz w:val="24"/>
        </w:rPr>
        <w:t>ističe da se natrijeve baterije mogu u potpunosti proizvoditi od europskih sirovina jer je natrij prisutan u izobilju na kontinentu i postoji sve veći potencijal za europsku industriju desalinizacije, te stoga može smanjiti upotrebu kritičnih sirovina;</w:t>
      </w:r>
    </w:p>
    <w:p w14:paraId="1FF72AA0" w14:textId="77777777" w:rsidR="008355A5" w:rsidRPr="009302ED" w:rsidRDefault="008355A5" w:rsidP="008355A5">
      <w:pPr>
        <w:pStyle w:val="ListParagraph"/>
        <w:numPr>
          <w:ilvl w:val="0"/>
          <w:numId w:val="13"/>
        </w:numPr>
        <w:shd w:val="clear" w:color="auto" w:fill="FEFEFE"/>
        <w:spacing w:line="276" w:lineRule="auto"/>
        <w:rPr>
          <w:color w:val="333333"/>
          <w:sz w:val="24"/>
          <w:szCs w:val="24"/>
        </w:rPr>
      </w:pPr>
      <w:r>
        <w:rPr>
          <w:sz w:val="24"/>
        </w:rPr>
        <w:t>poziva na odlučno i koordinirano djelovanje EU-a kako bi se uspostavila konkurentna industrija proizvodnje natrijevih baterija jer natrijeve baterije napreduju na globalnoj razini, a Europa bi mogla dodatno zaostajati;</w:t>
      </w:r>
    </w:p>
    <w:p w14:paraId="682B0FE5" w14:textId="77777777" w:rsidR="008355A5" w:rsidRPr="009302ED" w:rsidRDefault="008355A5" w:rsidP="008355A5">
      <w:pPr>
        <w:pStyle w:val="ListParagraph"/>
        <w:numPr>
          <w:ilvl w:val="0"/>
          <w:numId w:val="13"/>
        </w:numPr>
        <w:shd w:val="clear" w:color="auto" w:fill="FEFEFE"/>
        <w:spacing w:line="276" w:lineRule="auto"/>
        <w:rPr>
          <w:color w:val="333333"/>
          <w:sz w:val="24"/>
          <w:szCs w:val="24"/>
        </w:rPr>
      </w:pPr>
      <w:r>
        <w:rPr>
          <w:sz w:val="24"/>
        </w:rPr>
        <w:t>preporučuje da se ažurira industrijski plan proizvodnje baterije, koji bi obuhvaćao i litij i natrij, a to bi trebalo uključivati i plan za rješavanje pitanja radne snage i socijalnih potreba, uz ulaganje u vještine, mobilnost radne snage i strateško sudjelovanje MSP-ova;</w:t>
      </w:r>
    </w:p>
    <w:p w14:paraId="570DAF43" w14:textId="77777777" w:rsidR="008355A5" w:rsidRPr="009302ED" w:rsidRDefault="008355A5" w:rsidP="008355A5">
      <w:pPr>
        <w:pStyle w:val="ListParagraph"/>
        <w:numPr>
          <w:ilvl w:val="0"/>
          <w:numId w:val="13"/>
        </w:numPr>
        <w:shd w:val="clear" w:color="auto" w:fill="FEFEFE"/>
        <w:spacing w:line="276" w:lineRule="auto"/>
        <w:rPr>
          <w:color w:val="333333"/>
          <w:sz w:val="24"/>
          <w:szCs w:val="24"/>
        </w:rPr>
      </w:pPr>
      <w:r>
        <w:rPr>
          <w:sz w:val="24"/>
        </w:rPr>
        <w:t xml:space="preserve">ustraje u tome da je važno izaći iz sustava izoliranih politika i uskladiti ključne strategije EU-a (Kompas konkurentnosti, Strategija za Uniju pripravnosti, akcijski plan za kružno gospodarstvo i Strategija za otpornost vodoopskrbe) kako bi se razvio europski vrijednosni lanac natrijevih baterija koji bi služio europskim strateškim ciljevima; </w:t>
      </w:r>
    </w:p>
    <w:p w14:paraId="43098CD5" w14:textId="77777777" w:rsidR="008355A5" w:rsidRPr="009302ED" w:rsidRDefault="008355A5" w:rsidP="008355A5">
      <w:pPr>
        <w:pStyle w:val="ListParagraph"/>
        <w:numPr>
          <w:ilvl w:val="0"/>
          <w:numId w:val="13"/>
        </w:numPr>
        <w:shd w:val="clear" w:color="auto" w:fill="FEFEFE"/>
        <w:spacing w:line="276" w:lineRule="auto"/>
        <w:rPr>
          <w:color w:val="333333"/>
          <w:sz w:val="24"/>
          <w:szCs w:val="24"/>
        </w:rPr>
      </w:pPr>
      <w:r>
        <w:rPr>
          <w:sz w:val="24"/>
        </w:rPr>
        <w:t>preporučuje subvencije za ulaganja, porezne olakšice za proizvodnju, ciljane pozive na podnošenje prijedloga za projekte i investicijske vaučere za industrijsku suradnju s organizacijama za istraživanje i tehnologiju;</w:t>
      </w:r>
    </w:p>
    <w:p w14:paraId="606CAC02" w14:textId="77777777" w:rsidR="008355A5" w:rsidRPr="009302ED" w:rsidRDefault="008355A5" w:rsidP="008355A5">
      <w:pPr>
        <w:pStyle w:val="ListParagraph"/>
        <w:numPr>
          <w:ilvl w:val="0"/>
          <w:numId w:val="13"/>
        </w:numPr>
        <w:shd w:val="clear" w:color="auto" w:fill="FEFEFE"/>
        <w:spacing w:line="276" w:lineRule="auto"/>
        <w:rPr>
          <w:sz w:val="24"/>
          <w:szCs w:val="24"/>
        </w:rPr>
      </w:pPr>
      <w:r>
        <w:rPr>
          <w:sz w:val="24"/>
        </w:rPr>
        <w:t>poziva na fleksibilnu javnu potporu kojom bi se izbjegle preuranjene ovisnosti i na snažniju suradnju u području istraživanja i razvoja, koje bi sufinancirale vlade i industrija;</w:t>
      </w:r>
    </w:p>
    <w:p w14:paraId="440FA065" w14:textId="77777777" w:rsidR="008355A5" w:rsidRPr="009302ED" w:rsidRDefault="008355A5" w:rsidP="008355A5">
      <w:pPr>
        <w:pStyle w:val="ListParagraph"/>
        <w:numPr>
          <w:ilvl w:val="0"/>
          <w:numId w:val="13"/>
        </w:numPr>
        <w:shd w:val="clear" w:color="auto" w:fill="FEFEFE"/>
        <w:spacing w:line="276" w:lineRule="auto"/>
        <w:rPr>
          <w:sz w:val="24"/>
          <w:szCs w:val="24"/>
        </w:rPr>
      </w:pPr>
      <w:r>
        <w:rPr>
          <w:sz w:val="24"/>
        </w:rPr>
        <w:t xml:space="preserve">prepoznaje potencijal prenamjene industrijskih postrojenja koja se trenutačno suočavaju sa smanjenjem aktivnosti ili zatvaranjem u </w:t>
      </w:r>
      <w:proofErr w:type="spellStart"/>
      <w:r>
        <w:rPr>
          <w:sz w:val="24"/>
        </w:rPr>
        <w:t>gigatvornice</w:t>
      </w:r>
      <w:proofErr w:type="spellEnd"/>
      <w:r>
        <w:rPr>
          <w:sz w:val="24"/>
        </w:rPr>
        <w:t xml:space="preserve"> natrijevih baterija, što bi predstavljalo učinkovito i okolišno odgovorno korištenje postojeće infrastrukture;</w:t>
      </w:r>
    </w:p>
    <w:p w14:paraId="26890A1A" w14:textId="77777777" w:rsidR="008355A5" w:rsidRPr="009302ED" w:rsidRDefault="008355A5" w:rsidP="008355A5">
      <w:pPr>
        <w:pStyle w:val="ListParagraph"/>
        <w:numPr>
          <w:ilvl w:val="0"/>
          <w:numId w:val="13"/>
        </w:numPr>
        <w:shd w:val="clear" w:color="auto" w:fill="FEFEFE"/>
        <w:spacing w:line="276" w:lineRule="auto"/>
      </w:pPr>
      <w:r>
        <w:rPr>
          <w:sz w:val="24"/>
        </w:rPr>
        <w:lastRenderedPageBreak/>
        <w:t>prepoznaje važnost integriranja ekološkog dizajna i recikliranja u tu proizvodnu industriju, čime bi se poticao kružni vrijednosni lanac natrijevih baterija.</w:t>
      </w:r>
    </w:p>
    <w:p w14:paraId="72553EE4" w14:textId="77777777" w:rsidR="008355A5" w:rsidRPr="009302ED" w:rsidRDefault="008355A5" w:rsidP="008355A5">
      <w:pPr>
        <w:pStyle w:val="ListParagraph"/>
        <w:shd w:val="clear" w:color="auto" w:fill="FEFEFE"/>
        <w:rPr>
          <w:sz w:val="24"/>
          <w:szCs w:val="24"/>
        </w:rPr>
      </w:pPr>
    </w:p>
    <w:p w14:paraId="4B5A9A8D" w14:textId="77777777" w:rsidR="008355A5" w:rsidRPr="009302ED" w:rsidRDefault="008355A5" w:rsidP="008355A5">
      <w:pPr>
        <w:pStyle w:val="ListParagraph"/>
        <w:shd w:val="clear" w:color="auto" w:fill="FEFEFE"/>
      </w:pPr>
    </w:p>
    <w:p w14:paraId="6DE7F873" w14:textId="77777777" w:rsidR="008355A5" w:rsidRPr="009302ED" w:rsidRDefault="008355A5" w:rsidP="008355A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="008355A5" w:rsidRPr="00A6689B" w14:paraId="466EBB8D" w14:textId="77777777" w:rsidTr="006C5879">
        <w:tc>
          <w:tcPr>
            <w:tcW w:w="1418" w:type="dxa"/>
          </w:tcPr>
          <w:p w14:paraId="77333CD3" w14:textId="77777777" w:rsidR="008355A5" w:rsidRPr="00A6689B" w:rsidRDefault="008355A5" w:rsidP="006C5879">
            <w:pPr>
              <w:spacing w:line="240" w:lineRule="auto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14:paraId="03B15DF9" w14:textId="77777777" w:rsidR="008355A5" w:rsidRPr="00B81C63" w:rsidRDefault="008355A5" w:rsidP="006C5879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Luís BARBOSA E SILVA</w:t>
            </w:r>
          </w:p>
        </w:tc>
      </w:tr>
      <w:tr w:rsidR="008355A5" w:rsidRPr="00A6689B" w14:paraId="66464539" w14:textId="77777777" w:rsidTr="006C5879">
        <w:tc>
          <w:tcPr>
            <w:tcW w:w="1418" w:type="dxa"/>
          </w:tcPr>
          <w:p w14:paraId="211DDC80" w14:textId="77777777" w:rsidR="008355A5" w:rsidRPr="00A6689B" w:rsidRDefault="008355A5" w:rsidP="006C5879">
            <w:pPr>
              <w:spacing w:line="240" w:lineRule="auto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5670" w:type="dxa"/>
          </w:tcPr>
          <w:p w14:paraId="11A0F0E5" w14:textId="77777777" w:rsidR="008355A5" w:rsidRPr="00A6689B" w:rsidRDefault="008355A5" w:rsidP="006C5879">
            <w:pPr>
              <w:spacing w:line="240" w:lineRule="auto"/>
              <w:rPr>
                <w:i/>
              </w:rPr>
            </w:pPr>
            <w:r>
              <w:rPr>
                <w:i/>
              </w:rPr>
              <w:t>+32 25468846</w:t>
            </w:r>
          </w:p>
        </w:tc>
      </w:tr>
      <w:tr w:rsidR="008355A5" w:rsidRPr="00AC735E" w14:paraId="748417C0" w14:textId="77777777" w:rsidTr="006C5879">
        <w:trPr>
          <w:trHeight w:val="244"/>
        </w:trPr>
        <w:tc>
          <w:tcPr>
            <w:tcW w:w="1418" w:type="dxa"/>
          </w:tcPr>
          <w:p w14:paraId="30DA9937" w14:textId="77777777" w:rsidR="008355A5" w:rsidRPr="00A6689B" w:rsidRDefault="008355A5" w:rsidP="006C5879">
            <w:pPr>
              <w:spacing w:line="240" w:lineRule="auto"/>
              <w:rPr>
                <w:i/>
              </w:rPr>
            </w:pPr>
            <w:r>
              <w:rPr>
                <w:i/>
              </w:rPr>
              <w:t>E-pošta:</w:t>
            </w:r>
          </w:p>
        </w:tc>
        <w:tc>
          <w:tcPr>
            <w:tcW w:w="5670" w:type="dxa"/>
          </w:tcPr>
          <w:p w14:paraId="4D348FF9" w14:textId="77777777" w:rsidR="008355A5" w:rsidRPr="00D916AE" w:rsidRDefault="008355A5" w:rsidP="006C5879">
            <w:pPr>
              <w:spacing w:line="240" w:lineRule="auto"/>
            </w:pPr>
            <w:hyperlink r:id="rId39" w:history="1">
              <w:r>
                <w:rPr>
                  <w:rStyle w:val="Hyperlink"/>
                </w:rPr>
                <w:t>Luis.BarbosaESilva@eesc.europa.eu</w:t>
              </w:r>
            </w:hyperlink>
          </w:p>
        </w:tc>
      </w:tr>
    </w:tbl>
    <w:p w14:paraId="2E28EF19" w14:textId="299918AB" w:rsidR="000D394D" w:rsidRPr="00205469" w:rsidRDefault="00E25EB4" w:rsidP="00100EF9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>
        <w:t>_____________</w:t>
      </w:r>
    </w:p>
    <w:sectPr w:rsidR="000D394D" w:rsidRPr="00205469" w:rsidSect="00153E09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7" w:h="1683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2D88F" w14:textId="77777777" w:rsidR="00711298" w:rsidRDefault="00711298" w:rsidP="00B518C9">
      <w:pPr>
        <w:spacing w:line="240" w:lineRule="auto"/>
      </w:pPr>
      <w:r>
        <w:separator/>
      </w:r>
    </w:p>
  </w:endnote>
  <w:endnote w:type="continuationSeparator" w:id="0">
    <w:p w14:paraId="276450BF" w14:textId="77777777" w:rsidR="00711298" w:rsidRDefault="00711298" w:rsidP="00B51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2DE51" w14:textId="1EF32E47" w:rsidR="00B518C9" w:rsidRPr="00153E09" w:rsidRDefault="00153E09" w:rsidP="00153E09">
    <w:pPr>
      <w:pStyle w:val="Footer"/>
    </w:pPr>
    <w:r>
      <w:t xml:space="preserve">EESC-2026-00247-00-00-TCD-TRA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E235D3">
      <w:t>1</w:t>
    </w:r>
    <w:r>
      <w:fldChar w:fldCharType="end"/>
    </w:r>
    <w:r>
      <w:t>/</w:t>
    </w:r>
    <w:r w:rsidR="00E235D3">
      <w:fldChar w:fldCharType="begin"/>
    </w:r>
    <w:r w:rsidR="00E235D3">
      <w:instrText xml:space="preserve"> NUMPAGES </w:instrText>
    </w:r>
    <w:r w:rsidR="00E235D3">
      <w:fldChar w:fldCharType="separate"/>
    </w:r>
    <w:r w:rsidR="00E235D3">
      <w:t>15</w:t>
    </w:r>
    <w:r w:rsidR="00E235D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DE809" w14:textId="77777777" w:rsidR="00153E09" w:rsidRPr="00153E09" w:rsidRDefault="00153E09" w:rsidP="00153E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7402" w14:textId="0C6B551C" w:rsidR="00153E09" w:rsidRPr="00153E09" w:rsidRDefault="00153E09" w:rsidP="00153E09">
    <w:pPr>
      <w:pStyle w:val="Footer"/>
    </w:pPr>
    <w:r>
      <w:t xml:space="preserve">EESC-2026-00247-00-00-TCD-TRA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7526DA">
      <w:t>15</w:t>
    </w:r>
    <w:r>
      <w:fldChar w:fldCharType="end"/>
    </w:r>
    <w:r>
      <w:t>/</w:t>
    </w:r>
    <w:r w:rsidR="00E235D3">
      <w:fldChar w:fldCharType="begin"/>
    </w:r>
    <w:r w:rsidR="00E235D3">
      <w:instrText xml:space="preserve"> NUMPAGES </w:instrText>
    </w:r>
    <w:r w:rsidR="00E235D3">
      <w:fldChar w:fldCharType="separate"/>
    </w:r>
    <w:r w:rsidR="007526DA">
      <w:t>15</w:t>
    </w:r>
    <w:r w:rsidR="00E235D3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543FF" w14:textId="77777777" w:rsidR="00153E09" w:rsidRPr="00153E09" w:rsidRDefault="00153E09" w:rsidP="00153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AC4B1" w14:textId="77777777" w:rsidR="00711298" w:rsidRDefault="00711298" w:rsidP="00B518C9">
      <w:pPr>
        <w:spacing w:line="240" w:lineRule="auto"/>
      </w:pPr>
      <w:r>
        <w:separator/>
      </w:r>
    </w:p>
  </w:footnote>
  <w:footnote w:type="continuationSeparator" w:id="0">
    <w:p w14:paraId="67149419" w14:textId="77777777" w:rsidR="00711298" w:rsidRDefault="00711298" w:rsidP="00B518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52BE" w14:textId="77777777" w:rsidR="00153E09" w:rsidRPr="00153E09" w:rsidRDefault="00153E09" w:rsidP="00153E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AA39" w14:textId="04F245DB" w:rsidR="00153E09" w:rsidRPr="00153E09" w:rsidRDefault="00153E09" w:rsidP="00153E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39C97" w14:textId="77777777" w:rsidR="00153E09" w:rsidRPr="00153E09" w:rsidRDefault="00153E09" w:rsidP="00153E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BABEA5FC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  <w:bCs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1D08466C"/>
    <w:lvl w:ilvl="0">
      <w:numFmt w:val="decimal"/>
      <w:lvlText w:val="*"/>
      <w:lvlJc w:val="left"/>
    </w:lvl>
  </w:abstractNum>
  <w:abstractNum w:abstractNumId="2" w15:restartNumberingAfterBreak="0">
    <w:nsid w:val="03A15EA7"/>
    <w:multiLevelType w:val="multilevel"/>
    <w:tmpl w:val="B450D11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" w15:restartNumberingAfterBreak="0">
    <w:nsid w:val="0F9F7110"/>
    <w:multiLevelType w:val="hybridMultilevel"/>
    <w:tmpl w:val="7E8C5ED6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9786E"/>
    <w:multiLevelType w:val="hybridMultilevel"/>
    <w:tmpl w:val="2960A99E"/>
    <w:lvl w:ilvl="0" w:tplc="C7604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976BE"/>
    <w:multiLevelType w:val="hybridMultilevel"/>
    <w:tmpl w:val="20F4A5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F3FBA"/>
    <w:multiLevelType w:val="hybridMultilevel"/>
    <w:tmpl w:val="BE9CD944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A28EE"/>
    <w:multiLevelType w:val="hybridMultilevel"/>
    <w:tmpl w:val="E7B48E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23B38"/>
    <w:multiLevelType w:val="multilevel"/>
    <w:tmpl w:val="847E4C1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9" w15:restartNumberingAfterBreak="0">
    <w:nsid w:val="274E0DB2"/>
    <w:multiLevelType w:val="hybridMultilevel"/>
    <w:tmpl w:val="CA00EA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A3C5C"/>
    <w:multiLevelType w:val="hybridMultilevel"/>
    <w:tmpl w:val="8F5E9440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A6D68"/>
    <w:multiLevelType w:val="multilevel"/>
    <w:tmpl w:val="274C107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2" w15:restartNumberingAfterBreak="0">
    <w:nsid w:val="362E4D7F"/>
    <w:multiLevelType w:val="hybridMultilevel"/>
    <w:tmpl w:val="8C922762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16355"/>
    <w:multiLevelType w:val="hybridMultilevel"/>
    <w:tmpl w:val="DE10A170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27568"/>
    <w:multiLevelType w:val="hybridMultilevel"/>
    <w:tmpl w:val="F2789A4A"/>
    <w:lvl w:ilvl="0" w:tplc="8E864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0E2F27"/>
    <w:multiLevelType w:val="hybridMultilevel"/>
    <w:tmpl w:val="C60EBDA0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B5BA4"/>
    <w:multiLevelType w:val="multilevel"/>
    <w:tmpl w:val="D22C911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-252" w:hanging="360"/>
      </w:pPr>
      <w:rPr>
        <w:rFonts w:ascii="Symbol" w:hAnsi="Symbol" w:hint="default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7" w15:restartNumberingAfterBreak="0">
    <w:nsid w:val="48954870"/>
    <w:multiLevelType w:val="hybridMultilevel"/>
    <w:tmpl w:val="718CAA2E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F0D630B"/>
    <w:multiLevelType w:val="hybridMultilevel"/>
    <w:tmpl w:val="C5CCC4D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F858A5"/>
    <w:multiLevelType w:val="multilevel"/>
    <w:tmpl w:val="847E4C1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0" w15:restartNumberingAfterBreak="0">
    <w:nsid w:val="54840386"/>
    <w:multiLevelType w:val="hybridMultilevel"/>
    <w:tmpl w:val="9E7C99B6"/>
    <w:lvl w:ilvl="0" w:tplc="DDE08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C4B27"/>
    <w:multiLevelType w:val="hybridMultilevel"/>
    <w:tmpl w:val="998C3E8A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D7A66"/>
    <w:multiLevelType w:val="hybridMultilevel"/>
    <w:tmpl w:val="DEB8F97A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8D16D5B"/>
    <w:multiLevelType w:val="hybridMultilevel"/>
    <w:tmpl w:val="9BE07FF0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014D1"/>
    <w:multiLevelType w:val="hybridMultilevel"/>
    <w:tmpl w:val="84DED000"/>
    <w:lvl w:ilvl="0" w:tplc="4D645226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72323163"/>
    <w:multiLevelType w:val="hybridMultilevel"/>
    <w:tmpl w:val="31FAA74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E864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00E4B"/>
    <w:multiLevelType w:val="hybridMultilevel"/>
    <w:tmpl w:val="654ED096"/>
    <w:lvl w:ilvl="0" w:tplc="8E864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7D7BDC"/>
    <w:multiLevelType w:val="hybridMultilevel"/>
    <w:tmpl w:val="193433BE"/>
    <w:lvl w:ilvl="0" w:tplc="89029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00E66"/>
    <w:multiLevelType w:val="hybridMultilevel"/>
    <w:tmpl w:val="0F0456B0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02782710">
    <w:abstractNumId w:val="0"/>
  </w:num>
  <w:num w:numId="2" w16cid:durableId="271399465">
    <w:abstractNumId w:val="24"/>
  </w:num>
  <w:num w:numId="3" w16cid:durableId="162285615">
    <w:abstractNumId w:val="27"/>
  </w:num>
  <w:num w:numId="4" w16cid:durableId="75821282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  <w:sz w:val="28"/>
          <w:szCs w:val="28"/>
        </w:rPr>
      </w:lvl>
    </w:lvlOverride>
  </w:num>
  <w:num w:numId="5" w16cid:durableId="1112627966">
    <w:abstractNumId w:val="18"/>
  </w:num>
  <w:num w:numId="6" w16cid:durableId="14001361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  <w:sz w:val="28"/>
          <w:szCs w:val="28"/>
        </w:rPr>
      </w:lvl>
    </w:lvlOverride>
  </w:num>
  <w:num w:numId="7" w16cid:durableId="1004093738">
    <w:abstractNumId w:val="11"/>
  </w:num>
  <w:num w:numId="8" w16cid:durableId="44649525">
    <w:abstractNumId w:val="8"/>
  </w:num>
  <w:num w:numId="9" w16cid:durableId="1684430438">
    <w:abstractNumId w:val="19"/>
  </w:num>
  <w:num w:numId="10" w16cid:durableId="1077559274">
    <w:abstractNumId w:val="16"/>
  </w:num>
  <w:num w:numId="11" w16cid:durableId="731389420">
    <w:abstractNumId w:val="20"/>
  </w:num>
  <w:num w:numId="12" w16cid:durableId="1326318129">
    <w:abstractNumId w:val="4"/>
  </w:num>
  <w:num w:numId="13" w16cid:durableId="440105870">
    <w:abstractNumId w:val="7"/>
  </w:num>
  <w:num w:numId="14" w16cid:durableId="402945904">
    <w:abstractNumId w:val="14"/>
  </w:num>
  <w:num w:numId="15" w16cid:durableId="1587419543">
    <w:abstractNumId w:val="17"/>
  </w:num>
  <w:num w:numId="16" w16cid:durableId="337467237">
    <w:abstractNumId w:val="26"/>
  </w:num>
  <w:num w:numId="17" w16cid:durableId="1518277879">
    <w:abstractNumId w:val="3"/>
  </w:num>
  <w:num w:numId="18" w16cid:durableId="1291280048">
    <w:abstractNumId w:val="25"/>
  </w:num>
  <w:num w:numId="19" w16cid:durableId="833303126">
    <w:abstractNumId w:val="28"/>
  </w:num>
  <w:num w:numId="20" w16cid:durableId="1814786723">
    <w:abstractNumId w:val="23"/>
  </w:num>
  <w:num w:numId="21" w16cid:durableId="1308708210">
    <w:abstractNumId w:val="9"/>
  </w:num>
  <w:num w:numId="22" w16cid:durableId="638191526">
    <w:abstractNumId w:val="15"/>
  </w:num>
  <w:num w:numId="23" w16cid:durableId="1557088978">
    <w:abstractNumId w:val="2"/>
  </w:num>
  <w:num w:numId="24" w16cid:durableId="1810629091">
    <w:abstractNumId w:val="6"/>
  </w:num>
  <w:num w:numId="25" w16cid:durableId="687295144">
    <w:abstractNumId w:val="22"/>
  </w:num>
  <w:num w:numId="26" w16cid:durableId="1862746074">
    <w:abstractNumId w:val="5"/>
  </w:num>
  <w:num w:numId="27" w16cid:durableId="1919902096">
    <w:abstractNumId w:val="12"/>
  </w:num>
  <w:num w:numId="28" w16cid:durableId="202795658">
    <w:abstractNumId w:val="10"/>
  </w:num>
  <w:num w:numId="29" w16cid:durableId="676229862">
    <w:abstractNumId w:val="13"/>
  </w:num>
  <w:num w:numId="30" w16cid:durableId="300578911">
    <w:abstractNumId w:val="21"/>
  </w:num>
  <w:num w:numId="31" w16cid:durableId="1043292650">
    <w:abstractNumId w:val="1"/>
    <w:lvlOverride w:ilvl="0">
      <w:lvl w:ilvl="0"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</w:rPr>
      </w:lvl>
    </w:lvlOverride>
  </w:num>
  <w:num w:numId="32" w16cid:durableId="2030790010">
    <w:abstractNumId w:val="18"/>
  </w:num>
  <w:num w:numId="33" w16cid:durableId="151069569">
    <w:abstractNumId w:val="1"/>
    <w:lvlOverride w:ilvl="0">
      <w:lvl w:ilvl="0"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</w:rPr>
      </w:lvl>
    </w:lvlOverride>
  </w:num>
  <w:num w:numId="34" w16cid:durableId="1830829766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9227337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2297184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6239856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C0"/>
    <w:rsid w:val="00004364"/>
    <w:rsid w:val="00010A4D"/>
    <w:rsid w:val="00043E7B"/>
    <w:rsid w:val="00046543"/>
    <w:rsid w:val="000638B5"/>
    <w:rsid w:val="00063DFF"/>
    <w:rsid w:val="000D394D"/>
    <w:rsid w:val="00100EF9"/>
    <w:rsid w:val="0011550C"/>
    <w:rsid w:val="00120A45"/>
    <w:rsid w:val="00124E6A"/>
    <w:rsid w:val="001313E0"/>
    <w:rsid w:val="00153E09"/>
    <w:rsid w:val="00162B1C"/>
    <w:rsid w:val="001653D7"/>
    <w:rsid w:val="00167743"/>
    <w:rsid w:val="00187E31"/>
    <w:rsid w:val="001A1F1F"/>
    <w:rsid w:val="001A58BD"/>
    <w:rsid w:val="001A7538"/>
    <w:rsid w:val="001E391D"/>
    <w:rsid w:val="00205469"/>
    <w:rsid w:val="00210CBF"/>
    <w:rsid w:val="00250B70"/>
    <w:rsid w:val="00256B74"/>
    <w:rsid w:val="0027149A"/>
    <w:rsid w:val="00274F1A"/>
    <w:rsid w:val="0027678C"/>
    <w:rsid w:val="002A5636"/>
    <w:rsid w:val="002B7981"/>
    <w:rsid w:val="002D77C8"/>
    <w:rsid w:val="002F4AD1"/>
    <w:rsid w:val="00302594"/>
    <w:rsid w:val="003066BE"/>
    <w:rsid w:val="003066E2"/>
    <w:rsid w:val="003227CC"/>
    <w:rsid w:val="00326237"/>
    <w:rsid w:val="00340FA5"/>
    <w:rsid w:val="003452F9"/>
    <w:rsid w:val="003534E0"/>
    <w:rsid w:val="0037319B"/>
    <w:rsid w:val="0037722B"/>
    <w:rsid w:val="003B6923"/>
    <w:rsid w:val="003E1B8B"/>
    <w:rsid w:val="003F326D"/>
    <w:rsid w:val="003F4F92"/>
    <w:rsid w:val="003F66F7"/>
    <w:rsid w:val="003F79EF"/>
    <w:rsid w:val="00416286"/>
    <w:rsid w:val="00426372"/>
    <w:rsid w:val="0043191A"/>
    <w:rsid w:val="00462F24"/>
    <w:rsid w:val="004A5CD7"/>
    <w:rsid w:val="004C4CDB"/>
    <w:rsid w:val="004C6DA8"/>
    <w:rsid w:val="004D1319"/>
    <w:rsid w:val="004D7AC0"/>
    <w:rsid w:val="00527B47"/>
    <w:rsid w:val="00532089"/>
    <w:rsid w:val="00532F99"/>
    <w:rsid w:val="00557848"/>
    <w:rsid w:val="00586B4B"/>
    <w:rsid w:val="00594237"/>
    <w:rsid w:val="005A0BDA"/>
    <w:rsid w:val="005C2B2F"/>
    <w:rsid w:val="005C357F"/>
    <w:rsid w:val="005C6D36"/>
    <w:rsid w:val="005D3E1C"/>
    <w:rsid w:val="005E7651"/>
    <w:rsid w:val="00621347"/>
    <w:rsid w:val="00625CA3"/>
    <w:rsid w:val="00627FDF"/>
    <w:rsid w:val="00630779"/>
    <w:rsid w:val="00632B12"/>
    <w:rsid w:val="00641262"/>
    <w:rsid w:val="006553ED"/>
    <w:rsid w:val="00660482"/>
    <w:rsid w:val="006B2C49"/>
    <w:rsid w:val="006D2C8A"/>
    <w:rsid w:val="006D2D64"/>
    <w:rsid w:val="006E7051"/>
    <w:rsid w:val="00705489"/>
    <w:rsid w:val="00711298"/>
    <w:rsid w:val="00713CC2"/>
    <w:rsid w:val="007526DA"/>
    <w:rsid w:val="00753B41"/>
    <w:rsid w:val="00754027"/>
    <w:rsid w:val="007652C3"/>
    <w:rsid w:val="00766B1A"/>
    <w:rsid w:val="00795ECC"/>
    <w:rsid w:val="007E284A"/>
    <w:rsid w:val="007F5784"/>
    <w:rsid w:val="008072FE"/>
    <w:rsid w:val="008355A5"/>
    <w:rsid w:val="008402C8"/>
    <w:rsid w:val="00845F24"/>
    <w:rsid w:val="00846483"/>
    <w:rsid w:val="00864A9E"/>
    <w:rsid w:val="008752F0"/>
    <w:rsid w:val="00881A01"/>
    <w:rsid w:val="0088219D"/>
    <w:rsid w:val="00892105"/>
    <w:rsid w:val="008B1A24"/>
    <w:rsid w:val="008B4127"/>
    <w:rsid w:val="008D7FAC"/>
    <w:rsid w:val="009277D3"/>
    <w:rsid w:val="00933300"/>
    <w:rsid w:val="009338FC"/>
    <w:rsid w:val="009348BC"/>
    <w:rsid w:val="00940A7B"/>
    <w:rsid w:val="00950272"/>
    <w:rsid w:val="00974BD0"/>
    <w:rsid w:val="009858F5"/>
    <w:rsid w:val="009A66B9"/>
    <w:rsid w:val="009B3AED"/>
    <w:rsid w:val="009E6ED0"/>
    <w:rsid w:val="00A05217"/>
    <w:rsid w:val="00A0600A"/>
    <w:rsid w:val="00A20E9D"/>
    <w:rsid w:val="00A22C83"/>
    <w:rsid w:val="00A272B2"/>
    <w:rsid w:val="00A3284F"/>
    <w:rsid w:val="00A43668"/>
    <w:rsid w:val="00A4486C"/>
    <w:rsid w:val="00A50553"/>
    <w:rsid w:val="00AC71D1"/>
    <w:rsid w:val="00AD47E8"/>
    <w:rsid w:val="00AD49F5"/>
    <w:rsid w:val="00AD4D97"/>
    <w:rsid w:val="00AF0EB2"/>
    <w:rsid w:val="00AF2146"/>
    <w:rsid w:val="00B203DA"/>
    <w:rsid w:val="00B241B1"/>
    <w:rsid w:val="00B458B2"/>
    <w:rsid w:val="00B518C9"/>
    <w:rsid w:val="00B55C6C"/>
    <w:rsid w:val="00B922EA"/>
    <w:rsid w:val="00BA0232"/>
    <w:rsid w:val="00BA6AA9"/>
    <w:rsid w:val="00BC7ED2"/>
    <w:rsid w:val="00BD64BD"/>
    <w:rsid w:val="00BE54B3"/>
    <w:rsid w:val="00BE5CBC"/>
    <w:rsid w:val="00BF79AB"/>
    <w:rsid w:val="00C008B4"/>
    <w:rsid w:val="00C17ABD"/>
    <w:rsid w:val="00C26C67"/>
    <w:rsid w:val="00C821A5"/>
    <w:rsid w:val="00CC3EC1"/>
    <w:rsid w:val="00CC7D10"/>
    <w:rsid w:val="00CF196A"/>
    <w:rsid w:val="00D05167"/>
    <w:rsid w:val="00D0608D"/>
    <w:rsid w:val="00D33B4E"/>
    <w:rsid w:val="00D43613"/>
    <w:rsid w:val="00D505CF"/>
    <w:rsid w:val="00D61C72"/>
    <w:rsid w:val="00D66BF5"/>
    <w:rsid w:val="00D7076A"/>
    <w:rsid w:val="00D81F5E"/>
    <w:rsid w:val="00D92269"/>
    <w:rsid w:val="00DE176A"/>
    <w:rsid w:val="00DF0676"/>
    <w:rsid w:val="00DF392C"/>
    <w:rsid w:val="00DF7590"/>
    <w:rsid w:val="00DF78D0"/>
    <w:rsid w:val="00E00A6B"/>
    <w:rsid w:val="00E2062A"/>
    <w:rsid w:val="00E235D3"/>
    <w:rsid w:val="00E25EB4"/>
    <w:rsid w:val="00E77899"/>
    <w:rsid w:val="00EE1B31"/>
    <w:rsid w:val="00EF5581"/>
    <w:rsid w:val="00F15673"/>
    <w:rsid w:val="00F172E5"/>
    <w:rsid w:val="00F253CA"/>
    <w:rsid w:val="00F25B2E"/>
    <w:rsid w:val="00F43315"/>
    <w:rsid w:val="00F55F11"/>
    <w:rsid w:val="00F604AD"/>
    <w:rsid w:val="00F83C17"/>
    <w:rsid w:val="00F96D7F"/>
    <w:rsid w:val="00FA7B95"/>
    <w:rsid w:val="00FB4220"/>
    <w:rsid w:val="00FC178B"/>
    <w:rsid w:val="00FC456F"/>
    <w:rsid w:val="00FC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82DD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AC0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D7AC0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4D7AC0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D7AC0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4D7AC0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4D7AC0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D7AC0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AC0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4D7AC0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4D7AC0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7AC0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4D7AC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4D7AC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4D7AC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4D7AC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4D7AC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4D7AC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D7AC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4D7A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4D7AC0"/>
  </w:style>
  <w:style w:type="character" w:customStyle="1" w:styleId="FooterChar">
    <w:name w:val="Footer Char"/>
    <w:basedOn w:val="DefaultParagraphFont"/>
    <w:link w:val="Footer"/>
    <w:rsid w:val="004D7AC0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qFormat/>
    <w:rsid w:val="004D7AC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D7AC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4D7AC0"/>
  </w:style>
  <w:style w:type="character" w:customStyle="1" w:styleId="HeaderChar">
    <w:name w:val="Header Char"/>
    <w:basedOn w:val="DefaultParagraphFont"/>
    <w:link w:val="Header"/>
    <w:rsid w:val="004D7AC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4D7AC0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4D7AC0"/>
    <w:rPr>
      <w:sz w:val="24"/>
      <w:vertAlign w:val="superscript"/>
    </w:rPr>
  </w:style>
  <w:style w:type="character" w:styleId="Hyperlink">
    <w:name w:val="Hyperlink"/>
    <w:basedOn w:val="DefaultParagraphFont"/>
    <w:uiPriority w:val="99"/>
    <w:rsid w:val="004D7AC0"/>
    <w:rPr>
      <w:rFonts w:ascii="Times New Roman" w:hAnsi="Times New Roman"/>
      <w:color w:val="0000FF"/>
      <w:u w:val="single"/>
    </w:rPr>
  </w:style>
  <w:style w:type="paragraph" w:styleId="ListParagraph">
    <w:name w:val="List Paragraph"/>
    <w:aliases w:val="Fiche List Paragraph,Task Body,Viñetas (Inicio Parrafo),3 Txt tabla,Zerrenda-paragrafoa,Lista multicolor - Énfasis 11,Paragrafo elenco,Nad,Odstavec_muj"/>
    <w:basedOn w:val="Normal"/>
    <w:link w:val="ListParagraphChar"/>
    <w:uiPriority w:val="34"/>
    <w:qFormat/>
    <w:rsid w:val="004D7AC0"/>
    <w:pPr>
      <w:ind w:left="720"/>
      <w:contextualSpacing/>
    </w:pPr>
  </w:style>
  <w:style w:type="table" w:styleId="TableGrid">
    <w:name w:val="Table Grid"/>
    <w:basedOn w:val="TableNormal"/>
    <w:rsid w:val="004D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D7AC0"/>
    <w:pPr>
      <w:keepNext/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D7AC0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B518C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1A1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27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765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32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B5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594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165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353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E25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621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4CD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3066E2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8752F0"/>
    <w:rPr>
      <w:color w:val="605E5C"/>
      <w:shd w:val="clear" w:color="auto" w:fill="E1DFDD"/>
    </w:rPr>
  </w:style>
  <w:style w:type="character" w:customStyle="1" w:styleId="ListParagraphChar">
    <w:name w:val="List Paragraph Char"/>
    <w:aliases w:val="Fiche List Paragraph Char,Task Body Char,Viñetas (Inicio Parrafo) Char,3 Txt tabla Char,Zerrenda-paragrafoa Char,Lista multicolor - Énfasis 11 Char,Paragrafo elenco Char,Nad Char,Odstavec_muj Char"/>
    <w:link w:val="ListParagraph"/>
    <w:uiPriority w:val="34"/>
    <w:locked/>
    <w:rsid w:val="00162B1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esc.europa.eu/hr/our-work/opinions-information-reports/plenary-session-summaries" TargetMode="External"/><Relationship Id="rId18" Type="http://schemas.openxmlformats.org/officeDocument/2006/relationships/hyperlink" Target="https://www.eesc.europa.eu/hr/our-work/opinions-information-reports/opinions/2026-european-semester-autumn-package" TargetMode="External"/><Relationship Id="rId26" Type="http://schemas.openxmlformats.org/officeDocument/2006/relationships/hyperlink" Target="https://www.eesc.europa.eu/hr/our-work/opinions-information-reports/opinions/european-life-science-strategy-along-strategy-research-and-technology-infrastructures-focus-treatment-rare-diseases" TargetMode="External"/><Relationship Id="rId39" Type="http://schemas.openxmlformats.org/officeDocument/2006/relationships/hyperlink" Target="mailto:Luis.BarbosaESilva@eesc.europa.eu" TargetMode="External"/><Relationship Id="rId21" Type="http://schemas.openxmlformats.org/officeDocument/2006/relationships/hyperlink" Target="mailto:Georgios.Meleas@eesc.europa.eu" TargetMode="External"/><Relationship Id="rId34" Type="http://schemas.openxmlformats.org/officeDocument/2006/relationships/hyperlink" Target="mailto:Gaia.Bottoni@eesc.europa.eu" TargetMode="External"/><Relationship Id="rId42" Type="http://schemas.openxmlformats.org/officeDocument/2006/relationships/footer" Target="footer2.xml"/><Relationship Id="rId47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esc.europa.eu/hr/our-work/opinions-information-reports/opinions/eppo-and-olaf-access-vat-information-union-level" TargetMode="External"/><Relationship Id="rId29" Type="http://schemas.openxmlformats.org/officeDocument/2006/relationships/hyperlink" Target="https://health.ec.europa.eu/one-health/overview_en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eesc.europa.eu/hr/our-work/opinions-information-reports/opinions/union-support-asylum-migration-and-integration-internal-security-and-integrated-border-management-and-visa-policy" TargetMode="External"/><Relationship Id="rId32" Type="http://schemas.openxmlformats.org/officeDocument/2006/relationships/hyperlink" Target="mailto:GiorgiaAndrea.Bordignon@eesc.europa.eu" TargetMode="External"/><Relationship Id="rId37" Type="http://schemas.openxmlformats.org/officeDocument/2006/relationships/hyperlink" Target="mailto:Adam.Dorywalski@eesc.europa.eu" TargetMode="External"/><Relationship Id="rId40" Type="http://schemas.openxmlformats.org/officeDocument/2006/relationships/header" Target="header1.xml"/><Relationship Id="rId45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mailto:Juri.Soosaar@eesc.europa.eu" TargetMode="External"/><Relationship Id="rId28" Type="http://schemas.openxmlformats.org/officeDocument/2006/relationships/hyperlink" Target="https://health.ec.europa.eu/publications/tartu-call-healthy-lifestyle-joint-actions-promote-healthy-lifestyles_en" TargetMode="External"/><Relationship Id="rId36" Type="http://schemas.openxmlformats.org/officeDocument/2006/relationships/hyperlink" Target="https://eur-lex.europa.eu/legal-content/hr/TXT/?uri=CELEX%3A52023AE1573&amp;qid=1770668649096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Anna.Pantazi@eesc.europa.eu" TargetMode="External"/><Relationship Id="rId31" Type="http://schemas.openxmlformats.org/officeDocument/2006/relationships/hyperlink" Target="https://www.eesc.europa.eu/hr/our-work/opinions-information-reports/opinions/energy-connectivity-electricity-grids" TargetMode="External"/><Relationship Id="rId44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msearch.eesc.europa.eu/search/opinion" TargetMode="External"/><Relationship Id="rId22" Type="http://schemas.openxmlformats.org/officeDocument/2006/relationships/hyperlink" Target="https://www.eesc.europa.eu/hr/our-work/opinions-information-reports/opinions/revision-tobacco-taxation-directive" TargetMode="External"/><Relationship Id="rId27" Type="http://schemas.openxmlformats.org/officeDocument/2006/relationships/hyperlink" Target="https://www.europarl.europa.eu/RegData/etudes/ATAG/2025/779215/EPRS_ATA(2025)779215_EN.pdf" TargetMode="External"/><Relationship Id="rId30" Type="http://schemas.openxmlformats.org/officeDocument/2006/relationships/hyperlink" Target="mailto:Konstantina.Angelopoulou@eesc.europa.eu" TargetMode="External"/><Relationship Id="rId35" Type="http://schemas.openxmlformats.org/officeDocument/2006/relationships/hyperlink" Target="https://www.eesc.europa.eu/hr/our-work/opinions-information-reports/opinions/amending-regulation-eu-20241252-critical-raw-materials-act" TargetMode="External"/><Relationship Id="rId43" Type="http://schemas.openxmlformats.org/officeDocument/2006/relationships/footer" Target="footer3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hyperlink" Target="mailto:Juri.Soosaar@eesc.europa.eu" TargetMode="External"/><Relationship Id="rId25" Type="http://schemas.openxmlformats.org/officeDocument/2006/relationships/hyperlink" Target="mailto:gemma.amran@eesc.europa.eu" TargetMode="External"/><Relationship Id="rId33" Type="http://schemas.openxmlformats.org/officeDocument/2006/relationships/hyperlink" Target="https://www.eesc.europa.eu/en/our-work/opinions-information-reports/opinions/roadmap-towards-nature-credits" TargetMode="External"/><Relationship Id="rId38" Type="http://schemas.openxmlformats.org/officeDocument/2006/relationships/hyperlink" Target="https://www.eesc.europa.eu/hr/our-work/opinions-information-reports/opinions/enhancing-eu-strategic-autonomy-and-developing-greener-and-bluer-economy-potential-sodium-battery-manufacturing-sector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eesc.europa.eu/hr/our-work/opinions-information-reports/opinions/island-dimension-european-cohesion-competitiveness-and-sustainable-development-policies" TargetMode="External"/><Relationship Id="rId4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VP3JK3XSEPRV-2087481956-3335</_dlc_DocId>
    <_dlc_DocIdUrl xmlns="7d640e6d-779c-472f-a269-6b546787f1c9">
      <Url>http://dm/eesc/2026/_layouts/15/DocIdRedir.aspx?ID=VP3JK3XSEPRV-2087481956-3335</Url>
      <Description>VP3JK3XSEPRV-2087481956-3335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7d640e6d-779c-472f-a269-6b546787f1c9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2026-03-04T12:00:00+00:00</ProductionDate>
    <DocumentNumber xmlns="a95533f8-59af-4217-bc7a-c1167744adb0">247</DocumentNumber>
    <FicheYear xmlns="7d640e6d-779c-472f-a269-6b546787f1c9" xsi:nil="true"/>
    <DossierNumber xmlns="7d640e6d-779c-472f-a269-6b546787f1c9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TaxCatchAll xmlns="7d640e6d-779c-472f-a269-6b546787f1c9">
      <Value>60</Value>
      <Value>59</Value>
      <Value>55</Value>
      <Value>51</Value>
      <Value>46</Value>
      <Value>45</Value>
      <Value>44</Value>
      <Value>43</Value>
      <Value>37</Value>
      <Value>36</Value>
      <Value>34</Value>
      <Value>32</Value>
      <Value>31</Value>
      <Value>30</Value>
      <Value>29</Value>
      <Value>28</Value>
      <Value>27</Value>
      <Value>25</Value>
      <Value>23</Value>
      <Value>19</Value>
      <Value>18</Value>
      <Value>13</Value>
      <Value>12</Value>
      <Value>11</Value>
      <Value>9</Value>
      <Value>7</Value>
      <Value>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</Terms>
    </DocumentLanguage_0>
    <MeetingDate xmlns="7d640e6d-779c-472f-a269-6b546787f1c9">2026-03-18T12:00:00+00:00</MeetingDate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7d640e6d-779c-472f-a269-6b546787f1c9" xsi:nil="true"/>
    <DocumentYear xmlns="7d640e6d-779c-472f-a269-6b546787f1c9">2026</DocumentYear>
    <FicheNumber xmlns="7d640e6d-779c-472f-a269-6b546787f1c9">300453</FicheNumber>
    <OriginalSender xmlns="7d640e6d-779c-472f-a269-6b546787f1c9">
      <UserInfo>
        <DisplayName>Vecko Stanko</DisplayName>
        <AccountId>1423</AccountId>
        <AccountType/>
      </UserInfo>
    </OriginalSender>
    <DocumentPart xmlns="7d640e6d-779c-472f-a269-6b546787f1c9">0</DocumentPart>
    <AdoptionDate xmlns="7d640e6d-779c-472f-a269-6b546787f1c9" xsi:nil="true"/>
    <RequestingService xmlns="7d640e6d-779c-472f-a269-6b546787f1c9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>604</MeetingNumber>
    <DossierName_0 xmlns="http://schemas.microsoft.com/sharepoint/v3/fields">
      <Terms xmlns="http://schemas.microsoft.com/office/infopath/2007/PartnerControls"/>
    </DossierName_0>
    <DocumentVersion xmlns="7d640e6d-779c-472f-a269-6b546787f1c9">0</DocumentVersion>
  </documentManagement>
</p:properties>
</file>

<file path=customXml/itemProps1.xml><?xml version="1.0" encoding="utf-8"?>
<ds:datastoreItem xmlns:ds="http://schemas.openxmlformats.org/officeDocument/2006/customXml" ds:itemID="{4550B7D9-B944-4719-A93C-2F495E04151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039CB55-E116-4FDF-B0B5-CFA3C0A1B431}"/>
</file>

<file path=customXml/itemProps3.xml><?xml version="1.0" encoding="utf-8"?>
<ds:datastoreItem xmlns:ds="http://schemas.openxmlformats.org/officeDocument/2006/customXml" ds:itemID="{4A03EBBC-B428-477F-AB6A-163022156F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982D98-2B49-4D8D-9E82-3A196D63091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A5B0471-EE33-4BA9-BB89-D492EFC236E6}">
  <ds:schemaRefs>
    <ds:schemaRef ds:uri="http://schemas.microsoft.com/office/2006/metadata/properties"/>
    <ds:schemaRef ds:uri="http://schemas.microsoft.com/office/infopath/2007/PartnerControls"/>
    <ds:schemaRef ds:uri="bdd5dab9-bfdd-4431-a245-30f3c6677de9"/>
    <ds:schemaRef ds:uri="http://schemas.microsoft.com/sharepoint/v3/fields"/>
    <ds:schemaRef ds:uri="eb21defb-1074-42ca-8d3e-c3f375910b41"/>
  </ds:schemaRefs>
</ds:datastoreItem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4010</Words>
  <Characters>25666</Characters>
  <Application>Microsoft Office Word</Application>
  <DocSecurity>0</DocSecurity>
  <Lines>987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opinions - EESC new model</vt:lpstr>
    </vt:vector>
  </TitlesOfParts>
  <Manager/>
  <Company/>
  <LinksUpToDate>false</LinksUpToDate>
  <CharactersWithSpaces>29045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USVOJENIH MIŠLJENJA, REZOLUCIJA I INFORMATIVNIH/EVALUACIJSKIH IZVJEŠĆA - 603. plenarno zasjedanje - veljača 2026.</dc:title>
  <dc:subject>ADMIN</dc:subject>
  <dc:creator/>
  <cp:keywords>COR-EESC-2022-02583-00-00-ADMIN-TRA-EN</cp:keywords>
  <dc:description>Rapporteur:  - Original language: EN - Date of document: 20/05/2022 - Date of meeting:  - External documents:  - Administrator:  SUCIU Serban</dc:description>
  <cp:lastModifiedBy/>
  <cp:revision>11</cp:revision>
  <dcterms:created xsi:type="dcterms:W3CDTF">2026-03-02T09:01:00Z</dcterms:created>
  <dcterms:modified xsi:type="dcterms:W3CDTF">2026-03-04T09:40:00Z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26/02/2026, 02/05/2022, 02/05/2022, 28/06/2021</vt:lpwstr>
  </property>
  <property fmtid="{D5CDD505-2E9C-101B-9397-08002B2CF9AE}" pid="4" name="Pref_Time">
    <vt:lpwstr>09:12:28, 12:28:29, 12:25:37, 08:41:48</vt:lpwstr>
  </property>
  <property fmtid="{D5CDD505-2E9C-101B-9397-08002B2CF9AE}" pid="5" name="Pref_User">
    <vt:lpwstr>amett, enied, enied, enied</vt:lpwstr>
  </property>
  <property fmtid="{D5CDD505-2E9C-101B-9397-08002B2CF9AE}" pid="6" name="Pref_FileName">
    <vt:lpwstr>EESC-2026-00247-00-00-TCD-ORI.docx, Summary of opinions.docx, COR-EESC-2022-02370-00-00-ADMIN-ORI.docx, Synthese des avis Template.docx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b5add73b-8770-4991-8f91-06af793c376e</vt:lpwstr>
  </property>
  <property fmtid="{D5CDD505-2E9C-101B-9397-08002B2CF9AE}" pid="9" name="AvailableTranslations">
    <vt:lpwstr>60;#EL|6d4f4d51-af9b-4650-94b4-4276bee85c91;#34;#HR|2f555653-ed1a-4fe6-8362-9082d95989e5;#45;#SV|c2ed69e7-a339-43d7-8f22-d93680a92aa0;#43;#BG|1a1b3951-7821-4e6a-85f5-5673fc08bd2c;#37;#HU|6b229040-c589-4408-b4c1-4285663d20a8;#31;#SL|98a412ae-eb01-49e9-ae3d-585a81724cfc;#4;#EN|f2175f21-25d7-44a3-96da-d6a61b075e1b;#30;#SK|46d9fce0-ef79-4f71-b89b-cd6aa82426b8;#12;#ES|e7a6b05b-ae16-40c8-add9-68b64b03aeba;#46;#DA|5d49c027-8956-412b-aa16-e85a0f96ad0e;#32;#PL|1e03da61-4678-4e07-b136-b5024ca9197b;#29;#CS|72f9705b-0217-4fd3-bea2-cbc7ed80e26e;#11;#DE|f6b31e5a-26fa-4935-b661-318e46daf27e;#44;#LT|a7ff5ce7-6123-4f68-865a-a57c31810414;#25;#FI|87606a43-d45f-42d6-b8c9-e1a3457db5b7;#27;#ET|ff6c3f4c-b02c-4c3c-ab07-2c37995a7a0a;#23;#FR|d2afafd3-4c81-4f60-8f52-ee33f2f54ff3;#51;#LV|46f7e311-5d9f-4663-b433-18aeccb7ace7;#36;#NL|55c6556c-b4f4-441d-9acf-c498d4f838bd;#28;#PT|50ccc04a-eadd-42ae-a0cb-acaf45f812ba;#55;#RO|feb747a2-64cd-4299-af12-4833ddc30497;#13;#IT|0774613c-01ed-4e5d-a25d-11d2388de825</vt:lpwstr>
  </property>
  <property fmtid="{D5CDD505-2E9C-101B-9397-08002B2CF9AE}" pid="10" name="DocumentType_0">
    <vt:lpwstr>TCD|cd9d6eb6-3f4f-424a-b2d1-57c9d450eaaf</vt:lpwstr>
  </property>
  <property fmtid="{D5CDD505-2E9C-101B-9397-08002B2CF9AE}" pid="11" name="DocumentSource_0">
    <vt:lpwstr>EESC|422833ec-8d7e-4e65-8e4e-8bed07ffb729</vt:lpwstr>
  </property>
  <property fmtid="{D5CDD505-2E9C-101B-9397-08002B2CF9AE}" pid="12" name="ProductionDate">
    <vt:filetime>2022-05-18T12:00:00Z</vt:filetime>
  </property>
  <property fmtid="{D5CDD505-2E9C-101B-9397-08002B2CF9AE}" pid="13" name="DocumentNumber">
    <vt:i4>247</vt:i4>
  </property>
  <property fmtid="{D5CDD505-2E9C-101B-9397-08002B2CF9AE}" pid="14" name="DocumentVersion">
    <vt:i4>0</vt:i4>
  </property>
  <property fmtid="{D5CDD505-2E9C-101B-9397-08002B2CF9AE}" pid="15" name="DocumentStatus">
    <vt:lpwstr>9;#TRA|150d2a88-1431-44e6-a8ca-0bb753ab8672</vt:lpwstr>
  </property>
  <property fmtid="{D5CDD505-2E9C-101B-9397-08002B2CF9AE}" pid="16" name="DossierName">
    <vt:lpwstr/>
  </property>
  <property fmtid="{D5CDD505-2E9C-101B-9397-08002B2CF9AE}" pid="17" name="Confidentiality_0">
    <vt:lpwstr>Unrestricted|826e22d7-d029-4ec0-a450-0c28ff673572</vt:lpwstr>
  </property>
  <property fmtid="{D5CDD505-2E9C-101B-9397-08002B2CF9AE}" pid="18" name="Confidentiality">
    <vt:lpwstr>19;#Unrestricted|826e22d7-d029-4ec0-a450-0c28ff673572</vt:lpwstr>
  </property>
  <property fmtid="{D5CDD505-2E9C-101B-9397-08002B2CF9AE}" pid="19" name="OriginalLanguage">
    <vt:lpwstr>4;#EN|f2175f21-25d7-44a3-96da-d6a61b075e1b</vt:lpwstr>
  </property>
  <property fmtid="{D5CDD505-2E9C-101B-9397-08002B2CF9AE}" pid="20" name="MeetingName">
    <vt:lpwstr>59;#SPL-CES|32d8cb1f-c9ec-4365-95c7-8385a18618ac</vt:lpwstr>
  </property>
  <property fmtid="{D5CDD505-2E9C-101B-9397-08002B2CF9AE}" pid="21" name="TaxCatchAll">
    <vt:lpwstr>31;#SL|98a412ae-eb01-49e9-ae3d-585a81724cfc;#28;#PT|50ccc04a-eadd-42ae-a0cb-acaf45f812ba;#27;#ET|ff6c3f4c-b02c-4c3c-ab07-2c37995a7a0a;#25;#FI|87606a43-d45f-42d6-b8c9-e1a3457db5b7;#44;#LT|a7ff5ce7-6123-4f68-865a-a57c31810414;#59;#SPL-CES|32d8cb1f-c9ec-4365-95c7-8385a18618ac;#19;#Unrestricted|826e22d7-d029-4ec0-a450-0c28ff673572;#18;#TCD|cd9d6eb6-3f4f-424a-b2d1-57c9d450eaaf;#13;#IT|0774613c-01ed-4e5d-a25d-11d2388de825;#12;#ES|e7a6b05b-ae16-40c8-add9-68b64b03aeba;#11;#DE|f6b31e5a-26fa-4935-b661-318e46daf27e;#9;#TRA|150d2a88-1431-44e6-a8ca-0bb753ab8672;#7;#Final|ea5e6674-7b27-4bac-b091-73adbb394efe;#43;#BG|1a1b3951-7821-4e6a-85f5-5673fc08bd2c;#4;#EN|f2175f21-25d7-44a3-96da-d6a61b075e1b;#1;#EESC|422833ec-8d7e-4e65-8e4e-8bed07ffb729</vt:lpwstr>
  </property>
  <property fmtid="{D5CDD505-2E9C-101B-9397-08002B2CF9AE}" pid="22" name="DocumentLanguage_0">
    <vt:lpwstr>EN|f2175f21-25d7-44a3-96da-d6a61b075e1b</vt:lpwstr>
  </property>
  <property fmtid="{D5CDD505-2E9C-101B-9397-08002B2CF9AE}" pid="23" name="VersionStatus_0">
    <vt:lpwstr>Final|ea5e6674-7b27-4bac-b091-73adbb394efe</vt:lpwstr>
  </property>
  <property fmtid="{D5CDD505-2E9C-101B-9397-08002B2CF9AE}" pid="24" name="VersionStatus">
    <vt:lpwstr>7;#Final|ea5e6674-7b27-4bac-b091-73adbb394efe</vt:lpwstr>
  </property>
  <property fmtid="{D5CDD505-2E9C-101B-9397-08002B2CF9AE}" pid="25" name="DocumentYear">
    <vt:i4>2026</vt:i4>
  </property>
  <property fmtid="{D5CDD505-2E9C-101B-9397-08002B2CF9AE}" pid="26" name="FicheNumber">
    <vt:i4>300453</vt:i4>
  </property>
  <property fmtid="{D5CDD505-2E9C-101B-9397-08002B2CF9AE}" pid="27" name="OriginalSender">
    <vt:lpwstr>1528;#TDriveSVCUserProd</vt:lpwstr>
  </property>
  <property fmtid="{D5CDD505-2E9C-101B-9397-08002B2CF9AE}" pid="28" name="DocumentPart">
    <vt:i4>0</vt:i4>
  </property>
  <property fmtid="{D5CDD505-2E9C-101B-9397-08002B2CF9AE}" pid="29" name="DocumentSource">
    <vt:lpwstr>1;#EESC|422833ec-8d7e-4e65-8e4e-8bed07ffb729</vt:lpwstr>
  </property>
  <property fmtid="{D5CDD505-2E9C-101B-9397-08002B2CF9AE}" pid="30" name="DocumentType">
    <vt:lpwstr>18;#TCD|cd9d6eb6-3f4f-424a-b2d1-57c9d450eaaf</vt:lpwstr>
  </property>
  <property fmtid="{D5CDD505-2E9C-101B-9397-08002B2CF9AE}" pid="31" name="RequestingService">
    <vt:lpwstr>Greffe</vt:lpwstr>
  </property>
  <property fmtid="{D5CDD505-2E9C-101B-9397-08002B2CF9AE}" pid="32" name="DocumentLanguage">
    <vt:lpwstr>34;#HR|2f555653-ed1a-4fe6-8362-9082d95989e5</vt:lpwstr>
  </property>
  <property fmtid="{D5CDD505-2E9C-101B-9397-08002B2CF9AE}" pid="33" name="AvailableTranslations_0">
    <vt:lpwstr>BG|1a1b3951-7821-4e6a-85f5-5673fc08bd2c;SL|98a412ae-eb01-49e9-ae3d-585a81724cfc;EN|f2175f21-25d7-44a3-96da-d6a61b075e1b;ES|e7a6b05b-ae16-40c8-add9-68b64b03aeba;DE|f6b31e5a-26fa-4935-b661-318e46daf27e;LT|a7ff5ce7-6123-4f68-865a-a57c31810414;FI|87606a43-d45f-42d6-b8c9-e1a3457db5b7;ET|ff6c3f4c-b02c-4c3c-ab07-2c37995a7a0a;PT|50ccc04a-eadd-42ae-a0cb-acaf45f812ba;IT|0774613c-01ed-4e5d-a25d-11d2388de825</vt:lpwstr>
  </property>
  <property fmtid="{D5CDD505-2E9C-101B-9397-08002B2CF9AE}" pid="34" name="DocumentStatus_0">
    <vt:lpwstr>TRA|150d2a88-1431-44e6-a8ca-0bb753ab8672</vt:lpwstr>
  </property>
  <property fmtid="{D5CDD505-2E9C-101B-9397-08002B2CF9AE}" pid="35" name="OriginalLanguage_0">
    <vt:lpwstr>EN|f2175f21-25d7-44a3-96da-d6a61b075e1b</vt:lpwstr>
  </property>
  <property fmtid="{D5CDD505-2E9C-101B-9397-08002B2CF9AE}" pid="36" name="_docset_NoMedatataSyncRequired">
    <vt:lpwstr>False</vt:lpwstr>
  </property>
  <property fmtid="{D5CDD505-2E9C-101B-9397-08002B2CF9AE}" pid="37" name="MeetingName_0">
    <vt:lpwstr>SPL-CES|32d8cb1f-c9ec-4365-95c7-8385a18618ac</vt:lpwstr>
  </property>
  <property fmtid="{D5CDD505-2E9C-101B-9397-08002B2CF9AE}" pid="38" name="DossierName_0">
    <vt:lpwstr/>
  </property>
  <property fmtid="{D5CDD505-2E9C-101B-9397-08002B2CF9AE}" pid="39" name="MeetingNumber">
    <vt:i4>604</vt:i4>
  </property>
  <property fmtid="{D5CDD505-2E9C-101B-9397-08002B2CF9AE}" pid="40" name="MeetingDate">
    <vt:filetime>2026-03-18T12:00:00Z</vt:filetime>
  </property>
</Properties>
</file>