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63AB25F9" w:rsidR="004D7AC0" w:rsidRDefault="00E50AB9" w:rsidP="00100EF9">
      <w:pPr>
        <w:jc w:val="center"/>
      </w:pPr>
      <w:r>
        <w:rPr>
          <w:noProof/>
        </w:rPr>
        <w:drawing>
          <wp:inline distT="0" distB="0" distL="0" distR="0" wp14:anchorId="763197B1" wp14:editId="482F8FC4">
            <wp:extent cx="1792605" cy="1239520"/>
            <wp:effectExtent l="0" t="0" r="0" b="0"/>
            <wp:docPr id="1" name="Picture 1" title="EESCLogo_FR"/>
            <wp:cNvGraphicFramePr/>
            <a:graphic xmlns:a="http://schemas.openxmlformats.org/drawingml/2006/main">
              <a:graphicData uri="http://schemas.openxmlformats.org/drawingml/2006/picture">
                <pic:pic xmlns:pic="http://schemas.openxmlformats.org/drawingml/2006/picture">
                  <pic:nvPicPr>
                    <pic:cNvPr id="1" name="Picture 1" title="EESCLogo_F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37DC9E2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4982DD4E" w14:textId="77777777" w:rsidR="004D7AC0" w:rsidRDefault="004D7AC0" w:rsidP="00100EF9"/>
    <w:p w14:paraId="4982DD4F" w14:textId="7AA8E975" w:rsidR="004D7AC0" w:rsidRDefault="004D7AC0" w:rsidP="00100EF9">
      <w:pPr>
        <w:jc w:val="right"/>
      </w:pPr>
      <w:r>
        <w:t>Bruxelles, le 4 mars 2026</w:t>
      </w:r>
    </w:p>
    <w:p w14:paraId="4982DD50" w14:textId="77777777" w:rsidR="004D7AC0" w:rsidRDefault="004D7AC0" w:rsidP="00100EF9"/>
    <w:p w14:paraId="4982DD51" w14:textId="77777777" w:rsidR="004D7AC0" w:rsidRDefault="004D7AC0" w:rsidP="00100EF9"/>
    <w:p w14:paraId="4982DD52" w14:textId="77777777" w:rsidR="004D7AC0" w:rsidRDefault="004D7AC0" w:rsidP="00100EF9"/>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5E869ADC" w:rsidR="003066BE" w:rsidRDefault="004C4CDB" w:rsidP="00100EF9">
            <w:pPr>
              <w:snapToGrid w:val="0"/>
              <w:jc w:val="center"/>
              <w:rPr>
                <w:b/>
                <w:sz w:val="32"/>
                <w:szCs w:val="32"/>
              </w:rPr>
            </w:pPr>
            <w:r>
              <w:rPr>
                <w:b/>
                <w:sz w:val="32"/>
              </w:rPr>
              <w:t>603</w:t>
            </w:r>
            <w:r>
              <w:rPr>
                <w:b/>
                <w:sz w:val="32"/>
                <w:vertAlign w:val="superscript"/>
              </w:rPr>
              <w:t>e</w:t>
            </w:r>
            <w:r>
              <w:rPr>
                <w:b/>
                <w:sz w:val="32"/>
              </w:rPr>
              <w:t> SESSION PLÉNIÈRE</w:t>
            </w:r>
          </w:p>
          <w:p w14:paraId="4982DD54" w14:textId="77777777" w:rsidR="003066BE" w:rsidRDefault="003066BE" w:rsidP="00100EF9">
            <w:pPr>
              <w:snapToGrid w:val="0"/>
              <w:jc w:val="center"/>
              <w:rPr>
                <w:b/>
                <w:sz w:val="32"/>
                <w:szCs w:val="32"/>
              </w:rPr>
            </w:pPr>
          </w:p>
          <w:p w14:paraId="4982DD55" w14:textId="6CEFC9D4" w:rsidR="003066BE" w:rsidRDefault="003066E2" w:rsidP="00100EF9">
            <w:pPr>
              <w:snapToGrid w:val="0"/>
              <w:jc w:val="center"/>
              <w:rPr>
                <w:b/>
                <w:sz w:val="32"/>
                <w:szCs w:val="32"/>
              </w:rPr>
            </w:pPr>
            <w:r>
              <w:rPr>
                <w:b/>
                <w:sz w:val="32"/>
              </w:rPr>
              <w:t>18 et 19 février 2026</w:t>
            </w:r>
          </w:p>
          <w:p w14:paraId="4982DD56" w14:textId="77777777" w:rsidR="003066BE" w:rsidRDefault="003066BE" w:rsidP="00100EF9">
            <w:pPr>
              <w:snapToGrid w:val="0"/>
              <w:jc w:val="center"/>
              <w:rPr>
                <w:b/>
                <w:sz w:val="32"/>
                <w:szCs w:val="32"/>
              </w:rPr>
            </w:pPr>
          </w:p>
          <w:p w14:paraId="4982DD57" w14:textId="5A35E792" w:rsidR="004D7AC0" w:rsidRPr="0081153B" w:rsidRDefault="00754027" w:rsidP="00100EF9">
            <w:pPr>
              <w:snapToGrid w:val="0"/>
              <w:jc w:val="center"/>
              <w:rPr>
                <w:rFonts w:eastAsia="MS Mincho"/>
                <w:b/>
                <w:sz w:val="32"/>
                <w:szCs w:val="32"/>
              </w:rPr>
            </w:pPr>
            <w:r>
              <w:rPr>
                <w:b/>
                <w:sz w:val="32"/>
              </w:rPr>
              <w:t>SYNTHÈSE DES AVIS, RÉSOLUTIONS ET RAPPORTS D’INFORMATION/D’ÉVALUATION ADOPTÉS</w:t>
            </w:r>
          </w:p>
          <w:p w14:paraId="4982DD58" w14:textId="77777777" w:rsidR="004D7AC0" w:rsidRDefault="004D7AC0" w:rsidP="00100EF9">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00EF9">
            <w:pPr>
              <w:snapToGrid w:val="0"/>
              <w:jc w:val="center"/>
            </w:pPr>
            <w:r>
              <w:t>Ce document est disponible dans toutes les langues officielles de l’Union européenne</w:t>
            </w:r>
            <w:r>
              <w:br/>
              <w:t xml:space="preserve">sur le site internet du CESE à l’adresse </w:t>
            </w:r>
            <w:proofErr w:type="gramStart"/>
            <w:r>
              <w:t>suivante:</w:t>
            </w:r>
            <w:proofErr w:type="gramEnd"/>
            <w:r>
              <w:br/>
            </w:r>
            <w:r>
              <w:br/>
            </w:r>
            <w:hyperlink r:id="rId13" w:history="1">
              <w:r>
                <w:rPr>
                  <w:rStyle w:val="Hyperlink"/>
                </w:rPr>
                <w:t>https://www.eesc.europa.eu/fr/our-work/opinions-information-reports/plenary-session-summaries</w:t>
              </w:r>
            </w:hyperlink>
          </w:p>
          <w:p w14:paraId="4982DD5B" w14:textId="77777777" w:rsidR="004D7AC0" w:rsidRPr="0081153B" w:rsidRDefault="004D7AC0" w:rsidP="00100EF9">
            <w:pPr>
              <w:snapToGrid w:val="0"/>
              <w:jc w:val="center"/>
            </w:pPr>
          </w:p>
          <w:p w14:paraId="4982DD5C" w14:textId="77777777" w:rsidR="004D7AC0" w:rsidRPr="0081153B" w:rsidRDefault="004D7AC0" w:rsidP="00100EF9">
            <w:pPr>
              <w:snapToGrid w:val="0"/>
              <w:jc w:val="center"/>
              <w:rPr>
                <w:rFonts w:eastAsia="SimSun"/>
              </w:rPr>
            </w:pPr>
          </w:p>
          <w:p w14:paraId="4982DD5D" w14:textId="77777777" w:rsidR="004D7AC0" w:rsidRPr="00044561" w:rsidRDefault="004D7AC0" w:rsidP="00100EF9">
            <w:pPr>
              <w:snapToGrid w:val="0"/>
              <w:jc w:val="center"/>
            </w:pPr>
            <w:r>
              <w:t xml:space="preserve">Les avis mentionnés peuvent être consultés en ligne au moyen du moteur de recherche du </w:t>
            </w:r>
            <w:proofErr w:type="gramStart"/>
            <w:r>
              <w:t>CESE:</w:t>
            </w:r>
            <w:proofErr w:type="gramEnd"/>
            <w:r>
              <w:br/>
            </w:r>
            <w:r>
              <w:br/>
            </w:r>
            <w:hyperlink r:id="rId14" w:history="1">
              <w:r>
                <w:rPr>
                  <w:rStyle w:val="Hyperlink"/>
                </w:rPr>
                <w:t>https://dmsearch.eesc.europa.eu/search/opinion</w:t>
              </w:r>
            </w:hyperlink>
          </w:p>
          <w:p w14:paraId="4982DD5E" w14:textId="77777777" w:rsidR="004D7AC0" w:rsidRPr="00044561" w:rsidRDefault="004D7AC0" w:rsidP="00100EF9">
            <w:pPr>
              <w:snapToGrid w:val="0"/>
              <w:jc w:val="center"/>
            </w:pPr>
          </w:p>
        </w:tc>
      </w:tr>
    </w:tbl>
    <w:p w14:paraId="4982DD60" w14:textId="77777777" w:rsidR="004D7AC0" w:rsidRDefault="004D7AC0" w:rsidP="00100EF9"/>
    <w:p w14:paraId="4982DD61" w14:textId="77777777" w:rsidR="004D7AC0" w:rsidRDefault="004D7AC0" w:rsidP="00100EF9"/>
    <w:p w14:paraId="4982DD62" w14:textId="77777777" w:rsidR="004D7AC0" w:rsidRDefault="004D7AC0" w:rsidP="00100EF9">
      <w:pPr>
        <w:sectPr w:rsidR="004D7AC0" w:rsidSect="00153E09">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77777777" w:rsidR="004D7AC0" w:rsidRPr="00A81AFE" w:rsidRDefault="004D7AC0" w:rsidP="00100EF9">
      <w:pPr>
        <w:rPr>
          <w:b/>
        </w:rPr>
      </w:pPr>
      <w:r>
        <w:rPr>
          <w:b/>
        </w:rPr>
        <w:lastRenderedPageBreak/>
        <w:t>Table des matières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100EF9">
          <w:pPr>
            <w:pStyle w:val="TOCHeading"/>
            <w:spacing w:before="0" w:line="288" w:lineRule="auto"/>
            <w:rPr>
              <w:rFonts w:ascii="Times New Roman" w:hAnsi="Times New Roman" w:cs="Times New Roman"/>
              <w:color w:val="auto"/>
              <w:sz w:val="22"/>
              <w:szCs w:val="22"/>
            </w:rPr>
          </w:pPr>
        </w:p>
        <w:p w14:paraId="1EEBE5F6" w14:textId="1607D0DB" w:rsidR="00630550" w:rsidRDefault="004D7AC0">
          <w:pPr>
            <w:pStyle w:val="TOC1"/>
            <w:tabs>
              <w:tab w:val="left" w:pos="440"/>
              <w:tab w:val="right" w:leader="dot" w:pos="9063"/>
            </w:tabs>
            <w:rPr>
              <w:rFonts w:asciiTheme="minorHAnsi" w:eastAsiaTheme="minorEastAsia" w:hAnsiTheme="minorHAnsi" w:cstheme="minorBidi"/>
              <w:noProof/>
              <w:lang w:val="fr-BE" w:eastAsia="fr-BE"/>
            </w:rPr>
          </w:pPr>
          <w:r>
            <w:fldChar w:fldCharType="begin"/>
          </w:r>
          <w:r>
            <w:instrText xml:space="preserve"> TOC \o "1-3" \h \z \u </w:instrText>
          </w:r>
          <w:r>
            <w:fldChar w:fldCharType="separate"/>
          </w:r>
          <w:hyperlink w:anchor="_Toc223514742" w:history="1">
            <w:r w:rsidR="00630550" w:rsidRPr="00C4133F">
              <w:rPr>
                <w:rStyle w:val="Hyperlink"/>
                <w:bCs/>
                <w:noProof/>
              </w:rPr>
              <w:t>1.</w:t>
            </w:r>
            <w:r w:rsidR="00630550">
              <w:rPr>
                <w:rFonts w:asciiTheme="minorHAnsi" w:eastAsiaTheme="minorEastAsia" w:hAnsiTheme="minorHAnsi" w:cstheme="minorBidi"/>
                <w:noProof/>
                <w:lang w:val="fr-BE" w:eastAsia="fr-BE"/>
              </w:rPr>
              <w:tab/>
            </w:r>
            <w:r w:rsidR="00630550" w:rsidRPr="00C4133F">
              <w:rPr>
                <w:rStyle w:val="Hyperlink"/>
                <w:b/>
                <w:noProof/>
              </w:rPr>
              <w:t>UNION ÉCONOMIQUE ET MONÉTAIRE ET COHÉSION ÉCONOMIQUE ET SOCIALE</w:t>
            </w:r>
            <w:r w:rsidR="00630550">
              <w:rPr>
                <w:noProof/>
                <w:webHidden/>
              </w:rPr>
              <w:tab/>
            </w:r>
            <w:r w:rsidR="00630550">
              <w:rPr>
                <w:noProof/>
                <w:webHidden/>
              </w:rPr>
              <w:fldChar w:fldCharType="begin"/>
            </w:r>
            <w:r w:rsidR="00630550">
              <w:rPr>
                <w:noProof/>
                <w:webHidden/>
              </w:rPr>
              <w:instrText xml:space="preserve"> PAGEREF _Toc223514742 \h </w:instrText>
            </w:r>
            <w:r w:rsidR="00630550">
              <w:rPr>
                <w:noProof/>
                <w:webHidden/>
              </w:rPr>
            </w:r>
            <w:r w:rsidR="00630550">
              <w:rPr>
                <w:noProof/>
                <w:webHidden/>
              </w:rPr>
              <w:fldChar w:fldCharType="separate"/>
            </w:r>
            <w:r w:rsidR="00630550">
              <w:rPr>
                <w:noProof/>
                <w:webHidden/>
              </w:rPr>
              <w:t>3</w:t>
            </w:r>
            <w:r w:rsidR="00630550">
              <w:rPr>
                <w:noProof/>
                <w:webHidden/>
              </w:rPr>
              <w:fldChar w:fldCharType="end"/>
            </w:r>
          </w:hyperlink>
        </w:p>
        <w:p w14:paraId="5AE1C2BE" w14:textId="7B619CF6" w:rsidR="00630550" w:rsidRDefault="00630550">
          <w:pPr>
            <w:pStyle w:val="TOC1"/>
            <w:tabs>
              <w:tab w:val="left" w:pos="440"/>
              <w:tab w:val="right" w:leader="dot" w:pos="9063"/>
            </w:tabs>
            <w:rPr>
              <w:rFonts w:asciiTheme="minorHAnsi" w:eastAsiaTheme="minorEastAsia" w:hAnsiTheme="minorHAnsi" w:cstheme="minorBidi"/>
              <w:noProof/>
              <w:lang w:val="fr-BE" w:eastAsia="fr-BE"/>
            </w:rPr>
          </w:pPr>
          <w:hyperlink w:anchor="_Toc223514743" w:history="1">
            <w:r w:rsidRPr="00C4133F">
              <w:rPr>
                <w:rStyle w:val="Hyperlink"/>
                <w:bCs/>
                <w:noProof/>
              </w:rPr>
              <w:t>2.</w:t>
            </w:r>
            <w:r>
              <w:rPr>
                <w:rFonts w:asciiTheme="minorHAnsi" w:eastAsiaTheme="minorEastAsia" w:hAnsiTheme="minorHAnsi" w:cstheme="minorBidi"/>
                <w:noProof/>
                <w:lang w:val="fr-BE" w:eastAsia="fr-BE"/>
              </w:rPr>
              <w:tab/>
            </w:r>
            <w:r w:rsidRPr="00C4133F">
              <w:rPr>
                <w:rStyle w:val="Hyperlink"/>
                <w:b/>
                <w:noProof/>
              </w:rPr>
              <w:t>EMPLOI, AFFAIRES SOCIALES ET CITOYENNETÉ</w:t>
            </w:r>
            <w:r>
              <w:rPr>
                <w:noProof/>
                <w:webHidden/>
              </w:rPr>
              <w:tab/>
            </w:r>
            <w:r>
              <w:rPr>
                <w:noProof/>
                <w:webHidden/>
              </w:rPr>
              <w:fldChar w:fldCharType="begin"/>
            </w:r>
            <w:r>
              <w:rPr>
                <w:noProof/>
                <w:webHidden/>
              </w:rPr>
              <w:instrText xml:space="preserve"> PAGEREF _Toc223514743 \h </w:instrText>
            </w:r>
            <w:r>
              <w:rPr>
                <w:noProof/>
                <w:webHidden/>
              </w:rPr>
            </w:r>
            <w:r>
              <w:rPr>
                <w:noProof/>
                <w:webHidden/>
              </w:rPr>
              <w:fldChar w:fldCharType="separate"/>
            </w:r>
            <w:r>
              <w:rPr>
                <w:noProof/>
                <w:webHidden/>
              </w:rPr>
              <w:t>10</w:t>
            </w:r>
            <w:r>
              <w:rPr>
                <w:noProof/>
                <w:webHidden/>
              </w:rPr>
              <w:fldChar w:fldCharType="end"/>
            </w:r>
          </w:hyperlink>
        </w:p>
        <w:p w14:paraId="21F8CB97" w14:textId="742E8829" w:rsidR="00630550" w:rsidRDefault="00630550">
          <w:pPr>
            <w:pStyle w:val="TOC1"/>
            <w:tabs>
              <w:tab w:val="left" w:pos="440"/>
              <w:tab w:val="right" w:leader="dot" w:pos="9063"/>
            </w:tabs>
            <w:rPr>
              <w:rFonts w:asciiTheme="minorHAnsi" w:eastAsiaTheme="minorEastAsia" w:hAnsiTheme="minorHAnsi" w:cstheme="minorBidi"/>
              <w:noProof/>
              <w:lang w:val="fr-BE" w:eastAsia="fr-BE"/>
            </w:rPr>
          </w:pPr>
          <w:hyperlink w:anchor="_Toc223514744" w:history="1">
            <w:r w:rsidRPr="00C4133F">
              <w:rPr>
                <w:rStyle w:val="Hyperlink"/>
                <w:bCs/>
                <w:noProof/>
              </w:rPr>
              <w:t>3.</w:t>
            </w:r>
            <w:r>
              <w:rPr>
                <w:rFonts w:asciiTheme="minorHAnsi" w:eastAsiaTheme="minorEastAsia" w:hAnsiTheme="minorHAnsi" w:cstheme="minorBidi"/>
                <w:noProof/>
                <w:lang w:val="fr-BE" w:eastAsia="fr-BE"/>
              </w:rPr>
              <w:tab/>
            </w:r>
            <w:r w:rsidRPr="00C4133F">
              <w:rPr>
                <w:rStyle w:val="Hyperlink"/>
                <w:b/>
                <w:noProof/>
              </w:rPr>
              <w:t>TRANSPORTS, ÉNERGIE, INFRASTRUCTURES ET SOCIÉTÉ DE L’INFORMATION</w:t>
            </w:r>
            <w:r>
              <w:rPr>
                <w:noProof/>
                <w:webHidden/>
              </w:rPr>
              <w:tab/>
            </w:r>
            <w:r>
              <w:rPr>
                <w:noProof/>
                <w:webHidden/>
              </w:rPr>
              <w:fldChar w:fldCharType="begin"/>
            </w:r>
            <w:r>
              <w:rPr>
                <w:noProof/>
                <w:webHidden/>
              </w:rPr>
              <w:instrText xml:space="preserve"> PAGEREF _Toc223514744 \h </w:instrText>
            </w:r>
            <w:r>
              <w:rPr>
                <w:noProof/>
                <w:webHidden/>
              </w:rPr>
            </w:r>
            <w:r>
              <w:rPr>
                <w:noProof/>
                <w:webHidden/>
              </w:rPr>
              <w:fldChar w:fldCharType="separate"/>
            </w:r>
            <w:r>
              <w:rPr>
                <w:noProof/>
                <w:webHidden/>
              </w:rPr>
              <w:t>11</w:t>
            </w:r>
            <w:r>
              <w:rPr>
                <w:noProof/>
                <w:webHidden/>
              </w:rPr>
              <w:fldChar w:fldCharType="end"/>
            </w:r>
          </w:hyperlink>
        </w:p>
        <w:p w14:paraId="60A72E27" w14:textId="7FB562F3" w:rsidR="00630550" w:rsidRDefault="00630550">
          <w:pPr>
            <w:pStyle w:val="TOC1"/>
            <w:tabs>
              <w:tab w:val="left" w:pos="440"/>
              <w:tab w:val="right" w:leader="dot" w:pos="9063"/>
            </w:tabs>
            <w:rPr>
              <w:rFonts w:asciiTheme="minorHAnsi" w:eastAsiaTheme="minorEastAsia" w:hAnsiTheme="minorHAnsi" w:cstheme="minorBidi"/>
              <w:noProof/>
              <w:lang w:val="fr-BE" w:eastAsia="fr-BE"/>
            </w:rPr>
          </w:pPr>
          <w:hyperlink w:anchor="_Toc223514745" w:history="1">
            <w:r w:rsidRPr="00C4133F">
              <w:rPr>
                <w:rStyle w:val="Hyperlink"/>
                <w:bCs/>
                <w:noProof/>
              </w:rPr>
              <w:t>4.</w:t>
            </w:r>
            <w:r>
              <w:rPr>
                <w:rFonts w:asciiTheme="minorHAnsi" w:eastAsiaTheme="minorEastAsia" w:hAnsiTheme="minorHAnsi" w:cstheme="minorBidi"/>
                <w:noProof/>
                <w:lang w:val="fr-BE" w:eastAsia="fr-BE"/>
              </w:rPr>
              <w:tab/>
            </w:r>
            <w:r w:rsidRPr="00C4133F">
              <w:rPr>
                <w:rStyle w:val="Hyperlink"/>
                <w:b/>
                <w:noProof/>
              </w:rPr>
              <w:t>AGRICULTURE, DÉVELOPPEMENT RURAL ET ENVIRONNEMENT</w:t>
            </w:r>
            <w:r>
              <w:rPr>
                <w:noProof/>
                <w:webHidden/>
              </w:rPr>
              <w:tab/>
            </w:r>
            <w:r>
              <w:rPr>
                <w:noProof/>
                <w:webHidden/>
              </w:rPr>
              <w:fldChar w:fldCharType="begin"/>
            </w:r>
            <w:r>
              <w:rPr>
                <w:noProof/>
                <w:webHidden/>
              </w:rPr>
              <w:instrText xml:space="preserve"> PAGEREF _Toc223514745 \h </w:instrText>
            </w:r>
            <w:r>
              <w:rPr>
                <w:noProof/>
                <w:webHidden/>
              </w:rPr>
            </w:r>
            <w:r>
              <w:rPr>
                <w:noProof/>
                <w:webHidden/>
              </w:rPr>
              <w:fldChar w:fldCharType="separate"/>
            </w:r>
            <w:r>
              <w:rPr>
                <w:noProof/>
                <w:webHidden/>
              </w:rPr>
              <w:t>14</w:t>
            </w:r>
            <w:r>
              <w:rPr>
                <w:noProof/>
                <w:webHidden/>
              </w:rPr>
              <w:fldChar w:fldCharType="end"/>
            </w:r>
          </w:hyperlink>
        </w:p>
        <w:p w14:paraId="08A28741" w14:textId="7AA49CF2" w:rsidR="00630550" w:rsidRDefault="00630550">
          <w:pPr>
            <w:pStyle w:val="TOC1"/>
            <w:tabs>
              <w:tab w:val="left" w:pos="440"/>
              <w:tab w:val="right" w:leader="dot" w:pos="9063"/>
            </w:tabs>
            <w:rPr>
              <w:rFonts w:asciiTheme="minorHAnsi" w:eastAsiaTheme="minorEastAsia" w:hAnsiTheme="minorHAnsi" w:cstheme="minorBidi"/>
              <w:noProof/>
              <w:lang w:val="fr-BE" w:eastAsia="fr-BE"/>
            </w:rPr>
          </w:pPr>
          <w:hyperlink w:anchor="_Toc223514746" w:history="1">
            <w:r w:rsidRPr="00C4133F">
              <w:rPr>
                <w:rStyle w:val="Hyperlink"/>
                <w:bCs/>
                <w:noProof/>
              </w:rPr>
              <w:t>5.</w:t>
            </w:r>
            <w:r>
              <w:rPr>
                <w:rFonts w:asciiTheme="minorHAnsi" w:eastAsiaTheme="minorEastAsia" w:hAnsiTheme="minorHAnsi" w:cstheme="minorBidi"/>
                <w:noProof/>
                <w:lang w:val="fr-BE" w:eastAsia="fr-BE"/>
              </w:rPr>
              <w:tab/>
            </w:r>
            <w:r w:rsidRPr="00C4133F">
              <w:rPr>
                <w:rStyle w:val="Hyperlink"/>
                <w:b/>
                <w:noProof/>
              </w:rPr>
              <w:t>COMMISSION CONSULTATIVE DES MUTATIONS INDUSTRIELLES</w:t>
            </w:r>
            <w:r>
              <w:rPr>
                <w:noProof/>
                <w:webHidden/>
              </w:rPr>
              <w:tab/>
            </w:r>
            <w:r>
              <w:rPr>
                <w:noProof/>
                <w:webHidden/>
              </w:rPr>
              <w:fldChar w:fldCharType="begin"/>
            </w:r>
            <w:r>
              <w:rPr>
                <w:noProof/>
                <w:webHidden/>
              </w:rPr>
              <w:instrText xml:space="preserve"> PAGEREF _Toc223514746 \h </w:instrText>
            </w:r>
            <w:r>
              <w:rPr>
                <w:noProof/>
                <w:webHidden/>
              </w:rPr>
            </w:r>
            <w:r>
              <w:rPr>
                <w:noProof/>
                <w:webHidden/>
              </w:rPr>
              <w:fldChar w:fldCharType="separate"/>
            </w:r>
            <w:r>
              <w:rPr>
                <w:noProof/>
                <w:webHidden/>
              </w:rPr>
              <w:t>16</w:t>
            </w:r>
            <w:r>
              <w:rPr>
                <w:noProof/>
                <w:webHidden/>
              </w:rPr>
              <w:fldChar w:fldCharType="end"/>
            </w:r>
          </w:hyperlink>
        </w:p>
        <w:p w14:paraId="4982DD6A" w14:textId="5E2B9078" w:rsidR="004D7AC0" w:rsidRDefault="004D7AC0" w:rsidP="00100EF9">
          <w:r>
            <w:rPr>
              <w:b/>
            </w:rPr>
            <w:fldChar w:fldCharType="end"/>
          </w:r>
        </w:p>
      </w:sdtContent>
    </w:sdt>
    <w:p w14:paraId="4982DD6B" w14:textId="77777777" w:rsidR="004D7AC0" w:rsidRDefault="004D7AC0" w:rsidP="00100EF9"/>
    <w:p w14:paraId="4982DD6C" w14:textId="77777777" w:rsidR="004D7AC0" w:rsidRDefault="004D7AC0" w:rsidP="00100EF9">
      <w:pPr>
        <w:jc w:val="left"/>
      </w:pPr>
      <w:r>
        <w:br w:type="page"/>
      </w:r>
    </w:p>
    <w:p w14:paraId="4982DD6D" w14:textId="77777777" w:rsidR="004D7AC0" w:rsidRDefault="004D7AC0" w:rsidP="00100EF9">
      <w:pPr>
        <w:pStyle w:val="Heading1"/>
        <w:rPr>
          <w:b/>
        </w:rPr>
      </w:pPr>
      <w:bookmarkStart w:id="0" w:name="_Toc223514742"/>
      <w:r>
        <w:rPr>
          <w:b/>
        </w:rPr>
        <w:lastRenderedPageBreak/>
        <w:t>UNION ÉCONOMIQUE ET MONÉTAIRE ET COHÉSION ÉCONOMIQUE ET SOCIALE</w:t>
      </w:r>
      <w:bookmarkEnd w:id="0"/>
    </w:p>
    <w:p w14:paraId="4982DD97" w14:textId="77777777" w:rsidR="004D7AC0" w:rsidRDefault="004D7AC0" w:rsidP="00100EF9">
      <w:pPr>
        <w:pStyle w:val="ListParagraph"/>
        <w:ind w:left="0"/>
      </w:pPr>
    </w:p>
    <w:p w14:paraId="14BFA1D1" w14:textId="1A45DFD8" w:rsidR="001A1F1F" w:rsidRPr="001A1F1F" w:rsidRDefault="00AA7EB8" w:rsidP="00100EF9">
      <w:pPr>
        <w:widowControl w:val="0"/>
        <w:numPr>
          <w:ilvl w:val="0"/>
          <w:numId w:val="4"/>
        </w:numPr>
        <w:overflowPunct w:val="0"/>
        <w:autoSpaceDE w:val="0"/>
        <w:autoSpaceDN w:val="0"/>
        <w:adjustRightInd w:val="0"/>
        <w:ind w:hanging="567"/>
        <w:textAlignment w:val="baseline"/>
        <w:rPr>
          <w:b/>
          <w:i/>
          <w:iCs/>
          <w:sz w:val="28"/>
          <w:szCs w:val="28"/>
        </w:rPr>
      </w:pPr>
      <w:hyperlink r:id="rId21" w:history="1">
        <w:r w:rsidR="00E235D3">
          <w:rPr>
            <w:b/>
            <w:i/>
            <w:color w:val="0000FF"/>
            <w:sz w:val="28"/>
            <w:u w:val="single"/>
          </w:rPr>
          <w:t>Accès du Parquet européen et de l’OLAF aux informations relatives à la TVA au niveau de l’Union</w:t>
        </w:r>
      </w:hyperlink>
    </w:p>
    <w:p w14:paraId="16AF8D1E" w14:textId="77777777" w:rsidR="001A1F1F" w:rsidRPr="001A1F1F" w:rsidRDefault="001A1F1F" w:rsidP="00100EF9">
      <w:pPr>
        <w:widowControl w:val="0"/>
        <w:overflowPunct w:val="0"/>
        <w:autoSpaceDE w:val="0"/>
        <w:autoSpaceDN w:val="0"/>
        <w:adjustRightInd w:val="0"/>
        <w:ind w:left="284"/>
        <w:textAlignment w:val="baseline"/>
        <w:rPr>
          <w:b/>
          <w:i/>
          <w:iCs/>
          <w:sz w:val="20"/>
          <w:szCs w:val="20"/>
          <w:lang w:val="en-GB"/>
        </w:rPr>
      </w:pPr>
    </w:p>
    <w:tbl>
      <w:tblPr>
        <w:tblStyle w:val="TableGrid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1A1F1F" w:rsidRPr="001A1F1F" w14:paraId="0C010C9C" w14:textId="77777777" w:rsidTr="00601D8A">
        <w:tc>
          <w:tcPr>
            <w:tcW w:w="1701" w:type="dxa"/>
          </w:tcPr>
          <w:p w14:paraId="67C58898" w14:textId="77777777" w:rsidR="001A1F1F" w:rsidRPr="001A1F1F" w:rsidRDefault="001A1F1F" w:rsidP="00100EF9">
            <w:pPr>
              <w:tabs>
                <w:tab w:val="center" w:pos="284"/>
              </w:tabs>
              <w:overflowPunct w:val="0"/>
              <w:autoSpaceDE w:val="0"/>
              <w:autoSpaceDN w:val="0"/>
              <w:adjustRightInd w:val="0"/>
              <w:ind w:left="266" w:hanging="266"/>
              <w:textAlignment w:val="baseline"/>
              <w:rPr>
                <w:b/>
              </w:rPr>
            </w:pPr>
            <w:r>
              <w:rPr>
                <w:b/>
              </w:rPr>
              <w:t>Rapporteure</w:t>
            </w:r>
          </w:p>
        </w:tc>
        <w:tc>
          <w:tcPr>
            <w:tcW w:w="7479" w:type="dxa"/>
          </w:tcPr>
          <w:p w14:paraId="2016211D" w14:textId="05A91267" w:rsidR="001A1F1F" w:rsidRPr="001A1F1F" w:rsidRDefault="001A1F1F" w:rsidP="00100EF9">
            <w:pPr>
              <w:tabs>
                <w:tab w:val="center" w:pos="284"/>
              </w:tabs>
              <w:overflowPunct w:val="0"/>
              <w:autoSpaceDE w:val="0"/>
              <w:autoSpaceDN w:val="0"/>
              <w:adjustRightInd w:val="0"/>
              <w:ind w:left="266" w:hanging="266"/>
              <w:textAlignment w:val="baseline"/>
            </w:pPr>
            <w:proofErr w:type="spellStart"/>
            <w:r>
              <w:t>Justyna</w:t>
            </w:r>
            <w:proofErr w:type="spellEnd"/>
            <w:r>
              <w:t> </w:t>
            </w:r>
            <w:proofErr w:type="spellStart"/>
            <w:r>
              <w:t>Kalina</w:t>
            </w:r>
            <w:proofErr w:type="spellEnd"/>
            <w:r>
              <w:t xml:space="preserve"> OCHĘDZAN (groupe des organisations de la société civile — PL)</w:t>
            </w:r>
          </w:p>
        </w:tc>
      </w:tr>
      <w:tr w:rsidR="00205469" w:rsidRPr="001A1F1F" w14:paraId="2E27DAF9" w14:textId="77777777" w:rsidTr="00601D8A">
        <w:tc>
          <w:tcPr>
            <w:tcW w:w="1701" w:type="dxa"/>
          </w:tcPr>
          <w:p w14:paraId="2C056183" w14:textId="77777777" w:rsidR="00205469" w:rsidRPr="001A1F1F"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657AAC10" w14:textId="77777777" w:rsidR="00205469" w:rsidRPr="001A1F1F" w:rsidRDefault="00205469" w:rsidP="00100EF9">
            <w:pPr>
              <w:tabs>
                <w:tab w:val="center" w:pos="284"/>
              </w:tabs>
              <w:overflowPunct w:val="0"/>
              <w:autoSpaceDE w:val="0"/>
              <w:autoSpaceDN w:val="0"/>
              <w:adjustRightInd w:val="0"/>
              <w:ind w:left="266" w:hanging="266"/>
              <w:textAlignment w:val="baseline"/>
              <w:rPr>
                <w:bCs/>
              </w:rPr>
            </w:pPr>
          </w:p>
        </w:tc>
      </w:tr>
      <w:tr w:rsidR="001A1F1F" w:rsidRPr="001A1F1F" w14:paraId="7FD540DB" w14:textId="77777777" w:rsidTr="00601D8A">
        <w:tc>
          <w:tcPr>
            <w:tcW w:w="1701" w:type="dxa"/>
          </w:tcPr>
          <w:p w14:paraId="1F4D838E" w14:textId="0EE217C2" w:rsidR="001A1F1F" w:rsidRPr="001A1F1F" w:rsidRDefault="001A1F1F" w:rsidP="00100EF9">
            <w:pPr>
              <w:tabs>
                <w:tab w:val="center" w:pos="284"/>
              </w:tabs>
              <w:overflowPunct w:val="0"/>
              <w:autoSpaceDE w:val="0"/>
              <w:autoSpaceDN w:val="0"/>
              <w:adjustRightInd w:val="0"/>
              <w:ind w:left="266" w:hanging="266"/>
              <w:textAlignment w:val="baseline"/>
              <w:rPr>
                <w:b/>
              </w:rPr>
            </w:pPr>
            <w:r>
              <w:rPr>
                <w:b/>
              </w:rPr>
              <w:t>Références</w:t>
            </w:r>
          </w:p>
        </w:tc>
        <w:tc>
          <w:tcPr>
            <w:tcW w:w="7479" w:type="dxa"/>
          </w:tcPr>
          <w:p w14:paraId="7BBCB1FA" w14:textId="42339DFC" w:rsidR="001A1F1F" w:rsidRPr="001A1F1F" w:rsidRDefault="001A1F1F" w:rsidP="00100EF9">
            <w:pPr>
              <w:tabs>
                <w:tab w:val="center" w:pos="321"/>
              </w:tabs>
              <w:overflowPunct w:val="0"/>
              <w:autoSpaceDE w:val="0"/>
              <w:autoSpaceDN w:val="0"/>
              <w:adjustRightInd w:val="0"/>
              <w:textAlignment w:val="baseline"/>
            </w:pPr>
            <w:proofErr w:type="gramStart"/>
            <w:r>
              <w:t>COM(</w:t>
            </w:r>
            <w:proofErr w:type="gramEnd"/>
            <w:r>
              <w:t>2025) 685 final</w:t>
            </w:r>
          </w:p>
          <w:p w14:paraId="1104CA65" w14:textId="51409899" w:rsidR="001A1F1F" w:rsidRPr="001A1F1F" w:rsidRDefault="001A1F1F" w:rsidP="00100EF9">
            <w:pPr>
              <w:tabs>
                <w:tab w:val="center" w:pos="284"/>
              </w:tabs>
              <w:overflowPunct w:val="0"/>
              <w:autoSpaceDE w:val="0"/>
              <w:autoSpaceDN w:val="0"/>
              <w:adjustRightInd w:val="0"/>
              <w:ind w:left="266" w:hanging="266"/>
              <w:textAlignment w:val="baseline"/>
            </w:pPr>
            <w:r>
              <w:t>EESC-2025-04282-00-00-AC</w:t>
            </w:r>
          </w:p>
        </w:tc>
      </w:tr>
    </w:tbl>
    <w:p w14:paraId="33260C4B" w14:textId="77777777" w:rsidR="001A1F1F" w:rsidRPr="001A1F1F" w:rsidRDefault="001A1F1F" w:rsidP="00100EF9">
      <w:pPr>
        <w:tabs>
          <w:tab w:val="center" w:pos="284"/>
        </w:tabs>
        <w:overflowPunct w:val="0"/>
        <w:autoSpaceDE w:val="0"/>
        <w:autoSpaceDN w:val="0"/>
        <w:adjustRightInd w:val="0"/>
        <w:ind w:left="266" w:hanging="266"/>
        <w:textAlignment w:val="baseline"/>
        <w:rPr>
          <w:b/>
          <w:lang w:val="pt-PT"/>
        </w:rPr>
      </w:pPr>
    </w:p>
    <w:p w14:paraId="55B2611A"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rPr>
      </w:pPr>
      <w:r>
        <w:rPr>
          <w:b/>
        </w:rPr>
        <w:t>Points clés</w:t>
      </w:r>
    </w:p>
    <w:p w14:paraId="374403B4"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lang w:val="en-GB"/>
        </w:rPr>
      </w:pPr>
    </w:p>
    <w:p w14:paraId="474EE163" w14:textId="77777777" w:rsidR="001A1F1F" w:rsidRPr="001A1F1F" w:rsidRDefault="001A1F1F" w:rsidP="00100EF9">
      <w:pPr>
        <w:overflowPunct w:val="0"/>
        <w:autoSpaceDE w:val="0"/>
        <w:autoSpaceDN w:val="0"/>
        <w:adjustRightInd w:val="0"/>
        <w:textAlignment w:val="baseline"/>
        <w:rPr>
          <w:bCs/>
          <w:iCs/>
        </w:rPr>
      </w:pPr>
      <w:r>
        <w:t xml:space="preserve">Le </w:t>
      </w:r>
      <w:proofErr w:type="gramStart"/>
      <w:r>
        <w:t>CESE:</w:t>
      </w:r>
      <w:proofErr w:type="gramEnd"/>
    </w:p>
    <w:p w14:paraId="2A48351A" w14:textId="77777777" w:rsidR="001A1F1F" w:rsidRPr="00153E09" w:rsidRDefault="001A1F1F" w:rsidP="007526DA">
      <w:pPr>
        <w:pStyle w:val="ListParagraph"/>
        <w:numPr>
          <w:ilvl w:val="0"/>
          <w:numId w:val="27"/>
        </w:numPr>
        <w:ind w:left="567" w:hanging="567"/>
      </w:pPr>
      <w:bookmarkStart w:id="1" w:name="_Toc222825813"/>
      <w:proofErr w:type="gramStart"/>
      <w:r>
        <w:rPr>
          <w:b/>
        </w:rPr>
        <w:t>soutient</w:t>
      </w:r>
      <w:proofErr w:type="gramEnd"/>
      <w:r>
        <w:t xml:space="preserve"> pleinement les efforts déployés par la Commission pour promouvoir une approche plus complète et globale de la lutte contre la fraude dans le domaine de la taxe sur la valeur ajoutée (TVA) en permettant au Parquet européen et à l’Office européen de lutte antifraude (OLAF) d’accéder aux données relatives à la TVA en vertu du règlement (UE) nº 904/2010 du Conseil;</w:t>
      </w:r>
      <w:bookmarkEnd w:id="1"/>
    </w:p>
    <w:p w14:paraId="2F29EED4" w14:textId="77777777" w:rsidR="001A1F1F" w:rsidRPr="00153E09" w:rsidRDefault="001A1F1F" w:rsidP="007526DA">
      <w:pPr>
        <w:pStyle w:val="ListParagraph"/>
        <w:numPr>
          <w:ilvl w:val="0"/>
          <w:numId w:val="27"/>
        </w:numPr>
        <w:ind w:left="567" w:hanging="567"/>
      </w:pPr>
      <w:bookmarkStart w:id="2" w:name="_Toc222825814"/>
      <w:proofErr w:type="gramStart"/>
      <w:r>
        <w:rPr>
          <w:b/>
        </w:rPr>
        <w:t>reconnaît</w:t>
      </w:r>
      <w:proofErr w:type="gramEnd"/>
      <w:r>
        <w:t xml:space="preserve"> que, pour lutter contre les formes les plus importantes de fraude à la TVA, il est indispensable que les autorités compétentes soient en mesure de collecter, d’utiliser et de recouper rapidement les informations pertinentes en matière de TVA dans plusieurs États membres, de manière à raccourcir les délais de réaction des autorités fiscales compétentes face aux activités frauduleuses;</w:t>
      </w:r>
      <w:bookmarkEnd w:id="2"/>
    </w:p>
    <w:p w14:paraId="76BC0052" w14:textId="77777777" w:rsidR="001A1F1F" w:rsidRPr="00153E09" w:rsidRDefault="001A1F1F" w:rsidP="007526DA">
      <w:pPr>
        <w:pStyle w:val="ListParagraph"/>
        <w:numPr>
          <w:ilvl w:val="0"/>
          <w:numId w:val="27"/>
        </w:numPr>
        <w:ind w:left="567" w:hanging="567"/>
      </w:pPr>
      <w:bookmarkStart w:id="3" w:name="_Toc222825815"/>
      <w:proofErr w:type="gramStart"/>
      <w:r>
        <w:rPr>
          <w:b/>
        </w:rPr>
        <w:t>se</w:t>
      </w:r>
      <w:proofErr w:type="gramEnd"/>
      <w:r>
        <w:rPr>
          <w:b/>
        </w:rPr>
        <w:t xml:space="preserve"> félicite</w:t>
      </w:r>
      <w:r>
        <w:t xml:space="preserve"> que la proposition de la Commission fasse suite à une évaluation ex post des règles applicables en vertu du règlement (UE) nº 904/2010 du Conseil, basée sur les retours d’information fournis par les États membres. Le CESE </w:t>
      </w:r>
      <w:r>
        <w:rPr>
          <w:b/>
        </w:rPr>
        <w:t>relève</w:t>
      </w:r>
      <w:r>
        <w:t xml:space="preserve"> que la proposition à l’examen n’a fait l’objet d’aucune analyse d’impact, même s’il admet que c’était justifié par la demande pressante des États </w:t>
      </w:r>
      <w:proofErr w:type="gramStart"/>
      <w:r>
        <w:t>membres;</w:t>
      </w:r>
      <w:bookmarkEnd w:id="3"/>
      <w:proofErr w:type="gramEnd"/>
    </w:p>
    <w:p w14:paraId="25654AAB" w14:textId="77777777" w:rsidR="001A1F1F" w:rsidRPr="00153E09" w:rsidRDefault="001A1F1F" w:rsidP="007526DA">
      <w:pPr>
        <w:pStyle w:val="ListParagraph"/>
        <w:numPr>
          <w:ilvl w:val="0"/>
          <w:numId w:val="27"/>
        </w:numPr>
        <w:ind w:left="567" w:hanging="567"/>
      </w:pPr>
      <w:bookmarkStart w:id="4" w:name="_Toc222825816"/>
      <w:proofErr w:type="gramStart"/>
      <w:r>
        <w:rPr>
          <w:b/>
          <w:bCs/>
        </w:rPr>
        <w:t>se</w:t>
      </w:r>
      <w:proofErr w:type="gramEnd"/>
      <w:r>
        <w:rPr>
          <w:b/>
          <w:bCs/>
        </w:rPr>
        <w:t xml:space="preserve"> réjouit</w:t>
      </w:r>
      <w:r>
        <w:t xml:space="preserve"> de l’intention de la Commission d’intensifier la coopération entre les autorités compétentes chargées de lutter contre la fraude à la TVA, ainsi que de la possibilité de renforcer la coopération entre Europol et </w:t>
      </w:r>
      <w:proofErr w:type="spellStart"/>
      <w:r>
        <w:t>Eurofisc</w:t>
      </w:r>
      <w:proofErr w:type="spellEnd"/>
      <w:r>
        <w:t xml:space="preserve"> dans le cadre du règlement (UE) nº 904/2010 du Conseil, et demande instamment un développement plus poussé de la coopération structurée entre toutes les autorités compétentes des États membres.</w:t>
      </w:r>
      <w:bookmarkEnd w:id="4"/>
    </w:p>
    <w:p w14:paraId="39EE45C8" w14:textId="77777777" w:rsidR="001A1F1F" w:rsidRPr="001A1F1F" w:rsidRDefault="001A1F1F" w:rsidP="00100EF9">
      <w:pPr>
        <w:overflowPunct w:val="0"/>
        <w:autoSpaceDE w:val="0"/>
        <w:autoSpaceDN w:val="0"/>
        <w:adjustRightInd w:val="0"/>
        <w:textAlignment w:val="baseline"/>
        <w:rPr>
          <w:bCs/>
          <w:iCs/>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1A1F1F" w:rsidRPr="001A1F1F" w14:paraId="33327B63" w14:textId="77777777" w:rsidTr="00D0608D">
        <w:tc>
          <w:tcPr>
            <w:tcW w:w="1418" w:type="dxa"/>
          </w:tcPr>
          <w:p w14:paraId="04F7E453" w14:textId="77777777" w:rsidR="001A1F1F" w:rsidRPr="001A1F1F" w:rsidRDefault="001A1F1F" w:rsidP="00100EF9">
            <w:pPr>
              <w:overflowPunct w:val="0"/>
              <w:autoSpaceDE w:val="0"/>
              <w:autoSpaceDN w:val="0"/>
              <w:adjustRightInd w:val="0"/>
              <w:textAlignment w:val="baseline"/>
              <w:rPr>
                <w:i/>
              </w:rPr>
            </w:pPr>
            <w:r>
              <w:rPr>
                <w:b/>
                <w:i/>
              </w:rPr>
              <w:t>Contact</w:t>
            </w:r>
          </w:p>
        </w:tc>
        <w:tc>
          <w:tcPr>
            <w:tcW w:w="7762" w:type="dxa"/>
          </w:tcPr>
          <w:p w14:paraId="34FEEF63" w14:textId="62F84E0C" w:rsidR="001A1F1F" w:rsidRPr="001A1F1F" w:rsidRDefault="001A1F1F" w:rsidP="00100EF9">
            <w:pPr>
              <w:overflowPunct w:val="0"/>
              <w:autoSpaceDE w:val="0"/>
              <w:autoSpaceDN w:val="0"/>
              <w:adjustRightInd w:val="0"/>
              <w:textAlignment w:val="baseline"/>
              <w:rPr>
                <w:i/>
              </w:rPr>
            </w:pPr>
            <w:proofErr w:type="spellStart"/>
            <w:r>
              <w:rPr>
                <w:i/>
              </w:rPr>
              <w:t>Jüri</w:t>
            </w:r>
            <w:proofErr w:type="spellEnd"/>
            <w:r>
              <w:rPr>
                <w:i/>
              </w:rPr>
              <w:t xml:space="preserve"> Soosaar</w:t>
            </w:r>
          </w:p>
        </w:tc>
      </w:tr>
      <w:tr w:rsidR="001A1F1F" w:rsidRPr="001A1F1F" w14:paraId="7DA1B58C" w14:textId="77777777" w:rsidTr="00D0608D">
        <w:tc>
          <w:tcPr>
            <w:tcW w:w="1418" w:type="dxa"/>
          </w:tcPr>
          <w:p w14:paraId="32B45750" w14:textId="77777777" w:rsidR="001A1F1F" w:rsidRPr="001A1F1F" w:rsidRDefault="001A1F1F" w:rsidP="00100EF9">
            <w:pPr>
              <w:overflowPunct w:val="0"/>
              <w:autoSpaceDE w:val="0"/>
              <w:autoSpaceDN w:val="0"/>
              <w:adjustRightInd w:val="0"/>
              <w:textAlignment w:val="baseline"/>
              <w:rPr>
                <w:i/>
              </w:rPr>
            </w:pPr>
            <w:proofErr w:type="gramStart"/>
            <w:r>
              <w:rPr>
                <w:i/>
              </w:rPr>
              <w:t>Tél.:</w:t>
            </w:r>
            <w:proofErr w:type="gramEnd"/>
          </w:p>
        </w:tc>
        <w:tc>
          <w:tcPr>
            <w:tcW w:w="7762" w:type="dxa"/>
          </w:tcPr>
          <w:p w14:paraId="4B866371" w14:textId="51149591" w:rsidR="001A1F1F" w:rsidRPr="001A1F1F" w:rsidRDefault="001A1F1F" w:rsidP="00100EF9">
            <w:pPr>
              <w:overflowPunct w:val="0"/>
              <w:autoSpaceDE w:val="0"/>
              <w:autoSpaceDN w:val="0"/>
              <w:adjustRightInd w:val="0"/>
              <w:textAlignment w:val="baseline"/>
              <w:rPr>
                <w:i/>
              </w:rPr>
            </w:pPr>
            <w:r>
              <w:rPr>
                <w:i/>
              </w:rPr>
              <w:t>+32 2 546 9628</w:t>
            </w:r>
          </w:p>
        </w:tc>
      </w:tr>
      <w:tr w:rsidR="001A1F1F" w:rsidRPr="001A1F1F" w14:paraId="3A08DF12" w14:textId="77777777" w:rsidTr="00D0608D">
        <w:tc>
          <w:tcPr>
            <w:tcW w:w="1418" w:type="dxa"/>
          </w:tcPr>
          <w:p w14:paraId="3FBEB159" w14:textId="77777777" w:rsidR="001A1F1F" w:rsidRPr="001A1F1F" w:rsidRDefault="001A1F1F" w:rsidP="00100EF9">
            <w:pPr>
              <w:overflowPunct w:val="0"/>
              <w:autoSpaceDE w:val="0"/>
              <w:autoSpaceDN w:val="0"/>
              <w:adjustRightInd w:val="0"/>
              <w:textAlignment w:val="baseline"/>
              <w:rPr>
                <w:i/>
              </w:rPr>
            </w:pPr>
            <w:proofErr w:type="gramStart"/>
            <w:r>
              <w:rPr>
                <w:i/>
              </w:rPr>
              <w:t>Courriel:</w:t>
            </w:r>
            <w:proofErr w:type="gramEnd"/>
          </w:p>
        </w:tc>
        <w:tc>
          <w:tcPr>
            <w:tcW w:w="7762" w:type="dxa"/>
          </w:tcPr>
          <w:p w14:paraId="11A675FB" w14:textId="4E851F41" w:rsidR="001A1F1F" w:rsidRPr="001A1F1F" w:rsidRDefault="00AA7EB8" w:rsidP="00100EF9">
            <w:pPr>
              <w:overflowPunct w:val="0"/>
              <w:autoSpaceDE w:val="0"/>
              <w:autoSpaceDN w:val="0"/>
              <w:adjustRightInd w:val="0"/>
              <w:textAlignment w:val="baseline"/>
              <w:rPr>
                <w:i/>
                <w:iCs/>
              </w:rPr>
            </w:pPr>
            <w:hyperlink r:id="rId22" w:history="1">
              <w:r w:rsidR="00E235D3">
                <w:rPr>
                  <w:i/>
                  <w:color w:val="0000FF"/>
                  <w:u w:val="single"/>
                </w:rPr>
                <w:t>Juri.Soosaar@eesc.europa.eu</w:t>
              </w:r>
            </w:hyperlink>
          </w:p>
        </w:tc>
      </w:tr>
    </w:tbl>
    <w:p w14:paraId="78F085C8" w14:textId="47013726" w:rsidR="00627FDF" w:rsidRDefault="00627FDF" w:rsidP="00100EF9">
      <w:pPr>
        <w:pStyle w:val="ListParagraph"/>
        <w:ind w:left="0"/>
      </w:pPr>
    </w:p>
    <w:p w14:paraId="14AD7ACF" w14:textId="77777777" w:rsidR="00627FDF" w:rsidRDefault="00627FDF" w:rsidP="00100EF9">
      <w:pPr>
        <w:jc w:val="left"/>
      </w:pPr>
      <w:r>
        <w:br w:type="page"/>
      </w:r>
    </w:p>
    <w:p w14:paraId="5B5A0FF1" w14:textId="00D67F94" w:rsidR="00627FDF" w:rsidRPr="00627FDF" w:rsidRDefault="00AA7EB8" w:rsidP="00100EF9">
      <w:pPr>
        <w:widowControl w:val="0"/>
        <w:numPr>
          <w:ilvl w:val="0"/>
          <w:numId w:val="4"/>
        </w:numPr>
        <w:overflowPunct w:val="0"/>
        <w:autoSpaceDE w:val="0"/>
        <w:autoSpaceDN w:val="0"/>
        <w:adjustRightInd w:val="0"/>
        <w:ind w:hanging="567"/>
        <w:textAlignment w:val="baseline"/>
        <w:rPr>
          <w:i/>
          <w:iCs/>
          <w:sz w:val="20"/>
          <w:szCs w:val="20"/>
        </w:rPr>
      </w:pPr>
      <w:hyperlink r:id="rId23" w:history="1">
        <w:r w:rsidR="00E235D3">
          <w:rPr>
            <w:b/>
            <w:i/>
            <w:color w:val="0000FF"/>
            <w:sz w:val="28"/>
            <w:u w:val="single"/>
          </w:rPr>
          <w:t>Semestre européen 2026 — Paquet d’automne</w:t>
        </w:r>
      </w:hyperlink>
    </w:p>
    <w:p w14:paraId="2922872A"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en-GB"/>
        </w:rPr>
      </w:pPr>
    </w:p>
    <w:tbl>
      <w:tblPr>
        <w:tblStyle w:val="TableGrid2"/>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627FDF" w:rsidRPr="00627FDF" w14:paraId="59DBBD6A" w14:textId="77777777" w:rsidTr="00601D8A">
        <w:tc>
          <w:tcPr>
            <w:tcW w:w="1077" w:type="pct"/>
          </w:tcPr>
          <w:p w14:paraId="2CA81E57" w14:textId="77777777" w:rsidR="00627FDF" w:rsidRPr="00627FDF" w:rsidRDefault="00627FDF" w:rsidP="00100EF9">
            <w:pPr>
              <w:tabs>
                <w:tab w:val="center" w:pos="284"/>
              </w:tabs>
              <w:overflowPunct w:val="0"/>
              <w:autoSpaceDE w:val="0"/>
              <w:autoSpaceDN w:val="0"/>
              <w:adjustRightInd w:val="0"/>
              <w:ind w:left="266" w:hanging="266"/>
              <w:textAlignment w:val="baseline"/>
              <w:rPr>
                <w:b/>
              </w:rPr>
            </w:pPr>
            <w:r>
              <w:rPr>
                <w:b/>
              </w:rPr>
              <w:t>Rapporteur</w:t>
            </w:r>
          </w:p>
        </w:tc>
        <w:tc>
          <w:tcPr>
            <w:tcW w:w="3923" w:type="pct"/>
          </w:tcPr>
          <w:p w14:paraId="48A0BF67" w14:textId="3FE90B23" w:rsidR="00627FDF" w:rsidRPr="00627FDF" w:rsidRDefault="00627FDF" w:rsidP="00100EF9">
            <w:pPr>
              <w:tabs>
                <w:tab w:val="center" w:pos="284"/>
              </w:tabs>
              <w:overflowPunct w:val="0"/>
              <w:autoSpaceDE w:val="0"/>
              <w:autoSpaceDN w:val="0"/>
              <w:adjustRightInd w:val="0"/>
              <w:ind w:left="266" w:right="-3091" w:hanging="266"/>
              <w:textAlignment w:val="baseline"/>
            </w:pPr>
            <w:r>
              <w:t>Luca JAHIER (groupe des organisations de la société civile — IT)</w:t>
            </w:r>
          </w:p>
        </w:tc>
      </w:tr>
      <w:tr w:rsidR="00205469" w:rsidRPr="00627FDF" w14:paraId="6A4A7A00" w14:textId="77777777" w:rsidTr="00601D8A">
        <w:tc>
          <w:tcPr>
            <w:tcW w:w="1077" w:type="pct"/>
          </w:tcPr>
          <w:p w14:paraId="12EA3C9E" w14:textId="77777777" w:rsidR="00205469" w:rsidRPr="00627FDF" w:rsidRDefault="00205469" w:rsidP="00100EF9">
            <w:pPr>
              <w:tabs>
                <w:tab w:val="center" w:pos="284"/>
              </w:tabs>
              <w:overflowPunct w:val="0"/>
              <w:autoSpaceDE w:val="0"/>
              <w:autoSpaceDN w:val="0"/>
              <w:adjustRightInd w:val="0"/>
              <w:ind w:left="266" w:hanging="266"/>
              <w:textAlignment w:val="baseline"/>
              <w:rPr>
                <w:b/>
              </w:rPr>
            </w:pPr>
          </w:p>
        </w:tc>
        <w:tc>
          <w:tcPr>
            <w:tcW w:w="3923" w:type="pct"/>
          </w:tcPr>
          <w:p w14:paraId="3F242FCC" w14:textId="77777777" w:rsidR="00205469" w:rsidRPr="00627FDF" w:rsidRDefault="00205469" w:rsidP="00100EF9">
            <w:pPr>
              <w:tabs>
                <w:tab w:val="center" w:pos="284"/>
              </w:tabs>
              <w:overflowPunct w:val="0"/>
              <w:autoSpaceDE w:val="0"/>
              <w:autoSpaceDN w:val="0"/>
              <w:adjustRightInd w:val="0"/>
              <w:ind w:left="266" w:right="-3091" w:hanging="266"/>
              <w:textAlignment w:val="baseline"/>
              <w:rPr>
                <w:bCs/>
                <w:lang w:val="en-GB"/>
              </w:rPr>
            </w:pPr>
          </w:p>
        </w:tc>
      </w:tr>
      <w:tr w:rsidR="00627FDF" w:rsidRPr="00627FDF" w14:paraId="261B2615" w14:textId="77777777" w:rsidTr="00601D8A">
        <w:tc>
          <w:tcPr>
            <w:tcW w:w="1077" w:type="pct"/>
          </w:tcPr>
          <w:p w14:paraId="5DFE7408" w14:textId="6FA9C295" w:rsidR="00627FDF" w:rsidRPr="00627FDF" w:rsidRDefault="00627FDF" w:rsidP="00100EF9">
            <w:pPr>
              <w:tabs>
                <w:tab w:val="center" w:pos="284"/>
              </w:tabs>
              <w:overflowPunct w:val="0"/>
              <w:autoSpaceDE w:val="0"/>
              <w:autoSpaceDN w:val="0"/>
              <w:adjustRightInd w:val="0"/>
              <w:ind w:left="266" w:hanging="266"/>
              <w:textAlignment w:val="baseline"/>
              <w:rPr>
                <w:b/>
              </w:rPr>
            </w:pPr>
            <w:r>
              <w:rPr>
                <w:b/>
              </w:rPr>
              <w:t>Références</w:t>
            </w:r>
          </w:p>
        </w:tc>
        <w:tc>
          <w:tcPr>
            <w:tcW w:w="3923" w:type="pct"/>
          </w:tcPr>
          <w:p w14:paraId="05B63FA9" w14:textId="3576FDD2" w:rsidR="00627FDF" w:rsidRPr="00627FDF" w:rsidRDefault="00627FDF" w:rsidP="00100EF9">
            <w:pPr>
              <w:tabs>
                <w:tab w:val="center" w:pos="284"/>
              </w:tabs>
              <w:overflowPunct w:val="0"/>
              <w:autoSpaceDE w:val="0"/>
              <w:autoSpaceDN w:val="0"/>
              <w:adjustRightInd w:val="0"/>
              <w:ind w:left="266" w:right="-3091" w:hanging="266"/>
              <w:textAlignment w:val="baseline"/>
            </w:pPr>
            <w:proofErr w:type="gramStart"/>
            <w:r>
              <w:t>COM(</w:t>
            </w:r>
            <w:proofErr w:type="gramEnd"/>
            <w:r>
              <w:t>2025) 955 final</w:t>
            </w:r>
          </w:p>
          <w:p w14:paraId="3BB4E753" w14:textId="77777777" w:rsidR="00627FDF" w:rsidRPr="00627FDF" w:rsidRDefault="00627FDF" w:rsidP="00100EF9">
            <w:pPr>
              <w:tabs>
                <w:tab w:val="center" w:pos="284"/>
              </w:tabs>
              <w:overflowPunct w:val="0"/>
              <w:autoSpaceDE w:val="0"/>
              <w:autoSpaceDN w:val="0"/>
              <w:adjustRightInd w:val="0"/>
              <w:ind w:left="266" w:right="-3091" w:hanging="266"/>
              <w:textAlignment w:val="baseline"/>
            </w:pPr>
            <w:r>
              <w:t>EESC-2025-03794-00-00-AC</w:t>
            </w:r>
          </w:p>
        </w:tc>
      </w:tr>
    </w:tbl>
    <w:p w14:paraId="7A90BFAE"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pt-PT"/>
        </w:rPr>
      </w:pPr>
    </w:p>
    <w:p w14:paraId="1E165E10" w14:textId="77777777" w:rsidR="00627FDF" w:rsidRDefault="00627FDF" w:rsidP="00100EF9">
      <w:pPr>
        <w:overflowPunct w:val="0"/>
        <w:autoSpaceDE w:val="0"/>
        <w:autoSpaceDN w:val="0"/>
        <w:adjustRightInd w:val="0"/>
        <w:textAlignment w:val="baseline"/>
        <w:rPr>
          <w:b/>
        </w:rPr>
      </w:pPr>
      <w:r>
        <w:rPr>
          <w:b/>
        </w:rPr>
        <w:t>Points clés</w:t>
      </w:r>
    </w:p>
    <w:p w14:paraId="6A1E467B" w14:textId="77777777" w:rsidR="002F4AD1" w:rsidRPr="00627FDF" w:rsidRDefault="002F4AD1" w:rsidP="00100EF9">
      <w:pPr>
        <w:overflowPunct w:val="0"/>
        <w:autoSpaceDE w:val="0"/>
        <w:autoSpaceDN w:val="0"/>
        <w:adjustRightInd w:val="0"/>
        <w:textAlignment w:val="baseline"/>
        <w:rPr>
          <w:bCs/>
          <w:iCs/>
          <w:lang w:val="en-GB"/>
        </w:rPr>
      </w:pPr>
    </w:p>
    <w:p w14:paraId="5B235C5C" w14:textId="77777777" w:rsidR="00627FDF" w:rsidRDefault="00627FDF" w:rsidP="00100EF9">
      <w:pPr>
        <w:overflowPunct w:val="0"/>
        <w:autoSpaceDE w:val="0"/>
        <w:autoSpaceDN w:val="0"/>
        <w:adjustRightInd w:val="0"/>
        <w:textAlignment w:val="baseline"/>
        <w:rPr>
          <w:bCs/>
          <w:iCs/>
        </w:rPr>
      </w:pPr>
      <w:r>
        <w:t xml:space="preserve">Le </w:t>
      </w:r>
      <w:proofErr w:type="gramStart"/>
      <w:r>
        <w:t>CESE:</w:t>
      </w:r>
      <w:proofErr w:type="gramEnd"/>
    </w:p>
    <w:p w14:paraId="769B1960"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déplore que la Commission se soit à nouveau abstenue de présenter l’</w:t>
      </w:r>
      <w:r>
        <w:rPr>
          <w:b/>
          <w:bCs/>
        </w:rPr>
        <w:t>examen annuel de la croissance durable</w:t>
      </w:r>
      <w:r>
        <w:t xml:space="preserve"> et fait observer qu’une </w:t>
      </w:r>
      <w:r>
        <w:rPr>
          <w:b/>
          <w:bCs/>
        </w:rPr>
        <w:t>croissance économique durable</w:t>
      </w:r>
      <w:r>
        <w:t xml:space="preserve"> est une condition sine qua non pour que l’Europe puisse respecter ses multiples engagements; accueille favorablement le </w:t>
      </w:r>
      <w:r>
        <w:rPr>
          <w:b/>
          <w:bCs/>
        </w:rPr>
        <w:t>rapport macroéconomique européen</w:t>
      </w:r>
      <w:r>
        <w:t xml:space="preserve">, qui fournit une analyse détaillée des problèmes structurels sous-jacents auxquels l’UE doit faire face et se félicite de la </w:t>
      </w:r>
      <w:r>
        <w:rPr>
          <w:b/>
          <w:bCs/>
        </w:rPr>
        <w:t>nouvelle recommandation sur le capital humain</w:t>
      </w:r>
      <w:r>
        <w:t>, qui est un élément crucial pour combler le déficit technologique de l’Union;</w:t>
      </w:r>
    </w:p>
    <w:p w14:paraId="37295D8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proofErr w:type="gramStart"/>
      <w:r>
        <w:t>réitère</w:t>
      </w:r>
      <w:proofErr w:type="gramEnd"/>
      <w:r>
        <w:t xml:space="preserve"> son appel en faveur d’une </w:t>
      </w:r>
      <w:r>
        <w:rPr>
          <w:b/>
          <w:bCs/>
        </w:rPr>
        <w:t>capacité budgétaire commune plus solide</w:t>
      </w:r>
      <w:r>
        <w:t>, soutenue par l’émission conjointe ciblée de titres de créance, afin de contribuer à combler ce déficit croissant d’investissements publics, et d’instruments permanents de stabilisation macroéconomique pour faire face aux chocs, sur la base de l’expérience acquise avec l’instrument européen de soutien temporaire à l’atténuation des risques de chômage en situation d’urgence (SURE), qui devrait être pérennisé;</w:t>
      </w:r>
    </w:p>
    <w:p w14:paraId="48F6D6C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demeure alarmé par la </w:t>
      </w:r>
      <w:r>
        <w:rPr>
          <w:b/>
          <w:bCs/>
        </w:rPr>
        <w:t>fragmentation des marchés financiers de l’Union</w:t>
      </w:r>
      <w:r>
        <w:t xml:space="preserve"> et invite la Commission à examiner si un </w:t>
      </w:r>
      <w:r>
        <w:rPr>
          <w:b/>
          <w:bCs/>
        </w:rPr>
        <w:t xml:space="preserve">ensemble d’instruments au niveau de l’UE, sur le modèle de la National Securities </w:t>
      </w:r>
      <w:proofErr w:type="spellStart"/>
      <w:r>
        <w:rPr>
          <w:b/>
          <w:bCs/>
        </w:rPr>
        <w:t>Markets</w:t>
      </w:r>
      <w:proofErr w:type="spellEnd"/>
      <w:r>
        <w:rPr>
          <w:b/>
          <w:bCs/>
        </w:rPr>
        <w:t xml:space="preserve"> </w:t>
      </w:r>
      <w:proofErr w:type="spellStart"/>
      <w:r>
        <w:rPr>
          <w:b/>
          <w:bCs/>
        </w:rPr>
        <w:t>Improvement</w:t>
      </w:r>
      <w:proofErr w:type="spellEnd"/>
      <w:r>
        <w:rPr>
          <w:b/>
          <w:bCs/>
        </w:rPr>
        <w:t xml:space="preserve"> </w:t>
      </w:r>
      <w:proofErr w:type="spellStart"/>
      <w:r>
        <w:rPr>
          <w:b/>
          <w:bCs/>
        </w:rPr>
        <w:t>Act</w:t>
      </w:r>
      <w:proofErr w:type="spellEnd"/>
      <w:r>
        <w:rPr>
          <w:b/>
          <w:bCs/>
        </w:rPr>
        <w:t xml:space="preserve"> (loi américaine sur l’amélioration des marchés nationaux de valeurs mobilières, NSMIA)</w:t>
      </w:r>
      <w:r>
        <w:t>, pourrait simplifier l’accès transfrontière au marché, réduire la fragmentation en matière de conformité et soutenir des marchés plus profonds, plus efficaces et plus liquides, tout en maintenant le niveau de sécurité actuel nécessaire;</w:t>
      </w:r>
    </w:p>
    <w:p w14:paraId="409B0B27"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proofErr w:type="gramStart"/>
      <w:r>
        <w:t>demande</w:t>
      </w:r>
      <w:proofErr w:type="gramEnd"/>
      <w:r>
        <w:t xml:space="preserve"> une nouvelle fois à la Commission de </w:t>
      </w:r>
      <w:r>
        <w:rPr>
          <w:b/>
          <w:bCs/>
        </w:rPr>
        <w:t>réviser d’urgence l’ensemble des indicateurs proposés pour le suivi de la procédure concernant les déséquilibres macroéconomiques (PDM)</w:t>
      </w:r>
      <w:r>
        <w:t xml:space="preserve">. Une partie de la solution pour améliorer le tableau de bord actuel de la PDM pourrait consister à suivre l’évolution de l’effet de levier combiné au lieu de s’en tenir à des </w:t>
      </w:r>
      <w:proofErr w:type="gramStart"/>
      <w:r>
        <w:t>cloisonnements;</w:t>
      </w:r>
      <w:proofErr w:type="gramEnd"/>
    </w:p>
    <w:p w14:paraId="1707B61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proofErr w:type="gramStart"/>
      <w:r>
        <w:t>estime</w:t>
      </w:r>
      <w:proofErr w:type="gramEnd"/>
      <w:r>
        <w:t xml:space="preserve"> qu’il convient d’</w:t>
      </w:r>
      <w:r>
        <w:rPr>
          <w:b/>
          <w:bCs/>
        </w:rPr>
        <w:t>utiliser de manière plus rationnelle le tableau de bord social</w:t>
      </w:r>
      <w:r>
        <w:t xml:space="preserve">, </w:t>
      </w:r>
      <w:r>
        <w:rPr>
          <w:b/>
          <w:bCs/>
        </w:rPr>
        <w:t>un tableau de bord révisé de la PDM</w:t>
      </w:r>
      <w:r>
        <w:t xml:space="preserve"> et </w:t>
      </w:r>
      <w:r>
        <w:rPr>
          <w:b/>
          <w:bCs/>
        </w:rPr>
        <w:t>une méthode révisée d’analyse de la soutenabilité de la dette</w:t>
      </w:r>
      <w:r>
        <w:t xml:space="preserve">, </w:t>
      </w:r>
      <w:r>
        <w:rPr>
          <w:b/>
          <w:bCs/>
        </w:rPr>
        <w:t>complétés par</w:t>
      </w:r>
      <w:r>
        <w:t xml:space="preserve"> les nouveaux </w:t>
      </w:r>
      <w:r>
        <w:rPr>
          <w:b/>
          <w:bCs/>
        </w:rPr>
        <w:t>indicateurs de bien-être</w:t>
      </w:r>
      <w:r>
        <w:t xml:space="preserve"> proposés par le Centre commun de recherche (JRC);</w:t>
      </w:r>
    </w:p>
    <w:p w14:paraId="1DE1E29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proofErr w:type="gramStart"/>
      <w:r>
        <w:t>demande</w:t>
      </w:r>
      <w:proofErr w:type="gramEnd"/>
      <w:r>
        <w:t xml:space="preserve"> à la Commission de traiter le </w:t>
      </w:r>
      <w:r>
        <w:rPr>
          <w:b/>
          <w:bCs/>
        </w:rPr>
        <w:t xml:space="preserve">cadre de convergence </w:t>
      </w:r>
      <w:proofErr w:type="spellStart"/>
      <w:r>
        <w:rPr>
          <w:b/>
          <w:bCs/>
        </w:rPr>
        <w:t>socialecomme</w:t>
      </w:r>
      <w:proofErr w:type="spellEnd"/>
      <w:r>
        <w:rPr>
          <w:b/>
          <w:bCs/>
        </w:rPr>
        <w:t xml:space="preserve"> étant au même niveau que le cadre budgétaire et de formuler en conséquence des recommandations claires</w:t>
      </w:r>
      <w:r>
        <w:t xml:space="preserve"> à chaque État membre dans les prochaines recommandations par pays, et invite la Commission à proposer des incitations concrètes afin que les États membres recourent davantage à la </w:t>
      </w:r>
      <w:r>
        <w:rPr>
          <w:b/>
          <w:bCs/>
        </w:rPr>
        <w:t>clause de flexibilité pour les investissements sociaux</w:t>
      </w:r>
      <w:r>
        <w:t>;</w:t>
      </w:r>
    </w:p>
    <w:p w14:paraId="7DBF2201"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proofErr w:type="gramStart"/>
      <w:r>
        <w:t>réitère</w:t>
      </w:r>
      <w:proofErr w:type="gramEnd"/>
      <w:r>
        <w:t xml:space="preserve"> son appel en faveur d’une </w:t>
      </w:r>
      <w:r>
        <w:rPr>
          <w:b/>
          <w:bCs/>
        </w:rPr>
        <w:t xml:space="preserve">analyse approfondie et d’une clarification des liens </w:t>
      </w:r>
      <w:r>
        <w:rPr>
          <w:b/>
          <w:bCs/>
        </w:rPr>
        <w:lastRenderedPageBreak/>
        <w:t>annoncés entre le Semestre européen</w:t>
      </w:r>
      <w:r>
        <w:t>, l’</w:t>
      </w:r>
      <w:r>
        <w:rPr>
          <w:b/>
          <w:bCs/>
        </w:rPr>
        <w:t>outil de coordination de la compétitivité</w:t>
      </w:r>
      <w:r>
        <w:t xml:space="preserve"> et le futur </w:t>
      </w:r>
      <w:r>
        <w:rPr>
          <w:b/>
          <w:bCs/>
        </w:rPr>
        <w:t>cadre financier pluriannuel (CFP)</w:t>
      </w:r>
      <w:r>
        <w:t xml:space="preserve"> proposé; </w:t>
      </w:r>
    </w:p>
    <w:p w14:paraId="28888E6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proofErr w:type="gramStart"/>
      <w:r>
        <w:t>invite</w:t>
      </w:r>
      <w:proofErr w:type="gramEnd"/>
      <w:r>
        <w:t xml:space="preserve"> le </w:t>
      </w:r>
      <w:r>
        <w:rPr>
          <w:b/>
          <w:bCs/>
        </w:rPr>
        <w:t>Parlement européen à mettre en place</w:t>
      </w:r>
      <w:r>
        <w:t xml:space="preserve">, comme c’est le cas pour la facilité pour la reprise et la résilience (FRR), </w:t>
      </w:r>
      <w:r>
        <w:rPr>
          <w:b/>
          <w:bCs/>
        </w:rPr>
        <w:t>un comité permanent de suivi et d’évaluation pour le «nouveau» Semestre européen, la mise en œuvre et l’évaluation annuelle des plans budgétaires et structurels à moyen terme, les recommandations par pays et leurs liens concrets avec les futurs plans de partenariat national et régional</w:t>
      </w:r>
      <w:r>
        <w:t xml:space="preserve"> (plans PNR);</w:t>
      </w:r>
    </w:p>
    <w:p w14:paraId="19CCD46D"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proofErr w:type="gramStart"/>
      <w:r>
        <w:t>invite</w:t>
      </w:r>
      <w:proofErr w:type="gramEnd"/>
      <w:r>
        <w:t xml:space="preserve"> la Commission à </w:t>
      </w:r>
      <w:r>
        <w:rPr>
          <w:b/>
          <w:bCs/>
        </w:rPr>
        <w:t>considérer la clause dérogatoire comme un instrument d’urgence temporaire</w:t>
      </w:r>
      <w:r>
        <w:t xml:space="preserve"> plutôt que comme un substitut à une stratégie budgétaire et de croissance cohérente à long terme, et prie la Commission d’évaluer </w:t>
      </w:r>
      <w:r>
        <w:rPr>
          <w:b/>
          <w:bCs/>
        </w:rPr>
        <w:t>l’importance grandissante des dépenses de défense dans la croissance durable de l’Union</w:t>
      </w:r>
      <w:r>
        <w:t xml:space="preserve"> et leur incidence sur l’emploi et la stabilité budgétaire future;</w:t>
      </w:r>
    </w:p>
    <w:p w14:paraId="61FE117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proofErr w:type="gramStart"/>
      <w:r>
        <w:t>réitère</w:t>
      </w:r>
      <w:proofErr w:type="gramEnd"/>
      <w:r>
        <w:t xml:space="preserve"> son appel en faveur d’une </w:t>
      </w:r>
      <w:r>
        <w:rPr>
          <w:b/>
          <w:bCs/>
        </w:rPr>
        <w:t>participation plus solide, structurée et significative des partenaires sociaux et des organisations de la société civile aux niveaux européen, national et local</w:t>
      </w:r>
      <w:r>
        <w:t xml:space="preserve"> à la mise en œuvre du cycle du Semestre européen.</w:t>
      </w:r>
    </w:p>
    <w:p w14:paraId="6AF1FBF1" w14:textId="77777777" w:rsidR="00627FDF" w:rsidRPr="00627FDF" w:rsidRDefault="00627FDF" w:rsidP="00100EF9">
      <w:pPr>
        <w:widowControl w:val="0"/>
        <w:overflowPunct w:val="0"/>
        <w:autoSpaceDE w:val="0"/>
        <w:autoSpaceDN w:val="0"/>
        <w:adjustRightInd w:val="0"/>
        <w:ind w:left="567"/>
        <w:textAlignment w:val="baseline"/>
        <w:rPr>
          <w:bCs/>
          <w:iCs/>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128"/>
      </w:tblGrid>
      <w:tr w:rsidR="00627FDF" w:rsidRPr="00627FDF" w14:paraId="52F142FB" w14:textId="77777777" w:rsidTr="00601D8A">
        <w:tc>
          <w:tcPr>
            <w:tcW w:w="625" w:type="pct"/>
          </w:tcPr>
          <w:p w14:paraId="605B3F57" w14:textId="77777777" w:rsidR="00627FDF" w:rsidRPr="00627FDF" w:rsidRDefault="00627FDF" w:rsidP="00100EF9">
            <w:pPr>
              <w:overflowPunct w:val="0"/>
              <w:autoSpaceDE w:val="0"/>
              <w:autoSpaceDN w:val="0"/>
              <w:adjustRightInd w:val="0"/>
              <w:textAlignment w:val="baseline"/>
              <w:rPr>
                <w:i/>
              </w:rPr>
            </w:pPr>
            <w:r>
              <w:rPr>
                <w:b/>
                <w:i/>
              </w:rPr>
              <w:t>Contact</w:t>
            </w:r>
          </w:p>
        </w:tc>
        <w:tc>
          <w:tcPr>
            <w:tcW w:w="4375" w:type="pct"/>
          </w:tcPr>
          <w:p w14:paraId="2799D0F0" w14:textId="77777777" w:rsidR="00627FDF" w:rsidRPr="00627FDF" w:rsidRDefault="00627FDF" w:rsidP="00100EF9">
            <w:pPr>
              <w:overflowPunct w:val="0"/>
              <w:autoSpaceDE w:val="0"/>
              <w:autoSpaceDN w:val="0"/>
              <w:adjustRightInd w:val="0"/>
              <w:textAlignment w:val="baseline"/>
              <w:rPr>
                <w:i/>
              </w:rPr>
            </w:pPr>
            <w:r>
              <w:rPr>
                <w:i/>
              </w:rPr>
              <w:t xml:space="preserve">Anna </w:t>
            </w:r>
            <w:proofErr w:type="spellStart"/>
            <w:r>
              <w:rPr>
                <w:i/>
              </w:rPr>
              <w:t>Pantazi</w:t>
            </w:r>
            <w:proofErr w:type="spellEnd"/>
          </w:p>
        </w:tc>
      </w:tr>
      <w:tr w:rsidR="00627FDF" w:rsidRPr="00627FDF" w14:paraId="2AECF76E" w14:textId="77777777" w:rsidTr="00601D8A">
        <w:tc>
          <w:tcPr>
            <w:tcW w:w="625" w:type="pct"/>
          </w:tcPr>
          <w:p w14:paraId="0CA36F14" w14:textId="77777777" w:rsidR="00627FDF" w:rsidRPr="00627FDF" w:rsidRDefault="00627FDF" w:rsidP="00100EF9">
            <w:pPr>
              <w:overflowPunct w:val="0"/>
              <w:autoSpaceDE w:val="0"/>
              <w:autoSpaceDN w:val="0"/>
              <w:adjustRightInd w:val="0"/>
              <w:textAlignment w:val="baseline"/>
              <w:rPr>
                <w:i/>
              </w:rPr>
            </w:pPr>
            <w:proofErr w:type="gramStart"/>
            <w:r>
              <w:rPr>
                <w:i/>
              </w:rPr>
              <w:t>Tél.:</w:t>
            </w:r>
            <w:proofErr w:type="gramEnd"/>
          </w:p>
        </w:tc>
        <w:tc>
          <w:tcPr>
            <w:tcW w:w="4375" w:type="pct"/>
          </w:tcPr>
          <w:p w14:paraId="74E90836" w14:textId="1D42CC9B" w:rsidR="00627FDF" w:rsidRPr="00627FDF" w:rsidRDefault="00627FDF" w:rsidP="00100EF9">
            <w:pPr>
              <w:overflowPunct w:val="0"/>
              <w:autoSpaceDE w:val="0"/>
              <w:autoSpaceDN w:val="0"/>
              <w:adjustRightInd w:val="0"/>
              <w:textAlignment w:val="baseline"/>
              <w:rPr>
                <w:i/>
              </w:rPr>
            </w:pPr>
            <w:r>
              <w:rPr>
                <w:i/>
              </w:rPr>
              <w:t>+32 2 546 9231</w:t>
            </w:r>
          </w:p>
        </w:tc>
      </w:tr>
      <w:tr w:rsidR="00627FDF" w:rsidRPr="00627FDF" w14:paraId="03A39DE3" w14:textId="77777777" w:rsidTr="00601D8A">
        <w:tc>
          <w:tcPr>
            <w:tcW w:w="625" w:type="pct"/>
          </w:tcPr>
          <w:p w14:paraId="5FDCFB85" w14:textId="77777777" w:rsidR="00627FDF" w:rsidRPr="00627FDF" w:rsidRDefault="00627FDF" w:rsidP="00100EF9">
            <w:pPr>
              <w:overflowPunct w:val="0"/>
              <w:autoSpaceDE w:val="0"/>
              <w:autoSpaceDN w:val="0"/>
              <w:adjustRightInd w:val="0"/>
              <w:textAlignment w:val="baseline"/>
              <w:rPr>
                <w:i/>
              </w:rPr>
            </w:pPr>
            <w:proofErr w:type="gramStart"/>
            <w:r>
              <w:rPr>
                <w:i/>
              </w:rPr>
              <w:t>Courriel:</w:t>
            </w:r>
            <w:proofErr w:type="gramEnd"/>
          </w:p>
        </w:tc>
        <w:tc>
          <w:tcPr>
            <w:tcW w:w="4375" w:type="pct"/>
          </w:tcPr>
          <w:p w14:paraId="3BA9FEE0" w14:textId="77777777" w:rsidR="00627FDF" w:rsidRPr="00627FDF" w:rsidRDefault="00AA7EB8" w:rsidP="00100EF9">
            <w:pPr>
              <w:overflowPunct w:val="0"/>
              <w:autoSpaceDE w:val="0"/>
              <w:autoSpaceDN w:val="0"/>
              <w:adjustRightInd w:val="0"/>
              <w:textAlignment w:val="baseline"/>
              <w:rPr>
                <w:i/>
              </w:rPr>
            </w:pPr>
            <w:hyperlink r:id="rId24" w:history="1">
              <w:r w:rsidR="00E235D3">
                <w:rPr>
                  <w:i/>
                  <w:color w:val="0000FF"/>
                  <w:u w:val="single"/>
                </w:rPr>
                <w:t>Anna.Pantazi@eesc.europa.eu</w:t>
              </w:r>
            </w:hyperlink>
          </w:p>
        </w:tc>
      </w:tr>
    </w:tbl>
    <w:p w14:paraId="69D261DC" w14:textId="6E0384BF" w:rsidR="00557848" w:rsidRDefault="00557848" w:rsidP="00100EF9">
      <w:pPr>
        <w:pStyle w:val="ListParagraph"/>
        <w:ind w:left="0"/>
      </w:pPr>
    </w:p>
    <w:p w14:paraId="18087D90" w14:textId="77777777" w:rsidR="00557848" w:rsidRDefault="00557848" w:rsidP="00100EF9">
      <w:pPr>
        <w:jc w:val="left"/>
      </w:pPr>
      <w:r>
        <w:br w:type="page"/>
      </w:r>
    </w:p>
    <w:p w14:paraId="1CFC3C7D" w14:textId="4EE86689" w:rsidR="00532F99" w:rsidRPr="00153E09" w:rsidRDefault="00AA7EB8" w:rsidP="00100EF9">
      <w:pPr>
        <w:widowControl w:val="0"/>
        <w:numPr>
          <w:ilvl w:val="0"/>
          <w:numId w:val="6"/>
        </w:numPr>
        <w:overflowPunct w:val="0"/>
        <w:autoSpaceDE w:val="0"/>
        <w:autoSpaceDN w:val="0"/>
        <w:adjustRightInd w:val="0"/>
        <w:ind w:hanging="567"/>
        <w:textAlignment w:val="baseline"/>
        <w:rPr>
          <w:b/>
          <w:i/>
          <w:iCs/>
          <w:sz w:val="28"/>
          <w:szCs w:val="28"/>
        </w:rPr>
      </w:pPr>
      <w:hyperlink r:id="rId25" w:history="1">
        <w:r w:rsidR="00532F99">
          <w:rPr>
            <w:b/>
            <w:i/>
            <w:color w:val="0000FF"/>
            <w:sz w:val="28"/>
            <w:u w:val="single"/>
          </w:rPr>
          <w:t>La dimension insulaire des politiques européennes de cohésion, de compétitivité et de développement durable</w:t>
        </w:r>
      </w:hyperlink>
    </w:p>
    <w:p w14:paraId="6D45E35E" w14:textId="77777777" w:rsidR="00153E09" w:rsidRPr="00153E09" w:rsidRDefault="00153E09" w:rsidP="00100EF9">
      <w:pPr>
        <w:widowControl w:val="0"/>
        <w:overflowPunct w:val="0"/>
        <w:autoSpaceDE w:val="0"/>
        <w:autoSpaceDN w:val="0"/>
        <w:adjustRightInd w:val="0"/>
        <w:ind w:left="709"/>
        <w:textAlignment w:val="baseline"/>
      </w:pPr>
    </w:p>
    <w:tbl>
      <w:tblPr>
        <w:tblStyle w:val="TableGrid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532F99" w:rsidRPr="00532F99" w14:paraId="67745AC7" w14:textId="77777777" w:rsidTr="00D0608D">
        <w:tc>
          <w:tcPr>
            <w:tcW w:w="1701" w:type="dxa"/>
          </w:tcPr>
          <w:p w14:paraId="61C2DFEA"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Pr>
                <w:b/>
              </w:rPr>
              <w:t>Rapporteur</w:t>
            </w:r>
          </w:p>
        </w:tc>
        <w:tc>
          <w:tcPr>
            <w:tcW w:w="7479" w:type="dxa"/>
          </w:tcPr>
          <w:p w14:paraId="1D4B2919" w14:textId="013947C3" w:rsidR="00153E09" w:rsidRPr="00532F99" w:rsidRDefault="00532F99" w:rsidP="00100EF9">
            <w:pPr>
              <w:tabs>
                <w:tab w:val="center" w:pos="284"/>
              </w:tabs>
              <w:overflowPunct w:val="0"/>
              <w:autoSpaceDE w:val="0"/>
              <w:autoSpaceDN w:val="0"/>
              <w:adjustRightInd w:val="0"/>
              <w:ind w:left="266" w:hanging="266"/>
              <w:textAlignment w:val="baseline"/>
            </w:pPr>
            <w:r>
              <w:t>Ioannis VARDAKASTANIS (groupe des organisations de la société civile — EL)</w:t>
            </w:r>
          </w:p>
        </w:tc>
      </w:tr>
      <w:tr w:rsidR="00205469" w:rsidRPr="00532F99" w14:paraId="1E28C030" w14:textId="77777777" w:rsidTr="00D0608D">
        <w:tc>
          <w:tcPr>
            <w:tcW w:w="1701" w:type="dxa"/>
          </w:tcPr>
          <w:p w14:paraId="6556B0F0" w14:textId="77777777" w:rsidR="00205469" w:rsidRPr="00532F99"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49CED0B0" w14:textId="77777777" w:rsidR="00205469" w:rsidRPr="00532F99" w:rsidRDefault="00205469" w:rsidP="00100EF9">
            <w:pPr>
              <w:tabs>
                <w:tab w:val="center" w:pos="284"/>
              </w:tabs>
              <w:overflowPunct w:val="0"/>
              <w:autoSpaceDE w:val="0"/>
              <w:autoSpaceDN w:val="0"/>
              <w:adjustRightInd w:val="0"/>
              <w:ind w:left="266" w:hanging="266"/>
              <w:textAlignment w:val="baseline"/>
              <w:rPr>
                <w:bCs/>
              </w:rPr>
            </w:pPr>
          </w:p>
        </w:tc>
      </w:tr>
      <w:tr w:rsidR="00532F99" w:rsidRPr="00532F99" w14:paraId="6B1B0BDA" w14:textId="77777777" w:rsidTr="00D0608D">
        <w:tc>
          <w:tcPr>
            <w:tcW w:w="1701" w:type="dxa"/>
          </w:tcPr>
          <w:p w14:paraId="2C89221D"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Pr>
                <w:b/>
              </w:rPr>
              <w:t>Références</w:t>
            </w:r>
          </w:p>
        </w:tc>
        <w:tc>
          <w:tcPr>
            <w:tcW w:w="7479" w:type="dxa"/>
          </w:tcPr>
          <w:p w14:paraId="23EE8050" w14:textId="0AD297F8" w:rsidR="00532F99" w:rsidRPr="00532F99" w:rsidRDefault="00532F99" w:rsidP="00100EF9">
            <w:pPr>
              <w:tabs>
                <w:tab w:val="center" w:pos="321"/>
              </w:tabs>
              <w:overflowPunct w:val="0"/>
              <w:autoSpaceDE w:val="0"/>
              <w:autoSpaceDN w:val="0"/>
              <w:adjustRightInd w:val="0"/>
              <w:textAlignment w:val="baseline"/>
            </w:pPr>
            <w:r>
              <w:t>Avis exploratoire à la demande de la présidence chypriote du Conseil de l’Union européenne</w:t>
            </w:r>
          </w:p>
          <w:p w14:paraId="0FBD455F" w14:textId="4C1CCA1A" w:rsidR="00532F99" w:rsidRPr="00532F99" w:rsidRDefault="00532F99" w:rsidP="00100EF9">
            <w:pPr>
              <w:tabs>
                <w:tab w:val="center" w:pos="284"/>
              </w:tabs>
              <w:overflowPunct w:val="0"/>
              <w:autoSpaceDE w:val="0"/>
              <w:autoSpaceDN w:val="0"/>
              <w:adjustRightInd w:val="0"/>
              <w:ind w:left="266" w:hanging="266"/>
              <w:textAlignment w:val="baseline"/>
            </w:pPr>
            <w:r>
              <w:t>EESC-2025-03598-00-00-AC</w:t>
            </w:r>
          </w:p>
        </w:tc>
      </w:tr>
    </w:tbl>
    <w:p w14:paraId="68AC2034" w14:textId="77777777" w:rsidR="00153E09" w:rsidRDefault="00153E09" w:rsidP="00100EF9">
      <w:pPr>
        <w:keepNext/>
        <w:keepLines/>
        <w:tabs>
          <w:tab w:val="center" w:pos="284"/>
        </w:tabs>
        <w:overflowPunct w:val="0"/>
        <w:autoSpaceDE w:val="0"/>
        <w:autoSpaceDN w:val="0"/>
        <w:adjustRightInd w:val="0"/>
        <w:ind w:left="266" w:hanging="266"/>
        <w:textAlignment w:val="baseline"/>
        <w:rPr>
          <w:b/>
          <w:lang w:val="en-GB"/>
        </w:rPr>
      </w:pPr>
    </w:p>
    <w:p w14:paraId="07A288D5" w14:textId="6C112457" w:rsidR="00532F99" w:rsidRPr="00532F99" w:rsidRDefault="00532F99" w:rsidP="00100EF9">
      <w:pPr>
        <w:keepNext/>
        <w:keepLines/>
        <w:tabs>
          <w:tab w:val="center" w:pos="284"/>
        </w:tabs>
        <w:overflowPunct w:val="0"/>
        <w:autoSpaceDE w:val="0"/>
        <w:autoSpaceDN w:val="0"/>
        <w:adjustRightInd w:val="0"/>
        <w:ind w:left="266" w:hanging="266"/>
        <w:textAlignment w:val="baseline"/>
        <w:rPr>
          <w:b/>
        </w:rPr>
      </w:pPr>
      <w:r>
        <w:rPr>
          <w:b/>
        </w:rPr>
        <w:t>Points clés</w:t>
      </w:r>
    </w:p>
    <w:p w14:paraId="016816BE" w14:textId="77777777" w:rsidR="00532F99" w:rsidRPr="00532F99" w:rsidRDefault="00532F99" w:rsidP="00100EF9">
      <w:pPr>
        <w:keepNext/>
        <w:keepLines/>
        <w:tabs>
          <w:tab w:val="center" w:pos="284"/>
        </w:tabs>
        <w:overflowPunct w:val="0"/>
        <w:autoSpaceDE w:val="0"/>
        <w:autoSpaceDN w:val="0"/>
        <w:adjustRightInd w:val="0"/>
        <w:ind w:left="266" w:hanging="266"/>
        <w:textAlignment w:val="baseline"/>
        <w:rPr>
          <w:b/>
          <w:lang w:val="en-GB"/>
        </w:rPr>
      </w:pPr>
    </w:p>
    <w:p w14:paraId="113D35D1" w14:textId="77777777" w:rsidR="00532F99" w:rsidRPr="00532F99" w:rsidRDefault="00532F99" w:rsidP="00100EF9">
      <w:pPr>
        <w:overflowPunct w:val="0"/>
        <w:autoSpaceDE w:val="0"/>
        <w:autoSpaceDN w:val="0"/>
        <w:adjustRightInd w:val="0"/>
        <w:textAlignment w:val="baseline"/>
        <w:rPr>
          <w:bCs/>
          <w:iCs/>
        </w:rPr>
      </w:pPr>
      <w:r>
        <w:t xml:space="preserve">Le </w:t>
      </w:r>
      <w:proofErr w:type="gramStart"/>
      <w:r>
        <w:t>CESE:</w:t>
      </w:r>
      <w:proofErr w:type="gramEnd"/>
    </w:p>
    <w:p w14:paraId="4843EC5E" w14:textId="77777777" w:rsidR="00532F99" w:rsidRPr="00AD4D97" w:rsidRDefault="00532F99" w:rsidP="007526DA">
      <w:pPr>
        <w:pStyle w:val="ListParagraph"/>
        <w:numPr>
          <w:ilvl w:val="0"/>
          <w:numId w:val="28"/>
        </w:numPr>
        <w:ind w:left="567" w:hanging="567"/>
      </w:pPr>
      <w:bookmarkStart w:id="5" w:name="_Toc222825817"/>
      <w:proofErr w:type="gramStart"/>
      <w:r>
        <w:t>estime</w:t>
      </w:r>
      <w:proofErr w:type="gramEnd"/>
      <w:r>
        <w:t xml:space="preserve"> que les îles de l’Union européenne sont confrontées à des </w:t>
      </w:r>
      <w:r>
        <w:rPr>
          <w:u w:val="single"/>
        </w:rPr>
        <w:t>handicaps structurels persistants</w:t>
      </w:r>
      <w:r>
        <w:t>, à savoir des contraintes géographiques, économiques, démographiques et climatiques telles que l’isolement, la fonte des glaces, les coûts élevés des transports et de l’énergie, la pression immobilière, les pénuries de main-d’œuvre et la dépendance excessive à l’égard du tourisme.</w:t>
      </w:r>
      <w:bookmarkEnd w:id="5"/>
    </w:p>
    <w:p w14:paraId="70CF9AE7" w14:textId="77777777" w:rsidR="00532F99" w:rsidRPr="00AD4D97" w:rsidRDefault="00532F99" w:rsidP="007526DA">
      <w:pPr>
        <w:pStyle w:val="ListParagraph"/>
        <w:numPr>
          <w:ilvl w:val="0"/>
          <w:numId w:val="28"/>
        </w:numPr>
        <w:ind w:left="567" w:hanging="567"/>
        <w:rPr>
          <w:u w:val="single"/>
        </w:rPr>
      </w:pPr>
      <w:bookmarkStart w:id="6" w:name="_Toc222825818"/>
      <w:proofErr w:type="gramStart"/>
      <w:r>
        <w:t>est</w:t>
      </w:r>
      <w:proofErr w:type="gramEnd"/>
      <w:r>
        <w:t xml:space="preserve"> d’avis que les îles sont déterminantes pour la place qu’occupe l’Union sur la scène géopolitique, pour la gestion des migrations, la sécurité maritime et la transition énergétique. Leurs écosystèmes marins et leurs zones économiques exclusives constituent l’ossature de l’économie bleue et des objectifs en matière de diversité biologique. Bien que l’Union fasse état explicitement dans ses traités et dans ses déclarations politiques des défis uniques qui se posent aux îles, elle ne traite pas ceux-ci de manière adéquate dans le cadre de ses politiques sectorielles. Les îles recèlent le potentiel de devenir des laboratoires d’innovation et de durabilité, et de faire la démonstration de solutions en matière d’adaptation au changement climatique, d’énergies renouvelables, de conservation du milieu marin et de tourisme </w:t>
      </w:r>
      <w:proofErr w:type="gramStart"/>
      <w:r>
        <w:t>durable;</w:t>
      </w:r>
      <w:bookmarkEnd w:id="6"/>
      <w:proofErr w:type="gramEnd"/>
    </w:p>
    <w:p w14:paraId="67767811" w14:textId="77777777" w:rsidR="00532F99" w:rsidRPr="00AD4D97" w:rsidRDefault="00532F99" w:rsidP="007526DA">
      <w:pPr>
        <w:pStyle w:val="ListParagraph"/>
        <w:numPr>
          <w:ilvl w:val="0"/>
          <w:numId w:val="28"/>
        </w:numPr>
        <w:ind w:left="567" w:hanging="567"/>
      </w:pPr>
      <w:bookmarkStart w:id="7" w:name="_Toc222825819"/>
      <w:proofErr w:type="gramStart"/>
      <w:r>
        <w:rPr>
          <w:u w:val="single"/>
        </w:rPr>
        <w:t>reconnaît</w:t>
      </w:r>
      <w:proofErr w:type="gramEnd"/>
      <w:r>
        <w:rPr>
          <w:u w:val="single"/>
        </w:rPr>
        <w:t xml:space="preserve"> la nécessité d’une approche systémique</w:t>
      </w:r>
      <w:r>
        <w:t xml:space="preserve">. Une politique efficace de l’Union pour les îles et les territoires insulaires en général, y compris les régions ultrapériphériques et les régions lacustres, nécessite des stratégies intégrées et </w:t>
      </w:r>
      <w:proofErr w:type="spellStart"/>
      <w:r>
        <w:t>transsectorielles</w:t>
      </w:r>
      <w:proofErr w:type="spellEnd"/>
      <w:r>
        <w:t xml:space="preserve"> portant sur la connectivité, la diversification économique, la cohésion sociale, la résilience écologique, sociale et économique, et l’état de préparation géopolitique.</w:t>
      </w:r>
      <w:bookmarkEnd w:id="7"/>
    </w:p>
    <w:p w14:paraId="46E91099" w14:textId="77777777" w:rsidR="00532F99" w:rsidRPr="00AD4D97" w:rsidRDefault="00532F99" w:rsidP="007526DA">
      <w:pPr>
        <w:pStyle w:val="ListParagraph"/>
        <w:numPr>
          <w:ilvl w:val="0"/>
          <w:numId w:val="28"/>
        </w:numPr>
        <w:ind w:left="567" w:hanging="567"/>
      </w:pPr>
      <w:bookmarkStart w:id="8" w:name="_Toc222825820"/>
      <w:proofErr w:type="gramStart"/>
      <w:r>
        <w:t>réclame</w:t>
      </w:r>
      <w:proofErr w:type="gramEnd"/>
      <w:r>
        <w:t xml:space="preserve"> la mise en place d’une stratégie de l’Union consacrée aux îles (un «</w:t>
      </w:r>
      <w:r>
        <w:rPr>
          <w:b/>
        </w:rPr>
        <w:t>pacte pour les îles</w:t>
      </w:r>
      <w:r>
        <w:t>»), étayée par un cadre législatif spécifique (une «</w:t>
      </w:r>
      <w:r>
        <w:rPr>
          <w:b/>
        </w:rPr>
        <w:t>loi sur les îles</w:t>
      </w:r>
      <w:r>
        <w:t>»). Ce cadre devrait s’accompagner d’une stratégie officielle et prévoir l’application effective d’une</w:t>
      </w:r>
      <w:proofErr w:type="gramStart"/>
      <w:r>
        <w:t xml:space="preserve"> «</w:t>
      </w:r>
      <w:r>
        <w:rPr>
          <w:b/>
        </w:rPr>
        <w:t>clause</w:t>
      </w:r>
      <w:proofErr w:type="gramEnd"/>
      <w:r>
        <w:rPr>
          <w:b/>
        </w:rPr>
        <w:t xml:space="preserve"> d’insularité</w:t>
      </w:r>
      <w:r>
        <w:t>», en vue d’intégrer de manière systématique les besoins et contraintes propres aux îles dans les politiques de l’Union en matière de cohésion, de transport, d’énergie, d’aides d’État, d’environnement et d’affaires maritimes.</w:t>
      </w:r>
      <w:bookmarkEnd w:id="8"/>
    </w:p>
    <w:p w14:paraId="762E910D" w14:textId="77777777" w:rsidR="00532F99" w:rsidRPr="00AD4D97" w:rsidRDefault="00532F99" w:rsidP="007526DA">
      <w:pPr>
        <w:pStyle w:val="ListParagraph"/>
        <w:numPr>
          <w:ilvl w:val="0"/>
          <w:numId w:val="28"/>
        </w:numPr>
        <w:ind w:left="567" w:hanging="567"/>
      </w:pPr>
      <w:bookmarkStart w:id="9" w:name="_Toc222825821"/>
      <w:proofErr w:type="gramStart"/>
      <w:r>
        <w:t>souligne</w:t>
      </w:r>
      <w:proofErr w:type="gramEnd"/>
      <w:r>
        <w:t xml:space="preserve"> que pour garantir la cohésion territoriale, il est essentiel de parfaire la connectivité et les infrastructures dans les territoires insulaires, et il demande d’améliorer les systèmes de transport et de mobilité publique, de renforcer la connectivité numérique et d’accroître la résilience des réseaux énergétiques, en mettant clairement l’accent sur la décarbonation et l’autonomie énergétique;</w:t>
      </w:r>
      <w:bookmarkEnd w:id="9"/>
    </w:p>
    <w:p w14:paraId="737F86E5" w14:textId="77777777" w:rsidR="00532F99" w:rsidRPr="00AD4D97" w:rsidRDefault="00532F99" w:rsidP="007526DA">
      <w:pPr>
        <w:pStyle w:val="ListParagraph"/>
        <w:numPr>
          <w:ilvl w:val="0"/>
          <w:numId w:val="28"/>
        </w:numPr>
        <w:ind w:left="567" w:hanging="567"/>
      </w:pPr>
      <w:bookmarkStart w:id="10" w:name="_Toc222825822"/>
      <w:proofErr w:type="gramStart"/>
      <w:r>
        <w:t>fait</w:t>
      </w:r>
      <w:proofErr w:type="gramEnd"/>
      <w:r>
        <w:t xml:space="preserve"> valoir qu’il s’impose pour les régions insulaires de diversifier leur économie et de développer pour ce faire une économie bleue qui soit durable et compétitive, et qui s’appuie sur leurs atouts uniques tels que leurs ressources marines, leur potentiel dans le domaine des </w:t>
      </w:r>
      <w:r>
        <w:lastRenderedPageBreak/>
        <w:t>énergies renouvelables, leurs activités touristiques, leur patrimoine culturel et leurs industries créatives.</w:t>
      </w:r>
      <w:bookmarkEnd w:id="10"/>
    </w:p>
    <w:p w14:paraId="7E670409" w14:textId="77777777" w:rsidR="00532F99" w:rsidRPr="00AD4D97" w:rsidRDefault="00532F99" w:rsidP="007526DA">
      <w:pPr>
        <w:pStyle w:val="ListParagraph"/>
        <w:numPr>
          <w:ilvl w:val="0"/>
          <w:numId w:val="28"/>
        </w:numPr>
        <w:ind w:left="567" w:hanging="567"/>
      </w:pPr>
      <w:bookmarkStart w:id="11" w:name="_Toc222825823"/>
      <w:proofErr w:type="gramStart"/>
      <w:r>
        <w:t>met</w:t>
      </w:r>
      <w:proofErr w:type="gramEnd"/>
      <w:r>
        <w:t xml:space="preserve"> en avant le rôle central que jouent la cohésion sociale et le développement du capital humain pour assurer la viabilité à long terme des communautés insulaires. Il demande des politiques ciblées qui s’emploient à remédier aux pénuries de logements, aux inadéquations sur le marché du travail, aux déficits de compétences et à l’émigration des jeunes, et qui associent une éducation inclusive, des possibilités d’emploi de qualité et des solutions de logement abordable adaptées aux caractéristiques spécifiques des </w:t>
      </w:r>
      <w:proofErr w:type="gramStart"/>
      <w:r>
        <w:t>îles;</w:t>
      </w:r>
      <w:bookmarkEnd w:id="11"/>
      <w:proofErr w:type="gramEnd"/>
    </w:p>
    <w:p w14:paraId="5112CF6B" w14:textId="77777777" w:rsidR="00532F99" w:rsidRPr="00AD4D97" w:rsidRDefault="00532F99" w:rsidP="007526DA">
      <w:pPr>
        <w:pStyle w:val="ListParagraph"/>
        <w:numPr>
          <w:ilvl w:val="0"/>
          <w:numId w:val="28"/>
        </w:numPr>
        <w:ind w:left="567" w:hanging="567"/>
        <w:rPr>
          <w:sz w:val="24"/>
          <w:szCs w:val="24"/>
        </w:rPr>
      </w:pPr>
      <w:bookmarkStart w:id="12" w:name="_Toc222825824"/>
      <w:proofErr w:type="gramStart"/>
      <w:r>
        <w:t>souligne</w:t>
      </w:r>
      <w:proofErr w:type="gramEnd"/>
      <w:r>
        <w:t xml:space="preserve"> qu’il est urgent d’accomplir des progrès dans les domaines de la protection de l’environnement et de la résilience face au changement climatique dans les territoires insulaires, sachant que ce phénomène frappe ceux-ci de manière disproportionnée.</w:t>
      </w:r>
      <w:bookmarkEnd w:id="12"/>
    </w:p>
    <w:p w14:paraId="59AC2957" w14:textId="77777777" w:rsidR="00532F99" w:rsidRPr="00AD4D97" w:rsidRDefault="00532F99" w:rsidP="007526DA">
      <w:pPr>
        <w:pStyle w:val="ListParagraph"/>
        <w:numPr>
          <w:ilvl w:val="0"/>
          <w:numId w:val="28"/>
        </w:numPr>
        <w:ind w:left="567" w:hanging="567"/>
      </w:pPr>
      <w:bookmarkStart w:id="13" w:name="_Toc222825825"/>
      <w:proofErr w:type="gramStart"/>
      <w:r>
        <w:t>demande</w:t>
      </w:r>
      <w:proofErr w:type="gramEnd"/>
      <w:r>
        <w:t xml:space="preserve"> d’intégrer de manière officielle les activités de suivi, de prospective et de gouvernance participative dans le cadre des politiques insulaires, et propose ce faisant d’établir </w:t>
      </w:r>
      <w:r>
        <w:rPr>
          <w:b/>
        </w:rPr>
        <w:t>à intervalles réguliers un rapport sur la mise en œuvre du point de vue des îles</w:t>
      </w:r>
      <w:r>
        <w:t>, afin de surveiller les évolutions des principaux indicateurs démographiques, économiques, sociaux et environnementaux.</w:t>
      </w:r>
      <w:bookmarkEnd w:id="13"/>
      <w:r>
        <w:t xml:space="preserve"> </w:t>
      </w:r>
    </w:p>
    <w:p w14:paraId="3CBAD6E8" w14:textId="77777777" w:rsidR="00532F99" w:rsidRPr="00AD4D97" w:rsidRDefault="00532F99" w:rsidP="007526DA">
      <w:pPr>
        <w:pStyle w:val="ListParagraph"/>
        <w:numPr>
          <w:ilvl w:val="0"/>
          <w:numId w:val="28"/>
        </w:numPr>
        <w:ind w:left="567" w:hanging="567"/>
      </w:pPr>
      <w:bookmarkStart w:id="14" w:name="_Toc222825826"/>
      <w:proofErr w:type="gramStart"/>
      <w:r>
        <w:t>estime</w:t>
      </w:r>
      <w:proofErr w:type="gramEnd"/>
      <w:r>
        <w:t xml:space="preserve"> que l’on ne saurait plus longtemps traiter les îles de l’Union comme des territoires périphériques. Elles constituent les avant-postes de la souveraineté, de la résilience et de la capacité d’innovation de l’Europe. Aussi serait-il essentiel de disposer d’une stratégie ciblée, systémique et ancrée dans la législation en faveur des îles de l’Union européenne (un</w:t>
      </w:r>
      <w:proofErr w:type="gramStart"/>
      <w:r>
        <w:t xml:space="preserve"> «</w:t>
      </w:r>
      <w:r>
        <w:rPr>
          <w:b/>
        </w:rPr>
        <w:t>pacte</w:t>
      </w:r>
      <w:proofErr w:type="gramEnd"/>
      <w:r>
        <w:rPr>
          <w:b/>
        </w:rPr>
        <w:t xml:space="preserve"> pour les îles</w:t>
      </w:r>
      <w:r>
        <w:t>») afin de transformer celles-ci en moteurs de la croissance durable, de la résilience au changement climatique et de la sécurité géopolitique, et de faire ainsi en sorte que les communautés insulaires puissent prospérer, tout en renforçant l’autonomie stratégique et la cohésion de l’Europe. Cette problématique a été récemment illustrée par la place centrale qu’occupe le Groenland d’un point de vue géopolitique dans la dynamique de sécurité de l’Arctique, dans les relations transatlantiques et dans la rivalité entre grandes puissances, ainsi que par l’importance qu’il revêt pour l’autonomie stratégique de l’Europe en matière de défense.</w:t>
      </w:r>
      <w:bookmarkEnd w:id="14"/>
    </w:p>
    <w:p w14:paraId="66D35620" w14:textId="77777777" w:rsidR="00532F99" w:rsidRPr="00532F99" w:rsidRDefault="00532F99" w:rsidP="00100EF9">
      <w:pPr>
        <w:ind w:left="284" w:hanging="284"/>
        <w:rPr>
          <w:bCs/>
          <w:iCs/>
          <w:lang w:val="en-GB"/>
        </w:rPr>
      </w:pPr>
    </w:p>
    <w:tbl>
      <w:tblPr>
        <w:tblStyle w:val="TableGrid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88"/>
      </w:tblGrid>
      <w:tr w:rsidR="00532F99" w:rsidRPr="00532F99" w14:paraId="51FA2FFC" w14:textId="77777777" w:rsidTr="00D0608D">
        <w:tc>
          <w:tcPr>
            <w:tcW w:w="1526" w:type="dxa"/>
          </w:tcPr>
          <w:p w14:paraId="549BED47" w14:textId="77777777" w:rsidR="00532F99" w:rsidRPr="00532F99" w:rsidRDefault="00532F99" w:rsidP="00D0608D">
            <w:pPr>
              <w:overflowPunct w:val="0"/>
              <w:autoSpaceDE w:val="0"/>
              <w:autoSpaceDN w:val="0"/>
              <w:adjustRightInd w:val="0"/>
              <w:ind w:right="-77"/>
              <w:textAlignment w:val="baseline"/>
              <w:rPr>
                <w:i/>
              </w:rPr>
            </w:pPr>
            <w:r>
              <w:rPr>
                <w:b/>
                <w:i/>
              </w:rPr>
              <w:t>Contact</w:t>
            </w:r>
          </w:p>
        </w:tc>
        <w:tc>
          <w:tcPr>
            <w:tcW w:w="7688" w:type="dxa"/>
          </w:tcPr>
          <w:p w14:paraId="7CEAACF5" w14:textId="0581C1FF" w:rsidR="00532F99" w:rsidRPr="00532F99" w:rsidRDefault="00532F99" w:rsidP="00100EF9">
            <w:pPr>
              <w:overflowPunct w:val="0"/>
              <w:autoSpaceDE w:val="0"/>
              <w:autoSpaceDN w:val="0"/>
              <w:adjustRightInd w:val="0"/>
              <w:textAlignment w:val="baseline"/>
              <w:rPr>
                <w:i/>
              </w:rPr>
            </w:pPr>
            <w:proofErr w:type="spellStart"/>
            <w:r>
              <w:rPr>
                <w:i/>
              </w:rPr>
              <w:t>Georgios</w:t>
            </w:r>
            <w:proofErr w:type="spellEnd"/>
            <w:r>
              <w:rPr>
                <w:i/>
              </w:rPr>
              <w:t xml:space="preserve"> </w:t>
            </w:r>
            <w:proofErr w:type="spellStart"/>
            <w:r>
              <w:rPr>
                <w:i/>
              </w:rPr>
              <w:t>Meleas</w:t>
            </w:r>
            <w:proofErr w:type="spellEnd"/>
          </w:p>
        </w:tc>
      </w:tr>
      <w:tr w:rsidR="00532F99" w:rsidRPr="00532F99" w14:paraId="0AEF2AEB" w14:textId="77777777" w:rsidTr="00D0608D">
        <w:tc>
          <w:tcPr>
            <w:tcW w:w="1526" w:type="dxa"/>
          </w:tcPr>
          <w:p w14:paraId="060FAF7E" w14:textId="77777777" w:rsidR="00532F99" w:rsidRPr="00532F99" w:rsidRDefault="00532F99" w:rsidP="00100EF9">
            <w:pPr>
              <w:overflowPunct w:val="0"/>
              <w:autoSpaceDE w:val="0"/>
              <w:autoSpaceDN w:val="0"/>
              <w:adjustRightInd w:val="0"/>
              <w:textAlignment w:val="baseline"/>
              <w:rPr>
                <w:i/>
              </w:rPr>
            </w:pPr>
            <w:proofErr w:type="gramStart"/>
            <w:r>
              <w:rPr>
                <w:i/>
              </w:rPr>
              <w:t>Tél.:</w:t>
            </w:r>
            <w:proofErr w:type="gramEnd"/>
          </w:p>
        </w:tc>
        <w:tc>
          <w:tcPr>
            <w:tcW w:w="7688" w:type="dxa"/>
          </w:tcPr>
          <w:p w14:paraId="22CC1931" w14:textId="49FE5AFE" w:rsidR="00532F99" w:rsidRPr="00532F99" w:rsidRDefault="00532F99" w:rsidP="00100EF9">
            <w:pPr>
              <w:overflowPunct w:val="0"/>
              <w:autoSpaceDE w:val="0"/>
              <w:autoSpaceDN w:val="0"/>
              <w:adjustRightInd w:val="0"/>
              <w:textAlignment w:val="baseline"/>
              <w:rPr>
                <w:i/>
              </w:rPr>
            </w:pPr>
            <w:r>
              <w:rPr>
                <w:i/>
              </w:rPr>
              <w:t>+32 2 546 9795</w:t>
            </w:r>
          </w:p>
        </w:tc>
      </w:tr>
      <w:tr w:rsidR="00532F99" w:rsidRPr="00532F99" w14:paraId="20E9D1C8" w14:textId="77777777" w:rsidTr="00D0608D">
        <w:tc>
          <w:tcPr>
            <w:tcW w:w="1526" w:type="dxa"/>
          </w:tcPr>
          <w:p w14:paraId="144E431B" w14:textId="64663E9D" w:rsidR="00532F99" w:rsidRPr="00532F99" w:rsidRDefault="0037319B" w:rsidP="00100EF9">
            <w:pPr>
              <w:overflowPunct w:val="0"/>
              <w:autoSpaceDE w:val="0"/>
              <w:autoSpaceDN w:val="0"/>
              <w:adjustRightInd w:val="0"/>
              <w:textAlignment w:val="baseline"/>
              <w:rPr>
                <w:i/>
              </w:rPr>
            </w:pPr>
            <w:proofErr w:type="gramStart"/>
            <w:r>
              <w:rPr>
                <w:i/>
              </w:rPr>
              <w:t>Courriel:</w:t>
            </w:r>
            <w:proofErr w:type="gramEnd"/>
          </w:p>
        </w:tc>
        <w:tc>
          <w:tcPr>
            <w:tcW w:w="7688" w:type="dxa"/>
          </w:tcPr>
          <w:p w14:paraId="19710C19" w14:textId="1ECFC656" w:rsidR="00532F99" w:rsidRPr="00532F99" w:rsidRDefault="00AA7EB8" w:rsidP="00100EF9">
            <w:pPr>
              <w:overflowPunct w:val="0"/>
              <w:autoSpaceDE w:val="0"/>
              <w:autoSpaceDN w:val="0"/>
              <w:adjustRightInd w:val="0"/>
              <w:textAlignment w:val="baseline"/>
              <w:rPr>
                <w:i/>
                <w:iCs/>
              </w:rPr>
            </w:pPr>
            <w:hyperlink r:id="rId26" w:history="1">
              <w:r w:rsidR="00E235D3">
                <w:rPr>
                  <w:i/>
                  <w:color w:val="0000FF"/>
                  <w:u w:val="single"/>
                </w:rPr>
                <w:t>Georgios.Meleas@eesc.europa.eu</w:t>
              </w:r>
            </w:hyperlink>
          </w:p>
        </w:tc>
      </w:tr>
    </w:tbl>
    <w:p w14:paraId="3016994A" w14:textId="77777777" w:rsidR="007652C3" w:rsidRDefault="007652C3" w:rsidP="00100EF9">
      <w:pPr>
        <w:pStyle w:val="ListParagraph"/>
        <w:ind w:left="0"/>
      </w:pPr>
    </w:p>
    <w:p w14:paraId="28F747AB" w14:textId="77777777" w:rsidR="007652C3" w:rsidRDefault="007652C3" w:rsidP="00100EF9">
      <w:pPr>
        <w:jc w:val="left"/>
      </w:pPr>
      <w:r>
        <w:br w:type="page"/>
      </w:r>
    </w:p>
    <w:p w14:paraId="71EC6247" w14:textId="718F1B93" w:rsidR="007652C3" w:rsidRPr="007652C3" w:rsidRDefault="00AA7EB8" w:rsidP="00100EF9">
      <w:pPr>
        <w:widowControl w:val="0"/>
        <w:numPr>
          <w:ilvl w:val="0"/>
          <w:numId w:val="6"/>
        </w:numPr>
        <w:overflowPunct w:val="0"/>
        <w:autoSpaceDE w:val="0"/>
        <w:autoSpaceDN w:val="0"/>
        <w:adjustRightInd w:val="0"/>
        <w:ind w:hanging="567"/>
        <w:textAlignment w:val="baseline"/>
        <w:rPr>
          <w:b/>
          <w:i/>
          <w:iCs/>
          <w:sz w:val="28"/>
          <w:szCs w:val="28"/>
        </w:rPr>
      </w:pPr>
      <w:hyperlink r:id="rId27" w:history="1">
        <w:r w:rsidR="00E235D3">
          <w:rPr>
            <w:b/>
            <w:i/>
            <w:color w:val="0000FF"/>
            <w:sz w:val="28"/>
            <w:u w:val="single"/>
          </w:rPr>
          <w:t>Révision de la directive sur la taxation du tabac</w:t>
        </w:r>
      </w:hyperlink>
    </w:p>
    <w:p w14:paraId="14832C64"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47"/>
      </w:tblGrid>
      <w:tr w:rsidR="007652C3" w:rsidRPr="007652C3" w14:paraId="4B4C09EE" w14:textId="77777777" w:rsidTr="00D0608D">
        <w:tc>
          <w:tcPr>
            <w:tcW w:w="1526" w:type="dxa"/>
          </w:tcPr>
          <w:p w14:paraId="074AAFB4"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Pr>
                <w:b/>
              </w:rPr>
              <w:t>Rapporteur</w:t>
            </w:r>
          </w:p>
        </w:tc>
        <w:tc>
          <w:tcPr>
            <w:tcW w:w="7547" w:type="dxa"/>
          </w:tcPr>
          <w:p w14:paraId="574348C8" w14:textId="1A21DC9A" w:rsidR="00FC4D6F" w:rsidRPr="007652C3" w:rsidRDefault="007652C3" w:rsidP="00100EF9">
            <w:pPr>
              <w:tabs>
                <w:tab w:val="center" w:pos="284"/>
              </w:tabs>
              <w:overflowPunct w:val="0"/>
              <w:autoSpaceDE w:val="0"/>
              <w:autoSpaceDN w:val="0"/>
              <w:adjustRightInd w:val="0"/>
              <w:ind w:left="266" w:hanging="266"/>
              <w:textAlignment w:val="baseline"/>
            </w:pPr>
            <w:r>
              <w:t>Matteo Carlo BORSANI (groupe des employeurs — IT)</w:t>
            </w:r>
          </w:p>
        </w:tc>
      </w:tr>
      <w:tr w:rsidR="00205469" w:rsidRPr="007652C3" w14:paraId="6586AC35" w14:textId="77777777" w:rsidTr="00D0608D">
        <w:tc>
          <w:tcPr>
            <w:tcW w:w="1526" w:type="dxa"/>
          </w:tcPr>
          <w:p w14:paraId="6C41B8BD" w14:textId="77777777" w:rsidR="00205469" w:rsidRPr="00630550" w:rsidRDefault="00205469" w:rsidP="00100EF9">
            <w:pPr>
              <w:tabs>
                <w:tab w:val="center" w:pos="284"/>
              </w:tabs>
              <w:overflowPunct w:val="0"/>
              <w:autoSpaceDE w:val="0"/>
              <w:autoSpaceDN w:val="0"/>
              <w:adjustRightInd w:val="0"/>
              <w:ind w:left="266" w:hanging="266"/>
              <w:textAlignment w:val="baseline"/>
              <w:rPr>
                <w:b/>
              </w:rPr>
            </w:pPr>
          </w:p>
        </w:tc>
        <w:tc>
          <w:tcPr>
            <w:tcW w:w="7547" w:type="dxa"/>
          </w:tcPr>
          <w:p w14:paraId="30591BA7" w14:textId="77777777" w:rsidR="00205469" w:rsidRPr="00630550" w:rsidRDefault="00205469" w:rsidP="00100EF9">
            <w:pPr>
              <w:tabs>
                <w:tab w:val="center" w:pos="284"/>
              </w:tabs>
              <w:overflowPunct w:val="0"/>
              <w:autoSpaceDE w:val="0"/>
              <w:autoSpaceDN w:val="0"/>
              <w:adjustRightInd w:val="0"/>
              <w:ind w:left="266" w:hanging="266"/>
              <w:textAlignment w:val="baseline"/>
              <w:rPr>
                <w:bCs/>
              </w:rPr>
            </w:pPr>
          </w:p>
        </w:tc>
      </w:tr>
      <w:tr w:rsidR="007652C3" w:rsidRPr="00100EF9" w14:paraId="2243F74F" w14:textId="77777777" w:rsidTr="00D0608D">
        <w:tc>
          <w:tcPr>
            <w:tcW w:w="1526" w:type="dxa"/>
          </w:tcPr>
          <w:p w14:paraId="3F25D12B"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Pr>
                <w:b/>
              </w:rPr>
              <w:t>Références</w:t>
            </w:r>
          </w:p>
        </w:tc>
        <w:tc>
          <w:tcPr>
            <w:tcW w:w="7547" w:type="dxa"/>
          </w:tcPr>
          <w:p w14:paraId="28D63311" w14:textId="2018BFB6" w:rsidR="007652C3" w:rsidRPr="007652C3" w:rsidRDefault="007652C3" w:rsidP="00100EF9">
            <w:pPr>
              <w:tabs>
                <w:tab w:val="center" w:pos="284"/>
              </w:tabs>
              <w:overflowPunct w:val="0"/>
              <w:autoSpaceDE w:val="0"/>
              <w:autoSpaceDN w:val="0"/>
              <w:adjustRightInd w:val="0"/>
              <w:ind w:left="266" w:hanging="266"/>
              <w:textAlignment w:val="baseline"/>
            </w:pPr>
            <w:proofErr w:type="gramStart"/>
            <w:r>
              <w:t>COM(</w:t>
            </w:r>
            <w:proofErr w:type="gramEnd"/>
            <w:r>
              <w:t>2025) 580 final</w:t>
            </w:r>
          </w:p>
          <w:p w14:paraId="3C71E1DA" w14:textId="707F72B2" w:rsidR="007652C3" w:rsidRPr="007652C3" w:rsidRDefault="007652C3" w:rsidP="00100EF9">
            <w:pPr>
              <w:tabs>
                <w:tab w:val="center" w:pos="284"/>
              </w:tabs>
              <w:overflowPunct w:val="0"/>
              <w:autoSpaceDE w:val="0"/>
              <w:autoSpaceDN w:val="0"/>
              <w:adjustRightInd w:val="0"/>
              <w:ind w:left="266" w:hanging="266"/>
              <w:textAlignment w:val="baseline"/>
            </w:pPr>
            <w:proofErr w:type="gramStart"/>
            <w:r>
              <w:t>COM(</w:t>
            </w:r>
            <w:proofErr w:type="gramEnd"/>
            <w:r>
              <w:t>2025) 581 final</w:t>
            </w:r>
          </w:p>
          <w:p w14:paraId="77F23764" w14:textId="645FFEBD" w:rsidR="007652C3" w:rsidRPr="007652C3" w:rsidRDefault="007652C3" w:rsidP="00100EF9">
            <w:pPr>
              <w:tabs>
                <w:tab w:val="center" w:pos="284"/>
              </w:tabs>
              <w:overflowPunct w:val="0"/>
              <w:autoSpaceDE w:val="0"/>
              <w:autoSpaceDN w:val="0"/>
              <w:adjustRightInd w:val="0"/>
              <w:ind w:left="266" w:hanging="266"/>
              <w:textAlignment w:val="baseline"/>
            </w:pPr>
            <w:r>
              <w:t>EESC-2025-02514-00-00-AC</w:t>
            </w:r>
          </w:p>
        </w:tc>
      </w:tr>
    </w:tbl>
    <w:p w14:paraId="24734E78" w14:textId="77777777" w:rsidR="007652C3" w:rsidRPr="00630550" w:rsidRDefault="007652C3" w:rsidP="00100EF9">
      <w:pPr>
        <w:tabs>
          <w:tab w:val="center" w:pos="284"/>
        </w:tabs>
        <w:overflowPunct w:val="0"/>
        <w:autoSpaceDE w:val="0"/>
        <w:autoSpaceDN w:val="0"/>
        <w:adjustRightInd w:val="0"/>
        <w:ind w:left="266" w:hanging="266"/>
        <w:textAlignment w:val="baseline"/>
        <w:rPr>
          <w:sz w:val="20"/>
          <w:szCs w:val="20"/>
          <w:lang w:val="pt-PT"/>
        </w:rPr>
      </w:pPr>
    </w:p>
    <w:p w14:paraId="769610FB" w14:textId="77777777" w:rsidR="007652C3" w:rsidRPr="007652C3" w:rsidRDefault="007652C3" w:rsidP="00100EF9">
      <w:pPr>
        <w:keepNext/>
        <w:keepLines/>
        <w:tabs>
          <w:tab w:val="center" w:pos="284"/>
        </w:tabs>
        <w:overflowPunct w:val="0"/>
        <w:autoSpaceDE w:val="0"/>
        <w:autoSpaceDN w:val="0"/>
        <w:adjustRightInd w:val="0"/>
        <w:ind w:left="266" w:hanging="266"/>
        <w:textAlignment w:val="baseline"/>
        <w:rPr>
          <w:b/>
        </w:rPr>
      </w:pPr>
      <w:r>
        <w:rPr>
          <w:b/>
        </w:rPr>
        <w:t>Points clés</w:t>
      </w:r>
    </w:p>
    <w:p w14:paraId="761660A5"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p w14:paraId="538696B2" w14:textId="77777777" w:rsidR="007652C3" w:rsidRPr="007652C3" w:rsidRDefault="007652C3" w:rsidP="00100EF9">
      <w:pPr>
        <w:tabs>
          <w:tab w:val="center" w:pos="284"/>
        </w:tabs>
        <w:overflowPunct w:val="0"/>
        <w:autoSpaceDE w:val="0"/>
        <w:autoSpaceDN w:val="0"/>
        <w:adjustRightInd w:val="0"/>
        <w:ind w:left="266" w:hanging="266"/>
        <w:textAlignment w:val="baseline"/>
        <w:rPr>
          <w:bCs/>
          <w:iCs/>
        </w:rPr>
      </w:pPr>
      <w:r>
        <w:t xml:space="preserve">Le </w:t>
      </w:r>
      <w:proofErr w:type="gramStart"/>
      <w:r>
        <w:t>CESE:</w:t>
      </w:r>
      <w:proofErr w:type="gramEnd"/>
    </w:p>
    <w:p w14:paraId="3447BDD3" w14:textId="77777777" w:rsidR="007652C3" w:rsidRPr="00205469" w:rsidRDefault="007652C3" w:rsidP="007526DA">
      <w:pPr>
        <w:pStyle w:val="ListParagraph"/>
        <w:numPr>
          <w:ilvl w:val="0"/>
          <w:numId w:val="30"/>
        </w:numPr>
        <w:ind w:left="567" w:hanging="567"/>
      </w:pPr>
      <w:proofErr w:type="gramStart"/>
      <w:r>
        <w:rPr>
          <w:b/>
        </w:rPr>
        <w:t>soutient</w:t>
      </w:r>
      <w:proofErr w:type="gramEnd"/>
      <w:r>
        <w:t xml:space="preserve"> la révision de la directive sur la taxation du tabac, en reconnaissant la nécessité d’adapter le cadre en matière d’accise à l’évolution du marché, aux nouveaux produits, ainsi qu’aux objectifs de santé publique, tout en soulignant que la réforme doit rester proportionnée, prévisible et économiquement soutenable;</w:t>
      </w:r>
    </w:p>
    <w:p w14:paraId="3F4A26E3" w14:textId="77777777" w:rsidR="007652C3" w:rsidRPr="00205469" w:rsidRDefault="007652C3" w:rsidP="007526DA">
      <w:pPr>
        <w:pStyle w:val="ListParagraph"/>
        <w:numPr>
          <w:ilvl w:val="0"/>
          <w:numId w:val="30"/>
        </w:numPr>
        <w:ind w:left="567" w:hanging="567"/>
      </w:pPr>
      <w:bookmarkStart w:id="15" w:name="_Toc222825827"/>
      <w:proofErr w:type="gramStart"/>
      <w:r>
        <w:rPr>
          <w:b/>
        </w:rPr>
        <w:t>met</w:t>
      </w:r>
      <w:proofErr w:type="gramEnd"/>
      <w:r>
        <w:rPr>
          <w:b/>
        </w:rPr>
        <w:t xml:space="preserve"> en garde</w:t>
      </w:r>
      <w:r>
        <w:t xml:space="preserve"> contre les augmentations brutales ou excessives des droits d’accise, lesquelles risquent d’alimenter le commerce illicite, de compromettre les rentrées fiscales et d’affaiblir les résultats en matière de santé publique; </w:t>
      </w:r>
      <w:r>
        <w:rPr>
          <w:b/>
        </w:rPr>
        <w:t>préconise</w:t>
      </w:r>
      <w:r>
        <w:t xml:space="preserve"> dès lors que les ajustements des droits d’accise soient progressifs et s’accompagnent d’un renforcement de l’application de la législation, d’une coopération douanière et de mesures transfrontières de lutte contre la contrebande;</w:t>
      </w:r>
      <w:bookmarkEnd w:id="15"/>
    </w:p>
    <w:p w14:paraId="1AC2A723" w14:textId="77777777" w:rsidR="007652C3" w:rsidRPr="00205469" w:rsidRDefault="007652C3" w:rsidP="007526DA">
      <w:pPr>
        <w:pStyle w:val="ListParagraph"/>
        <w:numPr>
          <w:ilvl w:val="0"/>
          <w:numId w:val="30"/>
        </w:numPr>
        <w:ind w:left="567" w:hanging="567"/>
      </w:pPr>
      <w:bookmarkStart w:id="16" w:name="_Toc222825828"/>
      <w:proofErr w:type="gramStart"/>
      <w:r>
        <w:rPr>
          <w:b/>
        </w:rPr>
        <w:t>plaide</w:t>
      </w:r>
      <w:proofErr w:type="gramEnd"/>
      <w:r>
        <w:t xml:space="preserve"> pour l’application cohérente d’une taxation proportionnée aux risques, en veillant à ce que les produits non combustibles et à risque réduit ne soient pas taxés de la même façon que les produits du tabac combustibles, conformément au principe «moins de dommages, moins de taxes», ainsi qu’aux objectifs du plan européen pour vaincre le cancer;</w:t>
      </w:r>
      <w:bookmarkEnd w:id="16"/>
    </w:p>
    <w:p w14:paraId="3892A6EF" w14:textId="77777777" w:rsidR="007652C3" w:rsidRPr="00205469" w:rsidRDefault="007652C3" w:rsidP="007526DA">
      <w:pPr>
        <w:pStyle w:val="ListParagraph"/>
        <w:numPr>
          <w:ilvl w:val="0"/>
          <w:numId w:val="30"/>
        </w:numPr>
        <w:ind w:left="567" w:hanging="567"/>
      </w:pPr>
      <w:bookmarkStart w:id="17" w:name="_Toc222825829"/>
      <w:proofErr w:type="gramStart"/>
      <w:r>
        <w:rPr>
          <w:b/>
          <w:bCs/>
        </w:rPr>
        <w:t>recommande</w:t>
      </w:r>
      <w:proofErr w:type="gramEnd"/>
      <w:r>
        <w:t xml:space="preserve"> d’aller plus loin dans la clarté juridique et l’harmonisation des définitions des produits, notamment en définissant explicitement les produits du tabac chauffés, en les distinguant nettement des produits combustibles;</w:t>
      </w:r>
      <w:bookmarkEnd w:id="17"/>
    </w:p>
    <w:p w14:paraId="6D1AE1A8" w14:textId="77777777" w:rsidR="007652C3" w:rsidRPr="00205469" w:rsidRDefault="007652C3" w:rsidP="007526DA">
      <w:pPr>
        <w:pStyle w:val="ListParagraph"/>
        <w:numPr>
          <w:ilvl w:val="0"/>
          <w:numId w:val="30"/>
        </w:numPr>
        <w:ind w:left="567" w:hanging="567"/>
      </w:pPr>
      <w:bookmarkStart w:id="18" w:name="_Toc222825830"/>
      <w:proofErr w:type="gramStart"/>
      <w:r>
        <w:rPr>
          <w:b/>
        </w:rPr>
        <w:t>invite</w:t>
      </w:r>
      <w:proofErr w:type="gramEnd"/>
      <w:r>
        <w:t xml:space="preserve"> la Commission européenne à resserrer la cohérence entre les définitions des accises et la nomenclature combinée (NC), en tenant à jour les tableaux de correspondance, et en fournissant des orientations interprétatives chaque fois que des changements dans les classifications douanières auront une incidence sur la catégorisation des accises;</w:t>
      </w:r>
      <w:bookmarkEnd w:id="18"/>
    </w:p>
    <w:p w14:paraId="3B4FEB22" w14:textId="77777777" w:rsidR="007652C3" w:rsidRPr="00205469" w:rsidRDefault="007652C3" w:rsidP="007526DA">
      <w:pPr>
        <w:pStyle w:val="ListParagraph"/>
        <w:numPr>
          <w:ilvl w:val="0"/>
          <w:numId w:val="30"/>
        </w:numPr>
        <w:ind w:left="567" w:hanging="567"/>
      </w:pPr>
      <w:bookmarkStart w:id="19" w:name="_Toc222825831"/>
      <w:proofErr w:type="gramStart"/>
      <w:r>
        <w:rPr>
          <w:b/>
        </w:rPr>
        <w:t>souhaite</w:t>
      </w:r>
      <w:proofErr w:type="gramEnd"/>
      <w:r>
        <w:t xml:space="preserve"> qu’une flexibilité suffisante soit laissée aux États membres en ce qui concerne les structures d’accise, y compris la possibilité de choisir entre une taxation à l’unité ou au poids pour les produits du tabac chauffés, de manière à tenir compte des conditions du marché national, tout en respectant les niveaux minimaux à l’échelle de l’Union;</w:t>
      </w:r>
      <w:bookmarkEnd w:id="19"/>
    </w:p>
    <w:p w14:paraId="03FC4FFF" w14:textId="77777777" w:rsidR="007652C3" w:rsidRPr="00205469" w:rsidRDefault="007652C3" w:rsidP="007526DA">
      <w:pPr>
        <w:pStyle w:val="ListParagraph"/>
        <w:numPr>
          <w:ilvl w:val="0"/>
          <w:numId w:val="30"/>
        </w:numPr>
        <w:ind w:left="567" w:hanging="567"/>
      </w:pPr>
      <w:bookmarkStart w:id="20" w:name="_Toc222825832"/>
      <w:proofErr w:type="gramStart"/>
      <w:r>
        <w:rPr>
          <w:b/>
        </w:rPr>
        <w:t>demande</w:t>
      </w:r>
      <w:proofErr w:type="gramEnd"/>
      <w:r>
        <w:t xml:space="preserve"> que l’on procède à une cartographie complète et détaillée des emplois et des compétences existants dans le secteur, ainsi qu’à une évaluation des scénarios à moyen et à long terme associés à la proposition et à l’élaboration de prévisions claires quant aux incidences sur l’emploi;</w:t>
      </w:r>
      <w:bookmarkEnd w:id="20"/>
    </w:p>
    <w:p w14:paraId="0195988C" w14:textId="77777777" w:rsidR="007652C3" w:rsidRPr="00205469" w:rsidRDefault="007652C3" w:rsidP="007526DA">
      <w:pPr>
        <w:pStyle w:val="ListParagraph"/>
        <w:numPr>
          <w:ilvl w:val="0"/>
          <w:numId w:val="30"/>
        </w:numPr>
        <w:ind w:left="567" w:hanging="567"/>
      </w:pPr>
      <w:bookmarkStart w:id="21" w:name="_Toc222825833"/>
      <w:proofErr w:type="gramStart"/>
      <w:r>
        <w:rPr>
          <w:b/>
          <w:bCs/>
        </w:rPr>
        <w:t>demande</w:t>
      </w:r>
      <w:proofErr w:type="gramEnd"/>
      <w:r>
        <w:t xml:space="preserve"> un recours prévisible et limité aux actes délégués qui n’outrepasse pas les ajustements techniques liés à l’inflation conformément au principe de subsidiarité et à la souveraineté fiscale des États membres.</w:t>
      </w:r>
      <w:bookmarkEnd w:id="21"/>
    </w:p>
    <w:p w14:paraId="6309DB18" w14:textId="77777777" w:rsidR="007652C3" w:rsidRPr="00630550" w:rsidRDefault="007652C3" w:rsidP="00100EF9">
      <w:pPr>
        <w:ind w:left="567" w:hanging="567"/>
        <w:rPr>
          <w:sz w:val="18"/>
          <w:szCs w:val="18"/>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46"/>
      </w:tblGrid>
      <w:tr w:rsidR="007652C3" w:rsidRPr="007652C3" w14:paraId="7534B913" w14:textId="77777777" w:rsidTr="00D0608D">
        <w:tc>
          <w:tcPr>
            <w:tcW w:w="1526" w:type="dxa"/>
          </w:tcPr>
          <w:p w14:paraId="0C271651" w14:textId="77777777" w:rsidR="007652C3" w:rsidRPr="007652C3" w:rsidRDefault="007652C3" w:rsidP="00100EF9">
            <w:pPr>
              <w:overflowPunct w:val="0"/>
              <w:autoSpaceDE w:val="0"/>
              <w:autoSpaceDN w:val="0"/>
              <w:adjustRightInd w:val="0"/>
              <w:textAlignment w:val="baseline"/>
              <w:rPr>
                <w:i/>
              </w:rPr>
            </w:pPr>
            <w:r>
              <w:rPr>
                <w:b/>
                <w:i/>
              </w:rPr>
              <w:t>Contact</w:t>
            </w:r>
          </w:p>
        </w:tc>
        <w:tc>
          <w:tcPr>
            <w:tcW w:w="7546" w:type="dxa"/>
          </w:tcPr>
          <w:p w14:paraId="528FE443" w14:textId="5FF87165" w:rsidR="007652C3" w:rsidRPr="007652C3" w:rsidRDefault="007652C3" w:rsidP="00100EF9">
            <w:pPr>
              <w:overflowPunct w:val="0"/>
              <w:autoSpaceDE w:val="0"/>
              <w:autoSpaceDN w:val="0"/>
              <w:adjustRightInd w:val="0"/>
              <w:textAlignment w:val="baseline"/>
              <w:rPr>
                <w:i/>
              </w:rPr>
            </w:pPr>
            <w:proofErr w:type="spellStart"/>
            <w:r>
              <w:rPr>
                <w:i/>
              </w:rPr>
              <w:t>Jüri</w:t>
            </w:r>
            <w:proofErr w:type="spellEnd"/>
            <w:r>
              <w:rPr>
                <w:i/>
              </w:rPr>
              <w:t xml:space="preserve"> Soosaar</w:t>
            </w:r>
          </w:p>
        </w:tc>
      </w:tr>
      <w:tr w:rsidR="007652C3" w:rsidRPr="007652C3" w14:paraId="6D9C46AC" w14:textId="77777777" w:rsidTr="00D0608D">
        <w:tc>
          <w:tcPr>
            <w:tcW w:w="1526" w:type="dxa"/>
          </w:tcPr>
          <w:p w14:paraId="02AD0CD6" w14:textId="77777777" w:rsidR="007652C3" w:rsidRPr="007652C3" w:rsidRDefault="007652C3" w:rsidP="00100EF9">
            <w:pPr>
              <w:overflowPunct w:val="0"/>
              <w:autoSpaceDE w:val="0"/>
              <w:autoSpaceDN w:val="0"/>
              <w:adjustRightInd w:val="0"/>
              <w:textAlignment w:val="baseline"/>
              <w:rPr>
                <w:i/>
              </w:rPr>
            </w:pPr>
            <w:proofErr w:type="gramStart"/>
            <w:r>
              <w:rPr>
                <w:i/>
              </w:rPr>
              <w:t>Tél.:</w:t>
            </w:r>
            <w:proofErr w:type="gramEnd"/>
          </w:p>
        </w:tc>
        <w:tc>
          <w:tcPr>
            <w:tcW w:w="7546" w:type="dxa"/>
          </w:tcPr>
          <w:p w14:paraId="43D215D4" w14:textId="14B49C37" w:rsidR="007652C3" w:rsidRPr="007652C3" w:rsidRDefault="007652C3" w:rsidP="00100EF9">
            <w:pPr>
              <w:overflowPunct w:val="0"/>
              <w:autoSpaceDE w:val="0"/>
              <w:autoSpaceDN w:val="0"/>
              <w:adjustRightInd w:val="0"/>
              <w:textAlignment w:val="baseline"/>
              <w:rPr>
                <w:i/>
              </w:rPr>
            </w:pPr>
            <w:r>
              <w:rPr>
                <w:i/>
              </w:rPr>
              <w:t>+32 2 546 9628</w:t>
            </w:r>
          </w:p>
        </w:tc>
      </w:tr>
      <w:tr w:rsidR="007652C3" w:rsidRPr="007652C3" w14:paraId="5C3011C3" w14:textId="77777777" w:rsidTr="00D0608D">
        <w:tc>
          <w:tcPr>
            <w:tcW w:w="1526" w:type="dxa"/>
          </w:tcPr>
          <w:p w14:paraId="1F503178" w14:textId="77777777" w:rsidR="007652C3" w:rsidRPr="007652C3" w:rsidRDefault="007652C3" w:rsidP="00100EF9">
            <w:pPr>
              <w:overflowPunct w:val="0"/>
              <w:autoSpaceDE w:val="0"/>
              <w:autoSpaceDN w:val="0"/>
              <w:adjustRightInd w:val="0"/>
              <w:textAlignment w:val="baseline"/>
              <w:rPr>
                <w:i/>
              </w:rPr>
            </w:pPr>
            <w:proofErr w:type="gramStart"/>
            <w:r>
              <w:rPr>
                <w:i/>
              </w:rPr>
              <w:t>Courriel:</w:t>
            </w:r>
            <w:proofErr w:type="gramEnd"/>
          </w:p>
        </w:tc>
        <w:tc>
          <w:tcPr>
            <w:tcW w:w="7546" w:type="dxa"/>
          </w:tcPr>
          <w:p w14:paraId="62867B2B" w14:textId="5E2EB6F6" w:rsidR="007652C3" w:rsidRPr="007652C3" w:rsidRDefault="00AA7EB8" w:rsidP="00100EF9">
            <w:pPr>
              <w:overflowPunct w:val="0"/>
              <w:autoSpaceDE w:val="0"/>
              <w:autoSpaceDN w:val="0"/>
              <w:adjustRightInd w:val="0"/>
              <w:textAlignment w:val="baseline"/>
              <w:rPr>
                <w:i/>
                <w:iCs/>
              </w:rPr>
            </w:pPr>
            <w:hyperlink r:id="rId28" w:history="1">
              <w:r w:rsidR="00E235D3">
                <w:rPr>
                  <w:i/>
                  <w:color w:val="0000FF"/>
                  <w:u w:val="single"/>
                </w:rPr>
                <w:t>Juri.Soosaar@eesc.europa.eu</w:t>
              </w:r>
            </w:hyperlink>
          </w:p>
        </w:tc>
      </w:tr>
    </w:tbl>
    <w:p w14:paraId="4356DB93" w14:textId="77777777" w:rsidR="00302594" w:rsidRDefault="00302594" w:rsidP="00100EF9">
      <w:pPr>
        <w:jc w:val="left"/>
      </w:pPr>
      <w:r>
        <w:br w:type="page"/>
      </w:r>
    </w:p>
    <w:p w14:paraId="4982DD99" w14:textId="77777777" w:rsidR="004D7AC0" w:rsidRDefault="004D7AC0" w:rsidP="00100EF9">
      <w:pPr>
        <w:pStyle w:val="Heading1"/>
        <w:rPr>
          <w:b/>
        </w:rPr>
      </w:pPr>
      <w:bookmarkStart w:id="22" w:name="_Toc75527081"/>
      <w:bookmarkStart w:id="23" w:name="_Toc223514743"/>
      <w:r>
        <w:rPr>
          <w:b/>
        </w:rPr>
        <w:lastRenderedPageBreak/>
        <w:t>EMPLOI, AFFAIRES SOCIALES ET CITOYENNETÉ</w:t>
      </w:r>
      <w:bookmarkEnd w:id="22"/>
      <w:bookmarkEnd w:id="23"/>
    </w:p>
    <w:p w14:paraId="4982DD9A" w14:textId="77777777" w:rsidR="004D7AC0" w:rsidRPr="00153E09" w:rsidRDefault="004D7AC0" w:rsidP="00100EF9"/>
    <w:p w14:paraId="095440CA" w14:textId="6E6558FC" w:rsidR="001653D7" w:rsidRPr="001653D7" w:rsidRDefault="00AA7EB8" w:rsidP="00100EF9">
      <w:pPr>
        <w:widowControl w:val="0"/>
        <w:numPr>
          <w:ilvl w:val="0"/>
          <w:numId w:val="6"/>
        </w:numPr>
        <w:ind w:hanging="567"/>
        <w:rPr>
          <w:sz w:val="24"/>
          <w:szCs w:val="24"/>
        </w:rPr>
      </w:pPr>
      <w:hyperlink r:id="rId29" w:history="1">
        <w:r w:rsidR="00E235D3">
          <w:rPr>
            <w:b/>
            <w:i/>
            <w:color w:val="0000FF"/>
            <w:sz w:val="28"/>
            <w:u w:val="single"/>
          </w:rPr>
          <w:t>Soutien de l’Union en faveur de l’asile, de la migration et de l’intégration, de la sécurité intérieure, de la gestion intégrée des frontières et de la politique en matière de visas</w:t>
        </w:r>
      </w:hyperlink>
    </w:p>
    <w:p w14:paraId="00463498" w14:textId="77777777" w:rsidR="001653D7" w:rsidRPr="001653D7" w:rsidRDefault="001653D7" w:rsidP="00100EF9">
      <w:pPr>
        <w:tabs>
          <w:tab w:val="center" w:pos="284"/>
        </w:tabs>
        <w:ind w:left="266" w:hanging="266"/>
        <w:rPr>
          <w:b/>
          <w:sz w:val="20"/>
          <w:szCs w:val="20"/>
        </w:rPr>
      </w:pPr>
    </w:p>
    <w:tbl>
      <w:tblPr>
        <w:tblStyle w:val="TableGrid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479"/>
      </w:tblGrid>
      <w:tr w:rsidR="001653D7" w:rsidRPr="00100EF9" w14:paraId="47B2AE04" w14:textId="77777777" w:rsidTr="00D0608D">
        <w:tc>
          <w:tcPr>
            <w:tcW w:w="1559" w:type="dxa"/>
          </w:tcPr>
          <w:p w14:paraId="0F6809D8" w14:textId="4113B348" w:rsidR="001653D7" w:rsidRPr="001653D7" w:rsidRDefault="001653D7" w:rsidP="007526DA">
            <w:pPr>
              <w:tabs>
                <w:tab w:val="center" w:pos="284"/>
              </w:tabs>
              <w:ind w:left="266" w:right="206" w:hanging="374"/>
              <w:rPr>
                <w:b/>
              </w:rPr>
            </w:pPr>
            <w:r>
              <w:rPr>
                <w:b/>
              </w:rPr>
              <w:t>Rapporteur</w:t>
            </w:r>
          </w:p>
        </w:tc>
        <w:tc>
          <w:tcPr>
            <w:tcW w:w="7479" w:type="dxa"/>
          </w:tcPr>
          <w:p w14:paraId="4C613172" w14:textId="2BD1B530" w:rsidR="001653D7" w:rsidRPr="001653D7" w:rsidRDefault="001653D7" w:rsidP="007526DA">
            <w:pPr>
              <w:tabs>
                <w:tab w:val="center" w:pos="284"/>
              </w:tabs>
              <w:ind w:left="266" w:hanging="374"/>
            </w:pPr>
            <w:r>
              <w:t>José Antonio MORENO DÍAZ (groupe des travailleurs — ES)</w:t>
            </w:r>
          </w:p>
        </w:tc>
      </w:tr>
      <w:tr w:rsidR="00205469" w:rsidRPr="00100EF9" w14:paraId="60304579" w14:textId="77777777" w:rsidTr="00D0608D">
        <w:tc>
          <w:tcPr>
            <w:tcW w:w="1559" w:type="dxa"/>
          </w:tcPr>
          <w:p w14:paraId="2F580098" w14:textId="77777777" w:rsidR="00205469" w:rsidRPr="003F66F7" w:rsidRDefault="00205469" w:rsidP="00100EF9">
            <w:pPr>
              <w:tabs>
                <w:tab w:val="center" w:pos="284"/>
              </w:tabs>
              <w:ind w:left="266" w:hanging="374"/>
              <w:rPr>
                <w:b/>
                <w:lang w:val="es-ES"/>
              </w:rPr>
            </w:pPr>
          </w:p>
        </w:tc>
        <w:tc>
          <w:tcPr>
            <w:tcW w:w="7479" w:type="dxa"/>
          </w:tcPr>
          <w:p w14:paraId="5E1B80FD" w14:textId="77777777" w:rsidR="00205469" w:rsidRPr="001653D7" w:rsidRDefault="00205469" w:rsidP="00100EF9">
            <w:pPr>
              <w:tabs>
                <w:tab w:val="center" w:pos="284"/>
              </w:tabs>
              <w:ind w:left="266" w:hanging="374"/>
              <w:rPr>
                <w:lang w:val="es-ES"/>
              </w:rPr>
            </w:pPr>
          </w:p>
        </w:tc>
      </w:tr>
      <w:tr w:rsidR="001653D7" w:rsidRPr="00153E09" w14:paraId="396210B3" w14:textId="77777777" w:rsidTr="00D0608D">
        <w:tc>
          <w:tcPr>
            <w:tcW w:w="1559" w:type="dxa"/>
          </w:tcPr>
          <w:p w14:paraId="2CCAB3DC" w14:textId="2720B8B9" w:rsidR="001653D7" w:rsidRPr="001653D7" w:rsidRDefault="001653D7" w:rsidP="007526DA">
            <w:pPr>
              <w:tabs>
                <w:tab w:val="center" w:pos="284"/>
              </w:tabs>
              <w:ind w:left="266" w:hanging="374"/>
              <w:rPr>
                <w:b/>
              </w:rPr>
            </w:pPr>
            <w:r>
              <w:rPr>
                <w:b/>
              </w:rPr>
              <w:t>Références</w:t>
            </w:r>
          </w:p>
        </w:tc>
        <w:tc>
          <w:tcPr>
            <w:tcW w:w="7479" w:type="dxa"/>
          </w:tcPr>
          <w:p w14:paraId="7762C1AE" w14:textId="23946629" w:rsidR="001653D7" w:rsidRPr="001653D7" w:rsidRDefault="001653D7" w:rsidP="007526DA">
            <w:pPr>
              <w:tabs>
                <w:tab w:val="center" w:pos="284"/>
              </w:tabs>
              <w:ind w:left="266" w:hanging="374"/>
            </w:pPr>
            <w:proofErr w:type="gramStart"/>
            <w:r>
              <w:t>COM(</w:t>
            </w:r>
            <w:proofErr w:type="gramEnd"/>
            <w:r>
              <w:t>2025) 540 final</w:t>
            </w:r>
          </w:p>
          <w:p w14:paraId="22AD2A59" w14:textId="56B0125B" w:rsidR="001653D7" w:rsidRPr="001653D7" w:rsidRDefault="001653D7" w:rsidP="007526DA">
            <w:pPr>
              <w:tabs>
                <w:tab w:val="center" w:pos="284"/>
              </w:tabs>
              <w:ind w:left="266" w:hanging="374"/>
            </w:pPr>
            <w:proofErr w:type="gramStart"/>
            <w:r>
              <w:t>COM(</w:t>
            </w:r>
            <w:proofErr w:type="gramEnd"/>
            <w:r>
              <w:t>2025) 541 final</w:t>
            </w:r>
          </w:p>
          <w:p w14:paraId="63B53E3C" w14:textId="5CBBC2DD" w:rsidR="001653D7" w:rsidRDefault="001653D7" w:rsidP="00100EF9">
            <w:pPr>
              <w:tabs>
                <w:tab w:val="center" w:pos="284"/>
              </w:tabs>
              <w:ind w:left="266" w:hanging="374"/>
            </w:pPr>
            <w:proofErr w:type="gramStart"/>
            <w:r>
              <w:t>COM(</w:t>
            </w:r>
            <w:proofErr w:type="gramEnd"/>
            <w:r>
              <w:t>2025) 542 final</w:t>
            </w:r>
          </w:p>
          <w:p w14:paraId="683E4ECE" w14:textId="10942A06" w:rsidR="00205469" w:rsidRPr="001653D7" w:rsidRDefault="00205469" w:rsidP="00100EF9">
            <w:pPr>
              <w:tabs>
                <w:tab w:val="center" w:pos="284"/>
              </w:tabs>
              <w:ind w:left="266" w:hanging="374"/>
            </w:pPr>
            <w:r>
              <w:t>EESC-2025-03434-00-00-AC</w:t>
            </w:r>
          </w:p>
        </w:tc>
      </w:tr>
    </w:tbl>
    <w:p w14:paraId="0460B2E8" w14:textId="77777777" w:rsidR="001653D7" w:rsidRPr="001653D7" w:rsidRDefault="001653D7" w:rsidP="00100EF9">
      <w:pPr>
        <w:tabs>
          <w:tab w:val="center" w:pos="284"/>
        </w:tabs>
        <w:ind w:left="266" w:hanging="266"/>
        <w:rPr>
          <w:sz w:val="20"/>
          <w:szCs w:val="20"/>
        </w:rPr>
      </w:pPr>
    </w:p>
    <w:p w14:paraId="0CBC1DF0" w14:textId="77777777" w:rsidR="001653D7" w:rsidRPr="001653D7" w:rsidRDefault="001653D7" w:rsidP="00100EF9">
      <w:pPr>
        <w:keepNext/>
        <w:keepLines/>
        <w:tabs>
          <w:tab w:val="center" w:pos="284"/>
        </w:tabs>
        <w:ind w:left="266" w:hanging="266"/>
        <w:rPr>
          <w:b/>
        </w:rPr>
      </w:pPr>
      <w:r>
        <w:rPr>
          <w:b/>
        </w:rPr>
        <w:t>Points clés</w:t>
      </w:r>
    </w:p>
    <w:p w14:paraId="27D547BF" w14:textId="77777777" w:rsidR="001653D7" w:rsidRPr="001653D7" w:rsidRDefault="001653D7" w:rsidP="00100EF9">
      <w:pPr>
        <w:keepNext/>
        <w:keepLines/>
        <w:tabs>
          <w:tab w:val="center" w:pos="284"/>
        </w:tabs>
        <w:ind w:left="266" w:hanging="266"/>
        <w:rPr>
          <w:bCs/>
          <w:sz w:val="20"/>
          <w:szCs w:val="20"/>
        </w:rPr>
      </w:pPr>
    </w:p>
    <w:p w14:paraId="3C2E2FC5" w14:textId="77777777" w:rsidR="001653D7" w:rsidRPr="001653D7" w:rsidRDefault="001653D7" w:rsidP="00100EF9">
      <w:pPr>
        <w:rPr>
          <w:bCs/>
          <w:iCs/>
        </w:rPr>
      </w:pPr>
      <w:r>
        <w:t xml:space="preserve">Le </w:t>
      </w:r>
      <w:proofErr w:type="gramStart"/>
      <w:r>
        <w:t>CESE:</w:t>
      </w:r>
      <w:proofErr w:type="gramEnd"/>
    </w:p>
    <w:p w14:paraId="2EB60443" w14:textId="77777777" w:rsidR="001653D7" w:rsidRPr="001653D7" w:rsidRDefault="001653D7" w:rsidP="007526DA">
      <w:pPr>
        <w:numPr>
          <w:ilvl w:val="0"/>
          <w:numId w:val="19"/>
        </w:numPr>
        <w:ind w:left="567" w:hanging="567"/>
        <w:contextualSpacing/>
        <w:rPr>
          <w:bCs/>
          <w:iCs/>
        </w:rPr>
      </w:pPr>
      <w:proofErr w:type="gramStart"/>
      <w:r>
        <w:t>insiste</w:t>
      </w:r>
      <w:proofErr w:type="gramEnd"/>
      <w:r>
        <w:t xml:space="preserve"> sur le fait qu’il est urgent de mettre en place une politique d’immigration qui offre des voies d’accès légales, sûres et efficaces vers l’Union européenne. Cette position est conforme à ses avis antérieurs, dans lesquels le Comité a mis en évidence l’importance de garantir des voies d’entrée légales, de protéger les droits fondamentaux des migrants et d’améliorer la gestion des mouvements intérieurs dans l’Union.</w:t>
      </w:r>
    </w:p>
    <w:p w14:paraId="17CE5961" w14:textId="77777777" w:rsidR="001653D7" w:rsidRPr="001653D7" w:rsidRDefault="001653D7" w:rsidP="007526DA">
      <w:pPr>
        <w:numPr>
          <w:ilvl w:val="0"/>
          <w:numId w:val="19"/>
        </w:numPr>
        <w:ind w:left="567" w:hanging="567"/>
        <w:contextualSpacing/>
        <w:rPr>
          <w:bCs/>
          <w:iCs/>
        </w:rPr>
      </w:pPr>
      <w:proofErr w:type="gramStart"/>
      <w:r>
        <w:t>prend</w:t>
      </w:r>
      <w:proofErr w:type="gramEnd"/>
      <w:r>
        <w:t xml:space="preserve"> acte de la réorientation structurelle des priorités de l’Union qui ressort de l’analyse conjointe des trois règlements et qui témoigne d’un glissement sensible vers une logique de contrôle et de sécurité. En plaçant résolument l’accent sur la sécurité, à la fois intérieure et extérieure, on tend à se désintéresser des mesures de soutien qui porteraient sur l’inclusion et l’intégration. Le CESE souligne que la politique migratoire ne saurait se réduire à une logique </w:t>
      </w:r>
      <w:proofErr w:type="gramStart"/>
      <w:r>
        <w:t>sécuritaire;</w:t>
      </w:r>
      <w:proofErr w:type="gramEnd"/>
    </w:p>
    <w:p w14:paraId="6247AC50" w14:textId="77777777" w:rsidR="001653D7" w:rsidRPr="001653D7" w:rsidRDefault="001653D7" w:rsidP="007526DA">
      <w:pPr>
        <w:numPr>
          <w:ilvl w:val="0"/>
          <w:numId w:val="19"/>
        </w:numPr>
        <w:ind w:left="567" w:hanging="567"/>
        <w:contextualSpacing/>
        <w:rPr>
          <w:bCs/>
          <w:iCs/>
        </w:rPr>
      </w:pPr>
      <w:proofErr w:type="gramStart"/>
      <w:r>
        <w:t>relève</w:t>
      </w:r>
      <w:proofErr w:type="gramEnd"/>
      <w:r>
        <w:t xml:space="preserve"> qu’il est important pour le bon fonctionnement du système migratoire — y compris pour les retours, le cas échéant, et dans le plein respect du droit de l’Union et du droit international — de disposer d’un arsenal complet d’outils et d’instruments permettant de gérer les migrations régulières et d’éviter les situations d’irrégularité. Il convient cependant d’être attentif à trouver les bons équilibres dans leur mise en œuvre eu égard aux droits fondamentaux, en particulier le droit à la protection individuelle.</w:t>
      </w:r>
    </w:p>
    <w:p w14:paraId="72AA5D3D" w14:textId="77777777" w:rsidR="001653D7" w:rsidRPr="001653D7" w:rsidRDefault="001653D7" w:rsidP="007526DA">
      <w:pPr>
        <w:numPr>
          <w:ilvl w:val="0"/>
          <w:numId w:val="19"/>
        </w:numPr>
        <w:ind w:left="567" w:hanging="567"/>
        <w:contextualSpacing/>
        <w:rPr>
          <w:bCs/>
          <w:iCs/>
        </w:rPr>
      </w:pPr>
      <w:proofErr w:type="gramStart"/>
      <w:r>
        <w:t>juge</w:t>
      </w:r>
      <w:proofErr w:type="gramEnd"/>
      <w:r>
        <w:t xml:space="preserve"> indispensable d’améliorer les dispositifs de contrôle indépendant des droits fondamentaux et des conditions humanitaires aux frontières, grâce à des mécanismes de rapport transparents;</w:t>
      </w:r>
    </w:p>
    <w:p w14:paraId="0CC7E7BF" w14:textId="77777777" w:rsidR="001653D7" w:rsidRPr="001653D7" w:rsidRDefault="001653D7" w:rsidP="007526DA">
      <w:pPr>
        <w:numPr>
          <w:ilvl w:val="0"/>
          <w:numId w:val="19"/>
        </w:numPr>
        <w:ind w:left="567" w:hanging="567"/>
        <w:contextualSpacing/>
        <w:rPr>
          <w:bCs/>
          <w:iCs/>
        </w:rPr>
      </w:pPr>
      <w:proofErr w:type="gramStart"/>
      <w:r>
        <w:t>estime</w:t>
      </w:r>
      <w:proofErr w:type="gramEnd"/>
      <w:r>
        <w:t xml:space="preserve"> que les trois règlements conjointement établis pour la période 2028-2034 mettent fortement en avant les mesures sécuritaires et la sous-traitance du contrôle aux frontières, et qu’ils suscitent des inquiétudes quant au risque qu’il soit porté atteinte à des droits fondamentaux. Il est dans le même temps primordial de veiller à ce que ces mêmes droits humains fondamentaux soient protégés.</w:t>
      </w:r>
    </w:p>
    <w:p w14:paraId="6C124427" w14:textId="77777777" w:rsidR="001653D7" w:rsidRPr="001653D7" w:rsidRDefault="001653D7" w:rsidP="00100EF9">
      <w:pPr>
        <w:widowControl w:val="0"/>
        <w:ind w:left="709"/>
        <w:rPr>
          <w:sz w:val="20"/>
        </w:rPr>
      </w:pPr>
    </w:p>
    <w:tbl>
      <w:tblPr>
        <w:tblStyle w:val="TableGrid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5"/>
      </w:tblGrid>
      <w:tr w:rsidR="001653D7" w:rsidRPr="001653D7" w14:paraId="211429B1" w14:textId="77777777" w:rsidTr="00D0608D">
        <w:tc>
          <w:tcPr>
            <w:tcW w:w="821" w:type="pct"/>
          </w:tcPr>
          <w:p w14:paraId="13CD8E19" w14:textId="77777777" w:rsidR="001653D7" w:rsidRPr="001653D7" w:rsidRDefault="001653D7" w:rsidP="00100EF9">
            <w:pPr>
              <w:rPr>
                <w:i/>
              </w:rPr>
            </w:pPr>
            <w:r>
              <w:rPr>
                <w:b/>
                <w:i/>
              </w:rPr>
              <w:t>Contact</w:t>
            </w:r>
          </w:p>
        </w:tc>
        <w:tc>
          <w:tcPr>
            <w:tcW w:w="4179" w:type="pct"/>
          </w:tcPr>
          <w:p w14:paraId="4FD1075C" w14:textId="32E95F9F" w:rsidR="001653D7" w:rsidRPr="00D05167" w:rsidRDefault="001653D7" w:rsidP="00100EF9">
            <w:pPr>
              <w:rPr>
                <w:i/>
              </w:rPr>
            </w:pPr>
            <w:r>
              <w:rPr>
                <w:i/>
              </w:rPr>
              <w:t xml:space="preserve">Gemma </w:t>
            </w:r>
            <w:proofErr w:type="spellStart"/>
            <w:r>
              <w:rPr>
                <w:i/>
              </w:rPr>
              <w:t>Amran</w:t>
            </w:r>
            <w:proofErr w:type="spellEnd"/>
          </w:p>
        </w:tc>
      </w:tr>
      <w:tr w:rsidR="001653D7" w:rsidRPr="001653D7" w14:paraId="3BC05E8A" w14:textId="77777777" w:rsidTr="00D0608D">
        <w:tc>
          <w:tcPr>
            <w:tcW w:w="821" w:type="pct"/>
          </w:tcPr>
          <w:p w14:paraId="1D9039E7" w14:textId="77777777" w:rsidR="001653D7" w:rsidRPr="001653D7" w:rsidRDefault="001653D7" w:rsidP="00100EF9">
            <w:pPr>
              <w:rPr>
                <w:i/>
              </w:rPr>
            </w:pPr>
            <w:proofErr w:type="gramStart"/>
            <w:r>
              <w:rPr>
                <w:i/>
              </w:rPr>
              <w:t>Tél.:</w:t>
            </w:r>
            <w:proofErr w:type="gramEnd"/>
          </w:p>
        </w:tc>
        <w:tc>
          <w:tcPr>
            <w:tcW w:w="4179" w:type="pct"/>
          </w:tcPr>
          <w:p w14:paraId="410A1B26" w14:textId="0CC1E8ED" w:rsidR="001653D7" w:rsidRPr="00D05167" w:rsidRDefault="001653D7" w:rsidP="00100EF9">
            <w:pPr>
              <w:rPr>
                <w:i/>
              </w:rPr>
            </w:pPr>
            <w:r>
              <w:rPr>
                <w:i/>
              </w:rPr>
              <w:t>+32 2 546 9415</w:t>
            </w:r>
          </w:p>
        </w:tc>
      </w:tr>
      <w:tr w:rsidR="001653D7" w:rsidRPr="001653D7" w14:paraId="653F335D" w14:textId="77777777" w:rsidTr="00D0608D">
        <w:tc>
          <w:tcPr>
            <w:tcW w:w="821" w:type="pct"/>
          </w:tcPr>
          <w:p w14:paraId="5DF7B6E3" w14:textId="77777777" w:rsidR="001653D7" w:rsidRPr="001653D7" w:rsidRDefault="001653D7" w:rsidP="00100EF9">
            <w:pPr>
              <w:rPr>
                <w:i/>
              </w:rPr>
            </w:pPr>
            <w:proofErr w:type="gramStart"/>
            <w:r>
              <w:rPr>
                <w:i/>
              </w:rPr>
              <w:t>Courriel:</w:t>
            </w:r>
            <w:proofErr w:type="gramEnd"/>
          </w:p>
        </w:tc>
        <w:tc>
          <w:tcPr>
            <w:tcW w:w="4179" w:type="pct"/>
          </w:tcPr>
          <w:p w14:paraId="03300BBE" w14:textId="77777777" w:rsidR="001653D7" w:rsidRPr="001653D7" w:rsidRDefault="00AA7EB8" w:rsidP="00100EF9">
            <w:pPr>
              <w:rPr>
                <w:i/>
              </w:rPr>
            </w:pPr>
            <w:hyperlink r:id="rId30" w:history="1">
              <w:r w:rsidR="00E235D3">
                <w:rPr>
                  <w:i/>
                  <w:color w:val="0000FF"/>
                  <w:u w:val="single"/>
                </w:rPr>
                <w:t>Gemma.Amran@eesc.europa.eu</w:t>
              </w:r>
            </w:hyperlink>
          </w:p>
        </w:tc>
      </w:tr>
    </w:tbl>
    <w:p w14:paraId="4982DDC5" w14:textId="77777777" w:rsidR="004D7AC0" w:rsidRDefault="004D7AC0" w:rsidP="00100EF9">
      <w:pPr>
        <w:jc w:val="left"/>
      </w:pPr>
      <w:r>
        <w:br w:type="page"/>
      </w:r>
    </w:p>
    <w:p w14:paraId="4982DDC6" w14:textId="77777777" w:rsidR="004D7AC0" w:rsidRDefault="004D7AC0" w:rsidP="00100EF9">
      <w:pPr>
        <w:pStyle w:val="Heading1"/>
        <w:rPr>
          <w:b/>
        </w:rPr>
      </w:pPr>
      <w:bookmarkStart w:id="24" w:name="_Toc24617160"/>
      <w:bookmarkStart w:id="25" w:name="_Toc75527082"/>
      <w:bookmarkStart w:id="26" w:name="_Toc223514744"/>
      <w:r>
        <w:rPr>
          <w:b/>
        </w:rPr>
        <w:lastRenderedPageBreak/>
        <w:t>TRANSPORTS, ÉNERGIE, INFRASTRUCTURES ET SOCIÉTÉ DE L’INFORMATION</w:t>
      </w:r>
      <w:bookmarkEnd w:id="24"/>
      <w:bookmarkEnd w:id="25"/>
      <w:bookmarkEnd w:id="26"/>
    </w:p>
    <w:p w14:paraId="4982DDC7" w14:textId="77777777" w:rsidR="004D7AC0" w:rsidRDefault="004D7AC0" w:rsidP="00100EF9"/>
    <w:p w14:paraId="33F22FD2" w14:textId="2A2F8B4D" w:rsidR="00B55C6C" w:rsidRPr="00B55C6C" w:rsidRDefault="00AA7EB8" w:rsidP="00100EF9">
      <w:pPr>
        <w:widowControl w:val="0"/>
        <w:numPr>
          <w:ilvl w:val="0"/>
          <w:numId w:val="6"/>
        </w:numPr>
        <w:ind w:hanging="567"/>
        <w:rPr>
          <w:sz w:val="24"/>
          <w:szCs w:val="24"/>
        </w:rPr>
      </w:pPr>
      <w:hyperlink r:id="rId31" w:history="1">
        <w:r w:rsidR="00E235D3">
          <w:rPr>
            <w:b/>
            <w:i/>
            <w:color w:val="0000FF"/>
            <w:sz w:val="24"/>
            <w:u w:val="single"/>
          </w:rPr>
          <w:t>Stratégie européenne pour les sciences du vivant et stratégie européenne pour les infrastructures de recherche et de technologie, avec un accent sur le traitement des maladies rares</w:t>
        </w:r>
      </w:hyperlink>
    </w:p>
    <w:p w14:paraId="6D214F19" w14:textId="77777777" w:rsidR="00B55C6C" w:rsidRPr="00B55C6C" w:rsidRDefault="00B55C6C" w:rsidP="00100EF9">
      <w:pPr>
        <w:tabs>
          <w:tab w:val="center" w:pos="284"/>
        </w:tabs>
        <w:ind w:left="266" w:hanging="266"/>
        <w:rPr>
          <w: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400"/>
      </w:tblGrid>
      <w:tr w:rsidR="00B55C6C" w:rsidRPr="00B55C6C" w14:paraId="2B64E1A2" w14:textId="77777777" w:rsidTr="00D0608D">
        <w:tc>
          <w:tcPr>
            <w:tcW w:w="1673" w:type="dxa"/>
          </w:tcPr>
          <w:p w14:paraId="31E45AAF" w14:textId="77777777" w:rsidR="00B55C6C" w:rsidRPr="00B55C6C" w:rsidRDefault="00B55C6C" w:rsidP="00100EF9">
            <w:pPr>
              <w:tabs>
                <w:tab w:val="center" w:pos="284"/>
              </w:tabs>
              <w:ind w:left="266" w:hanging="266"/>
              <w:rPr>
                <w:b/>
              </w:rPr>
            </w:pPr>
            <w:r>
              <w:rPr>
                <w:b/>
              </w:rPr>
              <w:t>Rapporteure</w:t>
            </w:r>
          </w:p>
        </w:tc>
        <w:tc>
          <w:tcPr>
            <w:tcW w:w="7400" w:type="dxa"/>
          </w:tcPr>
          <w:p w14:paraId="2077B4EE" w14:textId="7CFFDBD7" w:rsidR="0027149A" w:rsidRPr="00B55C6C" w:rsidRDefault="00B55C6C" w:rsidP="00100EF9">
            <w:pPr>
              <w:tabs>
                <w:tab w:val="center" w:pos="284"/>
              </w:tabs>
              <w:ind w:left="266" w:hanging="266"/>
            </w:pPr>
            <w:r>
              <w:t>Milena ANGELOVA (groupe des employeurs — BG)</w:t>
            </w:r>
          </w:p>
        </w:tc>
      </w:tr>
      <w:tr w:rsidR="00205469" w:rsidRPr="00B55C6C" w14:paraId="035AE27D" w14:textId="77777777" w:rsidTr="00D0608D">
        <w:tc>
          <w:tcPr>
            <w:tcW w:w="1673" w:type="dxa"/>
          </w:tcPr>
          <w:p w14:paraId="582588EB" w14:textId="77777777" w:rsidR="00205469" w:rsidRPr="00B55C6C" w:rsidRDefault="00205469" w:rsidP="00100EF9">
            <w:pPr>
              <w:tabs>
                <w:tab w:val="center" w:pos="284"/>
              </w:tabs>
              <w:ind w:left="266" w:hanging="266"/>
              <w:rPr>
                <w:b/>
              </w:rPr>
            </w:pPr>
          </w:p>
        </w:tc>
        <w:tc>
          <w:tcPr>
            <w:tcW w:w="7400" w:type="dxa"/>
          </w:tcPr>
          <w:p w14:paraId="33028952" w14:textId="77777777" w:rsidR="00205469" w:rsidRPr="00B55C6C" w:rsidRDefault="00205469" w:rsidP="00100EF9">
            <w:pPr>
              <w:tabs>
                <w:tab w:val="center" w:pos="284"/>
              </w:tabs>
              <w:ind w:left="266" w:hanging="266"/>
            </w:pPr>
          </w:p>
        </w:tc>
      </w:tr>
      <w:tr w:rsidR="00B55C6C" w:rsidRPr="00B55C6C" w14:paraId="416210B9" w14:textId="77777777" w:rsidTr="00D0608D">
        <w:tc>
          <w:tcPr>
            <w:tcW w:w="1673" w:type="dxa"/>
          </w:tcPr>
          <w:p w14:paraId="5830CF27" w14:textId="77777777" w:rsidR="00B55C6C" w:rsidRPr="00B55C6C" w:rsidRDefault="00B55C6C" w:rsidP="00100EF9">
            <w:pPr>
              <w:tabs>
                <w:tab w:val="center" w:pos="284"/>
              </w:tabs>
              <w:ind w:left="266" w:hanging="266"/>
              <w:rPr>
                <w:b/>
              </w:rPr>
            </w:pPr>
            <w:r>
              <w:rPr>
                <w:b/>
              </w:rPr>
              <w:t>Références</w:t>
            </w:r>
          </w:p>
        </w:tc>
        <w:tc>
          <w:tcPr>
            <w:tcW w:w="7400" w:type="dxa"/>
          </w:tcPr>
          <w:p w14:paraId="6387FA0F" w14:textId="29179DE5" w:rsidR="00B55C6C" w:rsidRPr="00B55C6C" w:rsidRDefault="00B55C6C" w:rsidP="00100EF9">
            <w:pPr>
              <w:tabs>
                <w:tab w:val="center" w:pos="284"/>
              </w:tabs>
              <w:ind w:left="266" w:right="-108" w:hanging="266"/>
              <w:jc w:val="left"/>
            </w:pPr>
            <w:r>
              <w:t>Avis exploratoire à la demande de la présidence chypriote du Conseil de l’UE</w:t>
            </w:r>
          </w:p>
          <w:p w14:paraId="72910B0E" w14:textId="77777777" w:rsidR="00B55C6C" w:rsidRPr="00B55C6C" w:rsidRDefault="00B55C6C" w:rsidP="00100EF9">
            <w:pPr>
              <w:tabs>
                <w:tab w:val="center" w:pos="284"/>
              </w:tabs>
              <w:ind w:left="266" w:hanging="266"/>
            </w:pPr>
            <w:r>
              <w:t>EESC-2025-03652-00-00-AC</w:t>
            </w:r>
          </w:p>
        </w:tc>
      </w:tr>
    </w:tbl>
    <w:p w14:paraId="6A284DC4" w14:textId="77777777" w:rsidR="00B55C6C" w:rsidRPr="00B55C6C" w:rsidRDefault="00B55C6C" w:rsidP="00100EF9">
      <w:pPr>
        <w:keepNext/>
        <w:keepLines/>
        <w:tabs>
          <w:tab w:val="center" w:pos="284"/>
        </w:tabs>
        <w:ind w:left="266" w:hanging="266"/>
        <w:rPr>
          <w:b/>
          <w:bCs/>
        </w:rPr>
      </w:pPr>
    </w:p>
    <w:p w14:paraId="273C39C3" w14:textId="46817AE1" w:rsidR="00B55C6C" w:rsidRPr="00B55C6C" w:rsidRDefault="00B55C6C" w:rsidP="00100EF9">
      <w:pPr>
        <w:keepNext/>
        <w:keepLines/>
        <w:tabs>
          <w:tab w:val="center" w:pos="284"/>
        </w:tabs>
        <w:ind w:left="266" w:hanging="266"/>
        <w:rPr>
          <w:b/>
          <w:bCs/>
        </w:rPr>
      </w:pPr>
      <w:r>
        <w:rPr>
          <w:b/>
        </w:rPr>
        <w:t>Points clés</w:t>
      </w:r>
    </w:p>
    <w:p w14:paraId="4C80B459" w14:textId="77777777" w:rsidR="00B55C6C" w:rsidRPr="00B55C6C" w:rsidRDefault="00B55C6C" w:rsidP="00100EF9">
      <w:pPr>
        <w:keepNext/>
        <w:keepLines/>
        <w:tabs>
          <w:tab w:val="center" w:pos="284"/>
        </w:tabs>
        <w:ind w:left="266" w:hanging="266"/>
        <w:rPr>
          <w:b/>
        </w:rPr>
      </w:pPr>
    </w:p>
    <w:p w14:paraId="00939141" w14:textId="77777777" w:rsidR="00B55C6C" w:rsidRDefault="00B55C6C" w:rsidP="00100EF9">
      <w:r>
        <w:t xml:space="preserve">Le </w:t>
      </w:r>
      <w:proofErr w:type="gramStart"/>
      <w:r>
        <w:t>CESE:</w:t>
      </w:r>
      <w:proofErr w:type="gramEnd"/>
    </w:p>
    <w:p w14:paraId="383812B3" w14:textId="77777777" w:rsidR="00B55C6C" w:rsidRPr="00B55C6C" w:rsidRDefault="00B55C6C" w:rsidP="007526DA">
      <w:pPr>
        <w:numPr>
          <w:ilvl w:val="0"/>
          <w:numId w:val="20"/>
        </w:numPr>
        <w:shd w:val="clear" w:color="auto" w:fill="FFFFFF" w:themeFill="background1"/>
        <w:ind w:left="567" w:hanging="567"/>
        <w:contextualSpacing/>
        <w:rPr>
          <w:rFonts w:ascii="Calibri" w:hAnsi="Calibri"/>
          <w:color w:val="242424"/>
          <w:u w:val="single"/>
        </w:rPr>
      </w:pPr>
      <w:proofErr w:type="gramStart"/>
      <w:r>
        <w:rPr>
          <w:color w:val="242424"/>
        </w:rPr>
        <w:t>se</w:t>
      </w:r>
      <w:proofErr w:type="gramEnd"/>
      <w:r>
        <w:rPr>
          <w:color w:val="242424"/>
        </w:rPr>
        <w:t xml:space="preserve"> félicite de la stratégie européenne pour les sciences du vivant et fait valoir que l’adoption d’une </w:t>
      </w:r>
      <w:r>
        <w:rPr>
          <w:b/>
          <w:bCs/>
          <w:color w:val="242424"/>
        </w:rPr>
        <w:t>approche globale</w:t>
      </w:r>
      <w:r>
        <w:rPr>
          <w:color w:val="242424"/>
        </w:rPr>
        <w:t xml:space="preserve"> et la création d’un environnement favorable peuvent faire de l’Europe un </w:t>
      </w:r>
      <w:r>
        <w:rPr>
          <w:b/>
          <w:bCs/>
          <w:color w:val="242424"/>
        </w:rPr>
        <w:t>acteur mondial de premier plan dans le domaine des sciences du vivant</w:t>
      </w:r>
      <w:r>
        <w:rPr>
          <w:color w:val="242424"/>
        </w:rPr>
        <w:t xml:space="preserve"> (en particulier celles qui concernent les maladies rares et la génomique).</w:t>
      </w:r>
      <w:r>
        <w:rPr>
          <w:color w:val="242424"/>
          <w:u w:val="single"/>
        </w:rPr>
        <w:t xml:space="preserve"> </w:t>
      </w:r>
      <w:r>
        <w:rPr>
          <w:color w:val="242424"/>
        </w:rPr>
        <w:t xml:space="preserve">Une telle </w:t>
      </w:r>
      <w:r>
        <w:rPr>
          <w:b/>
          <w:bCs/>
          <w:color w:val="242424"/>
        </w:rPr>
        <w:t>approche</w:t>
      </w:r>
      <w:r>
        <w:rPr>
          <w:color w:val="242424"/>
        </w:rPr>
        <w:t xml:space="preserve"> doit inclure les éléments </w:t>
      </w:r>
      <w:proofErr w:type="gramStart"/>
      <w:r>
        <w:rPr>
          <w:color w:val="242424"/>
        </w:rPr>
        <w:t>suivants:</w:t>
      </w:r>
      <w:proofErr w:type="gramEnd"/>
    </w:p>
    <w:p w14:paraId="5A323DAF" w14:textId="746DCEF3"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proofErr w:type="gramStart"/>
      <w:r>
        <w:rPr>
          <w:color w:val="242424"/>
        </w:rPr>
        <w:t>des</w:t>
      </w:r>
      <w:proofErr w:type="gramEnd"/>
      <w:r>
        <w:rPr>
          <w:color w:val="242424"/>
        </w:rPr>
        <w:t xml:space="preserve"> méthodes générales scientifiques et fondées sur des données permettant de diagnostiquer et de comprendre les causes des maladies (notamment la génétique, les habitudes et modes de vie malsains, la pollution ou le stress, entre autres);</w:t>
      </w:r>
    </w:p>
    <w:p w14:paraId="54755404" w14:textId="5C9C4720"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proofErr w:type="gramStart"/>
      <w:r>
        <w:rPr>
          <w:color w:val="242424"/>
        </w:rPr>
        <w:t>la</w:t>
      </w:r>
      <w:proofErr w:type="gramEnd"/>
      <w:r>
        <w:rPr>
          <w:color w:val="242424"/>
        </w:rPr>
        <w:t xml:space="preserve"> diffusion d’informations axées sur la prévention et le diagnostic précoce;</w:t>
      </w:r>
    </w:p>
    <w:p w14:paraId="3424F771" w14:textId="30D8CD98" w:rsidR="00B55C6C" w:rsidRPr="00B55C6C" w:rsidRDefault="00B55C6C" w:rsidP="007526DA">
      <w:pPr>
        <w:numPr>
          <w:ilvl w:val="1"/>
          <w:numId w:val="26"/>
        </w:numPr>
        <w:shd w:val="clear" w:color="auto" w:fill="FFFFFF" w:themeFill="background1"/>
        <w:ind w:left="851" w:hanging="284"/>
        <w:contextualSpacing/>
        <w:rPr>
          <w:color w:val="242424"/>
          <w:u w:val="single"/>
        </w:rPr>
      </w:pPr>
      <w:proofErr w:type="gramStart"/>
      <w:r>
        <w:rPr>
          <w:color w:val="242424"/>
        </w:rPr>
        <w:t>le</w:t>
      </w:r>
      <w:proofErr w:type="gramEnd"/>
      <w:r>
        <w:rPr>
          <w:color w:val="242424"/>
        </w:rPr>
        <w:t xml:space="preserve"> dépistage et les traitements efficaces et accessibles;</w:t>
      </w:r>
    </w:p>
    <w:p w14:paraId="093589AA" w14:textId="77777777" w:rsidR="00B55C6C" w:rsidRPr="00B55C6C" w:rsidRDefault="00B55C6C" w:rsidP="007526DA">
      <w:pPr>
        <w:numPr>
          <w:ilvl w:val="1"/>
          <w:numId w:val="26"/>
        </w:numPr>
        <w:shd w:val="clear" w:color="auto" w:fill="FFFFFF" w:themeFill="background1"/>
        <w:ind w:left="851" w:hanging="284"/>
        <w:contextualSpacing/>
        <w:rPr>
          <w:color w:val="242424"/>
          <w:u w:val="single"/>
        </w:rPr>
      </w:pPr>
      <w:proofErr w:type="gramStart"/>
      <w:r>
        <w:rPr>
          <w:color w:val="242424"/>
        </w:rPr>
        <w:t>des</w:t>
      </w:r>
      <w:proofErr w:type="gramEnd"/>
      <w:r>
        <w:rPr>
          <w:color w:val="242424"/>
        </w:rPr>
        <w:t xml:space="preserve"> soins de qualité pour les patients et des infrastructures de soutien accessibles aux patients et à leurs proches.</w:t>
      </w:r>
    </w:p>
    <w:p w14:paraId="65EEE98A" w14:textId="7EA1C342" w:rsidR="00B55C6C" w:rsidRPr="00B55C6C" w:rsidRDefault="00B55C6C" w:rsidP="007526DA">
      <w:pPr>
        <w:numPr>
          <w:ilvl w:val="0"/>
          <w:numId w:val="20"/>
        </w:numPr>
        <w:shd w:val="clear" w:color="auto" w:fill="FFFFFF" w:themeFill="background1"/>
        <w:ind w:left="567" w:hanging="567"/>
        <w:contextualSpacing/>
        <w:rPr>
          <w:color w:val="242424"/>
          <w:u w:val="single"/>
        </w:rPr>
      </w:pPr>
      <w:r>
        <w:t xml:space="preserve">soutient la demande du Parlement européen lorsqu’il réclame l’adoption rapide d’un </w:t>
      </w:r>
      <w:hyperlink r:id="rId32">
        <w:r>
          <w:rPr>
            <w:b/>
            <w:color w:val="242424"/>
            <w:u w:val="single"/>
          </w:rPr>
          <w:t>plan d’action de l’UE pour les maladies rares</w:t>
        </w:r>
      </w:hyperlink>
      <w:r>
        <w:t>, qui viserait notamment à renouveler et développer davantage l’</w:t>
      </w:r>
      <w:hyperlink r:id="rId33">
        <w:r>
          <w:rPr>
            <w:b/>
            <w:color w:val="242424"/>
            <w:u w:val="single"/>
          </w:rPr>
          <w:t>appel de Tartu pour un mode de vie sain</w:t>
        </w:r>
      </w:hyperlink>
      <w:r>
        <w:t>, ainsi qu’à adhérer à l’</w:t>
      </w:r>
      <w:r>
        <w:rPr>
          <w:b/>
          <w:bCs/>
        </w:rPr>
        <w:t>approche «</w:t>
      </w:r>
      <w:hyperlink r:id="rId34">
        <w:r>
          <w:rPr>
            <w:b/>
            <w:color w:val="242424"/>
            <w:u w:val="single"/>
          </w:rPr>
          <w:t>Une seule santé</w:t>
        </w:r>
      </w:hyperlink>
      <w:r>
        <w:rPr>
          <w:b/>
          <w:bCs/>
        </w:rPr>
        <w:t>»</w:t>
      </w:r>
      <w:r>
        <w:t>.</w:t>
      </w:r>
    </w:p>
    <w:p w14:paraId="19824879" w14:textId="1ECCBA6F" w:rsidR="00B55C6C" w:rsidRPr="00B55C6C" w:rsidRDefault="00B55C6C" w:rsidP="007526DA">
      <w:pPr>
        <w:numPr>
          <w:ilvl w:val="0"/>
          <w:numId w:val="22"/>
        </w:numPr>
        <w:shd w:val="clear" w:color="auto" w:fill="FFFFFF" w:themeFill="background1"/>
        <w:ind w:left="567" w:hanging="567"/>
        <w:contextualSpacing/>
        <w:rPr>
          <w:b/>
          <w:bCs/>
          <w:color w:val="242424"/>
        </w:rPr>
      </w:pPr>
      <w:r>
        <w:rPr>
          <w:color w:val="242424"/>
        </w:rPr>
        <w:t xml:space="preserve">estime que les infrastructures de recherche et de technologie, y compris celles spécifiquement consacrées aux maladies rares, sont essentielles au développement des sciences du vivant et de l’économie de la longévité et qu’elles devraient notamment promouvoir la </w:t>
      </w:r>
      <w:r>
        <w:rPr>
          <w:b/>
          <w:bCs/>
          <w:color w:val="242424"/>
        </w:rPr>
        <w:t>culture de la longévité au sens large</w:t>
      </w:r>
      <w:r>
        <w:rPr>
          <w:color w:val="242424"/>
        </w:rPr>
        <w:t xml:space="preserve"> — notamment la prévention, l’alimentation saine, le mode de vie, les cures de balnéothérapie et les loisirs, la santé physique et mentale, et bien d’autres aspects — au-delà du diagnostic et du traitement des maladies.</w:t>
      </w:r>
    </w:p>
    <w:p w14:paraId="36230EAB" w14:textId="2F18E6C1" w:rsidR="00B55C6C" w:rsidRPr="00B55C6C" w:rsidRDefault="00B55C6C" w:rsidP="007526DA">
      <w:pPr>
        <w:numPr>
          <w:ilvl w:val="0"/>
          <w:numId w:val="22"/>
        </w:numPr>
        <w:shd w:val="clear" w:color="auto" w:fill="FFFFFF" w:themeFill="background1"/>
        <w:ind w:left="567" w:hanging="567"/>
        <w:contextualSpacing/>
        <w:rPr>
          <w:color w:val="242424"/>
        </w:rPr>
      </w:pPr>
      <w:proofErr w:type="gramStart"/>
      <w:r>
        <w:rPr>
          <w:color w:val="242424"/>
        </w:rPr>
        <w:t>recommande</w:t>
      </w:r>
      <w:proofErr w:type="gramEnd"/>
      <w:r>
        <w:rPr>
          <w:color w:val="242424"/>
        </w:rPr>
        <w:t xml:space="preserve"> la mise en place, </w:t>
      </w:r>
      <w:r>
        <w:rPr>
          <w:b/>
          <w:bCs/>
          <w:color w:val="242424"/>
        </w:rPr>
        <w:t>dans chaque État membre, de centres de recherche translationnelle spécialisés dans les maladies rares</w:t>
      </w:r>
      <w:r>
        <w:rPr>
          <w:color w:val="242424"/>
        </w:rPr>
        <w:t>, coordonnés au niveau de l’UE dans un souci de cohérence.</w:t>
      </w:r>
    </w:p>
    <w:p w14:paraId="79F67F3F" w14:textId="695936F4" w:rsidR="00B55C6C" w:rsidRPr="00B55C6C" w:rsidRDefault="00B55C6C" w:rsidP="007526DA">
      <w:pPr>
        <w:numPr>
          <w:ilvl w:val="0"/>
          <w:numId w:val="22"/>
        </w:numPr>
        <w:shd w:val="clear" w:color="auto" w:fill="FFFFFF" w:themeFill="background1"/>
        <w:ind w:left="567" w:hanging="567"/>
        <w:contextualSpacing/>
        <w:rPr>
          <w:color w:val="242424"/>
        </w:rPr>
      </w:pPr>
      <w:proofErr w:type="gramStart"/>
      <w:r>
        <w:rPr>
          <w:color w:val="242424"/>
        </w:rPr>
        <w:t>fait</w:t>
      </w:r>
      <w:proofErr w:type="gramEnd"/>
      <w:r>
        <w:rPr>
          <w:color w:val="242424"/>
        </w:rPr>
        <w:t xml:space="preserve"> valoir que les partenariats européens revêtent une importance cruciale pour favoriser un engagement constructif et structuré de l’ensemble des parties prenantes et demande que soient prévus des mécanismes formels encadrant leur participation.</w:t>
      </w:r>
    </w:p>
    <w:p w14:paraId="007C9EE2" w14:textId="77777777"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 xml:space="preserve">plaide en faveur d’une </w:t>
      </w:r>
      <w:r>
        <w:rPr>
          <w:b/>
          <w:bCs/>
          <w:color w:val="242424"/>
        </w:rPr>
        <w:t>représentation obligatoire des organisations de patients, des partenaires sociaux et de la société civile au sein des organes de gouvernance</w:t>
      </w:r>
      <w:r>
        <w:rPr>
          <w:color w:val="242424"/>
        </w:rPr>
        <w:t xml:space="preserve">, laquelle, </w:t>
      </w:r>
      <w:r>
        <w:rPr>
          <w:color w:val="242424"/>
        </w:rPr>
        <w:lastRenderedPageBreak/>
        <w:t>grâce à une participation structurée, transparente et systématique, permettra de définir des priorités et des protocoles de gestion des données, des obligations de transparence quant aux décisions et à l’utilisation des données, et un mécanisme visant à s’assurer que leurs contributions sont effectivement prises en compte.</w:t>
      </w:r>
    </w:p>
    <w:p w14:paraId="47E7F57B" w14:textId="77777777" w:rsidR="00B55C6C" w:rsidRPr="00B55C6C" w:rsidRDefault="00B55C6C" w:rsidP="00100EF9">
      <w:pPr>
        <w:ind w:left="720"/>
      </w:pPr>
    </w:p>
    <w:tbl>
      <w:tblPr>
        <w:tblStyle w:val="TableGrid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4"/>
      </w:tblGrid>
      <w:tr w:rsidR="00B55C6C" w:rsidRPr="00B55C6C" w14:paraId="1B7BB807" w14:textId="77777777" w:rsidTr="00D0608D">
        <w:tc>
          <w:tcPr>
            <w:tcW w:w="1668" w:type="dxa"/>
          </w:tcPr>
          <w:p w14:paraId="28C13E10" w14:textId="77777777" w:rsidR="00B55C6C" w:rsidRPr="00B55C6C" w:rsidRDefault="00B55C6C" w:rsidP="00100EF9">
            <w:pPr>
              <w:rPr>
                <w:i/>
              </w:rPr>
            </w:pPr>
            <w:r>
              <w:rPr>
                <w:b/>
                <w:i/>
              </w:rPr>
              <w:t>Contact</w:t>
            </w:r>
          </w:p>
        </w:tc>
        <w:tc>
          <w:tcPr>
            <w:tcW w:w="7404" w:type="dxa"/>
          </w:tcPr>
          <w:p w14:paraId="1876AA9B" w14:textId="77777777" w:rsidR="00B55C6C" w:rsidRPr="00B55C6C" w:rsidRDefault="00B55C6C" w:rsidP="00100EF9">
            <w:pPr>
              <w:rPr>
                <w:i/>
              </w:rPr>
            </w:pPr>
            <w:proofErr w:type="spellStart"/>
            <w:r>
              <w:rPr>
                <w:i/>
              </w:rPr>
              <w:t>Konstantina</w:t>
            </w:r>
            <w:proofErr w:type="spellEnd"/>
            <w:r>
              <w:rPr>
                <w:i/>
              </w:rPr>
              <w:t xml:space="preserve"> </w:t>
            </w:r>
            <w:proofErr w:type="spellStart"/>
            <w:r>
              <w:rPr>
                <w:i/>
              </w:rPr>
              <w:t>Angelopoulou</w:t>
            </w:r>
            <w:proofErr w:type="spellEnd"/>
          </w:p>
        </w:tc>
      </w:tr>
      <w:tr w:rsidR="00B55C6C" w:rsidRPr="00B55C6C" w14:paraId="3A6228E8" w14:textId="77777777" w:rsidTr="00D0608D">
        <w:tc>
          <w:tcPr>
            <w:tcW w:w="1668" w:type="dxa"/>
          </w:tcPr>
          <w:p w14:paraId="744FB576" w14:textId="77777777" w:rsidR="00B55C6C" w:rsidRPr="00B55C6C" w:rsidRDefault="00B55C6C" w:rsidP="00100EF9">
            <w:pPr>
              <w:rPr>
                <w:i/>
              </w:rPr>
            </w:pPr>
            <w:proofErr w:type="gramStart"/>
            <w:r>
              <w:rPr>
                <w:i/>
              </w:rPr>
              <w:t>Tél.:</w:t>
            </w:r>
            <w:proofErr w:type="gramEnd"/>
          </w:p>
        </w:tc>
        <w:tc>
          <w:tcPr>
            <w:tcW w:w="7404" w:type="dxa"/>
          </w:tcPr>
          <w:p w14:paraId="30F176AA" w14:textId="69662FEA" w:rsidR="00B55C6C" w:rsidRPr="00B55C6C" w:rsidRDefault="00B55C6C" w:rsidP="00100EF9">
            <w:pPr>
              <w:rPr>
                <w:i/>
              </w:rPr>
            </w:pPr>
            <w:r>
              <w:rPr>
                <w:i/>
              </w:rPr>
              <w:t>+32 2 546 9747</w:t>
            </w:r>
          </w:p>
        </w:tc>
      </w:tr>
      <w:tr w:rsidR="00B55C6C" w:rsidRPr="00B55C6C" w14:paraId="3F5E6411" w14:textId="77777777" w:rsidTr="00D0608D">
        <w:tc>
          <w:tcPr>
            <w:tcW w:w="1668" w:type="dxa"/>
          </w:tcPr>
          <w:p w14:paraId="62C81B41" w14:textId="1E9E1B5D" w:rsidR="00B55C6C" w:rsidRPr="00B55C6C" w:rsidRDefault="00256B74" w:rsidP="00100EF9">
            <w:pPr>
              <w:rPr>
                <w:i/>
              </w:rPr>
            </w:pPr>
            <w:proofErr w:type="gramStart"/>
            <w:r>
              <w:rPr>
                <w:i/>
              </w:rPr>
              <w:t>Courriel:</w:t>
            </w:r>
            <w:proofErr w:type="gramEnd"/>
          </w:p>
        </w:tc>
        <w:tc>
          <w:tcPr>
            <w:tcW w:w="7404" w:type="dxa"/>
          </w:tcPr>
          <w:p w14:paraId="31CA77B0" w14:textId="77777777" w:rsidR="00B55C6C" w:rsidRPr="00B55C6C" w:rsidRDefault="00AA7EB8" w:rsidP="00100EF9">
            <w:pPr>
              <w:rPr>
                <w:i/>
                <w:iCs/>
              </w:rPr>
            </w:pPr>
            <w:hyperlink r:id="rId35" w:history="1">
              <w:r w:rsidR="00E235D3">
                <w:rPr>
                  <w:i/>
                  <w:color w:val="0000FF"/>
                  <w:u w:val="single"/>
                </w:rPr>
                <w:t>Konstantina.Angelopoulou@eesc.europa.eu</w:t>
              </w:r>
            </w:hyperlink>
          </w:p>
        </w:tc>
      </w:tr>
    </w:tbl>
    <w:p w14:paraId="4982DDF1" w14:textId="3CAFEF7D" w:rsidR="00EE1B31" w:rsidRDefault="00EE1B31" w:rsidP="00100EF9">
      <w:pPr>
        <w:pStyle w:val="ListParagraph"/>
        <w:ind w:left="0"/>
      </w:pPr>
    </w:p>
    <w:p w14:paraId="4483536B" w14:textId="77777777" w:rsidR="00EE1B31" w:rsidRDefault="00EE1B31" w:rsidP="00100EF9">
      <w:pPr>
        <w:jc w:val="left"/>
      </w:pPr>
      <w:r>
        <w:br w:type="page"/>
      </w:r>
    </w:p>
    <w:p w14:paraId="20E4C813" w14:textId="328C87C4" w:rsidR="00594237" w:rsidRPr="00594237" w:rsidRDefault="00AA7EB8" w:rsidP="00100EF9">
      <w:pPr>
        <w:widowControl w:val="0"/>
        <w:numPr>
          <w:ilvl w:val="0"/>
          <w:numId w:val="6"/>
        </w:numPr>
        <w:overflowPunct w:val="0"/>
        <w:autoSpaceDE w:val="0"/>
        <w:autoSpaceDN w:val="0"/>
        <w:adjustRightInd w:val="0"/>
        <w:ind w:hanging="567"/>
        <w:textAlignment w:val="baseline"/>
        <w:rPr>
          <w:sz w:val="20"/>
          <w:szCs w:val="20"/>
        </w:rPr>
      </w:pPr>
      <w:hyperlink r:id="rId36" w:history="1">
        <w:r w:rsidR="00E235D3">
          <w:rPr>
            <w:b/>
            <w:i/>
            <w:color w:val="0000FF"/>
            <w:sz w:val="28"/>
            <w:u w:val="single"/>
          </w:rPr>
          <w:t>Interconnexion énergétique, réseaux électriques</w:t>
        </w:r>
      </w:hyperlink>
    </w:p>
    <w:p w14:paraId="03DC3C66" w14:textId="77777777" w:rsidR="00594237" w:rsidRPr="00594237" w:rsidRDefault="00594237" w:rsidP="00100EF9">
      <w:pPr>
        <w:tabs>
          <w:tab w:val="center" w:pos="284"/>
        </w:tabs>
        <w:overflowPunct w:val="0"/>
        <w:autoSpaceDE w:val="0"/>
        <w:autoSpaceDN w:val="0"/>
        <w:adjustRightInd w:val="0"/>
        <w:ind w:left="266" w:hanging="266"/>
        <w:textAlignment w:val="baseline"/>
        <w:rPr>
          <w:b/>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5"/>
      </w:tblGrid>
      <w:tr w:rsidR="00594237" w:rsidRPr="00594237" w14:paraId="0B3E8F32" w14:textId="77777777" w:rsidTr="00D0608D">
        <w:tc>
          <w:tcPr>
            <w:tcW w:w="1668" w:type="dxa"/>
          </w:tcPr>
          <w:p w14:paraId="3305D113" w14:textId="77777777" w:rsidR="00594237" w:rsidRPr="00594237" w:rsidRDefault="00594237" w:rsidP="00100EF9">
            <w:pPr>
              <w:tabs>
                <w:tab w:val="center" w:pos="284"/>
              </w:tabs>
              <w:overflowPunct w:val="0"/>
              <w:autoSpaceDE w:val="0"/>
              <w:autoSpaceDN w:val="0"/>
              <w:adjustRightInd w:val="0"/>
              <w:ind w:left="266" w:hanging="266"/>
              <w:textAlignment w:val="baseline"/>
              <w:rPr>
                <w:b/>
              </w:rPr>
            </w:pPr>
            <w:r>
              <w:rPr>
                <w:b/>
              </w:rPr>
              <w:t>Rapporteur</w:t>
            </w:r>
          </w:p>
        </w:tc>
        <w:tc>
          <w:tcPr>
            <w:tcW w:w="7405" w:type="dxa"/>
          </w:tcPr>
          <w:p w14:paraId="01328C57" w14:textId="544140E5" w:rsidR="00F172E5" w:rsidRPr="00594237" w:rsidRDefault="00594237" w:rsidP="00100EF9">
            <w:pPr>
              <w:tabs>
                <w:tab w:val="center" w:pos="284"/>
              </w:tabs>
              <w:overflowPunct w:val="0"/>
              <w:autoSpaceDE w:val="0"/>
              <w:autoSpaceDN w:val="0"/>
              <w:adjustRightInd w:val="0"/>
              <w:ind w:left="266" w:hanging="266"/>
              <w:textAlignment w:val="baseline"/>
            </w:pPr>
            <w:r>
              <w:t>Christophe BÉGUINET (groupe des travailleurs — FR)</w:t>
            </w:r>
          </w:p>
        </w:tc>
      </w:tr>
      <w:tr w:rsidR="00205469" w:rsidRPr="00594237" w14:paraId="4D1871B6" w14:textId="77777777" w:rsidTr="00D0608D">
        <w:tc>
          <w:tcPr>
            <w:tcW w:w="1668" w:type="dxa"/>
          </w:tcPr>
          <w:p w14:paraId="589D2486" w14:textId="77777777" w:rsidR="00205469" w:rsidRPr="00594237" w:rsidRDefault="00205469" w:rsidP="00100EF9">
            <w:pPr>
              <w:tabs>
                <w:tab w:val="center" w:pos="284"/>
              </w:tabs>
              <w:overflowPunct w:val="0"/>
              <w:autoSpaceDE w:val="0"/>
              <w:autoSpaceDN w:val="0"/>
              <w:adjustRightInd w:val="0"/>
              <w:ind w:left="266" w:hanging="266"/>
              <w:textAlignment w:val="baseline"/>
              <w:rPr>
                <w:b/>
              </w:rPr>
            </w:pPr>
          </w:p>
        </w:tc>
        <w:tc>
          <w:tcPr>
            <w:tcW w:w="7405" w:type="dxa"/>
          </w:tcPr>
          <w:p w14:paraId="1F8F0751" w14:textId="77777777" w:rsidR="00205469" w:rsidRPr="00594237" w:rsidRDefault="00205469" w:rsidP="00100EF9">
            <w:pPr>
              <w:tabs>
                <w:tab w:val="center" w:pos="284"/>
              </w:tabs>
              <w:overflowPunct w:val="0"/>
              <w:autoSpaceDE w:val="0"/>
              <w:autoSpaceDN w:val="0"/>
              <w:adjustRightInd w:val="0"/>
              <w:ind w:left="266" w:hanging="266"/>
              <w:textAlignment w:val="baseline"/>
            </w:pPr>
          </w:p>
        </w:tc>
      </w:tr>
      <w:tr w:rsidR="00594237" w:rsidRPr="00594237" w14:paraId="57747D28" w14:textId="77777777" w:rsidTr="00D0608D">
        <w:tc>
          <w:tcPr>
            <w:tcW w:w="1668" w:type="dxa"/>
          </w:tcPr>
          <w:p w14:paraId="7A081D5F" w14:textId="1DA4EDF6" w:rsidR="00594237" w:rsidRPr="00594237" w:rsidRDefault="00594237" w:rsidP="00100EF9">
            <w:pPr>
              <w:tabs>
                <w:tab w:val="center" w:pos="284"/>
              </w:tabs>
              <w:overflowPunct w:val="0"/>
              <w:autoSpaceDE w:val="0"/>
              <w:autoSpaceDN w:val="0"/>
              <w:adjustRightInd w:val="0"/>
              <w:ind w:left="266" w:hanging="266"/>
              <w:textAlignment w:val="baseline"/>
              <w:rPr>
                <w:b/>
              </w:rPr>
            </w:pPr>
            <w:r>
              <w:rPr>
                <w:b/>
              </w:rPr>
              <w:t>Références</w:t>
            </w:r>
          </w:p>
        </w:tc>
        <w:tc>
          <w:tcPr>
            <w:tcW w:w="7405" w:type="dxa"/>
          </w:tcPr>
          <w:p w14:paraId="245BB14C" w14:textId="0A43048D" w:rsidR="00594237" w:rsidRPr="00594237" w:rsidRDefault="00594237" w:rsidP="00100EF9">
            <w:pPr>
              <w:tabs>
                <w:tab w:val="center" w:pos="284"/>
              </w:tabs>
              <w:overflowPunct w:val="0"/>
              <w:autoSpaceDE w:val="0"/>
              <w:autoSpaceDN w:val="0"/>
              <w:adjustRightInd w:val="0"/>
              <w:ind w:left="266" w:hanging="266"/>
              <w:textAlignment w:val="baseline"/>
            </w:pPr>
            <w:r>
              <w:t>Avis exploratoire à la demande de la présidence chypriote du Conseil de l’Union européenne</w:t>
            </w:r>
          </w:p>
          <w:p w14:paraId="6CAD8281" w14:textId="77777777" w:rsidR="00594237" w:rsidRPr="00594237" w:rsidRDefault="00594237" w:rsidP="00100EF9">
            <w:pPr>
              <w:tabs>
                <w:tab w:val="center" w:pos="284"/>
              </w:tabs>
              <w:overflowPunct w:val="0"/>
              <w:autoSpaceDE w:val="0"/>
              <w:autoSpaceDN w:val="0"/>
              <w:adjustRightInd w:val="0"/>
              <w:ind w:left="266" w:hanging="266"/>
              <w:textAlignment w:val="baseline"/>
            </w:pPr>
            <w:r>
              <w:t>EESC-2025-03570-00-00-AC</w:t>
            </w:r>
          </w:p>
        </w:tc>
      </w:tr>
    </w:tbl>
    <w:p w14:paraId="2AF24FC2" w14:textId="77777777" w:rsidR="00594237" w:rsidRPr="00594237" w:rsidRDefault="00594237" w:rsidP="00100EF9">
      <w:pPr>
        <w:tabs>
          <w:tab w:val="center" w:pos="284"/>
        </w:tabs>
        <w:overflowPunct w:val="0"/>
        <w:autoSpaceDE w:val="0"/>
        <w:autoSpaceDN w:val="0"/>
        <w:adjustRightInd w:val="0"/>
        <w:ind w:left="266" w:hanging="266"/>
        <w:textAlignment w:val="baseline"/>
      </w:pPr>
    </w:p>
    <w:p w14:paraId="2CEA925B"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rPr>
      </w:pPr>
      <w:r>
        <w:rPr>
          <w:b/>
        </w:rPr>
        <w:t>Points clés</w:t>
      </w:r>
    </w:p>
    <w:p w14:paraId="3DFD6E79"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lang w:val="en-GB"/>
        </w:rPr>
      </w:pPr>
    </w:p>
    <w:p w14:paraId="6A6D3353" w14:textId="0A952B50" w:rsidR="002D77C8" w:rsidRPr="00594237" w:rsidRDefault="00594237" w:rsidP="00100EF9">
      <w:pPr>
        <w:overflowPunct w:val="0"/>
        <w:autoSpaceDE w:val="0"/>
        <w:autoSpaceDN w:val="0"/>
        <w:adjustRightInd w:val="0"/>
        <w:textAlignment w:val="baseline"/>
        <w:rPr>
          <w:bCs/>
          <w:iCs/>
        </w:rPr>
      </w:pPr>
      <w:r>
        <w:t xml:space="preserve">Le </w:t>
      </w:r>
      <w:proofErr w:type="gramStart"/>
      <w:r>
        <w:t>CESE:</w:t>
      </w:r>
      <w:proofErr w:type="gramEnd"/>
    </w:p>
    <w:p w14:paraId="646A6D1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proofErr w:type="gramStart"/>
      <w:r>
        <w:t>souligne</w:t>
      </w:r>
      <w:proofErr w:type="gramEnd"/>
      <w:r>
        <w:t xml:space="preserve"> que le secteur européen de l’électricité doit avoir la possibilité de planifier les besoins du système électrique au niveau de l’Union européenne, mais aussi des pays partenaires, en se fondant sur un scénario énergétique commun défini par la Commission et les gestionnaires de réseau nationaux.</w:t>
      </w:r>
    </w:p>
    <w:p w14:paraId="61E86BFD"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proofErr w:type="gramStart"/>
      <w:r>
        <w:t>fait</w:t>
      </w:r>
      <w:proofErr w:type="gramEnd"/>
      <w:r>
        <w:t xml:space="preserve"> observer que la valeur des interconnexions doit être considérée soit comme un avantage partagé entre deux États, selon une approche bilatérale, soit dans l’optique de bénéficier à l’ensemble du système, et pas seulement aux deux États qui accueillent l’interconnexion. Dans ce deuxième cas de figure, les travaux menés de concert par l’Agence de l’Union européenne pour la coopération des régulateurs de l’énergie, les régulateurs nationaux et les gestionnaires de réseau doivent donner lieu à de nouveaux modèles économiques.</w:t>
      </w:r>
    </w:p>
    <w:p w14:paraId="2C83B82E"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proofErr w:type="gramStart"/>
      <w:r>
        <w:t>relève</w:t>
      </w:r>
      <w:proofErr w:type="gramEnd"/>
      <w:r>
        <w:t xml:space="preserve"> que, si l’on veut que les interconnexions soient efficaces, il faut les développer en parallèle des infrastructures nationales pertinentes, surtout aux niveaux des gestionnaires de réseau de transport (GRT) et des gestionnaires de réseau de distribution (GRD). La création de capacités d’interconnexion doit être l’occasion de favoriser la solidarité européenne en matière de réseaux électriques.</w:t>
      </w:r>
    </w:p>
    <w:p w14:paraId="543D8C6F"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proofErr w:type="gramStart"/>
      <w:r>
        <w:t>fait</w:t>
      </w:r>
      <w:proofErr w:type="gramEnd"/>
      <w:r>
        <w:t xml:space="preserve"> observer que l’optimisation économique du système électrique européen nécessite d’installer partout des compteurs intelligents, de consentir encore des investissements supplémentaires dans les réseaux de transport et de distribution, et de rendre accessibles les données relatives au flux d’énergie;</w:t>
      </w:r>
    </w:p>
    <w:p w14:paraId="5841625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proofErr w:type="gramStart"/>
      <w:r>
        <w:t>considère</w:t>
      </w:r>
      <w:proofErr w:type="gramEnd"/>
      <w:r>
        <w:t xml:space="preserve"> que la sécurité du système électrique doit être une priorité, tant en ce qui concerne les attaques physiques, les actes de sabotage et les </w:t>
      </w:r>
      <w:proofErr w:type="spellStart"/>
      <w:r>
        <w:t>cyberrisques</w:t>
      </w:r>
      <w:proofErr w:type="spellEnd"/>
      <w:r>
        <w:t xml:space="preserve"> que les risques liés à l’équilibrage du système;</w:t>
      </w:r>
    </w:p>
    <w:p w14:paraId="5F670357"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proofErr w:type="gramStart"/>
      <w:r>
        <w:t>demande</w:t>
      </w:r>
      <w:proofErr w:type="gramEnd"/>
      <w:r>
        <w:t xml:space="preserve"> que l’optimisation des infrastructures existantes soit privilégiée, avant d’envisager d’en créer de nouvelles.</w:t>
      </w:r>
    </w:p>
    <w:p w14:paraId="7F7D5FFE" w14:textId="77777777" w:rsidR="00594237" w:rsidRPr="00594237" w:rsidRDefault="00594237" w:rsidP="00100EF9">
      <w:pPr>
        <w:widowControl w:val="0"/>
        <w:overflowPunct w:val="0"/>
        <w:autoSpaceDE w:val="0"/>
        <w:autoSpaceDN w:val="0"/>
        <w:adjustRightInd w:val="0"/>
        <w:ind w:left="709"/>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12"/>
      </w:tblGrid>
      <w:tr w:rsidR="00594237" w:rsidRPr="00594237" w14:paraId="0AB1B93A" w14:textId="77777777" w:rsidTr="00D0608D">
        <w:tc>
          <w:tcPr>
            <w:tcW w:w="1668" w:type="dxa"/>
          </w:tcPr>
          <w:p w14:paraId="07D8992D" w14:textId="77777777" w:rsidR="00594237" w:rsidRPr="00594237" w:rsidRDefault="00594237" w:rsidP="00100EF9">
            <w:pPr>
              <w:overflowPunct w:val="0"/>
              <w:autoSpaceDE w:val="0"/>
              <w:autoSpaceDN w:val="0"/>
              <w:adjustRightInd w:val="0"/>
              <w:textAlignment w:val="baseline"/>
              <w:rPr>
                <w:i/>
              </w:rPr>
            </w:pPr>
            <w:r>
              <w:rPr>
                <w:b/>
                <w:i/>
              </w:rPr>
              <w:t>Contact</w:t>
            </w:r>
          </w:p>
        </w:tc>
        <w:tc>
          <w:tcPr>
            <w:tcW w:w="7512" w:type="dxa"/>
          </w:tcPr>
          <w:p w14:paraId="1B78F73E" w14:textId="78914975" w:rsidR="00594237" w:rsidRPr="00594237" w:rsidRDefault="00594237" w:rsidP="00100EF9">
            <w:pPr>
              <w:overflowPunct w:val="0"/>
              <w:autoSpaceDE w:val="0"/>
              <w:autoSpaceDN w:val="0"/>
              <w:adjustRightInd w:val="0"/>
              <w:textAlignment w:val="baseline"/>
              <w:rPr>
                <w:i/>
              </w:rPr>
            </w:pPr>
            <w:r>
              <w:rPr>
                <w:i/>
              </w:rPr>
              <w:t>Giorgia Bordignon</w:t>
            </w:r>
          </w:p>
        </w:tc>
      </w:tr>
      <w:tr w:rsidR="00594237" w:rsidRPr="00594237" w14:paraId="6912C935" w14:textId="77777777" w:rsidTr="00D0608D">
        <w:tc>
          <w:tcPr>
            <w:tcW w:w="1668" w:type="dxa"/>
          </w:tcPr>
          <w:p w14:paraId="5F1BA648" w14:textId="77777777" w:rsidR="00594237" w:rsidRPr="00594237" w:rsidRDefault="00594237" w:rsidP="00100EF9">
            <w:pPr>
              <w:overflowPunct w:val="0"/>
              <w:autoSpaceDE w:val="0"/>
              <w:autoSpaceDN w:val="0"/>
              <w:adjustRightInd w:val="0"/>
              <w:textAlignment w:val="baseline"/>
              <w:rPr>
                <w:i/>
              </w:rPr>
            </w:pPr>
            <w:proofErr w:type="gramStart"/>
            <w:r>
              <w:rPr>
                <w:i/>
              </w:rPr>
              <w:t>Tél.:</w:t>
            </w:r>
            <w:proofErr w:type="gramEnd"/>
          </w:p>
        </w:tc>
        <w:tc>
          <w:tcPr>
            <w:tcW w:w="7512" w:type="dxa"/>
          </w:tcPr>
          <w:p w14:paraId="42C70B8C" w14:textId="0FF6B91B" w:rsidR="00594237" w:rsidRPr="00594237" w:rsidRDefault="00594237" w:rsidP="00100EF9">
            <w:pPr>
              <w:overflowPunct w:val="0"/>
              <w:autoSpaceDE w:val="0"/>
              <w:autoSpaceDN w:val="0"/>
              <w:adjustRightInd w:val="0"/>
              <w:textAlignment w:val="baseline"/>
              <w:rPr>
                <w:i/>
              </w:rPr>
            </w:pPr>
            <w:r>
              <w:rPr>
                <w:i/>
              </w:rPr>
              <w:t>+32 2 546 8535</w:t>
            </w:r>
          </w:p>
        </w:tc>
      </w:tr>
      <w:tr w:rsidR="00594237" w:rsidRPr="00594237" w14:paraId="2BBC59B6" w14:textId="77777777" w:rsidTr="00D0608D">
        <w:tc>
          <w:tcPr>
            <w:tcW w:w="1668" w:type="dxa"/>
          </w:tcPr>
          <w:p w14:paraId="10BDDDCF" w14:textId="77777777" w:rsidR="00594237" w:rsidRPr="00594237" w:rsidRDefault="00594237" w:rsidP="00100EF9">
            <w:pPr>
              <w:overflowPunct w:val="0"/>
              <w:autoSpaceDE w:val="0"/>
              <w:autoSpaceDN w:val="0"/>
              <w:adjustRightInd w:val="0"/>
              <w:textAlignment w:val="baseline"/>
              <w:rPr>
                <w:i/>
              </w:rPr>
            </w:pPr>
            <w:proofErr w:type="gramStart"/>
            <w:r>
              <w:rPr>
                <w:i/>
              </w:rPr>
              <w:t>Courriel:</w:t>
            </w:r>
            <w:proofErr w:type="gramEnd"/>
          </w:p>
        </w:tc>
        <w:tc>
          <w:tcPr>
            <w:tcW w:w="7512" w:type="dxa"/>
          </w:tcPr>
          <w:p w14:paraId="5EF302B9" w14:textId="77777777" w:rsidR="00594237" w:rsidRPr="00594237" w:rsidRDefault="00AA7EB8" w:rsidP="00100EF9">
            <w:pPr>
              <w:overflowPunct w:val="0"/>
              <w:autoSpaceDE w:val="0"/>
              <w:autoSpaceDN w:val="0"/>
              <w:adjustRightInd w:val="0"/>
              <w:textAlignment w:val="baseline"/>
              <w:rPr>
                <w:i/>
              </w:rPr>
            </w:pPr>
            <w:hyperlink r:id="rId37" w:history="1">
              <w:r w:rsidR="00E235D3">
                <w:rPr>
                  <w:i/>
                  <w:color w:val="0000FF"/>
                  <w:u w:val="single"/>
                </w:rPr>
                <w:t>GiorgiaAndrea.Bordignon@eesc.europa.eu</w:t>
              </w:r>
            </w:hyperlink>
          </w:p>
        </w:tc>
      </w:tr>
    </w:tbl>
    <w:p w14:paraId="79D0072B" w14:textId="77777777" w:rsidR="004D7AC0" w:rsidRDefault="004D7AC0" w:rsidP="00100EF9">
      <w:pPr>
        <w:pStyle w:val="ListParagraph"/>
        <w:ind w:left="0"/>
      </w:pPr>
    </w:p>
    <w:p w14:paraId="4982DDF2" w14:textId="77777777" w:rsidR="004D7AC0" w:rsidRDefault="004D7AC0" w:rsidP="00100EF9">
      <w:pPr>
        <w:jc w:val="left"/>
      </w:pPr>
      <w:r>
        <w:br w:type="page"/>
      </w:r>
    </w:p>
    <w:p w14:paraId="4982DE1F" w14:textId="77777777" w:rsidR="004D7AC0" w:rsidRDefault="004D7AC0" w:rsidP="00100EF9">
      <w:pPr>
        <w:pStyle w:val="Heading1"/>
        <w:rPr>
          <w:b/>
        </w:rPr>
      </w:pPr>
      <w:bookmarkStart w:id="27" w:name="_Toc70322234"/>
      <w:bookmarkStart w:id="28" w:name="_Toc75527084"/>
      <w:bookmarkStart w:id="29" w:name="_Toc223514745"/>
      <w:r>
        <w:rPr>
          <w:b/>
        </w:rPr>
        <w:lastRenderedPageBreak/>
        <w:t>AGRICULTURE, DÉVELOPPEMENT RURAL ET ENVIRONNEMENT</w:t>
      </w:r>
      <w:bookmarkEnd w:id="27"/>
      <w:bookmarkEnd w:id="28"/>
      <w:bookmarkEnd w:id="29"/>
    </w:p>
    <w:p w14:paraId="4982DE20" w14:textId="77777777" w:rsidR="004D7AC0" w:rsidRDefault="004D7AC0" w:rsidP="00100EF9"/>
    <w:p w14:paraId="2C76C141" w14:textId="0727FF4D" w:rsidR="00621347" w:rsidRPr="00621347" w:rsidRDefault="00AA7EB8" w:rsidP="00100EF9">
      <w:pPr>
        <w:widowControl w:val="0"/>
        <w:numPr>
          <w:ilvl w:val="0"/>
          <w:numId w:val="6"/>
        </w:numPr>
        <w:overflowPunct w:val="0"/>
        <w:autoSpaceDE w:val="0"/>
        <w:autoSpaceDN w:val="0"/>
        <w:adjustRightInd w:val="0"/>
        <w:ind w:hanging="567"/>
        <w:textAlignment w:val="baseline"/>
        <w:rPr>
          <w:i/>
          <w:iCs/>
          <w:sz w:val="28"/>
          <w:szCs w:val="28"/>
        </w:rPr>
      </w:pPr>
      <w:hyperlink r:id="rId38" w:history="1">
        <w:r w:rsidR="00E235D3">
          <w:rPr>
            <w:b/>
            <w:i/>
            <w:color w:val="0000FF"/>
            <w:sz w:val="28"/>
            <w:u w:val="single"/>
          </w:rPr>
          <w:t>Feuille de route pour les crédits nature</w:t>
        </w:r>
      </w:hyperlink>
    </w:p>
    <w:p w14:paraId="62E0B68C"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1"/>
      </w:tblGrid>
      <w:tr w:rsidR="00621347" w:rsidRPr="00621347" w14:paraId="5980278B" w14:textId="77777777" w:rsidTr="00D0608D">
        <w:tc>
          <w:tcPr>
            <w:tcW w:w="898" w:type="pct"/>
          </w:tcPr>
          <w:p w14:paraId="61C81431"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Rapporteur</w:t>
            </w:r>
          </w:p>
        </w:tc>
        <w:tc>
          <w:tcPr>
            <w:tcW w:w="4102" w:type="pct"/>
          </w:tcPr>
          <w:p w14:paraId="53BB74E4" w14:textId="19992D32" w:rsidR="00621347" w:rsidRPr="00621347" w:rsidRDefault="00621347" w:rsidP="00100EF9">
            <w:pPr>
              <w:tabs>
                <w:tab w:val="center" w:pos="284"/>
              </w:tabs>
              <w:overflowPunct w:val="0"/>
              <w:autoSpaceDE w:val="0"/>
              <w:autoSpaceDN w:val="0"/>
              <w:adjustRightInd w:val="0"/>
              <w:ind w:left="266" w:right="-3091" w:hanging="266"/>
              <w:textAlignment w:val="baseline"/>
            </w:pPr>
            <w:r>
              <w:t>Arnaud SCHWARTZ (groupe des organisations de la société civile — FR)</w:t>
            </w:r>
          </w:p>
        </w:tc>
      </w:tr>
      <w:tr w:rsidR="00621347" w:rsidRPr="00621347" w14:paraId="0CEBEBE7" w14:textId="77777777" w:rsidTr="00D0608D">
        <w:tc>
          <w:tcPr>
            <w:tcW w:w="898" w:type="pct"/>
          </w:tcPr>
          <w:p w14:paraId="2479DBBC"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Corapporteur</w:t>
            </w:r>
          </w:p>
        </w:tc>
        <w:tc>
          <w:tcPr>
            <w:tcW w:w="4102" w:type="pct"/>
          </w:tcPr>
          <w:p w14:paraId="71EF85C6" w14:textId="36F8549C" w:rsidR="00630779" w:rsidRPr="00621347" w:rsidRDefault="00621347" w:rsidP="00100EF9">
            <w:pPr>
              <w:tabs>
                <w:tab w:val="center" w:pos="284"/>
              </w:tabs>
              <w:overflowPunct w:val="0"/>
              <w:autoSpaceDE w:val="0"/>
              <w:autoSpaceDN w:val="0"/>
              <w:adjustRightInd w:val="0"/>
              <w:ind w:left="266" w:right="-3091" w:hanging="266"/>
              <w:textAlignment w:val="baseline"/>
            </w:pPr>
            <w:proofErr w:type="spellStart"/>
            <w:r>
              <w:t>Teppo</w:t>
            </w:r>
            <w:proofErr w:type="spellEnd"/>
            <w:r>
              <w:t> SÄKKINEN (groupe des employeurs — FI)</w:t>
            </w:r>
          </w:p>
        </w:tc>
      </w:tr>
      <w:tr w:rsidR="00205469" w:rsidRPr="00621347" w14:paraId="778CD321" w14:textId="77777777" w:rsidTr="00D0608D">
        <w:tc>
          <w:tcPr>
            <w:tcW w:w="898" w:type="pct"/>
          </w:tcPr>
          <w:p w14:paraId="7759C9B9" w14:textId="77777777" w:rsidR="00205469" w:rsidRPr="003F66F7" w:rsidRDefault="00205469" w:rsidP="00100EF9">
            <w:pPr>
              <w:tabs>
                <w:tab w:val="center" w:pos="284"/>
              </w:tabs>
              <w:overflowPunct w:val="0"/>
              <w:autoSpaceDE w:val="0"/>
              <w:autoSpaceDN w:val="0"/>
              <w:adjustRightInd w:val="0"/>
              <w:ind w:left="266" w:hanging="266"/>
              <w:textAlignment w:val="baseline"/>
              <w:rPr>
                <w:b/>
                <w:lang w:val="en-GB"/>
              </w:rPr>
            </w:pPr>
          </w:p>
        </w:tc>
        <w:tc>
          <w:tcPr>
            <w:tcW w:w="4102" w:type="pct"/>
          </w:tcPr>
          <w:p w14:paraId="4A9CAC5A" w14:textId="77777777" w:rsidR="00205469" w:rsidRPr="00621347" w:rsidRDefault="00205469" w:rsidP="00100EF9">
            <w:pPr>
              <w:tabs>
                <w:tab w:val="center" w:pos="284"/>
              </w:tabs>
              <w:overflowPunct w:val="0"/>
              <w:autoSpaceDE w:val="0"/>
              <w:autoSpaceDN w:val="0"/>
              <w:adjustRightInd w:val="0"/>
              <w:ind w:left="266" w:right="-3091" w:hanging="266"/>
              <w:textAlignment w:val="baseline"/>
            </w:pPr>
          </w:p>
        </w:tc>
      </w:tr>
      <w:tr w:rsidR="00621347" w:rsidRPr="00621347" w14:paraId="27481885" w14:textId="77777777" w:rsidTr="00D0608D">
        <w:tc>
          <w:tcPr>
            <w:tcW w:w="898" w:type="pct"/>
          </w:tcPr>
          <w:p w14:paraId="51C5B0D8"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Références</w:t>
            </w:r>
          </w:p>
        </w:tc>
        <w:tc>
          <w:tcPr>
            <w:tcW w:w="4102" w:type="pct"/>
          </w:tcPr>
          <w:p w14:paraId="72CD413C" w14:textId="352FF01B" w:rsidR="00CC7D10" w:rsidRDefault="00124E6A" w:rsidP="00100EF9">
            <w:pPr>
              <w:tabs>
                <w:tab w:val="center" w:pos="284"/>
              </w:tabs>
              <w:overflowPunct w:val="0"/>
              <w:autoSpaceDE w:val="0"/>
              <w:autoSpaceDN w:val="0"/>
              <w:adjustRightInd w:val="0"/>
              <w:ind w:left="266" w:right="-3091" w:hanging="266"/>
              <w:textAlignment w:val="baseline"/>
            </w:pPr>
            <w:proofErr w:type="gramStart"/>
            <w:r>
              <w:t>COM(</w:t>
            </w:r>
            <w:proofErr w:type="gramEnd"/>
            <w:r>
              <w:t>2025) 374 final</w:t>
            </w:r>
          </w:p>
          <w:p w14:paraId="281E2397" w14:textId="6410C7C8" w:rsidR="00621347" w:rsidRPr="00621347" w:rsidRDefault="00621347" w:rsidP="00100EF9">
            <w:pPr>
              <w:tabs>
                <w:tab w:val="center" w:pos="284"/>
              </w:tabs>
              <w:overflowPunct w:val="0"/>
              <w:autoSpaceDE w:val="0"/>
              <w:autoSpaceDN w:val="0"/>
              <w:adjustRightInd w:val="0"/>
              <w:ind w:left="266" w:right="-3091" w:hanging="266"/>
              <w:textAlignment w:val="baseline"/>
            </w:pPr>
            <w:r>
              <w:t>EESC-2025-03041-00-00-AC</w:t>
            </w:r>
          </w:p>
        </w:tc>
      </w:tr>
    </w:tbl>
    <w:p w14:paraId="13E176CB"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p w14:paraId="4B97005E"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rPr>
      </w:pPr>
      <w:r>
        <w:rPr>
          <w:b/>
        </w:rPr>
        <w:t>Points clés</w:t>
      </w:r>
    </w:p>
    <w:p w14:paraId="7AF5FFF2"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lang w:val="en-GB"/>
        </w:rPr>
      </w:pPr>
    </w:p>
    <w:p w14:paraId="4A68D309" w14:textId="77777777" w:rsidR="00621347" w:rsidRDefault="00621347" w:rsidP="00100EF9">
      <w:pPr>
        <w:overflowPunct w:val="0"/>
        <w:autoSpaceDE w:val="0"/>
        <w:autoSpaceDN w:val="0"/>
        <w:adjustRightInd w:val="0"/>
        <w:textAlignment w:val="baseline"/>
        <w:rPr>
          <w:szCs w:val="20"/>
        </w:rPr>
      </w:pPr>
      <w:r>
        <w:t xml:space="preserve">Le CESE demande à la Commission </w:t>
      </w:r>
      <w:proofErr w:type="gramStart"/>
      <w:r>
        <w:t>européenne:</w:t>
      </w:r>
      <w:proofErr w:type="gramEnd"/>
    </w:p>
    <w:p w14:paraId="3274DE4E" w14:textId="0652F3F9" w:rsidR="00621347" w:rsidRPr="00621347" w:rsidRDefault="00621347" w:rsidP="007526DA">
      <w:pPr>
        <w:pStyle w:val="ListParagraph"/>
        <w:numPr>
          <w:ilvl w:val="0"/>
          <w:numId w:val="29"/>
        </w:numPr>
        <w:ind w:left="567" w:hanging="578"/>
        <w:rPr>
          <w:szCs w:val="20"/>
        </w:rPr>
      </w:pPr>
      <w:bookmarkStart w:id="30" w:name="_Toc222988740"/>
      <w:bookmarkStart w:id="31" w:name="_Toc222989237"/>
      <w:bookmarkStart w:id="32" w:name="_Toc222989275"/>
      <w:bookmarkStart w:id="33" w:name="_Toc222825837"/>
      <w:bookmarkEnd w:id="30"/>
      <w:bookmarkEnd w:id="31"/>
      <w:bookmarkEnd w:id="32"/>
      <w:proofErr w:type="gramStart"/>
      <w:r>
        <w:t>de</w:t>
      </w:r>
      <w:proofErr w:type="gramEnd"/>
      <w:r>
        <w:t xml:space="preserve"> veiller à ce que les objectifs de financement de la biodiversité fixés par le cadre mondial de la biodiversité soient atteints. C’est là une ambition qui nécessite un financement public suffisant, stable et versé en temps utile, y compris au titre du budget de l’Union européenne, et la suppression progressive des subventions, telles que les subventions aux combustibles fossiles, préjudiciables à l’environnement. Les</w:t>
      </w:r>
      <w:proofErr w:type="gramStart"/>
      <w:r>
        <w:t xml:space="preserve"> «crédits</w:t>
      </w:r>
      <w:proofErr w:type="gramEnd"/>
      <w:r>
        <w:t xml:space="preserve"> nature» peuvent être un outil permettant d’aider à combler le déficit de moyens et à mobiliser des financements privés, en complétant les fonds publics, sans toutefois les remplacer;</w:t>
      </w:r>
      <w:bookmarkEnd w:id="33"/>
    </w:p>
    <w:p w14:paraId="48812E9A" w14:textId="77777777" w:rsidR="00621347" w:rsidRPr="00F43315" w:rsidRDefault="00621347" w:rsidP="007526DA">
      <w:pPr>
        <w:pStyle w:val="ListParagraph"/>
        <w:numPr>
          <w:ilvl w:val="0"/>
          <w:numId w:val="29"/>
        </w:numPr>
        <w:ind w:left="567" w:hanging="578"/>
        <w:rPr>
          <w:szCs w:val="20"/>
        </w:rPr>
      </w:pPr>
      <w:bookmarkStart w:id="34" w:name="_Toc222825838"/>
      <w:proofErr w:type="gramStart"/>
      <w:r>
        <w:t>d’imposer</w:t>
      </w:r>
      <w:proofErr w:type="gramEnd"/>
      <w:r>
        <w:t xml:space="preserve"> l’application de la législation environnementale et le respect des principes fondamentaux, en ce qu’ils représentent un outil efficace pour garantir la réalisation des objectifs en matière de biodiversité, pour combler le déficit de financement et former la base d’un cadre fiable pour les crédits nature;</w:t>
      </w:r>
      <w:bookmarkEnd w:id="34"/>
    </w:p>
    <w:p w14:paraId="1EE5A2BD" w14:textId="6CCEB5F0" w:rsidR="00621347" w:rsidRPr="00F43315" w:rsidRDefault="00621347" w:rsidP="007526DA">
      <w:pPr>
        <w:pStyle w:val="ListParagraph"/>
        <w:numPr>
          <w:ilvl w:val="0"/>
          <w:numId w:val="29"/>
        </w:numPr>
        <w:ind w:left="567" w:hanging="578"/>
        <w:rPr>
          <w:szCs w:val="20"/>
        </w:rPr>
      </w:pPr>
      <w:bookmarkStart w:id="35" w:name="_Toc222825839"/>
      <w:proofErr w:type="gramStart"/>
      <w:r>
        <w:t>de</w:t>
      </w:r>
      <w:proofErr w:type="gramEnd"/>
      <w:r>
        <w:t xml:space="preserve"> garantir que le cadre pour les crédits nature se fonde sur des principes stricts de haute intégrité ainsi que sur la hiérarchie des mesures d’atténuation et autres garanties environnementales, climatiques et sociales, et qu’il évalue de façon systématique que les projets les respectent bien. Les méthodes utilisées devront être globales et scientifiques et reposer sur une approche écologiquement intégrée qui se fonde sur les </w:t>
      </w:r>
      <w:proofErr w:type="gramStart"/>
      <w:r>
        <w:t>résultats;</w:t>
      </w:r>
      <w:bookmarkEnd w:id="35"/>
      <w:proofErr w:type="gramEnd"/>
    </w:p>
    <w:p w14:paraId="6AA0E980" w14:textId="011DCE8C" w:rsidR="00621347" w:rsidRPr="00F43315" w:rsidRDefault="00621347" w:rsidP="007526DA">
      <w:pPr>
        <w:pStyle w:val="ListParagraph"/>
        <w:numPr>
          <w:ilvl w:val="0"/>
          <w:numId w:val="29"/>
        </w:numPr>
        <w:ind w:left="567" w:hanging="578"/>
        <w:rPr>
          <w:szCs w:val="20"/>
        </w:rPr>
      </w:pPr>
      <w:bookmarkStart w:id="36" w:name="_Toc222825840"/>
      <w:proofErr w:type="gramStart"/>
      <w:r>
        <w:t>de</w:t>
      </w:r>
      <w:proofErr w:type="gramEnd"/>
      <w:r>
        <w:t xml:space="preserve"> s’assurer que le cadre de gouvernance du marché des crédits nature soit fondé sur des données scientifiques, inclusif, transparent et participatif, en accordant la priorité aux acteurs susceptibles de restaurer et de préserver la nature, ainsi qu’aux groupes vulnérables et marginalisés, tels que les jeunes, les femmes, les collectivités rurales et les populations locales. Il convient de garantir une gestion et une appropriation transparentes et équitables des </w:t>
      </w:r>
      <w:proofErr w:type="gramStart"/>
      <w:r>
        <w:t>données;</w:t>
      </w:r>
      <w:bookmarkEnd w:id="36"/>
      <w:proofErr w:type="gramEnd"/>
    </w:p>
    <w:p w14:paraId="3A2AC039" w14:textId="2F75D698" w:rsidR="00621347" w:rsidRPr="00F43315" w:rsidRDefault="00621347" w:rsidP="007526DA">
      <w:pPr>
        <w:pStyle w:val="ListParagraph"/>
        <w:numPr>
          <w:ilvl w:val="0"/>
          <w:numId w:val="29"/>
        </w:numPr>
        <w:ind w:left="567" w:hanging="578"/>
        <w:rPr>
          <w:szCs w:val="20"/>
        </w:rPr>
      </w:pPr>
      <w:bookmarkStart w:id="37" w:name="_Toc222825841"/>
      <w:proofErr w:type="gramStart"/>
      <w:r>
        <w:t>d’aborder</w:t>
      </w:r>
      <w:proofErr w:type="gramEnd"/>
      <w:r>
        <w:t xml:space="preserve"> avec prudence la nécessité d’une directive ou d’un règlement, sachant que l’établissement de crédits nature et de marchés devrait rester volontaire tout en respectant des règles et critères stricts. Le cadre devrait se concentrer principalement sur les contributions positives, là où le recours à la compensation devrait être laissé à la discrétion des États membres afin de ne pas compromettre les initiatives ambitieuses existantes au niveau </w:t>
      </w:r>
      <w:proofErr w:type="gramStart"/>
      <w:r>
        <w:t>national;</w:t>
      </w:r>
      <w:bookmarkEnd w:id="37"/>
      <w:proofErr w:type="gramEnd"/>
    </w:p>
    <w:p w14:paraId="151D13B1" w14:textId="3080CBDB" w:rsidR="00621347" w:rsidRPr="00F43315" w:rsidRDefault="00621347" w:rsidP="007526DA">
      <w:pPr>
        <w:pStyle w:val="ListParagraph"/>
        <w:numPr>
          <w:ilvl w:val="0"/>
          <w:numId w:val="29"/>
        </w:numPr>
        <w:ind w:left="567" w:hanging="578"/>
        <w:rPr>
          <w:szCs w:val="20"/>
        </w:rPr>
      </w:pPr>
      <w:bookmarkStart w:id="38" w:name="_Toc222825842"/>
      <w:proofErr w:type="gramStart"/>
      <w:r>
        <w:t>de</w:t>
      </w:r>
      <w:proofErr w:type="gramEnd"/>
      <w:r>
        <w:t xml:space="preserve"> clarifier l’alignement des crédits nature sur d’autres politiques, telles que la PAC. Les crédits nature et les marchés doivent être construits de manière à permettre à la bioéconomie, à l’économie circulaire, à la production alimentaire durable ou encore à la sylviculture de prospérer au sein de l’Union. Il faudrait que le cadre évite d’alourdir inutilement la charge administrative pesant sur les praticiens, en particulier les plus modestes d’entre eux, tout en garantissant la haute intégrité et une approche </w:t>
      </w:r>
      <w:proofErr w:type="gramStart"/>
      <w:r>
        <w:t>scientifique;</w:t>
      </w:r>
      <w:bookmarkEnd w:id="38"/>
      <w:proofErr w:type="gramEnd"/>
    </w:p>
    <w:p w14:paraId="17891DA2" w14:textId="173A8059" w:rsidR="00621347" w:rsidRPr="00F43315" w:rsidRDefault="00621347" w:rsidP="007526DA">
      <w:pPr>
        <w:pStyle w:val="ListParagraph"/>
        <w:numPr>
          <w:ilvl w:val="0"/>
          <w:numId w:val="29"/>
        </w:numPr>
        <w:ind w:left="567" w:hanging="578"/>
        <w:rPr>
          <w:szCs w:val="20"/>
        </w:rPr>
      </w:pPr>
      <w:bookmarkStart w:id="39" w:name="_Toc222825843"/>
      <w:proofErr w:type="gramStart"/>
      <w:r>
        <w:lastRenderedPageBreak/>
        <w:t>de</w:t>
      </w:r>
      <w:proofErr w:type="gramEnd"/>
      <w:r>
        <w:t xml:space="preserve"> s’assurer que les crédits n’entraînent pas de marchandisation. Tout devrait être fait pour éviter l’accaparement des terres et la spéculation. Les crédits nature devraient toujours privilégier l’intégrité par rapport à la rentabilité à court terme, ainsi que la répartition équitable des avantages et contribuer à réduire les </w:t>
      </w:r>
      <w:proofErr w:type="gramStart"/>
      <w:r>
        <w:t>inégalités;</w:t>
      </w:r>
      <w:bookmarkEnd w:id="39"/>
      <w:proofErr w:type="gramEnd"/>
    </w:p>
    <w:p w14:paraId="02428967" w14:textId="77777777" w:rsidR="00621347" w:rsidRPr="00F43315" w:rsidRDefault="00621347" w:rsidP="007526DA">
      <w:pPr>
        <w:pStyle w:val="ListParagraph"/>
        <w:numPr>
          <w:ilvl w:val="0"/>
          <w:numId w:val="29"/>
        </w:numPr>
        <w:ind w:left="567" w:hanging="578"/>
        <w:rPr>
          <w:szCs w:val="20"/>
        </w:rPr>
      </w:pPr>
      <w:bookmarkStart w:id="40" w:name="_Toc222825844"/>
      <w:proofErr w:type="gramStart"/>
      <w:r>
        <w:t>de</w:t>
      </w:r>
      <w:proofErr w:type="gramEnd"/>
      <w:r>
        <w:t xml:space="preserve"> s’engager avec prudence dans des projets en dehors de l’Union, en gardant à l’esprit que les méthodologies et cadres de gouvernance élaborés en Europe pourraient ne pas être adaptés à des contextes sociaux, culturels, juridiques, politiques et écologiques étrangers, tout en suscitant des effets positifs ailleurs dans le monde.</w:t>
      </w:r>
      <w:bookmarkEnd w:id="40"/>
    </w:p>
    <w:p w14:paraId="4D9DD4B6" w14:textId="77777777" w:rsidR="00621347" w:rsidRPr="00621347" w:rsidRDefault="00621347" w:rsidP="00100EF9">
      <w:pPr>
        <w:widowControl w:val="0"/>
        <w:overflowPunct w:val="0"/>
        <w:autoSpaceDE w:val="0"/>
        <w:autoSpaceDN w:val="0"/>
        <w:adjustRightInd w:val="0"/>
        <w:ind w:left="709"/>
        <w:textAlignment w:val="baseline"/>
        <w:rPr>
          <w:szCs w:val="20"/>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1"/>
      </w:tblGrid>
      <w:tr w:rsidR="00621347" w:rsidRPr="00621347" w14:paraId="4C4EEF76" w14:textId="77777777" w:rsidTr="00D0608D">
        <w:tc>
          <w:tcPr>
            <w:tcW w:w="898" w:type="pct"/>
          </w:tcPr>
          <w:p w14:paraId="3AF62EF9" w14:textId="77777777" w:rsidR="00621347" w:rsidRPr="00621347" w:rsidRDefault="00621347" w:rsidP="00100EF9">
            <w:pPr>
              <w:overflowPunct w:val="0"/>
              <w:autoSpaceDE w:val="0"/>
              <w:autoSpaceDN w:val="0"/>
              <w:adjustRightInd w:val="0"/>
              <w:textAlignment w:val="baseline"/>
              <w:rPr>
                <w:i/>
              </w:rPr>
            </w:pPr>
            <w:r>
              <w:rPr>
                <w:b/>
                <w:i/>
              </w:rPr>
              <w:t>Contact</w:t>
            </w:r>
          </w:p>
        </w:tc>
        <w:tc>
          <w:tcPr>
            <w:tcW w:w="4102" w:type="pct"/>
          </w:tcPr>
          <w:p w14:paraId="1174E3AC" w14:textId="582EC194" w:rsidR="00621347" w:rsidRPr="00621347" w:rsidRDefault="00621347" w:rsidP="00100EF9">
            <w:pPr>
              <w:overflowPunct w:val="0"/>
              <w:autoSpaceDE w:val="0"/>
              <w:autoSpaceDN w:val="0"/>
              <w:adjustRightInd w:val="0"/>
              <w:textAlignment w:val="baseline"/>
              <w:rPr>
                <w:i/>
              </w:rPr>
            </w:pPr>
            <w:r>
              <w:rPr>
                <w:i/>
              </w:rPr>
              <w:t>Gaia Bottoni</w:t>
            </w:r>
          </w:p>
        </w:tc>
      </w:tr>
      <w:tr w:rsidR="00621347" w:rsidRPr="00621347" w14:paraId="60C3DC59" w14:textId="77777777" w:rsidTr="00D0608D">
        <w:tc>
          <w:tcPr>
            <w:tcW w:w="898" w:type="pct"/>
          </w:tcPr>
          <w:p w14:paraId="0B4561A1" w14:textId="77777777" w:rsidR="00621347" w:rsidRPr="00621347" w:rsidRDefault="00621347" w:rsidP="00100EF9">
            <w:pPr>
              <w:overflowPunct w:val="0"/>
              <w:autoSpaceDE w:val="0"/>
              <w:autoSpaceDN w:val="0"/>
              <w:adjustRightInd w:val="0"/>
              <w:textAlignment w:val="baseline"/>
              <w:rPr>
                <w:i/>
              </w:rPr>
            </w:pPr>
            <w:proofErr w:type="gramStart"/>
            <w:r>
              <w:rPr>
                <w:i/>
              </w:rPr>
              <w:t>Tél.:</w:t>
            </w:r>
            <w:proofErr w:type="gramEnd"/>
          </w:p>
        </w:tc>
        <w:tc>
          <w:tcPr>
            <w:tcW w:w="4102" w:type="pct"/>
          </w:tcPr>
          <w:p w14:paraId="7FBF1635" w14:textId="73B5954C" w:rsidR="00621347" w:rsidRPr="00621347" w:rsidRDefault="00621347" w:rsidP="00100EF9">
            <w:pPr>
              <w:overflowPunct w:val="0"/>
              <w:autoSpaceDE w:val="0"/>
              <w:autoSpaceDN w:val="0"/>
              <w:adjustRightInd w:val="0"/>
              <w:textAlignment w:val="baseline"/>
              <w:rPr>
                <w:i/>
              </w:rPr>
            </w:pPr>
            <w:r>
              <w:rPr>
                <w:i/>
              </w:rPr>
              <w:t>+32 2 546 9447</w:t>
            </w:r>
          </w:p>
        </w:tc>
      </w:tr>
      <w:tr w:rsidR="00621347" w:rsidRPr="00621347" w14:paraId="5D7F6D2E" w14:textId="77777777" w:rsidTr="00D0608D">
        <w:tc>
          <w:tcPr>
            <w:tcW w:w="898" w:type="pct"/>
          </w:tcPr>
          <w:p w14:paraId="54E92E27" w14:textId="77777777" w:rsidR="00621347" w:rsidRPr="00621347" w:rsidRDefault="00621347" w:rsidP="00100EF9">
            <w:pPr>
              <w:overflowPunct w:val="0"/>
              <w:autoSpaceDE w:val="0"/>
              <w:autoSpaceDN w:val="0"/>
              <w:adjustRightInd w:val="0"/>
              <w:textAlignment w:val="baseline"/>
              <w:rPr>
                <w:i/>
              </w:rPr>
            </w:pPr>
            <w:proofErr w:type="gramStart"/>
            <w:r>
              <w:rPr>
                <w:i/>
              </w:rPr>
              <w:t>Courriel:</w:t>
            </w:r>
            <w:proofErr w:type="gramEnd"/>
          </w:p>
        </w:tc>
        <w:tc>
          <w:tcPr>
            <w:tcW w:w="4102" w:type="pct"/>
          </w:tcPr>
          <w:p w14:paraId="109C769F" w14:textId="6021F70A" w:rsidR="00621347" w:rsidRPr="00621347" w:rsidRDefault="00AA7EB8" w:rsidP="00100EF9">
            <w:pPr>
              <w:overflowPunct w:val="0"/>
              <w:autoSpaceDE w:val="0"/>
              <w:autoSpaceDN w:val="0"/>
              <w:adjustRightInd w:val="0"/>
              <w:textAlignment w:val="baseline"/>
              <w:rPr>
                <w:i/>
              </w:rPr>
            </w:pPr>
            <w:hyperlink r:id="rId39" w:history="1">
              <w:r w:rsidR="00E235D3">
                <w:rPr>
                  <w:i/>
                  <w:color w:val="0000FF"/>
                  <w:u w:val="single"/>
                </w:rPr>
                <w:t>Gaia.Bottoni@eesc.europa.eu</w:t>
              </w:r>
            </w:hyperlink>
          </w:p>
        </w:tc>
      </w:tr>
    </w:tbl>
    <w:p w14:paraId="715DB2BD" w14:textId="77777777" w:rsidR="007F5784" w:rsidRDefault="007F5784" w:rsidP="00100EF9">
      <w:pPr>
        <w:jc w:val="left"/>
      </w:pPr>
      <w:r>
        <w:br w:type="page"/>
      </w:r>
    </w:p>
    <w:p w14:paraId="528C73AA" w14:textId="46DE726B" w:rsidR="006D2C8A" w:rsidRPr="006D2C8A" w:rsidRDefault="006D2C8A" w:rsidP="00100EF9">
      <w:pPr>
        <w:pStyle w:val="Heading1"/>
        <w:rPr>
          <w:b/>
        </w:rPr>
      </w:pPr>
      <w:bookmarkStart w:id="41" w:name="_Toc223514746"/>
      <w:r>
        <w:rPr>
          <w:b/>
          <w:color w:val="222A35" w:themeColor="text2" w:themeShade="80"/>
        </w:rPr>
        <w:lastRenderedPageBreak/>
        <w:t>COMMISSION CONSULTATIVE DES MUTATIONS INDUSTRIELLES</w:t>
      </w:r>
      <w:bookmarkEnd w:id="41"/>
    </w:p>
    <w:p w14:paraId="713E272F" w14:textId="77777777" w:rsidR="006D2C8A" w:rsidRDefault="006D2C8A" w:rsidP="00100EF9"/>
    <w:p w14:paraId="3CC91A48" w14:textId="77009B70" w:rsidR="003534E0" w:rsidRPr="00153E09" w:rsidRDefault="00AA7EB8" w:rsidP="00100EF9">
      <w:pPr>
        <w:widowControl w:val="0"/>
        <w:numPr>
          <w:ilvl w:val="0"/>
          <w:numId w:val="6"/>
        </w:numPr>
        <w:overflowPunct w:val="0"/>
        <w:autoSpaceDE w:val="0"/>
        <w:autoSpaceDN w:val="0"/>
        <w:adjustRightInd w:val="0"/>
        <w:ind w:hanging="567"/>
        <w:textAlignment w:val="baseline"/>
        <w:rPr>
          <w:sz w:val="20"/>
          <w:szCs w:val="20"/>
        </w:rPr>
      </w:pPr>
      <w:hyperlink r:id="rId40" w:history="1">
        <w:r w:rsidR="003534E0">
          <w:rPr>
            <w:b/>
            <w:i/>
            <w:color w:val="0000FF"/>
            <w:sz w:val="28"/>
            <w:u w:val="single"/>
          </w:rPr>
          <w:t>Modification du règlement (UE) 2024/1252 (règlement sur les matières premières critiques)</w:t>
        </w:r>
      </w:hyperlink>
    </w:p>
    <w:p w14:paraId="4BAFD485" w14:textId="77777777" w:rsidR="009277D3" w:rsidRDefault="009277D3" w:rsidP="00100EF9">
      <w:pPr>
        <w:tabs>
          <w:tab w:val="center" w:pos="284"/>
        </w:tabs>
        <w:overflowPunct w:val="0"/>
        <w:autoSpaceDE w:val="0"/>
        <w:autoSpaceDN w:val="0"/>
        <w:adjustRightInd w:val="0"/>
        <w:ind w:left="266" w:hanging="266"/>
        <w:textAlignment w:val="baseline"/>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2"/>
      </w:tblGrid>
      <w:tr w:rsidR="00153E09" w14:paraId="65A34AAF" w14:textId="77777777" w:rsidTr="00205469">
        <w:tc>
          <w:tcPr>
            <w:tcW w:w="1701" w:type="dxa"/>
          </w:tcPr>
          <w:p w14:paraId="111B4B02" w14:textId="6AC41F6C" w:rsidR="00153E09" w:rsidRDefault="00153E09" w:rsidP="00100EF9">
            <w:pPr>
              <w:overflowPunct w:val="0"/>
              <w:autoSpaceDE w:val="0"/>
              <w:autoSpaceDN w:val="0"/>
              <w:adjustRightInd w:val="0"/>
              <w:textAlignment w:val="baseline"/>
              <w:rPr>
                <w:b/>
              </w:rPr>
            </w:pPr>
            <w:r>
              <w:rPr>
                <w:b/>
                <w:sz w:val="20"/>
              </w:rPr>
              <w:t>Références</w:t>
            </w:r>
          </w:p>
        </w:tc>
        <w:tc>
          <w:tcPr>
            <w:tcW w:w="7372" w:type="dxa"/>
          </w:tcPr>
          <w:p w14:paraId="0221ADAC" w14:textId="77777777" w:rsidR="00153E09" w:rsidRDefault="00153E09" w:rsidP="00100EF9">
            <w:pPr>
              <w:tabs>
                <w:tab w:val="center" w:pos="284"/>
              </w:tabs>
              <w:overflowPunct w:val="0"/>
              <w:autoSpaceDE w:val="0"/>
              <w:autoSpaceDN w:val="0"/>
              <w:adjustRightInd w:val="0"/>
              <w:textAlignment w:val="baseline"/>
              <w:rPr>
                <w:bCs/>
                <w:sz w:val="20"/>
                <w:szCs w:val="20"/>
              </w:rPr>
            </w:pPr>
            <w:proofErr w:type="gramStart"/>
            <w:r>
              <w:rPr>
                <w:sz w:val="20"/>
              </w:rPr>
              <w:t>COM(</w:t>
            </w:r>
            <w:proofErr w:type="gramEnd"/>
            <w:r>
              <w:rPr>
                <w:sz w:val="20"/>
              </w:rPr>
              <w:t>2025) 946 final</w:t>
            </w:r>
          </w:p>
          <w:p w14:paraId="5F1938C2" w14:textId="40D8E2D3" w:rsidR="00153E09" w:rsidRDefault="00153E09" w:rsidP="00100EF9">
            <w:pPr>
              <w:tabs>
                <w:tab w:val="center" w:pos="284"/>
              </w:tabs>
              <w:overflowPunct w:val="0"/>
              <w:autoSpaceDE w:val="0"/>
              <w:autoSpaceDN w:val="0"/>
              <w:adjustRightInd w:val="0"/>
              <w:textAlignment w:val="baseline"/>
              <w:rPr>
                <w:b/>
              </w:rPr>
            </w:pPr>
            <w:r>
              <w:rPr>
                <w:sz w:val="20"/>
              </w:rPr>
              <w:t>EESC-2026-00393-00-00-AC</w:t>
            </w:r>
          </w:p>
        </w:tc>
      </w:tr>
    </w:tbl>
    <w:p w14:paraId="185B6A63" w14:textId="77777777" w:rsidR="009277D3" w:rsidRPr="00153E09" w:rsidRDefault="009277D3" w:rsidP="00100EF9">
      <w:pPr>
        <w:tabs>
          <w:tab w:val="center" w:pos="284"/>
        </w:tabs>
        <w:overflowPunct w:val="0"/>
        <w:autoSpaceDE w:val="0"/>
        <w:autoSpaceDN w:val="0"/>
        <w:adjustRightInd w:val="0"/>
        <w:ind w:left="266" w:hanging="266"/>
        <w:textAlignment w:val="baseline"/>
        <w:rPr>
          <w:b/>
          <w:lang w:val="en-GB"/>
        </w:rPr>
      </w:pPr>
    </w:p>
    <w:p w14:paraId="0D51E678" w14:textId="77777777" w:rsidR="003534E0" w:rsidRPr="003534E0" w:rsidRDefault="003534E0" w:rsidP="00100EF9">
      <w:pPr>
        <w:keepNext/>
        <w:keepLines/>
        <w:tabs>
          <w:tab w:val="center" w:pos="284"/>
        </w:tabs>
        <w:overflowPunct w:val="0"/>
        <w:autoSpaceDE w:val="0"/>
        <w:autoSpaceDN w:val="0"/>
        <w:adjustRightInd w:val="0"/>
        <w:ind w:left="266" w:hanging="266"/>
        <w:textAlignment w:val="baseline"/>
        <w:rPr>
          <w:b/>
        </w:rPr>
      </w:pPr>
      <w:r>
        <w:rPr>
          <w:b/>
        </w:rPr>
        <w:t>Points clés</w:t>
      </w:r>
    </w:p>
    <w:p w14:paraId="1A032EB0" w14:textId="77777777" w:rsidR="003534E0" w:rsidRPr="003534E0" w:rsidRDefault="003534E0" w:rsidP="00100EF9">
      <w:pPr>
        <w:widowControl w:val="0"/>
        <w:overflowPunct w:val="0"/>
        <w:autoSpaceDE w:val="0"/>
        <w:autoSpaceDN w:val="0"/>
        <w:adjustRightInd w:val="0"/>
        <w:textAlignment w:val="baseline"/>
        <w:rPr>
          <w:bCs/>
          <w:iCs/>
          <w:lang w:val="en-GB"/>
        </w:rPr>
      </w:pPr>
    </w:p>
    <w:p w14:paraId="0722C60C" w14:textId="77777777" w:rsidR="003534E0" w:rsidRPr="003534E0" w:rsidRDefault="003534E0" w:rsidP="00100EF9">
      <w:pPr>
        <w:widowControl w:val="0"/>
        <w:overflowPunct w:val="0"/>
        <w:autoSpaceDE w:val="0"/>
        <w:autoSpaceDN w:val="0"/>
        <w:adjustRightInd w:val="0"/>
        <w:textAlignment w:val="baseline"/>
        <w:rPr>
          <w:bCs/>
          <w:iCs/>
        </w:rPr>
      </w:pPr>
      <w:r>
        <w:t xml:space="preserve">Ayant estimé que le contenu de la proposition est entièrement satisfaisant et s’étant par ailleurs déjà prononcé sur le sujet dans son </w:t>
      </w:r>
      <w:hyperlink r:id="rId41" w:history="1">
        <w:r>
          <w:rPr>
            <w:color w:val="0000FF"/>
            <w:u w:val="single"/>
          </w:rPr>
          <w:t>précédent avis relatif au règlement sur les matières premières critiques</w:t>
        </w:r>
      </w:hyperlink>
      <w:r>
        <w:t>, adopté le 12 juillet 2023, le Comité a décidé de rendre un avis favorable au texte proposé et de se référer à la position qu’il avait soutenue dans le document susmentionné.</w:t>
      </w:r>
    </w:p>
    <w:p w14:paraId="2B63EAC7" w14:textId="3C6C9A7D" w:rsidR="00950272" w:rsidRDefault="00950272" w:rsidP="00100EF9">
      <w:pPr>
        <w:widowControl w:val="0"/>
        <w:overflowPunct w:val="0"/>
        <w:autoSpaceDE w:val="0"/>
        <w:autoSpaceDN w:val="0"/>
        <w:adjustRightInd w:val="0"/>
        <w:ind w:left="709" w:hanging="709"/>
        <w:textAlignment w:val="baseline"/>
        <w:rPr>
          <w:szCs w:val="20"/>
          <w:lang w:val="en-GB"/>
        </w:rPr>
      </w:pPr>
    </w:p>
    <w:tbl>
      <w:tblPr>
        <w:tblStyle w:val="TableGrid8"/>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7585"/>
      </w:tblGrid>
      <w:tr w:rsidR="003534E0" w:rsidRPr="003534E0" w14:paraId="1ABE88A2" w14:textId="77777777" w:rsidTr="007526DA">
        <w:tc>
          <w:tcPr>
            <w:tcW w:w="804" w:type="pct"/>
          </w:tcPr>
          <w:p w14:paraId="148D5606" w14:textId="77777777" w:rsidR="003534E0" w:rsidRPr="003534E0" w:rsidRDefault="003534E0" w:rsidP="007526DA">
            <w:pPr>
              <w:overflowPunct w:val="0"/>
              <w:autoSpaceDE w:val="0"/>
              <w:autoSpaceDN w:val="0"/>
              <w:adjustRightInd w:val="0"/>
              <w:ind w:hanging="110"/>
              <w:textAlignment w:val="baseline"/>
              <w:rPr>
                <w:i/>
              </w:rPr>
            </w:pPr>
            <w:r>
              <w:rPr>
                <w:b/>
                <w:i/>
              </w:rPr>
              <w:t>Contact</w:t>
            </w:r>
          </w:p>
        </w:tc>
        <w:tc>
          <w:tcPr>
            <w:tcW w:w="4196" w:type="pct"/>
          </w:tcPr>
          <w:p w14:paraId="0D29E18D" w14:textId="5491D9AB" w:rsidR="003534E0" w:rsidRPr="003534E0" w:rsidRDefault="003534E0" w:rsidP="007526DA">
            <w:pPr>
              <w:overflowPunct w:val="0"/>
              <w:autoSpaceDE w:val="0"/>
              <w:autoSpaceDN w:val="0"/>
              <w:adjustRightInd w:val="0"/>
              <w:ind w:hanging="110"/>
              <w:textAlignment w:val="baseline"/>
              <w:rPr>
                <w:i/>
              </w:rPr>
            </w:pPr>
            <w:r>
              <w:rPr>
                <w:i/>
              </w:rPr>
              <w:t xml:space="preserve">Adam </w:t>
            </w:r>
            <w:proofErr w:type="spellStart"/>
            <w:r>
              <w:rPr>
                <w:i/>
              </w:rPr>
              <w:t>Dorywalski</w:t>
            </w:r>
            <w:proofErr w:type="spellEnd"/>
          </w:p>
        </w:tc>
      </w:tr>
      <w:tr w:rsidR="003534E0" w:rsidRPr="003534E0" w14:paraId="29310390" w14:textId="77777777" w:rsidTr="007526DA">
        <w:tc>
          <w:tcPr>
            <w:tcW w:w="804" w:type="pct"/>
          </w:tcPr>
          <w:p w14:paraId="1A8C815A" w14:textId="77777777" w:rsidR="003534E0" w:rsidRPr="003534E0" w:rsidRDefault="003534E0" w:rsidP="007526DA">
            <w:pPr>
              <w:overflowPunct w:val="0"/>
              <w:autoSpaceDE w:val="0"/>
              <w:autoSpaceDN w:val="0"/>
              <w:adjustRightInd w:val="0"/>
              <w:ind w:hanging="110"/>
              <w:textAlignment w:val="baseline"/>
              <w:rPr>
                <w:i/>
              </w:rPr>
            </w:pPr>
            <w:proofErr w:type="gramStart"/>
            <w:r>
              <w:rPr>
                <w:i/>
              </w:rPr>
              <w:t>Tél.:</w:t>
            </w:r>
            <w:proofErr w:type="gramEnd"/>
          </w:p>
        </w:tc>
        <w:tc>
          <w:tcPr>
            <w:tcW w:w="4196" w:type="pct"/>
          </w:tcPr>
          <w:p w14:paraId="1B4B0CA6" w14:textId="23FF8050" w:rsidR="003534E0" w:rsidRPr="003534E0" w:rsidRDefault="003534E0" w:rsidP="007526DA">
            <w:pPr>
              <w:overflowPunct w:val="0"/>
              <w:autoSpaceDE w:val="0"/>
              <w:autoSpaceDN w:val="0"/>
              <w:adjustRightInd w:val="0"/>
              <w:ind w:hanging="110"/>
              <w:textAlignment w:val="baseline"/>
              <w:rPr>
                <w:i/>
              </w:rPr>
            </w:pPr>
            <w:r>
              <w:rPr>
                <w:i/>
              </w:rPr>
              <w:t>+32 2 546 9397</w:t>
            </w:r>
          </w:p>
        </w:tc>
      </w:tr>
      <w:tr w:rsidR="003534E0" w:rsidRPr="003534E0" w14:paraId="4800E009" w14:textId="77777777" w:rsidTr="007526DA">
        <w:tc>
          <w:tcPr>
            <w:tcW w:w="804" w:type="pct"/>
          </w:tcPr>
          <w:p w14:paraId="58627B2F" w14:textId="77777777" w:rsidR="003534E0" w:rsidRPr="003534E0" w:rsidRDefault="003534E0" w:rsidP="007526DA">
            <w:pPr>
              <w:overflowPunct w:val="0"/>
              <w:autoSpaceDE w:val="0"/>
              <w:autoSpaceDN w:val="0"/>
              <w:adjustRightInd w:val="0"/>
              <w:ind w:hanging="110"/>
              <w:textAlignment w:val="baseline"/>
              <w:rPr>
                <w:i/>
              </w:rPr>
            </w:pPr>
            <w:proofErr w:type="gramStart"/>
            <w:r>
              <w:rPr>
                <w:i/>
              </w:rPr>
              <w:t>Courriel:</w:t>
            </w:r>
            <w:proofErr w:type="gramEnd"/>
          </w:p>
        </w:tc>
        <w:tc>
          <w:tcPr>
            <w:tcW w:w="4196" w:type="pct"/>
          </w:tcPr>
          <w:p w14:paraId="551CAC0A" w14:textId="548021BC" w:rsidR="00E25EB4" w:rsidRPr="00153E09" w:rsidRDefault="00AA7EB8" w:rsidP="007526DA">
            <w:pPr>
              <w:overflowPunct w:val="0"/>
              <w:autoSpaceDE w:val="0"/>
              <w:autoSpaceDN w:val="0"/>
              <w:adjustRightInd w:val="0"/>
              <w:ind w:hanging="110"/>
              <w:textAlignment w:val="baseline"/>
            </w:pPr>
            <w:hyperlink r:id="rId42" w:history="1">
              <w:r w:rsidR="003534E0">
                <w:rPr>
                  <w:i/>
                  <w:color w:val="0000FF"/>
                  <w:u w:val="single"/>
                </w:rPr>
                <w:t>Adam.Dorywalski@eesc.europa.eu</w:t>
              </w:r>
            </w:hyperlink>
          </w:p>
        </w:tc>
      </w:tr>
    </w:tbl>
    <w:p w14:paraId="3FA9F92E" w14:textId="77777777" w:rsidR="00E25EB4" w:rsidRPr="003F66F7" w:rsidRDefault="00E25EB4" w:rsidP="00100EF9">
      <w:pPr>
        <w:overflowPunct w:val="0"/>
        <w:autoSpaceDE w:val="0"/>
        <w:autoSpaceDN w:val="0"/>
        <w:adjustRightInd w:val="0"/>
        <w:jc w:val="center"/>
        <w:textAlignment w:val="baseline"/>
        <w:rPr>
          <w:szCs w:val="20"/>
        </w:rPr>
      </w:pPr>
    </w:p>
    <w:p w14:paraId="5D7A6973" w14:textId="77777777" w:rsidR="004C4CDB" w:rsidRPr="00153E09" w:rsidRDefault="004C4CDB" w:rsidP="00100EF9">
      <w:pPr>
        <w:jc w:val="left"/>
      </w:pPr>
      <w:r>
        <w:br w:type="page"/>
      </w:r>
    </w:p>
    <w:p w14:paraId="4E1C48EE" w14:textId="6377872A" w:rsidR="00E25EB4" w:rsidRPr="00E25EB4" w:rsidRDefault="00AA7EB8" w:rsidP="00100EF9">
      <w:pPr>
        <w:widowControl w:val="0"/>
        <w:numPr>
          <w:ilvl w:val="0"/>
          <w:numId w:val="12"/>
        </w:numPr>
        <w:overflowPunct w:val="0"/>
        <w:autoSpaceDE w:val="0"/>
        <w:autoSpaceDN w:val="0"/>
        <w:adjustRightInd w:val="0"/>
        <w:ind w:left="567" w:hanging="567"/>
        <w:contextualSpacing/>
        <w:jc w:val="left"/>
        <w:textAlignment w:val="baseline"/>
        <w:rPr>
          <w:rFonts w:ascii="Calibri" w:hAnsi="Calibri"/>
          <w:b/>
          <w:bCs/>
        </w:rPr>
      </w:pPr>
      <w:hyperlink r:id="rId43" w:tooltip="Renforcer l’autonomie stratégique de l’UE et développer une économie plus respectueuse de l’environnement et des ressources en eau: le potentiel du secteur de la fabrication de batteries au sodium" w:history="1">
        <w:r w:rsidR="00E235D3">
          <w:rPr>
            <w:b/>
            <w:i/>
            <w:color w:val="0000FF"/>
            <w:sz w:val="28"/>
            <w:u w:val="single"/>
          </w:rPr>
          <w:t xml:space="preserve">Renforcer l’autonomie stratégique de l’UE et développer une économie plus respectueuse de l’environnement et des ressources en </w:t>
        </w:r>
        <w:proofErr w:type="gramStart"/>
        <w:r w:rsidR="00E235D3">
          <w:rPr>
            <w:b/>
            <w:i/>
            <w:color w:val="0000FF"/>
            <w:sz w:val="28"/>
            <w:u w:val="single"/>
          </w:rPr>
          <w:t>eau:</w:t>
        </w:r>
        <w:proofErr w:type="gramEnd"/>
        <w:r w:rsidR="00E235D3">
          <w:rPr>
            <w:b/>
            <w:i/>
            <w:color w:val="0000FF"/>
            <w:sz w:val="28"/>
            <w:u w:val="single"/>
          </w:rPr>
          <w:t xml:space="preserve"> le potentiel du secteur de la fabrication de batteries au sodium</w:t>
        </w:r>
      </w:hyperlink>
    </w:p>
    <w:p w14:paraId="2E26A662" w14:textId="77777777" w:rsidR="00E25EB4" w:rsidRPr="00205469" w:rsidRDefault="00E25EB4" w:rsidP="00100EF9">
      <w:pPr>
        <w:widowControl w:val="0"/>
        <w:ind w:left="567"/>
        <w:contextualSpacing/>
        <w:jc w:val="left"/>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E25EB4" w:rsidRPr="00E25EB4" w14:paraId="0E750117" w14:textId="77777777" w:rsidTr="00153E09">
        <w:tc>
          <w:tcPr>
            <w:tcW w:w="1701" w:type="dxa"/>
          </w:tcPr>
          <w:p w14:paraId="1BC9C1DD"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Rapporteur</w:t>
            </w:r>
          </w:p>
        </w:tc>
        <w:tc>
          <w:tcPr>
            <w:tcW w:w="7371" w:type="dxa"/>
          </w:tcPr>
          <w:p w14:paraId="261F00F8" w14:textId="77777777" w:rsidR="00E25EB4" w:rsidRPr="00E25EB4" w:rsidRDefault="00E25EB4" w:rsidP="00100EF9">
            <w:pPr>
              <w:tabs>
                <w:tab w:val="center" w:pos="284"/>
              </w:tabs>
              <w:overflowPunct w:val="0"/>
              <w:autoSpaceDE w:val="0"/>
              <w:autoSpaceDN w:val="0"/>
              <w:adjustRightInd w:val="0"/>
              <w:ind w:left="266" w:hanging="266"/>
              <w:textAlignment w:val="baseline"/>
            </w:pPr>
            <w:r>
              <w:t>Paul RÜBIG (groupe des employeurs — AT)</w:t>
            </w:r>
          </w:p>
        </w:tc>
      </w:tr>
      <w:tr w:rsidR="00E25EB4" w:rsidRPr="00E25EB4" w14:paraId="7E321F8F" w14:textId="77777777" w:rsidTr="00153E09">
        <w:tc>
          <w:tcPr>
            <w:tcW w:w="1701" w:type="dxa"/>
          </w:tcPr>
          <w:p w14:paraId="39B77E69"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Corapporteur</w:t>
            </w:r>
          </w:p>
        </w:tc>
        <w:tc>
          <w:tcPr>
            <w:tcW w:w="7371" w:type="dxa"/>
          </w:tcPr>
          <w:p w14:paraId="4F795EAE" w14:textId="7B894B11" w:rsidR="00E25EB4" w:rsidRPr="00E25EB4" w:rsidRDefault="00E25EB4" w:rsidP="00100EF9">
            <w:pPr>
              <w:tabs>
                <w:tab w:val="center" w:pos="284"/>
              </w:tabs>
              <w:overflowPunct w:val="0"/>
              <w:autoSpaceDE w:val="0"/>
              <w:autoSpaceDN w:val="0"/>
              <w:adjustRightInd w:val="0"/>
              <w:ind w:left="266" w:hanging="266"/>
              <w:textAlignment w:val="baseline"/>
            </w:pPr>
            <w:r>
              <w:t>Hervé JEANNIN (catégorie 2 — FR)</w:t>
            </w:r>
          </w:p>
        </w:tc>
      </w:tr>
      <w:tr w:rsidR="00E25EB4" w:rsidRPr="00E25EB4" w14:paraId="4AD82EE5" w14:textId="77777777" w:rsidTr="00153E09">
        <w:tc>
          <w:tcPr>
            <w:tcW w:w="9072" w:type="dxa"/>
            <w:gridSpan w:val="2"/>
          </w:tcPr>
          <w:p w14:paraId="63F1B5CC" w14:textId="77777777" w:rsidR="00E25EB4" w:rsidRPr="00E25EB4" w:rsidRDefault="00E25EB4" w:rsidP="00100EF9">
            <w:pPr>
              <w:tabs>
                <w:tab w:val="center" w:pos="284"/>
              </w:tabs>
              <w:overflowPunct w:val="0"/>
              <w:autoSpaceDE w:val="0"/>
              <w:autoSpaceDN w:val="0"/>
              <w:adjustRightInd w:val="0"/>
              <w:ind w:left="266" w:hanging="266"/>
              <w:textAlignment w:val="baseline"/>
            </w:pPr>
          </w:p>
        </w:tc>
      </w:tr>
      <w:tr w:rsidR="00E25EB4" w:rsidRPr="00E25EB4" w14:paraId="758D199D" w14:textId="77777777" w:rsidTr="00153E09">
        <w:tc>
          <w:tcPr>
            <w:tcW w:w="1701" w:type="dxa"/>
          </w:tcPr>
          <w:p w14:paraId="628BF496" w14:textId="1BBD7898"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Références</w:t>
            </w:r>
          </w:p>
        </w:tc>
        <w:tc>
          <w:tcPr>
            <w:tcW w:w="7371" w:type="dxa"/>
          </w:tcPr>
          <w:p w14:paraId="1AC738BE" w14:textId="11F7A673" w:rsidR="001A58BD" w:rsidRDefault="00043E7B" w:rsidP="00100EF9">
            <w:pPr>
              <w:tabs>
                <w:tab w:val="center" w:pos="284"/>
              </w:tabs>
              <w:overflowPunct w:val="0"/>
              <w:autoSpaceDE w:val="0"/>
              <w:autoSpaceDN w:val="0"/>
              <w:adjustRightInd w:val="0"/>
              <w:ind w:left="266" w:hanging="266"/>
              <w:textAlignment w:val="baseline"/>
            </w:pPr>
            <w:r>
              <w:t>Avis exploratoire à la demande de la Commission européenne</w:t>
            </w:r>
          </w:p>
          <w:p w14:paraId="2E32FFD3" w14:textId="1F51A8D8" w:rsidR="00E25EB4" w:rsidRPr="00E25EB4" w:rsidRDefault="00E25EB4" w:rsidP="00100EF9">
            <w:pPr>
              <w:tabs>
                <w:tab w:val="center" w:pos="284"/>
              </w:tabs>
              <w:overflowPunct w:val="0"/>
              <w:autoSpaceDE w:val="0"/>
              <w:autoSpaceDN w:val="0"/>
              <w:adjustRightInd w:val="0"/>
              <w:ind w:left="266" w:hanging="266"/>
              <w:textAlignment w:val="baseline"/>
            </w:pPr>
            <w:r>
              <w:t>EESC-2025-02464-00-00-AC</w:t>
            </w:r>
          </w:p>
        </w:tc>
      </w:tr>
    </w:tbl>
    <w:p w14:paraId="270F2408" w14:textId="77777777" w:rsidR="00153E09" w:rsidRPr="00D0608D" w:rsidRDefault="00153E09" w:rsidP="00100EF9">
      <w:pPr>
        <w:keepNext/>
        <w:keepLines/>
        <w:tabs>
          <w:tab w:val="center" w:pos="284"/>
        </w:tabs>
        <w:overflowPunct w:val="0"/>
        <w:autoSpaceDE w:val="0"/>
        <w:autoSpaceDN w:val="0"/>
        <w:adjustRightInd w:val="0"/>
        <w:ind w:left="266" w:hanging="266"/>
        <w:textAlignment w:val="baseline"/>
        <w:rPr>
          <w:bCs/>
          <w:lang w:val="en-GB"/>
        </w:rPr>
      </w:pPr>
    </w:p>
    <w:p w14:paraId="25E8D43C" w14:textId="53EC308B" w:rsidR="00E25EB4" w:rsidRPr="00E25EB4" w:rsidRDefault="00E25EB4" w:rsidP="00100EF9">
      <w:pPr>
        <w:keepNext/>
        <w:keepLines/>
        <w:tabs>
          <w:tab w:val="center" w:pos="284"/>
        </w:tabs>
        <w:overflowPunct w:val="0"/>
        <w:autoSpaceDE w:val="0"/>
        <w:autoSpaceDN w:val="0"/>
        <w:adjustRightInd w:val="0"/>
        <w:ind w:left="266" w:hanging="266"/>
        <w:textAlignment w:val="baseline"/>
        <w:rPr>
          <w:b/>
        </w:rPr>
      </w:pPr>
      <w:r>
        <w:rPr>
          <w:b/>
        </w:rPr>
        <w:t>Points clés</w:t>
      </w:r>
    </w:p>
    <w:p w14:paraId="7022CF32" w14:textId="77777777" w:rsidR="00E25EB4" w:rsidRPr="00D0608D" w:rsidRDefault="00E25EB4" w:rsidP="00100EF9">
      <w:pPr>
        <w:keepNext/>
        <w:keepLines/>
        <w:tabs>
          <w:tab w:val="center" w:pos="284"/>
        </w:tabs>
        <w:overflowPunct w:val="0"/>
        <w:autoSpaceDE w:val="0"/>
        <w:autoSpaceDN w:val="0"/>
        <w:adjustRightInd w:val="0"/>
        <w:ind w:left="266" w:hanging="266"/>
        <w:textAlignment w:val="baseline"/>
        <w:rPr>
          <w:bCs/>
          <w:lang w:val="en-GB"/>
        </w:rPr>
      </w:pPr>
    </w:p>
    <w:p w14:paraId="0273A35C" w14:textId="77777777" w:rsidR="00E25EB4" w:rsidRPr="00E25EB4" w:rsidRDefault="00E25EB4" w:rsidP="00100EF9">
      <w:pPr>
        <w:keepNext/>
        <w:keepLines/>
        <w:tabs>
          <w:tab w:val="center" w:pos="284"/>
        </w:tabs>
        <w:overflowPunct w:val="0"/>
        <w:autoSpaceDE w:val="0"/>
        <w:autoSpaceDN w:val="0"/>
        <w:adjustRightInd w:val="0"/>
        <w:ind w:left="266" w:hanging="266"/>
        <w:textAlignment w:val="baseline"/>
        <w:rPr>
          <w:bCs/>
        </w:rPr>
      </w:pPr>
      <w:r>
        <w:t xml:space="preserve">Le </w:t>
      </w:r>
      <w:proofErr w:type="gramStart"/>
      <w:r>
        <w:t>CESE:</w:t>
      </w:r>
      <w:proofErr w:type="gramEnd"/>
    </w:p>
    <w:p w14:paraId="4A4FDC20"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proofErr w:type="gramStart"/>
      <w:r>
        <w:t>considère</w:t>
      </w:r>
      <w:proofErr w:type="gramEnd"/>
      <w:r>
        <w:t xml:space="preserve"> les batteries au sodium comme une technologie stratégique et estime que l’Europe est assise sur un fort potentiel pour devenir un champion de la technologie des batteries sodium-eau de mer;</w:t>
      </w:r>
    </w:p>
    <w:p w14:paraId="74BCA385"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proofErr w:type="gramStart"/>
      <w:r>
        <w:t>souligne</w:t>
      </w:r>
      <w:proofErr w:type="gramEnd"/>
      <w:r>
        <w:t xml:space="preserve"> le potentiel des batteries au sodium en tant que moteurs pour les objectifs de la politique industrielle de l’Union: elles soutiennent les objectifs du pacte vert et du pacte bleu pour l’Europe et peuvent constituer des outils clés pour atteindre l’autonomie stratégique. La création d’usines géantes destinées à la fabrication de batteries au sodium renforcerait la compétitivité et créerait des emplois tout au long de la chaîne de </w:t>
      </w:r>
      <w:proofErr w:type="gramStart"/>
      <w:r>
        <w:t>valeur;</w:t>
      </w:r>
      <w:proofErr w:type="gramEnd"/>
    </w:p>
    <w:p w14:paraId="03DA14BD"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proofErr w:type="gramStart"/>
      <w:r>
        <w:t>précise</w:t>
      </w:r>
      <w:proofErr w:type="gramEnd"/>
      <w:r>
        <w:t xml:space="preserve"> que les batteries au sodium peuvent être produites entièrement à partir de matières premières européennes, étant donné que le sodium est largement disponible sur le continent. Cette solution présente un potentiel de croissance pour l’industrie de désalinisation européenne, et pourrait permettre de réduire l’utilisation de matières premières </w:t>
      </w:r>
      <w:proofErr w:type="gramStart"/>
      <w:r>
        <w:t>critiques;</w:t>
      </w:r>
      <w:proofErr w:type="gramEnd"/>
    </w:p>
    <w:p w14:paraId="605A4E08"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proofErr w:type="gramStart"/>
      <w:r>
        <w:t>demande</w:t>
      </w:r>
      <w:proofErr w:type="gramEnd"/>
      <w:r>
        <w:t xml:space="preserve"> que soit menée une action européenne décisive et coordonnée pour établir une industrie de la fabrication de batteries au sodium compétitive. En effet, les batteries au sodium progressent à l’échelle mondiale, mais l’Europe court le risque de perdre toujours plus de </w:t>
      </w:r>
      <w:proofErr w:type="gramStart"/>
      <w:r>
        <w:t>terrain;</w:t>
      </w:r>
      <w:proofErr w:type="gramEnd"/>
    </w:p>
    <w:p w14:paraId="03706BA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proofErr w:type="gramStart"/>
      <w:r>
        <w:t>recommande</w:t>
      </w:r>
      <w:proofErr w:type="gramEnd"/>
      <w:r>
        <w:t xml:space="preserve"> de mettre à jour la trajectoire industrielle pour les batteries, en couvrant à la fois celles au lithium et celles au sodium. Elle devrait intégrer une feuille de route reprenant les besoins en main-d’œuvre et les besoins sociaux, et prévoir des investissements dans les compétences, la mobilité de la main-d’œuvre et la participation stratégique des </w:t>
      </w:r>
      <w:proofErr w:type="gramStart"/>
      <w:r>
        <w:t>PME;</w:t>
      </w:r>
      <w:proofErr w:type="gramEnd"/>
    </w:p>
    <w:p w14:paraId="0ADF1BAC"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proofErr w:type="gramStart"/>
      <w:r>
        <w:t>insiste</w:t>
      </w:r>
      <w:proofErr w:type="gramEnd"/>
      <w:r>
        <w:t xml:space="preserve"> sur l’importance de décloisonner les politiques et d’assurer la cohérence avec des stratégies clés de l’Union, y compris la boussole pour la compétitivité, la stratégie pour une union de la préparation, le plan d’action pour une économie circulaire et la stratégie pour la résilience dans le domaine de l’eau, pour développer une chaîne de valeur européenne des batteries au sodium qui contribue à atteindre les objectifs stratégiques de l’Europe; </w:t>
      </w:r>
    </w:p>
    <w:p w14:paraId="2C3550D4"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proofErr w:type="gramStart"/>
      <w:r>
        <w:t>recommande</w:t>
      </w:r>
      <w:proofErr w:type="gramEnd"/>
      <w:r>
        <w:t xml:space="preserve"> d’avoir recours à des subventions à l’investissement, à des crédits d’impôt à la production, à des appels à projets ciblés, et à des chèques «investissement» destinés à soutenir la coopération de l’industrie avec les organismes de recherche et de technologie;</w:t>
      </w:r>
    </w:p>
    <w:p w14:paraId="146AA976"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proofErr w:type="gramStart"/>
      <w:r>
        <w:t>plaide</w:t>
      </w:r>
      <w:proofErr w:type="gramEnd"/>
      <w:r>
        <w:t xml:space="preserve"> en faveur d’un soutien public flexible afin d’éviter de s’enfermer trop vite dans une technologie, et de mesures de recherche et développement collaboratives plus fortes, financées conjointement par les gouvernements et l’industrie;</w:t>
      </w:r>
    </w:p>
    <w:p w14:paraId="5AF3E28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proofErr w:type="gramStart"/>
      <w:r>
        <w:lastRenderedPageBreak/>
        <w:t>reconnaît</w:t>
      </w:r>
      <w:proofErr w:type="gramEnd"/>
      <w:r>
        <w:t xml:space="preserve"> que la reconversion des sites industriels qui tournent actuellement au ralenti, ou sont en train de fermer, en usines géantes de fabrication de batteries au sodium pourrait représenter une utilisation efficace et écologiquement responsable d’infrastructures existantes;</w:t>
      </w:r>
    </w:p>
    <w:p w14:paraId="5946BDB2" w14:textId="77777777" w:rsidR="00E25EB4" w:rsidRPr="00713CC2"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proofErr w:type="gramStart"/>
      <w:r>
        <w:t>souligne</w:t>
      </w:r>
      <w:proofErr w:type="gramEnd"/>
      <w:r>
        <w:t xml:space="preserve"> l’importance d’intégrer la conception écologique et le recyclage dans cette industrie de production, afin de mettre en place une chaîne de valeur circulaire pour les batteries au sodium.</w:t>
      </w:r>
    </w:p>
    <w:p w14:paraId="339FD87D" w14:textId="77777777" w:rsidR="00E25EB4" w:rsidRPr="00E25EB4" w:rsidRDefault="00E25EB4" w:rsidP="00100EF9">
      <w:pPr>
        <w:overflowPunct w:val="0"/>
        <w:autoSpaceDE w:val="0"/>
        <w:autoSpaceDN w:val="0"/>
        <w:adjustRightInd w:val="0"/>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12"/>
      </w:tblGrid>
      <w:tr w:rsidR="00E25EB4" w:rsidRPr="00E25EB4" w14:paraId="3DADE2B6" w14:textId="77777777" w:rsidTr="00D0608D">
        <w:tc>
          <w:tcPr>
            <w:tcW w:w="1668" w:type="dxa"/>
          </w:tcPr>
          <w:p w14:paraId="16410084" w14:textId="77777777" w:rsidR="00E25EB4" w:rsidRPr="00E25EB4" w:rsidRDefault="00E25EB4" w:rsidP="00100EF9">
            <w:pPr>
              <w:overflowPunct w:val="0"/>
              <w:autoSpaceDE w:val="0"/>
              <w:autoSpaceDN w:val="0"/>
              <w:adjustRightInd w:val="0"/>
              <w:textAlignment w:val="baseline"/>
              <w:rPr>
                <w:i/>
              </w:rPr>
            </w:pPr>
            <w:r>
              <w:rPr>
                <w:b/>
                <w:i/>
              </w:rPr>
              <w:t>Contact</w:t>
            </w:r>
          </w:p>
        </w:tc>
        <w:tc>
          <w:tcPr>
            <w:tcW w:w="7512" w:type="dxa"/>
          </w:tcPr>
          <w:p w14:paraId="56BD77E8" w14:textId="5D11D232" w:rsidR="00E25EB4" w:rsidRPr="00153E09" w:rsidRDefault="00E25EB4" w:rsidP="00100EF9">
            <w:pPr>
              <w:overflowPunct w:val="0"/>
              <w:autoSpaceDE w:val="0"/>
              <w:autoSpaceDN w:val="0"/>
              <w:adjustRightInd w:val="0"/>
              <w:textAlignment w:val="baseline"/>
              <w:rPr>
                <w:bCs/>
                <w:i/>
              </w:rPr>
            </w:pPr>
            <w:proofErr w:type="spellStart"/>
            <w:r>
              <w:rPr>
                <w:i/>
              </w:rPr>
              <w:t>Luís</w:t>
            </w:r>
            <w:proofErr w:type="spellEnd"/>
            <w:r>
              <w:rPr>
                <w:i/>
              </w:rPr>
              <w:t xml:space="preserve"> Barbosa E Silva</w:t>
            </w:r>
          </w:p>
        </w:tc>
      </w:tr>
      <w:tr w:rsidR="00E25EB4" w:rsidRPr="00E25EB4" w14:paraId="6AE7CB28" w14:textId="77777777" w:rsidTr="00D0608D">
        <w:tc>
          <w:tcPr>
            <w:tcW w:w="1668" w:type="dxa"/>
          </w:tcPr>
          <w:p w14:paraId="52DF3B61" w14:textId="77777777" w:rsidR="00E25EB4" w:rsidRPr="00E25EB4" w:rsidRDefault="00E25EB4" w:rsidP="00100EF9">
            <w:pPr>
              <w:overflowPunct w:val="0"/>
              <w:autoSpaceDE w:val="0"/>
              <w:autoSpaceDN w:val="0"/>
              <w:adjustRightInd w:val="0"/>
              <w:textAlignment w:val="baseline"/>
              <w:rPr>
                <w:i/>
              </w:rPr>
            </w:pPr>
            <w:proofErr w:type="gramStart"/>
            <w:r>
              <w:rPr>
                <w:i/>
              </w:rPr>
              <w:t>Tél.:</w:t>
            </w:r>
            <w:proofErr w:type="gramEnd"/>
          </w:p>
        </w:tc>
        <w:tc>
          <w:tcPr>
            <w:tcW w:w="7512" w:type="dxa"/>
          </w:tcPr>
          <w:p w14:paraId="58F5DB38" w14:textId="05F56609" w:rsidR="00E25EB4" w:rsidRPr="00E25EB4" w:rsidRDefault="00E25EB4" w:rsidP="00100EF9">
            <w:pPr>
              <w:overflowPunct w:val="0"/>
              <w:autoSpaceDE w:val="0"/>
              <w:autoSpaceDN w:val="0"/>
              <w:adjustRightInd w:val="0"/>
              <w:textAlignment w:val="baseline"/>
              <w:rPr>
                <w:i/>
              </w:rPr>
            </w:pPr>
            <w:r>
              <w:rPr>
                <w:i/>
              </w:rPr>
              <w:t>+32 2 546 8846</w:t>
            </w:r>
          </w:p>
        </w:tc>
      </w:tr>
      <w:tr w:rsidR="00E25EB4" w:rsidRPr="00E25EB4" w14:paraId="7DB45FE9" w14:textId="77777777" w:rsidTr="00D0608D">
        <w:trPr>
          <w:trHeight w:val="244"/>
        </w:trPr>
        <w:tc>
          <w:tcPr>
            <w:tcW w:w="1668" w:type="dxa"/>
          </w:tcPr>
          <w:p w14:paraId="5969B93D" w14:textId="77777777" w:rsidR="00E25EB4" w:rsidRPr="00E25EB4" w:rsidRDefault="00E25EB4" w:rsidP="00100EF9">
            <w:pPr>
              <w:overflowPunct w:val="0"/>
              <w:autoSpaceDE w:val="0"/>
              <w:autoSpaceDN w:val="0"/>
              <w:adjustRightInd w:val="0"/>
              <w:textAlignment w:val="baseline"/>
              <w:rPr>
                <w:i/>
              </w:rPr>
            </w:pPr>
            <w:proofErr w:type="gramStart"/>
            <w:r>
              <w:rPr>
                <w:i/>
              </w:rPr>
              <w:t>Courriel:</w:t>
            </w:r>
            <w:proofErr w:type="gramEnd"/>
          </w:p>
        </w:tc>
        <w:tc>
          <w:tcPr>
            <w:tcW w:w="7512" w:type="dxa"/>
          </w:tcPr>
          <w:p w14:paraId="47F42ECE" w14:textId="789F877A" w:rsidR="00187E31" w:rsidRPr="00153E09" w:rsidRDefault="00AA7EB8" w:rsidP="00100EF9">
            <w:pPr>
              <w:overflowPunct w:val="0"/>
              <w:autoSpaceDE w:val="0"/>
              <w:autoSpaceDN w:val="0"/>
              <w:adjustRightInd w:val="0"/>
              <w:textAlignment w:val="baseline"/>
              <w:rPr>
                <w:i/>
                <w:iCs/>
              </w:rPr>
            </w:pPr>
            <w:hyperlink r:id="rId44" w:history="1">
              <w:r w:rsidR="00E235D3">
                <w:rPr>
                  <w:i/>
                  <w:color w:val="0000FF"/>
                  <w:u w:val="single"/>
                </w:rPr>
                <w:t>Luis.BarbosaESilva@eesc.europa.eu</w:t>
              </w:r>
            </w:hyperlink>
          </w:p>
        </w:tc>
      </w:tr>
    </w:tbl>
    <w:p w14:paraId="2E28EF19" w14:textId="299918AB" w:rsidR="000D394D" w:rsidRPr="00205469" w:rsidRDefault="00E25EB4" w:rsidP="00100EF9">
      <w:pPr>
        <w:overflowPunct w:val="0"/>
        <w:autoSpaceDE w:val="0"/>
        <w:autoSpaceDN w:val="0"/>
        <w:adjustRightInd w:val="0"/>
        <w:jc w:val="center"/>
        <w:textAlignment w:val="baseline"/>
        <w:rPr>
          <w:szCs w:val="20"/>
        </w:rPr>
      </w:pPr>
      <w:r>
        <w:t>_____________</w:t>
      </w:r>
    </w:p>
    <w:sectPr w:rsidR="000D394D" w:rsidRPr="00205469" w:rsidSect="00153E09">
      <w:headerReference w:type="even" r:id="rId45"/>
      <w:headerReference w:type="default" r:id="rId46"/>
      <w:footerReference w:type="even" r:id="rId47"/>
      <w:footerReference w:type="default" r:id="rId48"/>
      <w:headerReference w:type="first" r:id="rId49"/>
      <w:footerReference w:type="first" r:id="rId5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D88F" w14:textId="77777777" w:rsidR="00711298" w:rsidRDefault="00711298" w:rsidP="00B518C9">
      <w:pPr>
        <w:spacing w:line="240" w:lineRule="auto"/>
      </w:pPr>
      <w:r>
        <w:separator/>
      </w:r>
    </w:p>
  </w:endnote>
  <w:endnote w:type="continuationSeparator" w:id="0">
    <w:p w14:paraId="276450BF" w14:textId="77777777" w:rsidR="00711298" w:rsidRDefault="0071129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A344" w14:textId="77777777" w:rsidR="00153E09" w:rsidRPr="00153E09" w:rsidRDefault="00153E09" w:rsidP="0015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EF32E47" w:rsidR="00B518C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E235D3">
      <w:t>1</w:t>
    </w:r>
    <w:r>
      <w:fldChar w:fldCharType="end"/>
    </w:r>
    <w:r>
      <w:t>/</w:t>
    </w:r>
    <w:r w:rsidR="00AA7EB8">
      <w:fldChar w:fldCharType="begin"/>
    </w:r>
    <w:r w:rsidR="00AA7EB8">
      <w:instrText xml:space="preserve"> NUMPAGES </w:instrText>
    </w:r>
    <w:r w:rsidR="00AA7EB8">
      <w:fldChar w:fldCharType="separate"/>
    </w:r>
    <w:r w:rsidR="00E235D3">
      <w:t>15</w:t>
    </w:r>
    <w:r w:rsidR="00AA7E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42C2" w14:textId="77777777" w:rsidR="00153E09" w:rsidRPr="00153E09" w:rsidRDefault="00153E09" w:rsidP="00153E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E809" w14:textId="77777777" w:rsidR="00153E09" w:rsidRPr="00153E09" w:rsidRDefault="00153E09" w:rsidP="00153E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7402" w14:textId="0C6B551C" w:rsidR="00153E0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7526DA">
      <w:t>15</w:t>
    </w:r>
    <w:r>
      <w:fldChar w:fldCharType="end"/>
    </w:r>
    <w:r>
      <w:t>/</w:t>
    </w:r>
    <w:r w:rsidR="00AA7EB8">
      <w:fldChar w:fldCharType="begin"/>
    </w:r>
    <w:r w:rsidR="00AA7EB8">
      <w:instrText xml:space="preserve"> NUMPAGES </w:instrText>
    </w:r>
    <w:r w:rsidR="00AA7EB8">
      <w:fldChar w:fldCharType="separate"/>
    </w:r>
    <w:r w:rsidR="007526DA">
      <w:t>15</w:t>
    </w:r>
    <w:r w:rsidR="00AA7EB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3FF" w14:textId="77777777" w:rsidR="00153E09" w:rsidRPr="00153E09" w:rsidRDefault="00153E09" w:rsidP="0015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C4B1" w14:textId="77777777" w:rsidR="00711298" w:rsidRDefault="00711298" w:rsidP="00B518C9">
      <w:pPr>
        <w:spacing w:line="240" w:lineRule="auto"/>
      </w:pPr>
      <w:r>
        <w:separator/>
      </w:r>
    </w:p>
  </w:footnote>
  <w:footnote w:type="continuationSeparator" w:id="0">
    <w:p w14:paraId="67149419" w14:textId="77777777" w:rsidR="00711298" w:rsidRDefault="00711298"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055B" w14:textId="77777777" w:rsidR="00153E09" w:rsidRPr="00153E09" w:rsidRDefault="00153E09" w:rsidP="0015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4852" w14:textId="3FAF7247" w:rsidR="00153E09" w:rsidRPr="00153E09" w:rsidRDefault="00153E09" w:rsidP="0015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D48A" w14:textId="77777777" w:rsidR="00153E09" w:rsidRPr="00153E09" w:rsidRDefault="00153E09" w:rsidP="00153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52BE" w14:textId="77777777" w:rsidR="00153E09" w:rsidRPr="00153E09" w:rsidRDefault="00153E09" w:rsidP="00153E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AA39" w14:textId="04F245DB" w:rsidR="00153E09" w:rsidRPr="00153E09" w:rsidRDefault="00153E09" w:rsidP="00153E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9C97" w14:textId="77777777" w:rsidR="00153E09" w:rsidRPr="00153E09" w:rsidRDefault="00153E09" w:rsidP="0015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ABEA5FC"/>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1D08466C"/>
    <w:lvl w:ilvl="0">
      <w:numFmt w:val="decimal"/>
      <w:lvlText w:val="*"/>
      <w:lvlJc w:val="left"/>
    </w:lvl>
  </w:abstractNum>
  <w:abstractNum w:abstractNumId="2" w15:restartNumberingAfterBreak="0">
    <w:nsid w:val="03A15EA7"/>
    <w:multiLevelType w:val="multilevel"/>
    <w:tmpl w:val="B450D11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F9F7110"/>
    <w:multiLevelType w:val="hybridMultilevel"/>
    <w:tmpl w:val="7E8C5ED6"/>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29786E"/>
    <w:multiLevelType w:val="hybridMultilevel"/>
    <w:tmpl w:val="2960A99E"/>
    <w:lvl w:ilvl="0" w:tplc="C76041DE">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7976BE"/>
    <w:multiLevelType w:val="hybridMultilevel"/>
    <w:tmpl w:val="20F4A5FC"/>
    <w:lvl w:ilvl="0" w:tplc="FFFFFFFF">
      <w:start w:val="1"/>
      <w:numFmt w:val="bullet"/>
      <w:lvlText w:val=""/>
      <w:lvlJc w:val="left"/>
      <w:pPr>
        <w:ind w:left="720" w:hanging="360"/>
      </w:pPr>
      <w:rPr>
        <w:rFonts w:ascii="Symbol" w:hAnsi="Symbol" w:hint="default"/>
        <w:color w:val="auto"/>
      </w:rPr>
    </w:lvl>
    <w:lvl w:ilvl="1" w:tplc="1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F3FBA"/>
    <w:multiLevelType w:val="hybridMultilevel"/>
    <w:tmpl w:val="BE9CD94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A28EE"/>
    <w:multiLevelType w:val="hybridMultilevel"/>
    <w:tmpl w:val="E7B48E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223B38"/>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274E0DB2"/>
    <w:multiLevelType w:val="hybridMultilevel"/>
    <w:tmpl w:val="CA00EAA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DA3C5C"/>
    <w:multiLevelType w:val="hybridMultilevel"/>
    <w:tmpl w:val="8F5E944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EAA6D68"/>
    <w:multiLevelType w:val="multilevel"/>
    <w:tmpl w:val="274C107E"/>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362E4D7F"/>
    <w:multiLevelType w:val="hybridMultilevel"/>
    <w:tmpl w:val="8C92276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216355"/>
    <w:multiLevelType w:val="hybridMultilevel"/>
    <w:tmpl w:val="DE10A170"/>
    <w:lvl w:ilvl="0" w:tplc="8E864B0C">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3527568"/>
    <w:multiLevelType w:val="hybridMultilevel"/>
    <w:tmpl w:val="F2789A4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0E2F27"/>
    <w:multiLevelType w:val="hybridMultilevel"/>
    <w:tmpl w:val="C60EBDA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9B5BA4"/>
    <w:multiLevelType w:val="multilevel"/>
    <w:tmpl w:val="D22C911E"/>
    <w:lvl w:ilvl="0">
      <w:start w:val="1"/>
      <w:numFmt w:val="bullet"/>
      <w:lvlText w:val=""/>
      <w:lvlJc w:val="left"/>
      <w:rPr>
        <w:rFonts w:ascii="Symbol" w:hAnsi="Symbol" w:hint="default"/>
      </w:rPr>
    </w:lvl>
    <w:lvl w:ilvl="1">
      <w:start w:val="1"/>
      <w:numFmt w:val="bullet"/>
      <w:lvlText w:val=""/>
      <w:lvlJc w:val="left"/>
      <w:pPr>
        <w:ind w:left="-252"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8954870"/>
    <w:multiLevelType w:val="hybridMultilevel"/>
    <w:tmpl w:val="718CAA2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1F858A5"/>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54840386"/>
    <w:multiLevelType w:val="hybridMultilevel"/>
    <w:tmpl w:val="9E7C99B6"/>
    <w:lvl w:ilvl="0" w:tplc="DDE088C8">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1C4B27"/>
    <w:multiLevelType w:val="hybridMultilevel"/>
    <w:tmpl w:val="998C3E8A"/>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BDD7A66"/>
    <w:multiLevelType w:val="hybridMultilevel"/>
    <w:tmpl w:val="DEB8F97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8D16D5B"/>
    <w:multiLevelType w:val="hybridMultilevel"/>
    <w:tmpl w:val="9BE07FF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E014D1"/>
    <w:multiLevelType w:val="hybridMultilevel"/>
    <w:tmpl w:val="84DED000"/>
    <w:lvl w:ilvl="0" w:tplc="4D645226">
      <w:start w:val="1"/>
      <w:numFmt w:val="bullet"/>
      <w:lvlText w:val=""/>
      <w:lvlJc w:val="left"/>
      <w:pPr>
        <w:ind w:left="1637"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2323163"/>
    <w:multiLevelType w:val="hybridMultilevel"/>
    <w:tmpl w:val="31FAA748"/>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00E4B"/>
    <w:multiLevelType w:val="hybridMultilevel"/>
    <w:tmpl w:val="654ED09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00E66"/>
    <w:multiLevelType w:val="hybridMultilevel"/>
    <w:tmpl w:val="0F0456B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4"/>
  </w:num>
  <w:num w:numId="3">
    <w:abstractNumId w:val="2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18"/>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11"/>
  </w:num>
  <w:num w:numId="8">
    <w:abstractNumId w:val="8"/>
  </w:num>
  <w:num w:numId="9">
    <w:abstractNumId w:val="19"/>
  </w:num>
  <w:num w:numId="10">
    <w:abstractNumId w:val="16"/>
  </w:num>
  <w:num w:numId="11">
    <w:abstractNumId w:val="20"/>
  </w:num>
  <w:num w:numId="12">
    <w:abstractNumId w:val="4"/>
  </w:num>
  <w:num w:numId="13">
    <w:abstractNumId w:val="7"/>
  </w:num>
  <w:num w:numId="14">
    <w:abstractNumId w:val="14"/>
  </w:num>
  <w:num w:numId="15">
    <w:abstractNumId w:val="17"/>
  </w:num>
  <w:num w:numId="16">
    <w:abstractNumId w:val="26"/>
  </w:num>
  <w:num w:numId="17">
    <w:abstractNumId w:val="3"/>
  </w:num>
  <w:num w:numId="18">
    <w:abstractNumId w:val="25"/>
  </w:num>
  <w:num w:numId="19">
    <w:abstractNumId w:val="28"/>
  </w:num>
  <w:num w:numId="20">
    <w:abstractNumId w:val="23"/>
  </w:num>
  <w:num w:numId="21">
    <w:abstractNumId w:val="9"/>
  </w:num>
  <w:num w:numId="22">
    <w:abstractNumId w:val="15"/>
  </w:num>
  <w:num w:numId="23">
    <w:abstractNumId w:val="2"/>
  </w:num>
  <w:num w:numId="24">
    <w:abstractNumId w:val="6"/>
  </w:num>
  <w:num w:numId="25">
    <w:abstractNumId w:val="22"/>
  </w:num>
  <w:num w:numId="26">
    <w:abstractNumId w:val="5"/>
  </w:num>
  <w:num w:numId="27">
    <w:abstractNumId w:val="12"/>
  </w:num>
  <w:num w:numId="28">
    <w:abstractNumId w:val="10"/>
  </w:num>
  <w:num w:numId="29">
    <w:abstractNumId w:val="1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364"/>
    <w:rsid w:val="00010A4D"/>
    <w:rsid w:val="00043E7B"/>
    <w:rsid w:val="000638B5"/>
    <w:rsid w:val="00063DFF"/>
    <w:rsid w:val="000D394D"/>
    <w:rsid w:val="00100EF9"/>
    <w:rsid w:val="00120A45"/>
    <w:rsid w:val="00124E6A"/>
    <w:rsid w:val="001313E0"/>
    <w:rsid w:val="00153E09"/>
    <w:rsid w:val="001653D7"/>
    <w:rsid w:val="00167743"/>
    <w:rsid w:val="00187E31"/>
    <w:rsid w:val="001A1F1F"/>
    <w:rsid w:val="001A58BD"/>
    <w:rsid w:val="001A7538"/>
    <w:rsid w:val="001E391D"/>
    <w:rsid w:val="00205469"/>
    <w:rsid w:val="00210CBF"/>
    <w:rsid w:val="00250B70"/>
    <w:rsid w:val="00256B74"/>
    <w:rsid w:val="0027149A"/>
    <w:rsid w:val="00274F1A"/>
    <w:rsid w:val="0027678C"/>
    <w:rsid w:val="002A5636"/>
    <w:rsid w:val="002B7981"/>
    <w:rsid w:val="002D77C8"/>
    <w:rsid w:val="002F4AD1"/>
    <w:rsid w:val="00302594"/>
    <w:rsid w:val="003066BE"/>
    <w:rsid w:val="003066E2"/>
    <w:rsid w:val="003227CC"/>
    <w:rsid w:val="00326237"/>
    <w:rsid w:val="00340FA5"/>
    <w:rsid w:val="003452F9"/>
    <w:rsid w:val="003534E0"/>
    <w:rsid w:val="0037319B"/>
    <w:rsid w:val="0037722B"/>
    <w:rsid w:val="003B6923"/>
    <w:rsid w:val="003E1B8B"/>
    <w:rsid w:val="003F326D"/>
    <w:rsid w:val="003F4F92"/>
    <w:rsid w:val="003F66F7"/>
    <w:rsid w:val="003F79EF"/>
    <w:rsid w:val="00416286"/>
    <w:rsid w:val="00426372"/>
    <w:rsid w:val="0043191A"/>
    <w:rsid w:val="00462F24"/>
    <w:rsid w:val="004A5CD7"/>
    <w:rsid w:val="004C4CDB"/>
    <w:rsid w:val="004C6DA8"/>
    <w:rsid w:val="004D1319"/>
    <w:rsid w:val="004D7AC0"/>
    <w:rsid w:val="00527B47"/>
    <w:rsid w:val="00532089"/>
    <w:rsid w:val="00532F99"/>
    <w:rsid w:val="00557848"/>
    <w:rsid w:val="00586B4B"/>
    <w:rsid w:val="00594237"/>
    <w:rsid w:val="005A0BDA"/>
    <w:rsid w:val="005C2B2F"/>
    <w:rsid w:val="005C357F"/>
    <w:rsid w:val="005C6D36"/>
    <w:rsid w:val="005D3E1C"/>
    <w:rsid w:val="005E7651"/>
    <w:rsid w:val="00621347"/>
    <w:rsid w:val="00625CA3"/>
    <w:rsid w:val="00627FDF"/>
    <w:rsid w:val="00630550"/>
    <w:rsid w:val="00630779"/>
    <w:rsid w:val="00632B12"/>
    <w:rsid w:val="00641262"/>
    <w:rsid w:val="006553ED"/>
    <w:rsid w:val="00660482"/>
    <w:rsid w:val="006B2C49"/>
    <w:rsid w:val="006D2C8A"/>
    <w:rsid w:val="006D2D64"/>
    <w:rsid w:val="006E7051"/>
    <w:rsid w:val="00705489"/>
    <w:rsid w:val="00711298"/>
    <w:rsid w:val="00713CC2"/>
    <w:rsid w:val="007526DA"/>
    <w:rsid w:val="00753B41"/>
    <w:rsid w:val="00754027"/>
    <w:rsid w:val="007652C3"/>
    <w:rsid w:val="00766B1A"/>
    <w:rsid w:val="007E284A"/>
    <w:rsid w:val="007F5784"/>
    <w:rsid w:val="008072FE"/>
    <w:rsid w:val="008402C8"/>
    <w:rsid w:val="00845F24"/>
    <w:rsid w:val="00846483"/>
    <w:rsid w:val="00881A01"/>
    <w:rsid w:val="0088219D"/>
    <w:rsid w:val="00892105"/>
    <w:rsid w:val="008B1A24"/>
    <w:rsid w:val="008B4127"/>
    <w:rsid w:val="008D7FAC"/>
    <w:rsid w:val="009277D3"/>
    <w:rsid w:val="00933300"/>
    <w:rsid w:val="009338FC"/>
    <w:rsid w:val="009348BC"/>
    <w:rsid w:val="00940A7B"/>
    <w:rsid w:val="00950272"/>
    <w:rsid w:val="00974BD0"/>
    <w:rsid w:val="009858F5"/>
    <w:rsid w:val="009A66B9"/>
    <w:rsid w:val="009B3AED"/>
    <w:rsid w:val="00A05217"/>
    <w:rsid w:val="00A0600A"/>
    <w:rsid w:val="00A20E9D"/>
    <w:rsid w:val="00A22C83"/>
    <w:rsid w:val="00A272B2"/>
    <w:rsid w:val="00A3284F"/>
    <w:rsid w:val="00A43668"/>
    <w:rsid w:val="00A4486C"/>
    <w:rsid w:val="00A50553"/>
    <w:rsid w:val="00AD49F5"/>
    <w:rsid w:val="00AD4D97"/>
    <w:rsid w:val="00AF0EB2"/>
    <w:rsid w:val="00AF2146"/>
    <w:rsid w:val="00B203DA"/>
    <w:rsid w:val="00B241B1"/>
    <w:rsid w:val="00B458B2"/>
    <w:rsid w:val="00B518C9"/>
    <w:rsid w:val="00B55C6C"/>
    <w:rsid w:val="00B922EA"/>
    <w:rsid w:val="00BA0232"/>
    <w:rsid w:val="00BA6AA9"/>
    <w:rsid w:val="00BC7ED2"/>
    <w:rsid w:val="00BD64BD"/>
    <w:rsid w:val="00BE54B3"/>
    <w:rsid w:val="00BE5CBC"/>
    <w:rsid w:val="00BF79AB"/>
    <w:rsid w:val="00C008B4"/>
    <w:rsid w:val="00C17ABD"/>
    <w:rsid w:val="00C26C67"/>
    <w:rsid w:val="00C821A5"/>
    <w:rsid w:val="00CC7D10"/>
    <w:rsid w:val="00CF196A"/>
    <w:rsid w:val="00D05167"/>
    <w:rsid w:val="00D0608D"/>
    <w:rsid w:val="00D33B4E"/>
    <w:rsid w:val="00D43613"/>
    <w:rsid w:val="00D505CF"/>
    <w:rsid w:val="00D66BF5"/>
    <w:rsid w:val="00D7076A"/>
    <w:rsid w:val="00D81F5E"/>
    <w:rsid w:val="00D92269"/>
    <w:rsid w:val="00DE176A"/>
    <w:rsid w:val="00DF392C"/>
    <w:rsid w:val="00DF7590"/>
    <w:rsid w:val="00DF78D0"/>
    <w:rsid w:val="00E00A6B"/>
    <w:rsid w:val="00E2062A"/>
    <w:rsid w:val="00E235D3"/>
    <w:rsid w:val="00E25EB4"/>
    <w:rsid w:val="00E50AB9"/>
    <w:rsid w:val="00E77899"/>
    <w:rsid w:val="00EE1B31"/>
    <w:rsid w:val="00EF5581"/>
    <w:rsid w:val="00F15673"/>
    <w:rsid w:val="00F172E5"/>
    <w:rsid w:val="00F253CA"/>
    <w:rsid w:val="00F25B2E"/>
    <w:rsid w:val="00F43315"/>
    <w:rsid w:val="00F55F11"/>
    <w:rsid w:val="00F604AD"/>
    <w:rsid w:val="00F83C17"/>
    <w:rsid w:val="00F96D7F"/>
    <w:rsid w:val="00FA7B95"/>
    <w:rsid w:val="00FB4220"/>
    <w:rsid w:val="00FC178B"/>
    <w:rsid w:val="00FC456F"/>
    <w:rsid w:val="00FC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1A1F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7F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65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2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55C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42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53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53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25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21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CD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3066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fr/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orgios.Meleas@eesc.europa.eu" TargetMode="External"/><Relationship Id="rId39" Type="http://schemas.openxmlformats.org/officeDocument/2006/relationships/hyperlink" Target="mailto:Gaia.Bottoni@eesc.europa.eu" TargetMode="External"/><Relationship Id="rId3" Type="http://schemas.openxmlformats.org/officeDocument/2006/relationships/customXml" Target="../customXml/item3.xml"/><Relationship Id="rId21" Type="http://schemas.openxmlformats.org/officeDocument/2006/relationships/hyperlink" Target="https://www.eesc.europa.eu/fr/our-work/opinions-information-reports/opinions/acces-du-parquet-europeen-et-de-lolaf-aux-informations-relatives-la-tva-au-niveau-de-lunion" TargetMode="External"/><Relationship Id="rId34" Type="http://schemas.openxmlformats.org/officeDocument/2006/relationships/hyperlink" Target="https://health.ec.europa.eu/one-health/overview_en" TargetMode="External"/><Relationship Id="rId42" Type="http://schemas.openxmlformats.org/officeDocument/2006/relationships/hyperlink" Target="mailto:Adam.Dorywalski@eesc.europa.eu"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fr/our-work/opinions-information-reports/opinions/la-dimension-insulaire-dans-les-politiques-europeennes-en-faveur-de-la-cohesion-de-la-competitivite-et-du-developpement" TargetMode="External"/><Relationship Id="rId33" Type="http://schemas.openxmlformats.org/officeDocument/2006/relationships/hyperlink" Target="https://health.ec.europa.eu/publications/tartu-call-healthy-lifestyle-joint-actions-promote-healthy-lifestyles_en" TargetMode="External"/><Relationship Id="rId38" Type="http://schemas.openxmlformats.org/officeDocument/2006/relationships/hyperlink" Target="https://www.eesc.europa.eu/fr/our-work/opinions-information-reports/opinions/feuille-de-route-vers-des-credits-nature"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eesc.europa.eu/fr/our-work/opinions-information-reports/opinions/soutien-de-lunion-en-faveur-de-lasile-de-la-migration-et-de-lintegration-de-la-securite-interieure-de-la-gestion" TargetMode="External"/><Relationship Id="rId41" Type="http://schemas.openxmlformats.org/officeDocument/2006/relationships/hyperlink" Target="https://eur-lex.europa.eu/legal-content/FR/TXT/?qid=1770668649096&amp;uri=CELEX%3A52023AE157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https://www.europarl.europa.eu/RegData/etudes/ATAG/2025/779215/EPRS_ATA(2025)779215_EN.pdf" TargetMode="External"/><Relationship Id="rId37" Type="http://schemas.openxmlformats.org/officeDocument/2006/relationships/hyperlink" Target="mailto:GiorgiaAndrea.Bordignon@eesc.europa.eu" TargetMode="External"/><Relationship Id="rId40" Type="http://schemas.openxmlformats.org/officeDocument/2006/relationships/hyperlink" Target="https://www.eesc.europa.eu/our-work/opinions-information-reports/opinions/amending-regulation-eu-20241252-critical-raw-materials-act"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esc.europa.eu/fr/our-work/opinions-information-reports/opinions/semestre-europeen-2026-paquet-dautomne" TargetMode="External"/><Relationship Id="rId28" Type="http://schemas.openxmlformats.org/officeDocument/2006/relationships/hyperlink" Target="mailto:Juri.Soosaar@eesc.europa.eu" TargetMode="External"/><Relationship Id="rId36" Type="http://schemas.openxmlformats.org/officeDocument/2006/relationships/hyperlink" Target="https://www.eesc.europa.eu/fr/our-work/opinions-information-reports/opinions/connectivite-energetique-reseaux-electriques"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fr/our-work/opinions-information-reports/opinions/strategie-europeenne-pour-les-sciences-du-vivant-et-strategie-europeenne-pour-les-infrastructures-de-recherche-et-de" TargetMode="External"/><Relationship Id="rId44" Type="http://schemas.openxmlformats.org/officeDocument/2006/relationships/hyperlink" Target="mailto:Luis.BarbosaESilva@eesc.europa.e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ecdocs"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fr/our-work/opinions-information-reports/opinions/revision-de-la-directive-sur-la-taxation-du-tabac" TargetMode="External"/><Relationship Id="rId30" Type="http://schemas.openxmlformats.org/officeDocument/2006/relationships/hyperlink" Target="mailto:gemma.amran@eesc.europa.eu" TargetMode="External"/><Relationship Id="rId35" Type="http://schemas.openxmlformats.org/officeDocument/2006/relationships/hyperlink" Target="mailto:Konstantina.Angelopoulou@eesc.europa.eu" TargetMode="External"/><Relationship Id="rId43" Type="http://schemas.openxmlformats.org/officeDocument/2006/relationships/hyperlink" Target="https://www.eesc.europa.eu/fr/our-work/opinions-information-reports/opinions/renforcer-lautonomie-strategique-de-lue-et-developper-une-economie-plus-respectueuse-de-lenvironnement-et-des-ressources" TargetMode="External"/><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VP3JK3XSEPRV-2087481956-3339</_dlc_DocId>
    <_dlc_DocIdUrl xmlns="7d640e6d-779c-472f-a269-6b546787f1c9">
      <Url>http://dm/eesc/2026/_layouts/15/DocIdRedir.aspx?ID=VP3JK3XSEPRV-2087481956-3339</Url>
      <Description>VP3JK3XSEPRV-2087481956-3339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2026-03-04T12:00:00+00:00</ProductionDate>
    <DocumentNumber xmlns="a95533f8-59af-4217-bc7a-c1167744adb0">247</DocumentNumber>
    <FicheYea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MeetingDate xmlns="7d640e6d-779c-472f-a269-6b546787f1c9">2026-03-18T12:00:00+00:00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300453</FicheNumber>
    <OriginalSender xmlns="7d640e6d-779c-472f-a269-6b546787f1c9">
      <UserInfo>
        <DisplayName>Reniere Nathalie</DisplayName>
        <AccountId>1350</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604</MeetingNumber>
    <DossierName_0 xmlns="http://schemas.microsoft.com/sharepoint/v3/fields">
      <Terms xmlns="http://schemas.microsoft.com/office/infopath/2007/PartnerControls"/>
    </DossierName_0>
    <DocumentVersion xmlns="7d640e6d-779c-472f-a269-6b546787f1c9">0</DocumentVersion>
    <DossierNumber xmlns="7d640e6d-779c-472f-a269-6b546787f1c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3EBBC-B428-477F-AB6A-163022156F55}">
  <ds:schemaRefs>
    <ds:schemaRef ds:uri="http://schemas.openxmlformats.org/officeDocument/2006/bibliography"/>
  </ds:schemaRefs>
</ds:datastoreItem>
</file>

<file path=customXml/itemProps2.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3.xml><?xml version="1.0" encoding="utf-8"?>
<ds:datastoreItem xmlns:ds="http://schemas.openxmlformats.org/officeDocument/2006/customXml" ds:itemID="{BAE291E6-D6B1-4494-BB1B-1AEE74F20DF5}"/>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5.xml><?xml version="1.0" encoding="utf-8"?>
<ds:datastoreItem xmlns:ds="http://schemas.openxmlformats.org/officeDocument/2006/customXml" ds:itemID="{A5982D98-2B49-4D8D-9E82-3A196D630916}">
  <ds:schemaRefs>
    <ds:schemaRef ds:uri="http://schemas.microsoft.com/sharepoint/v3/contenttype/form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5422</Words>
  <Characters>29822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- 603e session plénière - février 2026</dc:title>
  <dc:subject>ADMIN</dc:subject>
  <dc:creator/>
  <cp:keywords>COR-EESC-2022-02583-00-00-ADMIN-TRA-EN</cp:keywords>
  <dc:description>Rapporteur:  - Original language: EN - Date of document: 20/05/2022 - Date of meeting:  - External documents:  - Administrator:  SUCIU Serban</dc:description>
  <cp:lastModifiedBy/>
  <cp:revision>12</cp:revision>
  <dcterms:created xsi:type="dcterms:W3CDTF">2026-02-26T08:13:00Z</dcterms:created>
  <dcterms:modified xsi:type="dcterms:W3CDTF">2026-03-04T10:07:00Z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26/02/2026, 02/05/2022, 02/05/2022, 28/06/2021</vt:lpwstr>
  </property>
  <property fmtid="{D5CDD505-2E9C-101B-9397-08002B2CF9AE}" pid="4" name="Pref_Time">
    <vt:lpwstr>09:12:28, 12:28:29, 12:25:37, 08:41:48</vt:lpwstr>
  </property>
  <property fmtid="{D5CDD505-2E9C-101B-9397-08002B2CF9AE}" pid="5" name="Pref_User">
    <vt:lpwstr>amett, enied, enied, enied</vt:lpwstr>
  </property>
  <property fmtid="{D5CDD505-2E9C-101B-9397-08002B2CF9AE}" pid="6" name="Pref_FileName">
    <vt:lpwstr>EESC-2026-00247-00-00-TCD-ORI.docx,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1535a8d1-0310-4bd4-9b96-c737225bdaee</vt:lpwstr>
  </property>
  <property fmtid="{D5CDD505-2E9C-101B-9397-08002B2CF9AE}" pid="9" name="AvailableTranslations">
    <vt:lpwstr>60;#EL|6d4f4d51-af9b-4650-94b4-4276bee85c91;#34;#HR|2f555653-ed1a-4fe6-8362-9082d95989e5;#45;#SV|c2ed69e7-a339-43d7-8f22-d93680a92aa0;#43;#BG|1a1b3951-7821-4e6a-85f5-5673fc08bd2c;#37;#HU|6b229040-c589-4408-b4c1-4285663d20a8;#31;#SL|98a412ae-eb01-49e9-ae3d-585a81724cfc;#4;#EN|f2175f21-25d7-44a3-96da-d6a61b075e1b;#30;#SK|46d9fce0-ef79-4f71-b89b-cd6aa82426b8;#12;#ES|e7a6b05b-ae16-40c8-add9-68b64b03aeba;#46;#DA|5d49c027-8956-412b-aa16-e85a0f96ad0e;#32;#PL|1e03da61-4678-4e07-b136-b5024ca9197b;#29;#CS|72f9705b-0217-4fd3-bea2-cbc7ed80e26e;#11;#DE|f6b31e5a-26fa-4935-b661-318e46daf27e;#44;#LT|a7ff5ce7-6123-4f68-865a-a57c31810414;#25;#FI|87606a43-d45f-42d6-b8c9-e1a3457db5b7;#27;#ET|ff6c3f4c-b02c-4c3c-ab07-2c37995a7a0a;#23;#FR|d2afafd3-4c81-4f60-8f52-ee33f2f54ff3;#51;#LV|46f7e311-5d9f-4663-b433-18aeccb7ace7;#36;#NL|55c6556c-b4f4-441d-9acf-c498d4f838bd;#28;#PT|50ccc04a-eadd-42ae-a0cb-acaf45f812ba;#55;#RO|feb747a2-64cd-4299-af12-4833ddc30497;#13;#IT|0774613c-01ed-4e5d-a25d-11d2388de825</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247</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34;#HR|2f555653-ed1a-4fe6-8362-9082d95989e5;#31;#SL|98a412ae-eb01-49e9-ae3d-585a81724cfc;#55;#RO|feb747a2-64cd-4299-af12-4833ddc30497;#28;#PT|50ccc04a-eadd-42ae-a0cb-acaf45f812ba;#27;#ET|ff6c3f4c-b02c-4c3c-ab07-2c37995a7a0a;#25;#FI|87606a43-d45f-42d6-b8c9-e1a3457db5b7;#44;#LT|a7ff5ce7-6123-4f68-865a-a57c31810414;#23;#FR|d2afafd3-4c81-4f60-8f52-ee33f2f54ff3;#59;#SPL-CES|32d8cb1f-c9ec-4365-95c7-8385a18618ac;#19;#Unrestricted|826e22d7-d029-4ec0-a450-0c28ff673572;#18;#TCD|cd9d6eb6-3f4f-424a-b2d1-57c9d450eaaf;#51;#LV|46f7e311-5d9f-4663-b433-18aeccb7ace7;#13;#IT|0774613c-01ed-4e5d-a25d-11d2388de825;#12;#ES|e7a6b05b-ae16-40c8-add9-68b64b03aeba;#11;#DE|f6b31e5a-26fa-4935-b661-318e46daf27e;#9;#TRA|150d2a88-1431-44e6-a8ca-0bb753ab8672;#7;#Final|ea5e6674-7b27-4bac-b091-73adbb394efe;#43;#BG|1a1b3951-7821-4e6a-85f5-5673fc08bd2c;#4;#EN|f2175f21-25d7-44a3-96da-d6a61b075e1b;#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300453</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23;#FR|d2afafd3-4c81-4f60-8f52-ee33f2f54ff3</vt:lpwstr>
  </property>
  <property fmtid="{D5CDD505-2E9C-101B-9397-08002B2CF9AE}" pid="33" name="AvailableTranslations_0">
    <vt:lpwstr>HR|2f555653-ed1a-4fe6-8362-9082d95989e5;BG|1a1b3951-7821-4e6a-85f5-5673fc08bd2c;SL|98a412ae-eb01-49e9-ae3d-585a81724cfc;EN|f2175f21-25d7-44a3-96da-d6a61b075e1b;ES|e7a6b05b-ae16-40c8-add9-68b64b03aeba;DE|f6b31e5a-26fa-4935-b661-318e46daf27e;LT|a7ff5ce7-6123-4f68-865a-a57c31810414;FI|87606a43-d45f-42d6-b8c9-e1a3457db5b7;ET|ff6c3f4c-b02c-4c3c-ab07-2c37995a7a0a;FR|d2afafd3-4c81-4f60-8f52-ee33f2f54ff3;LV|46f7e311-5d9f-4663-b433-18aeccb7ace7;PT|50ccc04a-eadd-42ae-a0cb-acaf45f812ba;RO|feb747a2-64cd-4299-af12-4833ddc30497;IT|0774613c-01ed-4e5d-a25d-11d2388de825</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41" name="MeetingDate">
    <vt:filetime>2026-03-18T12:00:00Z</vt:filetime>
  </property>
  <property fmtid="{D5CDD505-2E9C-101B-9397-08002B2CF9AE}" pid="44" name="MeetingNumber">
    <vt:i4>604</vt:i4>
  </property>
</Properties>
</file>