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2DD4D" w14:textId="1E46804F" w:rsidR="004D7AC0" w:rsidRDefault="00646AC3" w:rsidP="00100EF9">
      <w:pPr>
        <w:jc w:val="center"/>
      </w:pPr>
      <w:r>
        <w:rPr>
          <w:noProof/>
        </w:rPr>
        <w:drawing>
          <wp:inline distT="0" distB="0" distL="0" distR="0" wp14:anchorId="19AB8E75" wp14:editId="68BEB8BE">
            <wp:extent cx="1792605" cy="1239520"/>
            <wp:effectExtent l="0" t="0" r="0" b="0"/>
            <wp:docPr id="2056208776" name="Picture 2" title="EESCLogo_ES"/>
            <wp:cNvGraphicFramePr/>
            <a:graphic xmlns:a="http://schemas.openxmlformats.org/drawingml/2006/main">
              <a:graphicData uri="http://schemas.openxmlformats.org/drawingml/2006/picture">
                <pic:pic xmlns:pic="http://schemas.openxmlformats.org/drawingml/2006/picture">
                  <pic:nvPicPr>
                    <pic:cNvPr id="2056208776" name="Picture 2" title="EESCLogo_E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9264" behindDoc="1" locked="0" layoutInCell="0" allowOverlap="1" wp14:anchorId="4982DE48" wp14:editId="11B5064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2DE54" w14:textId="77777777" w:rsidR="004D7AC0" w:rsidRPr="00260E65" w:rsidRDefault="004D7AC0" w:rsidP="004D7AC0">
                            <w:pPr>
                              <w:jc w:val="center"/>
                              <w:rPr>
                                <w:rFonts w:ascii="Arial" w:hAnsi="Arial" w:cs="Arial"/>
                                <w:b/>
                                <w:bCs/>
                                <w:sz w:val="48"/>
                              </w:rPr>
                            </w:pPr>
                            <w:r>
                              <w:rPr>
                                <w:rFonts w:ascii="Arial" w:hAnsi="Arial"/>
                                <w:b/>
                                <w:sz w:val="48"/>
                              </w:rPr>
                              <w: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2DE48"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" o:allowincell="f" filled="f" stroked="f">
                <v:textbox>
                  <w:txbxContent>
                    <w:p w14:paraId="4982DE54" w14:textId="77777777" w:rsidR="004D7AC0" w:rsidRPr="00260E65" w:rsidRDefault="004D7AC0" w:rsidP="004D7AC0">
                      <w:pPr>
                        <w:jc w:val="center"/>
                        <w:rPr>
                          <w:rFonts w:ascii="Arial" w:hAnsi="Arial" w:cs="Arial"/>
                          <w:b/>
                          <w:bCs/>
                          <w:sz w:val="48"/>
                        </w:rPr>
                      </w:pPr>
                      <w:r>
                        <w:rPr>
                          <w:rFonts w:ascii="Arial" w:hAnsi="Arial"/>
                          <w:b/>
                          <w:sz w:val="48"/>
                        </w:rPr>
                        <w:t>ES</w:t>
                      </w:r>
                    </w:p>
                  </w:txbxContent>
                </v:textbox>
                <w10:wrap anchorx="page" anchory="page"/>
              </v:shape>
            </w:pict>
          </mc:Fallback>
        </mc:AlternateContent>
      </w:r>
    </w:p>
    <w:p w14:paraId="4982DD4E" w14:textId="77777777" w:rsidR="004D7AC0" w:rsidRDefault="004D7AC0" w:rsidP="00100EF9"/>
    <w:p w14:paraId="4982DD4F" w14:textId="7AA8E975" w:rsidR="004D7AC0" w:rsidRDefault="004D7AC0" w:rsidP="00100EF9">
      <w:pPr>
        <w:jc w:val="right"/>
      </w:pPr>
      <w:r>
        <w:t>Bruselas, 4 de marzo de 2026</w:t>
      </w:r>
    </w:p>
    <w:p w14:paraId="4982DD50" w14:textId="77777777" w:rsidR="004D7AC0" w:rsidRDefault="004D7AC0" w:rsidP="00100EF9"/>
    <w:p w14:paraId="4982DD51" w14:textId="77777777" w:rsidR="004D7AC0" w:rsidRDefault="004D7AC0" w:rsidP="00100EF9"/>
    <w:p w14:paraId="4982DD52" w14:textId="77777777" w:rsidR="004D7AC0" w:rsidRDefault="004D7AC0" w:rsidP="00100EF9"/>
    <w:tbl>
      <w:tblPr>
        <w:tblW w:w="0" w:type="auto"/>
        <w:tblLook w:val="04A0" w:firstRow="1" w:lastRow="0" w:firstColumn="1" w:lastColumn="0" w:noHBand="0" w:noVBand="1"/>
      </w:tblPr>
      <w:tblGrid>
        <w:gridCol w:w="9289"/>
      </w:tblGrid>
      <w:tr w:rsidR="004D7AC0" w14:paraId="4982DD59" w14:textId="77777777" w:rsidTr="00600C84">
        <w:tc>
          <w:tcPr>
            <w:tcW w:w="9289" w:type="dxa"/>
            <w:tcBorders>
              <w:bottom w:val="double" w:sz="4" w:space="0" w:color="auto"/>
            </w:tcBorders>
          </w:tcPr>
          <w:p w14:paraId="4982DD53" w14:textId="5E869ADC" w:rsidR="003066BE" w:rsidRDefault="004C4CDB" w:rsidP="00100EF9">
            <w:pPr>
              <w:snapToGrid w:val="0"/>
              <w:jc w:val="center"/>
              <w:rPr>
                <w:b/>
                <w:sz w:val="32"/>
                <w:szCs w:val="32"/>
              </w:rPr>
            </w:pPr>
            <w:r>
              <w:rPr>
                <w:b/>
                <w:sz w:val="32"/>
              </w:rPr>
              <w:t>603.º PLENO</w:t>
            </w:r>
          </w:p>
          <w:p w14:paraId="4982DD54" w14:textId="77777777" w:rsidR="003066BE" w:rsidRDefault="003066BE" w:rsidP="00100EF9">
            <w:pPr>
              <w:snapToGrid w:val="0"/>
              <w:jc w:val="center"/>
              <w:rPr>
                <w:b/>
                <w:sz w:val="32"/>
                <w:szCs w:val="32"/>
              </w:rPr>
            </w:pPr>
          </w:p>
          <w:p w14:paraId="4982DD55" w14:textId="6CEFC9D4" w:rsidR="003066BE" w:rsidRDefault="003066E2" w:rsidP="00100EF9">
            <w:pPr>
              <w:snapToGrid w:val="0"/>
              <w:jc w:val="center"/>
              <w:rPr>
                <w:b/>
                <w:sz w:val="32"/>
                <w:szCs w:val="32"/>
              </w:rPr>
            </w:pPr>
            <w:r>
              <w:rPr>
                <w:b/>
                <w:sz w:val="32"/>
              </w:rPr>
              <w:t>18 y 19 de febrero de 2026</w:t>
            </w:r>
          </w:p>
          <w:p w14:paraId="4982DD56" w14:textId="77777777" w:rsidR="003066BE" w:rsidRDefault="003066BE" w:rsidP="00100EF9">
            <w:pPr>
              <w:snapToGrid w:val="0"/>
              <w:jc w:val="center"/>
              <w:rPr>
                <w:b/>
                <w:sz w:val="32"/>
                <w:szCs w:val="32"/>
              </w:rPr>
            </w:pPr>
          </w:p>
          <w:p w14:paraId="4982DD57" w14:textId="5A35E792" w:rsidR="004D7AC0" w:rsidRPr="0081153B" w:rsidRDefault="00754027" w:rsidP="00100EF9">
            <w:pPr>
              <w:snapToGrid w:val="0"/>
              <w:jc w:val="center"/>
              <w:rPr>
                <w:rFonts w:eastAsia="MS Mincho"/>
                <w:b/>
                <w:sz w:val="32"/>
                <w:szCs w:val="32"/>
              </w:rPr>
            </w:pPr>
            <w:r>
              <w:rPr>
                <w:b/>
                <w:sz w:val="32"/>
              </w:rPr>
              <w:t>SÍNTESIS DE LOS DICTÁMENES Y RESOLUCIONES APROBADOS Y DE LOS INFORMES DE EVALUACIÓN</w:t>
            </w:r>
          </w:p>
          <w:p w14:paraId="4982DD58" w14:textId="77777777" w:rsidR="004D7AC0" w:rsidRDefault="004D7AC0" w:rsidP="00100EF9">
            <w:pPr>
              <w:snapToGrid w:val="0"/>
            </w:pPr>
          </w:p>
        </w:tc>
      </w:tr>
      <w:tr w:rsidR="004D7AC0" w14:paraId="4982DD5F" w14:textId="77777777" w:rsidTr="00600C84">
        <w:tc>
          <w:tcPr>
            <w:tcW w:w="9289" w:type="dxa"/>
            <w:tcBorders>
              <w:top w:val="double" w:sz="4" w:space="0" w:color="auto"/>
              <w:left w:val="double" w:sz="4" w:space="0" w:color="auto"/>
              <w:bottom w:val="double" w:sz="4" w:space="0" w:color="auto"/>
              <w:right w:val="double" w:sz="4" w:space="0" w:color="auto"/>
            </w:tcBorders>
          </w:tcPr>
          <w:p w14:paraId="4982DD5A" w14:textId="49CF26D4" w:rsidR="004D7AC0" w:rsidRPr="0081153B" w:rsidRDefault="004D7AC0" w:rsidP="00EE258B">
            <w:pPr>
              <w:snapToGrid w:val="0"/>
              <w:spacing w:before="240"/>
              <w:jc w:val="center"/>
            </w:pPr>
            <w:r>
              <w:t xml:space="preserve">Este documento puede consultarse en todas las lenguas oficiales de la Unión Europea en el sitio internet del CESE en la siguiente dirección: </w:t>
            </w:r>
            <w:r>
              <w:br/>
            </w:r>
            <w:r>
              <w:br/>
            </w:r>
            <w:hyperlink r:id="rId13" w:history="1">
              <w:r>
                <w:rPr>
                  <w:rStyle w:val="Hyperlink"/>
                </w:rPr>
                <w:t>https://www.eesc.europa.eu/es/our-work/opinions-information-reports/plenary-session-summaries</w:t>
              </w:r>
            </w:hyperlink>
          </w:p>
          <w:p w14:paraId="4982DD5B" w14:textId="77777777" w:rsidR="004D7AC0" w:rsidRPr="0081153B" w:rsidRDefault="004D7AC0" w:rsidP="00100EF9">
            <w:pPr>
              <w:snapToGrid w:val="0"/>
              <w:jc w:val="center"/>
            </w:pPr>
          </w:p>
          <w:p w14:paraId="4982DD5C" w14:textId="77777777" w:rsidR="004D7AC0" w:rsidRPr="0081153B" w:rsidRDefault="004D7AC0" w:rsidP="00100EF9">
            <w:pPr>
              <w:snapToGrid w:val="0"/>
              <w:jc w:val="center"/>
              <w:rPr>
                <w:rFonts w:eastAsia="SimSun"/>
              </w:rPr>
            </w:pPr>
          </w:p>
          <w:p w14:paraId="4982DD5D" w14:textId="5505D0B0" w:rsidR="004D7AC0" w:rsidRPr="00044561" w:rsidRDefault="004D7AC0" w:rsidP="00100EF9">
            <w:pPr>
              <w:snapToGrid w:val="0"/>
              <w:jc w:val="center"/>
            </w:pPr>
            <w:r>
              <w:t xml:space="preserve">Los dictámenes mencionados pueden consultarse en línea </w:t>
            </w:r>
            <w:r>
              <w:br/>
              <w:t>utilizando el motor de búsqueda del CESE:</w:t>
            </w:r>
            <w:r>
              <w:br/>
            </w:r>
            <w:r>
              <w:br/>
            </w:r>
            <w:hyperlink r:id="rId14" w:history="1">
              <w:r>
                <w:rPr>
                  <w:rStyle w:val="Hyperlink"/>
                </w:rPr>
                <w:t>https://dmsearch.eesc.europa.eu/search/opinion</w:t>
              </w:r>
            </w:hyperlink>
          </w:p>
          <w:p w14:paraId="4982DD5E" w14:textId="77777777" w:rsidR="004D7AC0" w:rsidRPr="00044561" w:rsidRDefault="004D7AC0" w:rsidP="00100EF9">
            <w:pPr>
              <w:snapToGrid w:val="0"/>
              <w:jc w:val="center"/>
            </w:pPr>
          </w:p>
        </w:tc>
      </w:tr>
    </w:tbl>
    <w:p w14:paraId="4982DD60" w14:textId="77777777" w:rsidR="004D7AC0" w:rsidRDefault="004D7AC0" w:rsidP="00100EF9"/>
    <w:p w14:paraId="4982DD61" w14:textId="77777777" w:rsidR="004D7AC0" w:rsidRDefault="004D7AC0" w:rsidP="00100EF9"/>
    <w:p w14:paraId="4982DD62" w14:textId="77777777" w:rsidR="004D7AC0" w:rsidRDefault="004D7AC0" w:rsidP="00100EF9">
      <w:pPr>
        <w:sectPr w:rsidR="004D7AC0" w:rsidSect="00153E09">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14:paraId="4982DD63" w14:textId="21FE2E0A" w:rsidR="004D7AC0" w:rsidRPr="00A81AFE" w:rsidRDefault="004D7AC0" w:rsidP="00100EF9">
      <w:pPr>
        <w:rPr>
          <w:b/>
        </w:rPr>
      </w:pPr>
      <w:r>
        <w:rPr>
          <w:b/>
        </w:rPr>
        <w:lastRenderedPageBreak/>
        <w:t>Índice</w:t>
      </w:r>
    </w:p>
    <w:sdt>
      <w:sdtPr>
        <w:rPr>
          <w:rFonts w:ascii="Times New Roman" w:eastAsia="Times New Roman" w:hAnsi="Times New Roman" w:cs="Times New Roman"/>
          <w:color w:val="auto"/>
          <w:sz w:val="22"/>
          <w:szCs w:val="22"/>
        </w:rPr>
        <w:id w:val="-17007477"/>
        <w:docPartObj>
          <w:docPartGallery w:val="Table of Contents"/>
          <w:docPartUnique/>
        </w:docPartObj>
      </w:sdtPr>
      <w:sdtEndPr>
        <w:rPr>
          <w:b/>
          <w:bCs/>
          <w:noProof/>
        </w:rPr>
      </w:sdtEndPr>
      <w:sdtContent>
        <w:p w14:paraId="4982DD64" w14:textId="77777777" w:rsidR="004D7AC0" w:rsidRPr="00A81AFE" w:rsidRDefault="004D7AC0" w:rsidP="00100EF9">
          <w:pPr>
            <w:pStyle w:val="TOCHeading"/>
            <w:spacing w:before="0" w:line="288" w:lineRule="auto"/>
            <w:rPr>
              <w:rFonts w:ascii="Times New Roman" w:hAnsi="Times New Roman" w:cs="Times New Roman"/>
              <w:color w:val="auto"/>
              <w:sz w:val="22"/>
              <w:szCs w:val="22"/>
            </w:rPr>
          </w:pPr>
        </w:p>
        <w:p w14:paraId="424A3E83" w14:textId="37331B16" w:rsidR="00150371" w:rsidRPr="00150371" w:rsidRDefault="004D7AC0" w:rsidP="00150371">
          <w:pPr>
            <w:pStyle w:val="TOC1"/>
            <w:tabs>
              <w:tab w:val="left" w:pos="480"/>
              <w:tab w:val="right" w:leader="dot" w:pos="9063"/>
            </w:tabs>
            <w:rPr>
              <w:rFonts w:asciiTheme="minorHAnsi" w:eastAsiaTheme="minorEastAsia" w:hAnsiTheme="minorHAnsi" w:cstheme="minorBidi"/>
              <w:noProof/>
              <w:kern w:val="2"/>
              <w:lang w:val="en-BE" w:eastAsia="en-BE"/>
              <w14:ligatures w14:val="standardContextual"/>
            </w:rPr>
          </w:pPr>
          <w:r w:rsidRPr="00150371">
            <w:rPr>
              <w:sz w:val="20"/>
              <w:szCs w:val="20"/>
            </w:rPr>
            <w:fldChar w:fldCharType="begin"/>
          </w:r>
          <w:r w:rsidRPr="00150371">
            <w:rPr>
              <w:sz w:val="20"/>
              <w:szCs w:val="20"/>
            </w:rPr>
            <w:instrText xml:space="preserve"> TOC \o "1-3" \h \z \u </w:instrText>
          </w:r>
          <w:r w:rsidRPr="00150371">
            <w:rPr>
              <w:sz w:val="20"/>
              <w:szCs w:val="20"/>
            </w:rPr>
            <w:fldChar w:fldCharType="separate"/>
          </w:r>
          <w:hyperlink w:anchor="_Toc223345257" w:history="1">
            <w:r w:rsidR="00150371" w:rsidRPr="00150371">
              <w:rPr>
                <w:rStyle w:val="Hyperlink"/>
                <w:noProof/>
                <w:sz w:val="20"/>
                <w:szCs w:val="20"/>
              </w:rPr>
              <w:t>1.</w:t>
            </w:r>
            <w:r w:rsidR="00150371" w:rsidRPr="00150371">
              <w:rPr>
                <w:rFonts w:asciiTheme="minorHAnsi" w:eastAsiaTheme="minorEastAsia" w:hAnsiTheme="minorHAnsi" w:cstheme="minorBidi"/>
                <w:noProof/>
                <w:kern w:val="2"/>
                <w:lang w:val="en-BE" w:eastAsia="en-BE"/>
                <w14:ligatures w14:val="standardContextual"/>
              </w:rPr>
              <w:tab/>
            </w:r>
            <w:r w:rsidR="00150371" w:rsidRPr="00150371">
              <w:rPr>
                <w:rStyle w:val="Hyperlink"/>
                <w:noProof/>
                <w:sz w:val="20"/>
                <w:szCs w:val="20"/>
              </w:rPr>
              <w:t>UNIÓN ECONÓMICA Y MONETARIA Y COHESIÓN ECONÓMICA Y SOCIAL</w:t>
            </w:r>
            <w:r w:rsidR="00150371" w:rsidRPr="00150371">
              <w:rPr>
                <w:noProof/>
                <w:webHidden/>
                <w:sz w:val="20"/>
                <w:szCs w:val="20"/>
              </w:rPr>
              <w:tab/>
            </w:r>
            <w:r w:rsidR="00150371" w:rsidRPr="00150371">
              <w:rPr>
                <w:noProof/>
                <w:webHidden/>
                <w:sz w:val="20"/>
                <w:szCs w:val="20"/>
              </w:rPr>
              <w:fldChar w:fldCharType="begin"/>
            </w:r>
            <w:r w:rsidR="00150371" w:rsidRPr="00150371">
              <w:rPr>
                <w:noProof/>
                <w:webHidden/>
                <w:sz w:val="20"/>
                <w:szCs w:val="20"/>
              </w:rPr>
              <w:instrText xml:space="preserve"> PAGEREF _Toc223345257 \h </w:instrText>
            </w:r>
            <w:r w:rsidR="00150371" w:rsidRPr="00150371">
              <w:rPr>
                <w:noProof/>
                <w:webHidden/>
                <w:sz w:val="20"/>
                <w:szCs w:val="20"/>
              </w:rPr>
            </w:r>
            <w:r w:rsidR="00150371" w:rsidRPr="00150371">
              <w:rPr>
                <w:noProof/>
                <w:webHidden/>
                <w:sz w:val="20"/>
                <w:szCs w:val="20"/>
              </w:rPr>
              <w:fldChar w:fldCharType="separate"/>
            </w:r>
            <w:r w:rsidR="00433007">
              <w:rPr>
                <w:noProof/>
                <w:webHidden/>
                <w:sz w:val="20"/>
                <w:szCs w:val="20"/>
              </w:rPr>
              <w:t>3</w:t>
            </w:r>
            <w:r w:rsidR="00150371" w:rsidRPr="00150371">
              <w:rPr>
                <w:noProof/>
                <w:webHidden/>
                <w:sz w:val="20"/>
                <w:szCs w:val="20"/>
              </w:rPr>
              <w:fldChar w:fldCharType="end"/>
            </w:r>
          </w:hyperlink>
        </w:p>
        <w:p w14:paraId="354D082C" w14:textId="32223CC2" w:rsidR="00150371" w:rsidRPr="00150371" w:rsidRDefault="00150371" w:rsidP="00150371">
          <w:pPr>
            <w:pStyle w:val="TOC1"/>
            <w:tabs>
              <w:tab w:val="left" w:pos="480"/>
              <w:tab w:val="right" w:leader="dot" w:pos="9063"/>
            </w:tabs>
            <w:rPr>
              <w:rFonts w:asciiTheme="minorHAnsi" w:eastAsiaTheme="minorEastAsia" w:hAnsiTheme="minorHAnsi" w:cstheme="minorBidi"/>
              <w:noProof/>
              <w:kern w:val="2"/>
              <w:lang w:val="en-BE" w:eastAsia="en-BE"/>
              <w14:ligatures w14:val="standardContextual"/>
            </w:rPr>
          </w:pPr>
          <w:hyperlink w:anchor="_Toc223345258" w:history="1">
            <w:r w:rsidRPr="00150371">
              <w:rPr>
                <w:rStyle w:val="Hyperlink"/>
                <w:noProof/>
                <w:sz w:val="20"/>
                <w:szCs w:val="20"/>
              </w:rPr>
              <w:t>2.</w:t>
            </w:r>
            <w:r w:rsidRPr="00150371">
              <w:rPr>
                <w:rFonts w:asciiTheme="minorHAnsi" w:eastAsiaTheme="minorEastAsia" w:hAnsiTheme="minorHAnsi" w:cstheme="minorBidi"/>
                <w:noProof/>
                <w:kern w:val="2"/>
                <w:lang w:val="en-BE" w:eastAsia="en-BE"/>
                <w14:ligatures w14:val="standardContextual"/>
              </w:rPr>
              <w:tab/>
            </w:r>
            <w:r w:rsidRPr="00150371">
              <w:rPr>
                <w:rStyle w:val="Hyperlink"/>
                <w:noProof/>
                <w:sz w:val="20"/>
                <w:szCs w:val="20"/>
              </w:rPr>
              <w:t>EMPLEO, ASUNTOS SOCIALES Y CIUDADANÍA</w:t>
            </w:r>
            <w:r w:rsidRPr="00150371">
              <w:rPr>
                <w:noProof/>
                <w:webHidden/>
                <w:sz w:val="20"/>
                <w:szCs w:val="20"/>
              </w:rPr>
              <w:tab/>
            </w:r>
            <w:r w:rsidRPr="00150371">
              <w:rPr>
                <w:noProof/>
                <w:webHidden/>
                <w:sz w:val="20"/>
                <w:szCs w:val="20"/>
              </w:rPr>
              <w:fldChar w:fldCharType="begin"/>
            </w:r>
            <w:r w:rsidRPr="00150371">
              <w:rPr>
                <w:noProof/>
                <w:webHidden/>
                <w:sz w:val="20"/>
                <w:szCs w:val="20"/>
              </w:rPr>
              <w:instrText xml:space="preserve"> PAGEREF _Toc223345258 \h </w:instrText>
            </w:r>
            <w:r w:rsidRPr="00150371">
              <w:rPr>
                <w:noProof/>
                <w:webHidden/>
                <w:sz w:val="20"/>
                <w:szCs w:val="20"/>
              </w:rPr>
            </w:r>
            <w:r w:rsidRPr="00150371">
              <w:rPr>
                <w:noProof/>
                <w:webHidden/>
                <w:sz w:val="20"/>
                <w:szCs w:val="20"/>
              </w:rPr>
              <w:fldChar w:fldCharType="separate"/>
            </w:r>
            <w:r w:rsidR="00433007">
              <w:rPr>
                <w:noProof/>
                <w:webHidden/>
                <w:sz w:val="20"/>
                <w:szCs w:val="20"/>
              </w:rPr>
              <w:t>10</w:t>
            </w:r>
            <w:r w:rsidRPr="00150371">
              <w:rPr>
                <w:noProof/>
                <w:webHidden/>
                <w:sz w:val="20"/>
                <w:szCs w:val="20"/>
              </w:rPr>
              <w:fldChar w:fldCharType="end"/>
            </w:r>
          </w:hyperlink>
        </w:p>
        <w:p w14:paraId="673F5EFE" w14:textId="1BD40192" w:rsidR="00150371" w:rsidRPr="00150371" w:rsidRDefault="00150371" w:rsidP="00150371">
          <w:pPr>
            <w:pStyle w:val="TOC1"/>
            <w:tabs>
              <w:tab w:val="left" w:pos="480"/>
              <w:tab w:val="right" w:leader="dot" w:pos="9063"/>
            </w:tabs>
            <w:rPr>
              <w:rFonts w:asciiTheme="minorHAnsi" w:eastAsiaTheme="minorEastAsia" w:hAnsiTheme="minorHAnsi" w:cstheme="minorBidi"/>
              <w:noProof/>
              <w:kern w:val="2"/>
              <w:lang w:val="en-BE" w:eastAsia="en-BE"/>
              <w14:ligatures w14:val="standardContextual"/>
            </w:rPr>
          </w:pPr>
          <w:hyperlink w:anchor="_Toc223345259" w:history="1">
            <w:r w:rsidRPr="00150371">
              <w:rPr>
                <w:rStyle w:val="Hyperlink"/>
                <w:noProof/>
                <w:sz w:val="20"/>
                <w:szCs w:val="20"/>
              </w:rPr>
              <w:t>3.</w:t>
            </w:r>
            <w:r w:rsidRPr="00150371">
              <w:rPr>
                <w:rFonts w:asciiTheme="minorHAnsi" w:eastAsiaTheme="minorEastAsia" w:hAnsiTheme="minorHAnsi" w:cstheme="minorBidi"/>
                <w:noProof/>
                <w:kern w:val="2"/>
                <w:lang w:val="en-BE" w:eastAsia="en-BE"/>
                <w14:ligatures w14:val="standardContextual"/>
              </w:rPr>
              <w:tab/>
            </w:r>
            <w:r w:rsidRPr="00150371">
              <w:rPr>
                <w:rStyle w:val="Hyperlink"/>
                <w:noProof/>
                <w:sz w:val="20"/>
                <w:szCs w:val="20"/>
              </w:rPr>
              <w:t>TRANSPORTE, ENERGÍA, INFRAESTRUCTURAS Y SOCIEDAD DE LA INFORMACIÓN</w:t>
            </w:r>
            <w:r w:rsidRPr="00150371">
              <w:rPr>
                <w:noProof/>
                <w:webHidden/>
                <w:sz w:val="20"/>
                <w:szCs w:val="20"/>
              </w:rPr>
              <w:tab/>
            </w:r>
            <w:r w:rsidRPr="00150371">
              <w:rPr>
                <w:noProof/>
                <w:webHidden/>
                <w:sz w:val="20"/>
                <w:szCs w:val="20"/>
              </w:rPr>
              <w:fldChar w:fldCharType="begin"/>
            </w:r>
            <w:r w:rsidRPr="00150371">
              <w:rPr>
                <w:noProof/>
                <w:webHidden/>
                <w:sz w:val="20"/>
                <w:szCs w:val="20"/>
              </w:rPr>
              <w:instrText xml:space="preserve"> PAGEREF _Toc223345259 \h </w:instrText>
            </w:r>
            <w:r w:rsidRPr="00150371">
              <w:rPr>
                <w:noProof/>
                <w:webHidden/>
                <w:sz w:val="20"/>
                <w:szCs w:val="20"/>
              </w:rPr>
            </w:r>
            <w:r w:rsidRPr="00150371">
              <w:rPr>
                <w:noProof/>
                <w:webHidden/>
                <w:sz w:val="20"/>
                <w:szCs w:val="20"/>
              </w:rPr>
              <w:fldChar w:fldCharType="separate"/>
            </w:r>
            <w:r w:rsidR="00433007">
              <w:rPr>
                <w:noProof/>
                <w:webHidden/>
                <w:sz w:val="20"/>
                <w:szCs w:val="20"/>
              </w:rPr>
              <w:t>11</w:t>
            </w:r>
            <w:r w:rsidRPr="00150371">
              <w:rPr>
                <w:noProof/>
                <w:webHidden/>
                <w:sz w:val="20"/>
                <w:szCs w:val="20"/>
              </w:rPr>
              <w:fldChar w:fldCharType="end"/>
            </w:r>
          </w:hyperlink>
        </w:p>
        <w:p w14:paraId="052C1C68" w14:textId="37F4B3A9" w:rsidR="00150371" w:rsidRPr="00150371" w:rsidRDefault="00150371" w:rsidP="00150371">
          <w:pPr>
            <w:pStyle w:val="TOC1"/>
            <w:tabs>
              <w:tab w:val="left" w:pos="480"/>
              <w:tab w:val="right" w:leader="dot" w:pos="9063"/>
            </w:tabs>
            <w:rPr>
              <w:rFonts w:asciiTheme="minorHAnsi" w:eastAsiaTheme="minorEastAsia" w:hAnsiTheme="minorHAnsi" w:cstheme="minorBidi"/>
              <w:noProof/>
              <w:kern w:val="2"/>
              <w:lang w:val="en-BE" w:eastAsia="en-BE"/>
              <w14:ligatures w14:val="standardContextual"/>
            </w:rPr>
          </w:pPr>
          <w:hyperlink w:anchor="_Toc223345260" w:history="1">
            <w:r w:rsidRPr="00150371">
              <w:rPr>
                <w:rStyle w:val="Hyperlink"/>
                <w:noProof/>
                <w:sz w:val="20"/>
                <w:szCs w:val="20"/>
              </w:rPr>
              <w:t>4.</w:t>
            </w:r>
            <w:r w:rsidRPr="00150371">
              <w:rPr>
                <w:rFonts w:asciiTheme="minorHAnsi" w:eastAsiaTheme="minorEastAsia" w:hAnsiTheme="minorHAnsi" w:cstheme="minorBidi"/>
                <w:noProof/>
                <w:kern w:val="2"/>
                <w:lang w:val="en-BE" w:eastAsia="en-BE"/>
                <w14:ligatures w14:val="standardContextual"/>
              </w:rPr>
              <w:tab/>
            </w:r>
            <w:r w:rsidRPr="00150371">
              <w:rPr>
                <w:rStyle w:val="Hyperlink"/>
                <w:noProof/>
                <w:sz w:val="20"/>
                <w:szCs w:val="20"/>
              </w:rPr>
              <w:t>AGRICULTURA, DESARROLLO RURAL Y MEDIO AMBIENTE</w:t>
            </w:r>
            <w:r w:rsidRPr="00150371">
              <w:rPr>
                <w:noProof/>
                <w:webHidden/>
                <w:sz w:val="20"/>
                <w:szCs w:val="20"/>
              </w:rPr>
              <w:tab/>
            </w:r>
            <w:r w:rsidRPr="00150371">
              <w:rPr>
                <w:noProof/>
                <w:webHidden/>
                <w:sz w:val="20"/>
                <w:szCs w:val="20"/>
              </w:rPr>
              <w:fldChar w:fldCharType="begin"/>
            </w:r>
            <w:r w:rsidRPr="00150371">
              <w:rPr>
                <w:noProof/>
                <w:webHidden/>
                <w:sz w:val="20"/>
                <w:szCs w:val="20"/>
              </w:rPr>
              <w:instrText xml:space="preserve"> PAGEREF _Toc223345260 \h </w:instrText>
            </w:r>
            <w:r w:rsidRPr="00150371">
              <w:rPr>
                <w:noProof/>
                <w:webHidden/>
                <w:sz w:val="20"/>
                <w:szCs w:val="20"/>
              </w:rPr>
            </w:r>
            <w:r w:rsidRPr="00150371">
              <w:rPr>
                <w:noProof/>
                <w:webHidden/>
                <w:sz w:val="20"/>
                <w:szCs w:val="20"/>
              </w:rPr>
              <w:fldChar w:fldCharType="separate"/>
            </w:r>
            <w:r w:rsidR="00433007">
              <w:rPr>
                <w:noProof/>
                <w:webHidden/>
                <w:sz w:val="20"/>
                <w:szCs w:val="20"/>
              </w:rPr>
              <w:t>14</w:t>
            </w:r>
            <w:r w:rsidRPr="00150371">
              <w:rPr>
                <w:noProof/>
                <w:webHidden/>
                <w:sz w:val="20"/>
                <w:szCs w:val="20"/>
              </w:rPr>
              <w:fldChar w:fldCharType="end"/>
            </w:r>
          </w:hyperlink>
        </w:p>
        <w:p w14:paraId="084A6500" w14:textId="1D4086C9" w:rsidR="00150371" w:rsidRPr="00150371" w:rsidRDefault="00150371" w:rsidP="00150371">
          <w:pPr>
            <w:pStyle w:val="TOC1"/>
            <w:tabs>
              <w:tab w:val="left" w:pos="480"/>
              <w:tab w:val="right" w:leader="dot" w:pos="9063"/>
            </w:tabs>
            <w:rPr>
              <w:rFonts w:asciiTheme="minorHAnsi" w:eastAsiaTheme="minorEastAsia" w:hAnsiTheme="minorHAnsi" w:cstheme="minorBidi"/>
              <w:noProof/>
              <w:kern w:val="2"/>
              <w:lang w:val="en-BE" w:eastAsia="en-BE"/>
              <w14:ligatures w14:val="standardContextual"/>
            </w:rPr>
          </w:pPr>
          <w:hyperlink w:anchor="_Toc223345261" w:history="1">
            <w:r w:rsidRPr="00150371">
              <w:rPr>
                <w:rStyle w:val="Hyperlink"/>
                <w:noProof/>
                <w:sz w:val="20"/>
                <w:szCs w:val="20"/>
              </w:rPr>
              <w:t>5.</w:t>
            </w:r>
            <w:r w:rsidRPr="00150371">
              <w:rPr>
                <w:rFonts w:asciiTheme="minorHAnsi" w:eastAsiaTheme="minorEastAsia" w:hAnsiTheme="minorHAnsi" w:cstheme="minorBidi"/>
                <w:noProof/>
                <w:kern w:val="2"/>
                <w:lang w:val="en-BE" w:eastAsia="en-BE"/>
                <w14:ligatures w14:val="standardContextual"/>
              </w:rPr>
              <w:tab/>
            </w:r>
            <w:r w:rsidRPr="00150371">
              <w:rPr>
                <w:rStyle w:val="Hyperlink"/>
                <w:noProof/>
                <w:sz w:val="20"/>
                <w:szCs w:val="20"/>
              </w:rPr>
              <w:t>COMISIÓN CONSULTIVA DE LAS TRANSFORMACIONES INDUSTRIALES</w:t>
            </w:r>
            <w:r w:rsidRPr="00150371">
              <w:rPr>
                <w:noProof/>
                <w:webHidden/>
                <w:sz w:val="20"/>
                <w:szCs w:val="20"/>
              </w:rPr>
              <w:tab/>
            </w:r>
            <w:r w:rsidRPr="00150371">
              <w:rPr>
                <w:noProof/>
                <w:webHidden/>
                <w:sz w:val="20"/>
                <w:szCs w:val="20"/>
              </w:rPr>
              <w:fldChar w:fldCharType="begin"/>
            </w:r>
            <w:r w:rsidRPr="00150371">
              <w:rPr>
                <w:noProof/>
                <w:webHidden/>
                <w:sz w:val="20"/>
                <w:szCs w:val="20"/>
              </w:rPr>
              <w:instrText xml:space="preserve"> PAGEREF _Toc223345261 \h </w:instrText>
            </w:r>
            <w:r w:rsidRPr="00150371">
              <w:rPr>
                <w:noProof/>
                <w:webHidden/>
                <w:sz w:val="20"/>
                <w:szCs w:val="20"/>
              </w:rPr>
            </w:r>
            <w:r w:rsidRPr="00150371">
              <w:rPr>
                <w:noProof/>
                <w:webHidden/>
                <w:sz w:val="20"/>
                <w:szCs w:val="20"/>
              </w:rPr>
              <w:fldChar w:fldCharType="separate"/>
            </w:r>
            <w:r w:rsidR="00433007">
              <w:rPr>
                <w:noProof/>
                <w:webHidden/>
                <w:sz w:val="20"/>
                <w:szCs w:val="20"/>
              </w:rPr>
              <w:t>16</w:t>
            </w:r>
            <w:r w:rsidRPr="00150371">
              <w:rPr>
                <w:noProof/>
                <w:webHidden/>
                <w:sz w:val="20"/>
                <w:szCs w:val="20"/>
              </w:rPr>
              <w:fldChar w:fldCharType="end"/>
            </w:r>
          </w:hyperlink>
        </w:p>
        <w:p w14:paraId="4982DD6A" w14:textId="291172B7" w:rsidR="004D7AC0" w:rsidRDefault="004D7AC0" w:rsidP="00150371">
          <w:r w:rsidRPr="00150371">
            <w:rPr>
              <w:sz w:val="20"/>
              <w:szCs w:val="20"/>
            </w:rPr>
            <w:fldChar w:fldCharType="end"/>
          </w:r>
        </w:p>
      </w:sdtContent>
    </w:sdt>
    <w:p w14:paraId="4982DD6B" w14:textId="77777777" w:rsidR="004D7AC0" w:rsidRDefault="004D7AC0" w:rsidP="00100EF9"/>
    <w:p w14:paraId="4982DD6C" w14:textId="77777777" w:rsidR="004D7AC0" w:rsidRDefault="004D7AC0" w:rsidP="00100EF9">
      <w:pPr>
        <w:jc w:val="left"/>
      </w:pPr>
      <w:r>
        <w:br w:type="page"/>
      </w:r>
    </w:p>
    <w:p w14:paraId="4982DD6D" w14:textId="77777777" w:rsidR="004D7AC0" w:rsidRDefault="004D7AC0" w:rsidP="00100EF9">
      <w:pPr>
        <w:pStyle w:val="Heading1"/>
        <w:rPr>
          <w:b/>
        </w:rPr>
      </w:pPr>
      <w:bookmarkStart w:id="0" w:name="_Toc223345257"/>
      <w:r>
        <w:rPr>
          <w:b/>
        </w:rPr>
        <w:lastRenderedPageBreak/>
        <w:t>UNIÓN ECONÓMICA Y MONETARIA Y COHESIÓN ECONÓMICA Y SOCIAL</w:t>
      </w:r>
      <w:bookmarkEnd w:id="0"/>
    </w:p>
    <w:p w14:paraId="4982DD97" w14:textId="77777777" w:rsidR="004D7AC0" w:rsidRDefault="004D7AC0" w:rsidP="00100EF9">
      <w:pPr>
        <w:pStyle w:val="ListParagraph"/>
        <w:ind w:left="0"/>
      </w:pPr>
    </w:p>
    <w:p w14:paraId="14BFA1D1" w14:textId="5A66FAE3" w:rsidR="001A1F1F" w:rsidRPr="001A1F1F" w:rsidRDefault="00E235D3" w:rsidP="00100EF9">
      <w:pPr>
        <w:widowControl w:val="0"/>
        <w:numPr>
          <w:ilvl w:val="0"/>
          <w:numId w:val="4"/>
        </w:numPr>
        <w:overflowPunct w:val="0"/>
        <w:autoSpaceDE w:val="0"/>
        <w:autoSpaceDN w:val="0"/>
        <w:adjustRightInd w:val="0"/>
        <w:ind w:hanging="567"/>
        <w:textAlignment w:val="baseline"/>
        <w:rPr>
          <w:b/>
          <w:i/>
          <w:iCs/>
          <w:sz w:val="28"/>
          <w:szCs w:val="28"/>
        </w:rPr>
      </w:pPr>
      <w:hyperlink r:id="rId21" w:history="1">
        <w:r>
          <w:rPr>
            <w:b/>
            <w:i/>
            <w:color w:val="0000FF"/>
            <w:sz w:val="28"/>
            <w:u w:val="single"/>
          </w:rPr>
          <w:t>Acceso de la Fiscalía Europea y la OLAF a la información sobre el IVA a escala de la Unión</w:t>
        </w:r>
      </w:hyperlink>
    </w:p>
    <w:p w14:paraId="16AF8D1E" w14:textId="77777777" w:rsidR="001A1F1F" w:rsidRPr="00EE258B" w:rsidRDefault="001A1F1F" w:rsidP="00100EF9">
      <w:pPr>
        <w:widowControl w:val="0"/>
        <w:overflowPunct w:val="0"/>
        <w:autoSpaceDE w:val="0"/>
        <w:autoSpaceDN w:val="0"/>
        <w:adjustRightInd w:val="0"/>
        <w:ind w:left="284"/>
        <w:textAlignment w:val="baseline"/>
        <w:rPr>
          <w:b/>
          <w:i/>
          <w:iCs/>
          <w:sz w:val="20"/>
          <w:szCs w:val="20"/>
        </w:rPr>
      </w:pPr>
    </w:p>
    <w:tbl>
      <w:tblPr>
        <w:tblStyle w:val="TableGrid1"/>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479"/>
      </w:tblGrid>
      <w:tr w:rsidR="001A1F1F" w:rsidRPr="001A1F1F" w14:paraId="0C010C9C" w14:textId="77777777" w:rsidTr="00601D8A">
        <w:tc>
          <w:tcPr>
            <w:tcW w:w="1701" w:type="dxa"/>
          </w:tcPr>
          <w:p w14:paraId="67C58898" w14:textId="77777777" w:rsidR="001A1F1F" w:rsidRPr="001A1F1F" w:rsidRDefault="001A1F1F" w:rsidP="00100EF9">
            <w:pPr>
              <w:tabs>
                <w:tab w:val="center" w:pos="284"/>
              </w:tabs>
              <w:overflowPunct w:val="0"/>
              <w:autoSpaceDE w:val="0"/>
              <w:autoSpaceDN w:val="0"/>
              <w:adjustRightInd w:val="0"/>
              <w:ind w:left="266" w:hanging="266"/>
              <w:textAlignment w:val="baseline"/>
              <w:rPr>
                <w:b/>
              </w:rPr>
            </w:pPr>
            <w:r>
              <w:rPr>
                <w:b/>
              </w:rPr>
              <w:t>Ponente</w:t>
            </w:r>
          </w:p>
        </w:tc>
        <w:tc>
          <w:tcPr>
            <w:tcW w:w="7479" w:type="dxa"/>
          </w:tcPr>
          <w:p w14:paraId="2016211D" w14:textId="05A91267" w:rsidR="001A1F1F" w:rsidRPr="001A1F1F" w:rsidRDefault="001A1F1F" w:rsidP="00100EF9">
            <w:pPr>
              <w:tabs>
                <w:tab w:val="center" w:pos="284"/>
              </w:tabs>
              <w:overflowPunct w:val="0"/>
              <w:autoSpaceDE w:val="0"/>
              <w:autoSpaceDN w:val="0"/>
              <w:adjustRightInd w:val="0"/>
              <w:ind w:left="266" w:hanging="266"/>
              <w:textAlignment w:val="baseline"/>
            </w:pPr>
            <w:r>
              <w:t>Justyna Kalina OCHĘDZAN (Grupo de Organizaciones de la Sociedad Civil – PL)</w:t>
            </w:r>
          </w:p>
        </w:tc>
      </w:tr>
      <w:tr w:rsidR="00205469" w:rsidRPr="001A1F1F" w14:paraId="2E27DAF9" w14:textId="77777777" w:rsidTr="00601D8A">
        <w:tc>
          <w:tcPr>
            <w:tcW w:w="1701" w:type="dxa"/>
          </w:tcPr>
          <w:p w14:paraId="2C056183" w14:textId="77777777" w:rsidR="00205469" w:rsidRPr="001A1F1F" w:rsidRDefault="00205469" w:rsidP="00100EF9">
            <w:pPr>
              <w:tabs>
                <w:tab w:val="center" w:pos="284"/>
              </w:tabs>
              <w:overflowPunct w:val="0"/>
              <w:autoSpaceDE w:val="0"/>
              <w:autoSpaceDN w:val="0"/>
              <w:adjustRightInd w:val="0"/>
              <w:ind w:left="266" w:hanging="266"/>
              <w:textAlignment w:val="baseline"/>
              <w:rPr>
                <w:b/>
              </w:rPr>
            </w:pPr>
          </w:p>
        </w:tc>
        <w:tc>
          <w:tcPr>
            <w:tcW w:w="7479" w:type="dxa"/>
          </w:tcPr>
          <w:p w14:paraId="657AAC10" w14:textId="77777777" w:rsidR="00205469" w:rsidRPr="001A1F1F" w:rsidRDefault="00205469" w:rsidP="00100EF9">
            <w:pPr>
              <w:tabs>
                <w:tab w:val="center" w:pos="284"/>
              </w:tabs>
              <w:overflowPunct w:val="0"/>
              <w:autoSpaceDE w:val="0"/>
              <w:autoSpaceDN w:val="0"/>
              <w:adjustRightInd w:val="0"/>
              <w:ind w:left="266" w:hanging="266"/>
              <w:textAlignment w:val="baseline"/>
              <w:rPr>
                <w:bCs/>
              </w:rPr>
            </w:pPr>
          </w:p>
        </w:tc>
      </w:tr>
      <w:tr w:rsidR="001A1F1F" w:rsidRPr="001A1F1F" w14:paraId="7FD540DB" w14:textId="77777777" w:rsidTr="00601D8A">
        <w:tc>
          <w:tcPr>
            <w:tcW w:w="1701" w:type="dxa"/>
          </w:tcPr>
          <w:p w14:paraId="1F4D838E" w14:textId="0EE217C2" w:rsidR="001A1F1F" w:rsidRPr="001A1F1F" w:rsidRDefault="001A1F1F" w:rsidP="00100EF9">
            <w:pPr>
              <w:tabs>
                <w:tab w:val="center" w:pos="284"/>
              </w:tabs>
              <w:overflowPunct w:val="0"/>
              <w:autoSpaceDE w:val="0"/>
              <w:autoSpaceDN w:val="0"/>
              <w:adjustRightInd w:val="0"/>
              <w:ind w:left="266" w:hanging="266"/>
              <w:textAlignment w:val="baseline"/>
              <w:rPr>
                <w:b/>
              </w:rPr>
            </w:pPr>
            <w:r>
              <w:rPr>
                <w:b/>
              </w:rPr>
              <w:t>Referencias</w:t>
            </w:r>
          </w:p>
        </w:tc>
        <w:tc>
          <w:tcPr>
            <w:tcW w:w="7479" w:type="dxa"/>
          </w:tcPr>
          <w:p w14:paraId="7BBCB1FA" w14:textId="42339DFC" w:rsidR="001A1F1F" w:rsidRPr="001A1F1F" w:rsidRDefault="001A1F1F" w:rsidP="00100EF9">
            <w:pPr>
              <w:tabs>
                <w:tab w:val="center" w:pos="321"/>
              </w:tabs>
              <w:overflowPunct w:val="0"/>
              <w:autoSpaceDE w:val="0"/>
              <w:autoSpaceDN w:val="0"/>
              <w:adjustRightInd w:val="0"/>
              <w:textAlignment w:val="baseline"/>
            </w:pPr>
            <w:r>
              <w:t>COM(2025) 685 final</w:t>
            </w:r>
          </w:p>
          <w:p w14:paraId="1104CA65" w14:textId="51409899" w:rsidR="001A1F1F" w:rsidRPr="001A1F1F" w:rsidRDefault="001A1F1F" w:rsidP="00100EF9">
            <w:pPr>
              <w:tabs>
                <w:tab w:val="center" w:pos="284"/>
              </w:tabs>
              <w:overflowPunct w:val="0"/>
              <w:autoSpaceDE w:val="0"/>
              <w:autoSpaceDN w:val="0"/>
              <w:adjustRightInd w:val="0"/>
              <w:ind w:left="266" w:hanging="266"/>
              <w:textAlignment w:val="baseline"/>
            </w:pPr>
            <w:r>
              <w:t>EESC-2025-04282-00-00-AC</w:t>
            </w:r>
          </w:p>
        </w:tc>
      </w:tr>
    </w:tbl>
    <w:p w14:paraId="33260C4B" w14:textId="77777777" w:rsidR="001A1F1F" w:rsidRPr="001A1F1F" w:rsidRDefault="001A1F1F" w:rsidP="00100EF9">
      <w:pPr>
        <w:tabs>
          <w:tab w:val="center" w:pos="284"/>
        </w:tabs>
        <w:overflowPunct w:val="0"/>
        <w:autoSpaceDE w:val="0"/>
        <w:autoSpaceDN w:val="0"/>
        <w:adjustRightInd w:val="0"/>
        <w:ind w:left="266" w:hanging="266"/>
        <w:textAlignment w:val="baseline"/>
        <w:rPr>
          <w:b/>
          <w:lang w:val="pt-PT"/>
        </w:rPr>
      </w:pPr>
    </w:p>
    <w:p w14:paraId="55B2611A" w14:textId="77777777" w:rsidR="001A1F1F" w:rsidRPr="001A1F1F" w:rsidRDefault="001A1F1F" w:rsidP="00100EF9">
      <w:pPr>
        <w:keepNext/>
        <w:keepLines/>
        <w:tabs>
          <w:tab w:val="center" w:pos="284"/>
        </w:tabs>
        <w:overflowPunct w:val="0"/>
        <w:autoSpaceDE w:val="0"/>
        <w:autoSpaceDN w:val="0"/>
        <w:adjustRightInd w:val="0"/>
        <w:ind w:left="266" w:hanging="266"/>
        <w:textAlignment w:val="baseline"/>
        <w:rPr>
          <w:b/>
        </w:rPr>
      </w:pPr>
      <w:r>
        <w:rPr>
          <w:b/>
        </w:rPr>
        <w:t>Puntos clave</w:t>
      </w:r>
    </w:p>
    <w:p w14:paraId="374403B4" w14:textId="77777777" w:rsidR="001A1F1F" w:rsidRPr="001A1F1F" w:rsidRDefault="001A1F1F" w:rsidP="00100EF9">
      <w:pPr>
        <w:keepNext/>
        <w:keepLines/>
        <w:tabs>
          <w:tab w:val="center" w:pos="284"/>
        </w:tabs>
        <w:overflowPunct w:val="0"/>
        <w:autoSpaceDE w:val="0"/>
        <w:autoSpaceDN w:val="0"/>
        <w:adjustRightInd w:val="0"/>
        <w:ind w:left="266" w:hanging="266"/>
        <w:textAlignment w:val="baseline"/>
        <w:rPr>
          <w:b/>
          <w:lang w:val="en-GB"/>
        </w:rPr>
      </w:pPr>
    </w:p>
    <w:p w14:paraId="474EE163" w14:textId="77777777" w:rsidR="001A1F1F" w:rsidRPr="001A1F1F" w:rsidRDefault="001A1F1F" w:rsidP="00100EF9">
      <w:pPr>
        <w:overflowPunct w:val="0"/>
        <w:autoSpaceDE w:val="0"/>
        <w:autoSpaceDN w:val="0"/>
        <w:adjustRightInd w:val="0"/>
        <w:textAlignment w:val="baseline"/>
        <w:rPr>
          <w:bCs/>
          <w:iCs/>
        </w:rPr>
      </w:pPr>
      <w:r>
        <w:t>El CESE:</w:t>
      </w:r>
    </w:p>
    <w:p w14:paraId="2A48351A" w14:textId="77777777" w:rsidR="001A1F1F" w:rsidRPr="00153E09" w:rsidRDefault="001A1F1F" w:rsidP="007526DA">
      <w:pPr>
        <w:pStyle w:val="ListParagraph"/>
        <w:numPr>
          <w:ilvl w:val="0"/>
          <w:numId w:val="27"/>
        </w:numPr>
        <w:ind w:left="567" w:hanging="567"/>
      </w:pPr>
      <w:bookmarkStart w:id="1" w:name="_Toc222825813"/>
      <w:r>
        <w:rPr>
          <w:b/>
        </w:rPr>
        <w:t>apoya</w:t>
      </w:r>
      <w:r>
        <w:t xml:space="preserve"> plenamente los esfuerzos de la Comisión por promover un enfoque más exhaustivo y global para luchar contra el fraude en materia de IVA, al permitir el acceso de la Fiscalía Europea y de la Oficina Europea de Lucha contra el Fraude (OLAF) a los datos relativos al impuesto sobre el valor añadido (IVA) intercambiados en virtud del Reglamento (UE) n.º 904/2010 del Consejo;</w:t>
      </w:r>
      <w:bookmarkEnd w:id="1"/>
    </w:p>
    <w:p w14:paraId="2F29EED4" w14:textId="77777777" w:rsidR="001A1F1F" w:rsidRPr="00153E09" w:rsidRDefault="001A1F1F" w:rsidP="007526DA">
      <w:pPr>
        <w:pStyle w:val="ListParagraph"/>
        <w:numPr>
          <w:ilvl w:val="0"/>
          <w:numId w:val="27"/>
        </w:numPr>
        <w:ind w:left="567" w:hanging="567"/>
      </w:pPr>
      <w:bookmarkStart w:id="2" w:name="_Toc222825814"/>
      <w:r>
        <w:rPr>
          <w:b/>
        </w:rPr>
        <w:t>reconoce</w:t>
      </w:r>
      <w:r>
        <w:t xml:space="preserve"> que, para luchar contra las formas más importantes de fraude en materia de IVA, es necesario permitir a las autoridades competentes recopilar, utilizar y cotejar rápidamente la información pertinente a efectos del IVA de varios Estados miembros, al objeto de reducir de este modo el retraso en las respuestas de las autoridades tributarias competentes en relación con las actividades fraudulentas;</w:t>
      </w:r>
      <w:bookmarkEnd w:id="2"/>
    </w:p>
    <w:p w14:paraId="76BC0052" w14:textId="77777777" w:rsidR="001A1F1F" w:rsidRPr="00153E09" w:rsidRDefault="001A1F1F" w:rsidP="007526DA">
      <w:pPr>
        <w:pStyle w:val="ListParagraph"/>
        <w:numPr>
          <w:ilvl w:val="0"/>
          <w:numId w:val="27"/>
        </w:numPr>
        <w:ind w:left="567" w:hanging="567"/>
      </w:pPr>
      <w:bookmarkStart w:id="3" w:name="_Toc222825815"/>
      <w:r>
        <w:rPr>
          <w:b/>
        </w:rPr>
        <w:t>valora positivamente</w:t>
      </w:r>
      <w:r>
        <w:t xml:space="preserve"> que la propuesta de la Comisión se presente tras una evaluación </w:t>
      </w:r>
      <w:r>
        <w:rPr>
          <w:i/>
          <w:iCs/>
        </w:rPr>
        <w:t>ex post</w:t>
      </w:r>
      <w:r>
        <w:t xml:space="preserve"> de las normas aplicables en virtud del Reglamento (UE) n.º 904/2010 del Consejo, en la que se tuvo en cuenta la información facilitada por los Estados miembros. El CESE </w:t>
      </w:r>
      <w:r>
        <w:rPr>
          <w:b/>
          <w:bCs/>
        </w:rPr>
        <w:t>señala</w:t>
      </w:r>
      <w:r>
        <w:t xml:space="preserve"> que no se realizó ninguna evaluación de impacto de la propuesta objeto de examen, si bien reconoce que esto se debió al hecho de que los Estados miembros presentaron una solicitud urgente;</w:t>
      </w:r>
      <w:bookmarkEnd w:id="3"/>
    </w:p>
    <w:p w14:paraId="25654AAB" w14:textId="77777777" w:rsidR="001A1F1F" w:rsidRPr="00153E09" w:rsidRDefault="001A1F1F" w:rsidP="007526DA">
      <w:pPr>
        <w:pStyle w:val="ListParagraph"/>
        <w:numPr>
          <w:ilvl w:val="0"/>
          <w:numId w:val="27"/>
        </w:numPr>
        <w:ind w:left="567" w:hanging="567"/>
      </w:pPr>
      <w:bookmarkStart w:id="4" w:name="_Toc222825816"/>
      <w:r>
        <w:rPr>
          <w:b/>
          <w:bCs/>
        </w:rPr>
        <w:t>se congratula</w:t>
      </w:r>
      <w:r>
        <w:t xml:space="preserve"> de la intención de la Comisión de intensificar la cooperación entre las autoridades pertinentes que luchan contra el fraude en materia de IVA, incluida la posibilidad de mejorar la cooperación entre Europol y Eurofisc en el marco del Reglamento (UE) n.º 904/2010 del Consejo, e insta a que se siga reforzando la cooperación estructurada entre todas las autoridades competentes de los Estados miembros.</w:t>
      </w:r>
      <w:bookmarkEnd w:id="4"/>
    </w:p>
    <w:p w14:paraId="39EE45C8" w14:textId="77777777" w:rsidR="001A1F1F" w:rsidRPr="00EE258B" w:rsidRDefault="001A1F1F" w:rsidP="00100EF9">
      <w:pPr>
        <w:overflowPunct w:val="0"/>
        <w:autoSpaceDE w:val="0"/>
        <w:autoSpaceDN w:val="0"/>
        <w:adjustRightInd w:val="0"/>
        <w:textAlignment w:val="baseline"/>
        <w:rPr>
          <w:bCs/>
          <w:iC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1A1F1F" w:rsidRPr="001A1F1F" w14:paraId="33327B63" w14:textId="77777777" w:rsidTr="00EE258B">
        <w:tc>
          <w:tcPr>
            <w:tcW w:w="1951" w:type="dxa"/>
          </w:tcPr>
          <w:p w14:paraId="04F7E453" w14:textId="77777777" w:rsidR="001A1F1F" w:rsidRPr="001A1F1F" w:rsidRDefault="001A1F1F" w:rsidP="00100EF9">
            <w:pPr>
              <w:overflowPunct w:val="0"/>
              <w:autoSpaceDE w:val="0"/>
              <w:autoSpaceDN w:val="0"/>
              <w:adjustRightInd w:val="0"/>
              <w:textAlignment w:val="baseline"/>
              <w:rPr>
                <w:i/>
              </w:rPr>
            </w:pPr>
            <w:r>
              <w:rPr>
                <w:b/>
                <w:i/>
              </w:rPr>
              <w:t>Contacto:</w:t>
            </w:r>
          </w:p>
        </w:tc>
        <w:tc>
          <w:tcPr>
            <w:tcW w:w="7229" w:type="dxa"/>
          </w:tcPr>
          <w:p w14:paraId="34FEEF63" w14:textId="62F84E0C" w:rsidR="001A1F1F" w:rsidRPr="001A1F1F" w:rsidRDefault="001A1F1F" w:rsidP="00100EF9">
            <w:pPr>
              <w:overflowPunct w:val="0"/>
              <w:autoSpaceDE w:val="0"/>
              <w:autoSpaceDN w:val="0"/>
              <w:adjustRightInd w:val="0"/>
              <w:textAlignment w:val="baseline"/>
              <w:rPr>
                <w:i/>
              </w:rPr>
            </w:pPr>
            <w:r>
              <w:rPr>
                <w:i/>
              </w:rPr>
              <w:t>Jüri SOOSAAR</w:t>
            </w:r>
          </w:p>
        </w:tc>
      </w:tr>
      <w:tr w:rsidR="001A1F1F" w:rsidRPr="001A1F1F" w14:paraId="7DA1B58C" w14:textId="77777777" w:rsidTr="00EE258B">
        <w:tc>
          <w:tcPr>
            <w:tcW w:w="1951" w:type="dxa"/>
          </w:tcPr>
          <w:p w14:paraId="32B45750" w14:textId="77777777" w:rsidR="001A1F1F" w:rsidRPr="001A1F1F" w:rsidRDefault="001A1F1F" w:rsidP="00100EF9">
            <w:pPr>
              <w:overflowPunct w:val="0"/>
              <w:autoSpaceDE w:val="0"/>
              <w:autoSpaceDN w:val="0"/>
              <w:adjustRightInd w:val="0"/>
              <w:textAlignment w:val="baseline"/>
              <w:rPr>
                <w:i/>
              </w:rPr>
            </w:pPr>
            <w:r>
              <w:rPr>
                <w:i/>
              </w:rPr>
              <w:t>Teléfono:</w:t>
            </w:r>
          </w:p>
        </w:tc>
        <w:tc>
          <w:tcPr>
            <w:tcW w:w="7229" w:type="dxa"/>
          </w:tcPr>
          <w:p w14:paraId="4B866371" w14:textId="51149591" w:rsidR="001A1F1F" w:rsidRPr="001A1F1F" w:rsidRDefault="001A1F1F" w:rsidP="00100EF9">
            <w:pPr>
              <w:overflowPunct w:val="0"/>
              <w:autoSpaceDE w:val="0"/>
              <w:autoSpaceDN w:val="0"/>
              <w:adjustRightInd w:val="0"/>
              <w:textAlignment w:val="baseline"/>
              <w:rPr>
                <w:i/>
              </w:rPr>
            </w:pPr>
            <w:r>
              <w:rPr>
                <w:i/>
              </w:rPr>
              <w:t>+32 25469628</w:t>
            </w:r>
          </w:p>
        </w:tc>
      </w:tr>
      <w:tr w:rsidR="001A1F1F" w:rsidRPr="001A1F1F" w14:paraId="3A08DF12" w14:textId="77777777" w:rsidTr="00EE258B">
        <w:tc>
          <w:tcPr>
            <w:tcW w:w="1951" w:type="dxa"/>
          </w:tcPr>
          <w:p w14:paraId="3FBEB159" w14:textId="77777777" w:rsidR="001A1F1F" w:rsidRPr="001A1F1F" w:rsidRDefault="001A1F1F" w:rsidP="00100EF9">
            <w:pPr>
              <w:overflowPunct w:val="0"/>
              <w:autoSpaceDE w:val="0"/>
              <w:autoSpaceDN w:val="0"/>
              <w:adjustRightInd w:val="0"/>
              <w:textAlignment w:val="baseline"/>
              <w:rPr>
                <w:i/>
              </w:rPr>
            </w:pPr>
            <w:r>
              <w:rPr>
                <w:i/>
              </w:rPr>
              <w:t>Correo electrónico:</w:t>
            </w:r>
          </w:p>
        </w:tc>
        <w:tc>
          <w:tcPr>
            <w:tcW w:w="7229" w:type="dxa"/>
          </w:tcPr>
          <w:p w14:paraId="11A675FB" w14:textId="7A2E7318" w:rsidR="001A1F1F" w:rsidRPr="001A1F1F" w:rsidRDefault="00E235D3" w:rsidP="00100EF9">
            <w:pPr>
              <w:overflowPunct w:val="0"/>
              <w:autoSpaceDE w:val="0"/>
              <w:autoSpaceDN w:val="0"/>
              <w:adjustRightInd w:val="0"/>
              <w:textAlignment w:val="baseline"/>
              <w:rPr>
                <w:i/>
                <w:iCs/>
              </w:rPr>
            </w:pPr>
            <w:hyperlink r:id="rId22" w:history="1">
              <w:r>
                <w:rPr>
                  <w:i/>
                  <w:color w:val="0000FF"/>
                  <w:u w:val="single"/>
                </w:rPr>
                <w:t>Juri.Soosaar@eesc.europa.eu</w:t>
              </w:r>
            </w:hyperlink>
          </w:p>
        </w:tc>
      </w:tr>
    </w:tbl>
    <w:p w14:paraId="78F085C8" w14:textId="47013726" w:rsidR="00627FDF" w:rsidRDefault="00627FDF" w:rsidP="00100EF9">
      <w:pPr>
        <w:pStyle w:val="ListParagraph"/>
        <w:ind w:left="0"/>
      </w:pPr>
    </w:p>
    <w:p w14:paraId="14AD7ACF" w14:textId="77777777" w:rsidR="00627FDF" w:rsidRDefault="00627FDF" w:rsidP="00100EF9">
      <w:pPr>
        <w:jc w:val="left"/>
      </w:pPr>
      <w:r>
        <w:br w:type="page"/>
      </w:r>
    </w:p>
    <w:p w14:paraId="5B5A0FF1" w14:textId="6EF57D95" w:rsidR="00627FDF" w:rsidRPr="00627FDF" w:rsidRDefault="00E235D3" w:rsidP="005519A6">
      <w:pPr>
        <w:widowControl w:val="0"/>
        <w:numPr>
          <w:ilvl w:val="0"/>
          <w:numId w:val="4"/>
        </w:numPr>
        <w:overflowPunct w:val="0"/>
        <w:autoSpaceDE w:val="0"/>
        <w:autoSpaceDN w:val="0"/>
        <w:adjustRightInd w:val="0"/>
        <w:ind w:left="0" w:firstLine="0"/>
        <w:textAlignment w:val="baseline"/>
        <w:rPr>
          <w:i/>
          <w:iCs/>
          <w:sz w:val="20"/>
          <w:szCs w:val="20"/>
        </w:rPr>
      </w:pPr>
      <w:hyperlink r:id="rId23" w:history="1">
        <w:r>
          <w:rPr>
            <w:b/>
            <w:i/>
            <w:color w:val="0000FF"/>
            <w:sz w:val="28"/>
            <w:u w:val="single"/>
          </w:rPr>
          <w:t>Semestre Europeo de 2026 – Paquete de otoño</w:t>
        </w:r>
      </w:hyperlink>
    </w:p>
    <w:p w14:paraId="2922872A" w14:textId="77777777" w:rsidR="00627FDF" w:rsidRPr="00EE258B" w:rsidRDefault="00627FDF" w:rsidP="005519A6">
      <w:pPr>
        <w:tabs>
          <w:tab w:val="center" w:pos="284"/>
        </w:tabs>
        <w:overflowPunct w:val="0"/>
        <w:autoSpaceDE w:val="0"/>
        <w:autoSpaceDN w:val="0"/>
        <w:adjustRightInd w:val="0"/>
        <w:textAlignment w:val="baseline"/>
        <w:rPr>
          <w:bCs/>
        </w:rPr>
      </w:pPr>
    </w:p>
    <w:tbl>
      <w:tblPr>
        <w:tblStyle w:val="TableGrid2"/>
        <w:tblW w:w="5000" w:type="pct"/>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627FDF" w:rsidRPr="00627FDF" w14:paraId="59DBBD6A" w14:textId="77777777" w:rsidTr="005519A6">
        <w:tc>
          <w:tcPr>
            <w:tcW w:w="1077" w:type="pct"/>
          </w:tcPr>
          <w:p w14:paraId="2CA81E57" w14:textId="77777777" w:rsidR="00627FDF" w:rsidRPr="00627FDF" w:rsidRDefault="00627FDF" w:rsidP="005519A6">
            <w:pPr>
              <w:tabs>
                <w:tab w:val="center" w:pos="284"/>
              </w:tabs>
              <w:overflowPunct w:val="0"/>
              <w:autoSpaceDE w:val="0"/>
              <w:autoSpaceDN w:val="0"/>
              <w:adjustRightInd w:val="0"/>
              <w:textAlignment w:val="baseline"/>
              <w:rPr>
                <w:b/>
              </w:rPr>
            </w:pPr>
            <w:r>
              <w:rPr>
                <w:b/>
              </w:rPr>
              <w:t>Ponente</w:t>
            </w:r>
          </w:p>
        </w:tc>
        <w:tc>
          <w:tcPr>
            <w:tcW w:w="3923" w:type="pct"/>
          </w:tcPr>
          <w:p w14:paraId="48A0BF67" w14:textId="3FE90B23" w:rsidR="00627FDF" w:rsidRPr="00627FDF" w:rsidRDefault="00627FDF" w:rsidP="005519A6">
            <w:pPr>
              <w:tabs>
                <w:tab w:val="center" w:pos="284"/>
              </w:tabs>
              <w:overflowPunct w:val="0"/>
              <w:autoSpaceDE w:val="0"/>
              <w:autoSpaceDN w:val="0"/>
              <w:adjustRightInd w:val="0"/>
              <w:ind w:right="-3091"/>
              <w:textAlignment w:val="baseline"/>
            </w:pPr>
            <w:r>
              <w:t>Luca JAHIER (Grupo de Organizaciones de la Sociedad Civil – IT)</w:t>
            </w:r>
          </w:p>
        </w:tc>
      </w:tr>
      <w:tr w:rsidR="00205469" w:rsidRPr="00627FDF" w14:paraId="6A4A7A00" w14:textId="77777777" w:rsidTr="005519A6">
        <w:tc>
          <w:tcPr>
            <w:tcW w:w="1077" w:type="pct"/>
          </w:tcPr>
          <w:p w14:paraId="12EA3C9E" w14:textId="77777777" w:rsidR="00205469" w:rsidRPr="00627FDF" w:rsidRDefault="00205469" w:rsidP="005519A6">
            <w:pPr>
              <w:tabs>
                <w:tab w:val="center" w:pos="284"/>
              </w:tabs>
              <w:overflowPunct w:val="0"/>
              <w:autoSpaceDE w:val="0"/>
              <w:autoSpaceDN w:val="0"/>
              <w:adjustRightInd w:val="0"/>
              <w:textAlignment w:val="baseline"/>
              <w:rPr>
                <w:b/>
              </w:rPr>
            </w:pPr>
          </w:p>
        </w:tc>
        <w:tc>
          <w:tcPr>
            <w:tcW w:w="3923" w:type="pct"/>
          </w:tcPr>
          <w:p w14:paraId="3F242FCC" w14:textId="77777777" w:rsidR="00205469" w:rsidRPr="00EE258B" w:rsidRDefault="00205469" w:rsidP="005519A6">
            <w:pPr>
              <w:tabs>
                <w:tab w:val="center" w:pos="284"/>
              </w:tabs>
              <w:overflowPunct w:val="0"/>
              <w:autoSpaceDE w:val="0"/>
              <w:autoSpaceDN w:val="0"/>
              <w:adjustRightInd w:val="0"/>
              <w:ind w:right="-3091"/>
              <w:textAlignment w:val="baseline"/>
              <w:rPr>
                <w:bCs/>
              </w:rPr>
            </w:pPr>
          </w:p>
        </w:tc>
      </w:tr>
      <w:tr w:rsidR="00627FDF" w:rsidRPr="00627FDF" w14:paraId="261B2615" w14:textId="77777777" w:rsidTr="005519A6">
        <w:tc>
          <w:tcPr>
            <w:tcW w:w="1077" w:type="pct"/>
          </w:tcPr>
          <w:p w14:paraId="5DFE7408" w14:textId="6FA9C295" w:rsidR="00627FDF" w:rsidRPr="00627FDF" w:rsidRDefault="00627FDF" w:rsidP="005519A6">
            <w:pPr>
              <w:tabs>
                <w:tab w:val="center" w:pos="284"/>
              </w:tabs>
              <w:overflowPunct w:val="0"/>
              <w:autoSpaceDE w:val="0"/>
              <w:autoSpaceDN w:val="0"/>
              <w:adjustRightInd w:val="0"/>
              <w:textAlignment w:val="baseline"/>
              <w:rPr>
                <w:b/>
              </w:rPr>
            </w:pPr>
            <w:r>
              <w:rPr>
                <w:b/>
              </w:rPr>
              <w:t>Referencias</w:t>
            </w:r>
          </w:p>
        </w:tc>
        <w:tc>
          <w:tcPr>
            <w:tcW w:w="3923" w:type="pct"/>
          </w:tcPr>
          <w:p w14:paraId="05B63FA9" w14:textId="3576FDD2" w:rsidR="00627FDF" w:rsidRPr="00627FDF" w:rsidRDefault="00627FDF" w:rsidP="005519A6">
            <w:pPr>
              <w:tabs>
                <w:tab w:val="center" w:pos="284"/>
              </w:tabs>
              <w:overflowPunct w:val="0"/>
              <w:autoSpaceDE w:val="0"/>
              <w:autoSpaceDN w:val="0"/>
              <w:adjustRightInd w:val="0"/>
              <w:ind w:right="-3091"/>
              <w:textAlignment w:val="baseline"/>
            </w:pPr>
            <w:r>
              <w:t>COM(2025) 955 final</w:t>
            </w:r>
          </w:p>
          <w:p w14:paraId="3BB4E753" w14:textId="77777777" w:rsidR="00627FDF" w:rsidRPr="00627FDF" w:rsidRDefault="00627FDF" w:rsidP="005519A6">
            <w:pPr>
              <w:tabs>
                <w:tab w:val="center" w:pos="284"/>
              </w:tabs>
              <w:overflowPunct w:val="0"/>
              <w:autoSpaceDE w:val="0"/>
              <w:autoSpaceDN w:val="0"/>
              <w:adjustRightInd w:val="0"/>
              <w:ind w:right="-3091"/>
              <w:textAlignment w:val="baseline"/>
            </w:pPr>
            <w:r>
              <w:t>EESC-2025-03794-00-00-AC</w:t>
            </w:r>
          </w:p>
        </w:tc>
      </w:tr>
    </w:tbl>
    <w:p w14:paraId="7A90BFAE" w14:textId="77777777" w:rsidR="00627FDF" w:rsidRPr="00100EF9" w:rsidRDefault="00627FDF" w:rsidP="005519A6">
      <w:pPr>
        <w:tabs>
          <w:tab w:val="center" w:pos="284"/>
        </w:tabs>
        <w:overflowPunct w:val="0"/>
        <w:autoSpaceDE w:val="0"/>
        <w:autoSpaceDN w:val="0"/>
        <w:adjustRightInd w:val="0"/>
        <w:textAlignment w:val="baseline"/>
        <w:rPr>
          <w:bCs/>
          <w:lang w:val="pt-PT"/>
        </w:rPr>
      </w:pPr>
    </w:p>
    <w:p w14:paraId="1E165E10" w14:textId="77777777" w:rsidR="00627FDF" w:rsidRDefault="00627FDF" w:rsidP="005519A6">
      <w:pPr>
        <w:overflowPunct w:val="0"/>
        <w:autoSpaceDE w:val="0"/>
        <w:autoSpaceDN w:val="0"/>
        <w:adjustRightInd w:val="0"/>
        <w:textAlignment w:val="baseline"/>
        <w:rPr>
          <w:b/>
        </w:rPr>
      </w:pPr>
      <w:r>
        <w:rPr>
          <w:b/>
        </w:rPr>
        <w:t>Puntos clave</w:t>
      </w:r>
    </w:p>
    <w:p w14:paraId="6A1E467B" w14:textId="77777777" w:rsidR="002F4AD1" w:rsidRPr="00627FDF" w:rsidRDefault="002F4AD1" w:rsidP="005519A6">
      <w:pPr>
        <w:overflowPunct w:val="0"/>
        <w:autoSpaceDE w:val="0"/>
        <w:autoSpaceDN w:val="0"/>
        <w:adjustRightInd w:val="0"/>
        <w:textAlignment w:val="baseline"/>
        <w:rPr>
          <w:bCs/>
          <w:iCs/>
          <w:lang w:val="en-GB"/>
        </w:rPr>
      </w:pPr>
    </w:p>
    <w:p w14:paraId="5B235C5C" w14:textId="77777777" w:rsidR="00627FDF" w:rsidRDefault="00627FDF" w:rsidP="005519A6">
      <w:pPr>
        <w:overflowPunct w:val="0"/>
        <w:autoSpaceDE w:val="0"/>
        <w:autoSpaceDN w:val="0"/>
        <w:adjustRightInd w:val="0"/>
        <w:textAlignment w:val="baseline"/>
        <w:rPr>
          <w:bCs/>
          <w:iCs/>
        </w:rPr>
      </w:pPr>
      <w:r>
        <w:t>El CESE:</w:t>
      </w:r>
    </w:p>
    <w:p w14:paraId="769B1960" w14:textId="77777777" w:rsidR="00627FDF" w:rsidRPr="00627FDF" w:rsidRDefault="00627FDF" w:rsidP="007526DA">
      <w:pPr>
        <w:widowControl w:val="0"/>
        <w:numPr>
          <w:ilvl w:val="0"/>
          <w:numId w:val="15"/>
        </w:numPr>
        <w:overflowPunct w:val="0"/>
        <w:autoSpaceDE w:val="0"/>
        <w:autoSpaceDN w:val="0"/>
        <w:adjustRightInd w:val="0"/>
        <w:ind w:left="567" w:hanging="567"/>
        <w:textAlignment w:val="baseline"/>
        <w:rPr>
          <w:bCs/>
          <w:iCs/>
        </w:rPr>
      </w:pPr>
      <w:r>
        <w:t xml:space="preserve">lamenta que la Comisión se haya abstenido una vez más de presentar el </w:t>
      </w:r>
      <w:r>
        <w:rPr>
          <w:b/>
          <w:bCs/>
        </w:rPr>
        <w:t>Estudio Prospectivo Anual sobre el Crecimiento Sostenible (EPACS)</w:t>
      </w:r>
      <w:r>
        <w:t xml:space="preserve"> y subraya que el </w:t>
      </w:r>
      <w:r>
        <w:rPr>
          <w:b/>
          <w:bCs/>
        </w:rPr>
        <w:t>crecimiento económico sostenible</w:t>
      </w:r>
      <w:r>
        <w:t xml:space="preserve"> es una condición necesaria para que Europa cumpla sus múltiples compromisos; acoge con satisfacción el </w:t>
      </w:r>
      <w:r>
        <w:rPr>
          <w:b/>
          <w:bCs/>
        </w:rPr>
        <w:t>informe macroeconómico europeo,</w:t>
      </w:r>
      <w:r>
        <w:t xml:space="preserve"> que ofrece una profunda visión de los retos estructurales subyacentes a los que se enfrenta la UE, y la </w:t>
      </w:r>
      <w:r>
        <w:rPr>
          <w:b/>
          <w:bCs/>
        </w:rPr>
        <w:t>nueva Recomendación sobre capital humano,</w:t>
      </w:r>
      <w:r>
        <w:t xml:space="preserve"> que constituye un elemento crucial para subsanar las deficiencias tecnológicas de la Unión, también en consideración del reto demográfico que esta afronta;</w:t>
      </w:r>
    </w:p>
    <w:p w14:paraId="37295D8E" w14:textId="77777777" w:rsidR="00627FDF" w:rsidRPr="00627FDF" w:rsidRDefault="00627FDF" w:rsidP="007526DA">
      <w:pPr>
        <w:widowControl w:val="0"/>
        <w:numPr>
          <w:ilvl w:val="0"/>
          <w:numId w:val="15"/>
        </w:numPr>
        <w:overflowPunct w:val="0"/>
        <w:autoSpaceDE w:val="0"/>
        <w:autoSpaceDN w:val="0"/>
        <w:adjustRightInd w:val="0"/>
        <w:ind w:left="567" w:hanging="567"/>
        <w:textAlignment w:val="baseline"/>
        <w:rPr>
          <w:bCs/>
          <w:iCs/>
        </w:rPr>
      </w:pPr>
      <w:r>
        <w:t xml:space="preserve">reitera su llamamiento en favor de una </w:t>
      </w:r>
      <w:r>
        <w:rPr>
          <w:b/>
          <w:bCs/>
        </w:rPr>
        <w:t>capacidad presupuestaria común más sólida</w:t>
      </w:r>
      <w:r>
        <w:t xml:space="preserve"> respaldada por emisiones específicas de deuda conjunta, que ayude a colmar la creciente brecha en la inversión pública, y de instrumentos permanentes de estabilización macroeconómica que hagan frente a las perturbaciones, sobre la base de la experiencia adquirida con el instrumento europeo de apoyo temporal para atenuar los riesgos de desempleo en una emergencia (SURE), que debe convertirse en permanente;</w:t>
      </w:r>
    </w:p>
    <w:p w14:paraId="48F6D6CB" w14:textId="77777777" w:rsidR="00627FDF" w:rsidRPr="00627FDF" w:rsidRDefault="00627FDF" w:rsidP="007526DA">
      <w:pPr>
        <w:widowControl w:val="0"/>
        <w:numPr>
          <w:ilvl w:val="0"/>
          <w:numId w:val="15"/>
        </w:numPr>
        <w:overflowPunct w:val="0"/>
        <w:autoSpaceDE w:val="0"/>
        <w:autoSpaceDN w:val="0"/>
        <w:adjustRightInd w:val="0"/>
        <w:ind w:left="567" w:hanging="567"/>
        <w:textAlignment w:val="baseline"/>
        <w:rPr>
          <w:bCs/>
          <w:iCs/>
        </w:rPr>
      </w:pPr>
      <w:r>
        <w:t xml:space="preserve">sigue alarmado por la </w:t>
      </w:r>
      <w:r>
        <w:rPr>
          <w:b/>
          <w:bCs/>
        </w:rPr>
        <w:t>fragmentación de los mercados financieros de la UE</w:t>
      </w:r>
      <w:r>
        <w:t xml:space="preserve"> y pide a la Comisión que evalúe si un </w:t>
      </w:r>
      <w:r>
        <w:rPr>
          <w:b/>
          <w:bCs/>
        </w:rPr>
        <w:t>conjunto de instrumentos a escala de la UE,</w:t>
      </w:r>
      <w:r>
        <w:t xml:space="preserve"> </w:t>
      </w:r>
      <w:r>
        <w:rPr>
          <w:b/>
          <w:bCs/>
        </w:rPr>
        <w:t>equivalente a la Ley Nacional de Mejora de los Mercados de Valores de los Estados Unidos (NSMIA, por sus siglas en inglés),</w:t>
      </w:r>
      <w:r>
        <w:t xml:space="preserve"> podría simplificar el acceso al mercado transfronterizo, reducir la fragmentación en el cumplimiento de las normas y apoyar mercados de mayor profundidad, eficiencia y liquidez, manteniendo al mismo tiempo el nivel necesario de seguridad actual;</w:t>
      </w:r>
    </w:p>
    <w:p w14:paraId="409B0B27" w14:textId="77777777" w:rsidR="00627FDF" w:rsidRPr="00627FDF" w:rsidRDefault="00627FDF" w:rsidP="007526DA">
      <w:pPr>
        <w:widowControl w:val="0"/>
        <w:numPr>
          <w:ilvl w:val="0"/>
          <w:numId w:val="15"/>
        </w:numPr>
        <w:overflowPunct w:val="0"/>
        <w:autoSpaceDE w:val="0"/>
        <w:autoSpaceDN w:val="0"/>
        <w:adjustRightInd w:val="0"/>
        <w:ind w:left="567" w:hanging="567"/>
        <w:textAlignment w:val="baseline"/>
        <w:rPr>
          <w:bCs/>
          <w:iCs/>
        </w:rPr>
      </w:pPr>
      <w:r>
        <w:t xml:space="preserve">reitera su llamamiento a la Comisión para que </w:t>
      </w:r>
      <w:r>
        <w:rPr>
          <w:b/>
          <w:bCs/>
        </w:rPr>
        <w:t>revise urgentemente el conjunto de indicadores propuestos para supervisar el procedimiento de desequilibrio macroeconómico (PDM).</w:t>
      </w:r>
      <w:r>
        <w:t xml:space="preserve"> Supervisar la evolución del apalancamiento combinado en lugar de limitarse a compartimentos estancos podría formar parte de la solución para mejorar el actual cuadro de indicadores del PDM;</w:t>
      </w:r>
    </w:p>
    <w:p w14:paraId="1707B61B" w14:textId="77777777" w:rsidR="00627FDF" w:rsidRPr="00627FDF" w:rsidRDefault="00627FDF" w:rsidP="007526DA">
      <w:pPr>
        <w:widowControl w:val="0"/>
        <w:numPr>
          <w:ilvl w:val="0"/>
          <w:numId w:val="15"/>
        </w:numPr>
        <w:overflowPunct w:val="0"/>
        <w:autoSpaceDE w:val="0"/>
        <w:autoSpaceDN w:val="0"/>
        <w:adjustRightInd w:val="0"/>
        <w:ind w:left="567" w:hanging="567"/>
        <w:textAlignment w:val="baseline"/>
        <w:rPr>
          <w:bCs/>
          <w:iCs/>
        </w:rPr>
      </w:pPr>
      <w:r>
        <w:t xml:space="preserve">considera necesario hacer </w:t>
      </w:r>
      <w:r>
        <w:rPr>
          <w:b/>
          <w:bCs/>
        </w:rPr>
        <w:t>un uso más racionalizado del cuadro de indicadores sociales, un cuadro de indicadores revisado del PDM</w:t>
      </w:r>
      <w:r>
        <w:t xml:space="preserve"> y </w:t>
      </w:r>
      <w:r>
        <w:rPr>
          <w:b/>
          <w:bCs/>
        </w:rPr>
        <w:t xml:space="preserve">una metodología revisada de análisis de la sostenibilidad de la deuda, complementados por </w:t>
      </w:r>
      <w:r>
        <w:t xml:space="preserve">los nuevos </w:t>
      </w:r>
      <w:r>
        <w:rPr>
          <w:b/>
          <w:bCs/>
        </w:rPr>
        <w:t>indicadores de bienestar</w:t>
      </w:r>
      <w:r>
        <w:t xml:space="preserve"> propuestos por el Centro Común de Investigación (JRC);</w:t>
      </w:r>
    </w:p>
    <w:p w14:paraId="1DE1E29B" w14:textId="77777777" w:rsidR="00627FDF" w:rsidRPr="00627FDF" w:rsidRDefault="00627FDF" w:rsidP="007526DA">
      <w:pPr>
        <w:widowControl w:val="0"/>
        <w:numPr>
          <w:ilvl w:val="0"/>
          <w:numId w:val="15"/>
        </w:numPr>
        <w:overflowPunct w:val="0"/>
        <w:autoSpaceDE w:val="0"/>
        <w:autoSpaceDN w:val="0"/>
        <w:adjustRightInd w:val="0"/>
        <w:ind w:left="567" w:hanging="567"/>
        <w:textAlignment w:val="baseline"/>
        <w:rPr>
          <w:bCs/>
          <w:iCs/>
        </w:rPr>
      </w:pPr>
      <w:r>
        <w:t xml:space="preserve">pide a la Comisión que considere el </w:t>
      </w:r>
      <w:r>
        <w:rPr>
          <w:b/>
          <w:bCs/>
        </w:rPr>
        <w:t>marco de convergencia social al mismo nivel que el marco presupuestario y que formule recomendaciones claras</w:t>
      </w:r>
      <w:r>
        <w:t xml:space="preserve"> para cada Estado miembro en las próximas recomendaciones específicas por país (REC); pide a la Comisión que proponga incentivos concretos para que los Estados miembros aumenten el uso de la </w:t>
      </w:r>
      <w:r>
        <w:rPr>
          <w:b/>
          <w:bCs/>
        </w:rPr>
        <w:t>cláusula de flexibilidad para inversiones sociales;</w:t>
      </w:r>
    </w:p>
    <w:p w14:paraId="7DBF2201" w14:textId="77777777" w:rsidR="00627FDF" w:rsidRPr="00627FDF" w:rsidRDefault="00627FDF" w:rsidP="00EE258B">
      <w:pPr>
        <w:keepLines/>
        <w:widowControl w:val="0"/>
        <w:numPr>
          <w:ilvl w:val="0"/>
          <w:numId w:val="15"/>
        </w:numPr>
        <w:overflowPunct w:val="0"/>
        <w:autoSpaceDE w:val="0"/>
        <w:autoSpaceDN w:val="0"/>
        <w:adjustRightInd w:val="0"/>
        <w:ind w:left="567" w:hanging="567"/>
        <w:textAlignment w:val="baseline"/>
        <w:rPr>
          <w:bCs/>
          <w:iCs/>
        </w:rPr>
      </w:pPr>
      <w:r>
        <w:lastRenderedPageBreak/>
        <w:t xml:space="preserve">reitera su llamamiento en favor de un </w:t>
      </w:r>
      <w:r>
        <w:rPr>
          <w:b/>
          <w:bCs/>
        </w:rPr>
        <w:t>análisis en profundidad</w:t>
      </w:r>
      <w:r>
        <w:t xml:space="preserve"> y una </w:t>
      </w:r>
      <w:r>
        <w:rPr>
          <w:b/>
          <w:bCs/>
        </w:rPr>
        <w:t>aclaración de las conexiones anunciadas entre el Semestre Europeo,</w:t>
      </w:r>
      <w:r>
        <w:t xml:space="preserve"> la </w:t>
      </w:r>
      <w:r>
        <w:rPr>
          <w:b/>
          <w:bCs/>
        </w:rPr>
        <w:t>herramienta de coordinación de la competitividad</w:t>
      </w:r>
      <w:r>
        <w:t xml:space="preserve"> y el futuro </w:t>
      </w:r>
      <w:r>
        <w:rPr>
          <w:b/>
          <w:bCs/>
        </w:rPr>
        <w:t>marco financiero plurianual (MFP)</w:t>
      </w:r>
      <w:r>
        <w:t xml:space="preserve"> propuesto; </w:t>
      </w:r>
    </w:p>
    <w:p w14:paraId="28888E6E" w14:textId="77777777" w:rsidR="00627FDF" w:rsidRPr="00627FDF" w:rsidRDefault="00627FDF" w:rsidP="007526DA">
      <w:pPr>
        <w:widowControl w:val="0"/>
        <w:numPr>
          <w:ilvl w:val="0"/>
          <w:numId w:val="15"/>
        </w:numPr>
        <w:overflowPunct w:val="0"/>
        <w:autoSpaceDE w:val="0"/>
        <w:autoSpaceDN w:val="0"/>
        <w:adjustRightInd w:val="0"/>
        <w:ind w:left="567" w:hanging="567"/>
        <w:textAlignment w:val="baseline"/>
        <w:rPr>
          <w:bCs/>
          <w:iCs/>
        </w:rPr>
      </w:pPr>
      <w:r>
        <w:t xml:space="preserve">pide al </w:t>
      </w:r>
      <w:r>
        <w:rPr>
          <w:b/>
          <w:bCs/>
        </w:rPr>
        <w:t>Parlamento Europeo que establezca,</w:t>
      </w:r>
      <w:r>
        <w:t xml:space="preserve"> como en el caso del Mecanismo de Recuperación y Resiliencia (MRR), </w:t>
      </w:r>
      <w:r>
        <w:rPr>
          <w:b/>
          <w:bCs/>
        </w:rPr>
        <w:t>un mecanismo permanente de supervisión y evaluación del «nuevo» Semestre Europeo y de la aplicación y la evaluación anual de los planes fiscales-estructurales nacionales a medio plazo y de las recomendaciones específicas por país, así como de sus interconexiones concretas con los futuros planes de colaboración nacional y regional</w:t>
      </w:r>
      <w:r>
        <w:t xml:space="preserve"> (planes de CNR);</w:t>
      </w:r>
    </w:p>
    <w:p w14:paraId="19CCD46D" w14:textId="77777777" w:rsidR="00627FDF" w:rsidRPr="00627FDF" w:rsidRDefault="00627FDF" w:rsidP="007526DA">
      <w:pPr>
        <w:widowControl w:val="0"/>
        <w:numPr>
          <w:ilvl w:val="0"/>
          <w:numId w:val="15"/>
        </w:numPr>
        <w:overflowPunct w:val="0"/>
        <w:autoSpaceDE w:val="0"/>
        <w:autoSpaceDN w:val="0"/>
        <w:adjustRightInd w:val="0"/>
        <w:ind w:left="567" w:hanging="567"/>
        <w:textAlignment w:val="baseline"/>
        <w:rPr>
          <w:bCs/>
          <w:iCs/>
        </w:rPr>
      </w:pPr>
      <w:r>
        <w:t xml:space="preserve">pide a la Comisión que </w:t>
      </w:r>
      <w:r>
        <w:rPr>
          <w:b/>
          <w:bCs/>
        </w:rPr>
        <w:t>formule la cláusula de salvaguardia como un instrumento de emergencia temporal</w:t>
      </w:r>
      <w:r>
        <w:t xml:space="preserve"> en lugar de como sustituto de una estrategia presupuestaria y de crecimiento coherente a largo plazo, y que evalúe </w:t>
      </w:r>
      <w:r>
        <w:rPr>
          <w:b/>
          <w:bCs/>
        </w:rPr>
        <w:t>el papel cada vez más importante que desempeña el gasto en defensa en el crecimiento sostenible de la UE</w:t>
      </w:r>
      <w:r>
        <w:t xml:space="preserve"> y su repercusión en el empleo y en la futura estabilidad presupuestaria;</w:t>
      </w:r>
    </w:p>
    <w:p w14:paraId="61FE117E" w14:textId="77777777" w:rsidR="00627FDF" w:rsidRPr="00627FDF" w:rsidRDefault="00627FDF" w:rsidP="007526DA">
      <w:pPr>
        <w:widowControl w:val="0"/>
        <w:numPr>
          <w:ilvl w:val="0"/>
          <w:numId w:val="15"/>
        </w:numPr>
        <w:overflowPunct w:val="0"/>
        <w:autoSpaceDE w:val="0"/>
        <w:autoSpaceDN w:val="0"/>
        <w:adjustRightInd w:val="0"/>
        <w:ind w:left="567" w:hanging="567"/>
        <w:textAlignment w:val="baseline"/>
        <w:rPr>
          <w:bCs/>
          <w:iCs/>
        </w:rPr>
      </w:pPr>
      <w:r>
        <w:t xml:space="preserve">reitera sus llamamientos en favor de una </w:t>
      </w:r>
      <w:r>
        <w:rPr>
          <w:b/>
          <w:bCs/>
        </w:rPr>
        <w:t>participación más sólida, estructurada y significativa de los interlocutores sociales y las OSC a escala europea, nacional y local</w:t>
      </w:r>
      <w:r>
        <w:t xml:space="preserve"> en la aplicación del ciclo del Semestre.</w:t>
      </w:r>
    </w:p>
    <w:p w14:paraId="6AF1FBF1" w14:textId="77777777" w:rsidR="00627FDF" w:rsidRPr="00EE258B" w:rsidRDefault="00627FDF" w:rsidP="00100EF9">
      <w:pPr>
        <w:widowControl w:val="0"/>
        <w:overflowPunct w:val="0"/>
        <w:autoSpaceDE w:val="0"/>
        <w:autoSpaceDN w:val="0"/>
        <w:adjustRightInd w:val="0"/>
        <w:ind w:left="567"/>
        <w:textAlignment w:val="baseline"/>
        <w:rPr>
          <w:bCs/>
          <w:iCs/>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338"/>
      </w:tblGrid>
      <w:tr w:rsidR="00627FDF" w:rsidRPr="00627FDF" w14:paraId="52F142FB" w14:textId="77777777" w:rsidTr="00EE258B">
        <w:tc>
          <w:tcPr>
            <w:tcW w:w="1050" w:type="pct"/>
          </w:tcPr>
          <w:p w14:paraId="605B3F57" w14:textId="77777777" w:rsidR="00627FDF" w:rsidRPr="00627FDF" w:rsidRDefault="00627FDF" w:rsidP="00100EF9">
            <w:pPr>
              <w:overflowPunct w:val="0"/>
              <w:autoSpaceDE w:val="0"/>
              <w:autoSpaceDN w:val="0"/>
              <w:adjustRightInd w:val="0"/>
              <w:textAlignment w:val="baseline"/>
              <w:rPr>
                <w:i/>
              </w:rPr>
            </w:pPr>
            <w:r>
              <w:rPr>
                <w:b/>
                <w:i/>
              </w:rPr>
              <w:t>Contacto:</w:t>
            </w:r>
          </w:p>
        </w:tc>
        <w:tc>
          <w:tcPr>
            <w:tcW w:w="3950" w:type="pct"/>
          </w:tcPr>
          <w:p w14:paraId="2799D0F0" w14:textId="77777777" w:rsidR="00627FDF" w:rsidRPr="00627FDF" w:rsidRDefault="00627FDF" w:rsidP="00100EF9">
            <w:pPr>
              <w:overflowPunct w:val="0"/>
              <w:autoSpaceDE w:val="0"/>
              <w:autoSpaceDN w:val="0"/>
              <w:adjustRightInd w:val="0"/>
              <w:textAlignment w:val="baseline"/>
              <w:rPr>
                <w:i/>
              </w:rPr>
            </w:pPr>
            <w:r>
              <w:rPr>
                <w:i/>
              </w:rPr>
              <w:t>Anna PANTAZI</w:t>
            </w:r>
          </w:p>
        </w:tc>
      </w:tr>
      <w:tr w:rsidR="00627FDF" w:rsidRPr="00627FDF" w14:paraId="2AECF76E" w14:textId="77777777" w:rsidTr="00EE258B">
        <w:tc>
          <w:tcPr>
            <w:tcW w:w="1050" w:type="pct"/>
          </w:tcPr>
          <w:p w14:paraId="0CA36F14" w14:textId="77777777" w:rsidR="00627FDF" w:rsidRPr="00627FDF" w:rsidRDefault="00627FDF" w:rsidP="00100EF9">
            <w:pPr>
              <w:overflowPunct w:val="0"/>
              <w:autoSpaceDE w:val="0"/>
              <w:autoSpaceDN w:val="0"/>
              <w:adjustRightInd w:val="0"/>
              <w:textAlignment w:val="baseline"/>
              <w:rPr>
                <w:i/>
              </w:rPr>
            </w:pPr>
            <w:r>
              <w:rPr>
                <w:i/>
              </w:rPr>
              <w:t>Teléfono:</w:t>
            </w:r>
          </w:p>
        </w:tc>
        <w:tc>
          <w:tcPr>
            <w:tcW w:w="3950" w:type="pct"/>
          </w:tcPr>
          <w:p w14:paraId="74E90836" w14:textId="1D42CC9B" w:rsidR="00627FDF" w:rsidRPr="00627FDF" w:rsidRDefault="00627FDF" w:rsidP="00100EF9">
            <w:pPr>
              <w:overflowPunct w:val="0"/>
              <w:autoSpaceDE w:val="0"/>
              <w:autoSpaceDN w:val="0"/>
              <w:adjustRightInd w:val="0"/>
              <w:textAlignment w:val="baseline"/>
              <w:rPr>
                <w:i/>
              </w:rPr>
            </w:pPr>
            <w:r>
              <w:rPr>
                <w:i/>
              </w:rPr>
              <w:t>+32 25469231</w:t>
            </w:r>
          </w:p>
        </w:tc>
      </w:tr>
      <w:tr w:rsidR="00627FDF" w:rsidRPr="00627FDF" w14:paraId="03A39DE3" w14:textId="77777777" w:rsidTr="00EE258B">
        <w:tc>
          <w:tcPr>
            <w:tcW w:w="1050" w:type="pct"/>
          </w:tcPr>
          <w:p w14:paraId="5FDCFB85" w14:textId="77777777" w:rsidR="00627FDF" w:rsidRPr="00627FDF" w:rsidRDefault="00627FDF" w:rsidP="00100EF9">
            <w:pPr>
              <w:overflowPunct w:val="0"/>
              <w:autoSpaceDE w:val="0"/>
              <w:autoSpaceDN w:val="0"/>
              <w:adjustRightInd w:val="0"/>
              <w:textAlignment w:val="baseline"/>
              <w:rPr>
                <w:i/>
              </w:rPr>
            </w:pPr>
            <w:r>
              <w:rPr>
                <w:i/>
              </w:rPr>
              <w:t>Correo electrónico:</w:t>
            </w:r>
          </w:p>
        </w:tc>
        <w:tc>
          <w:tcPr>
            <w:tcW w:w="3950" w:type="pct"/>
          </w:tcPr>
          <w:p w14:paraId="3BA9FEE0" w14:textId="52ABEC01" w:rsidR="00627FDF" w:rsidRPr="00627FDF" w:rsidRDefault="00E235D3" w:rsidP="00100EF9">
            <w:pPr>
              <w:overflowPunct w:val="0"/>
              <w:autoSpaceDE w:val="0"/>
              <w:autoSpaceDN w:val="0"/>
              <w:adjustRightInd w:val="0"/>
              <w:textAlignment w:val="baseline"/>
              <w:rPr>
                <w:i/>
              </w:rPr>
            </w:pPr>
            <w:hyperlink r:id="rId24" w:history="1">
              <w:r>
                <w:rPr>
                  <w:i/>
                  <w:color w:val="0000FF"/>
                  <w:u w:val="single"/>
                </w:rPr>
                <w:t>Anna.Pantazi@eesc.europa.eu</w:t>
              </w:r>
            </w:hyperlink>
          </w:p>
        </w:tc>
      </w:tr>
    </w:tbl>
    <w:p w14:paraId="69D261DC" w14:textId="6E0384BF" w:rsidR="00557848" w:rsidRDefault="00557848" w:rsidP="00100EF9">
      <w:pPr>
        <w:pStyle w:val="ListParagraph"/>
        <w:ind w:left="0"/>
      </w:pPr>
    </w:p>
    <w:p w14:paraId="18087D90" w14:textId="77777777" w:rsidR="00557848" w:rsidRDefault="00557848" w:rsidP="00100EF9">
      <w:pPr>
        <w:jc w:val="left"/>
      </w:pPr>
      <w:r>
        <w:br w:type="page"/>
      </w:r>
    </w:p>
    <w:p w14:paraId="1CFC3C7D" w14:textId="4844FA35" w:rsidR="00532F99" w:rsidRPr="00153E09" w:rsidRDefault="00532F99" w:rsidP="00100EF9">
      <w:pPr>
        <w:widowControl w:val="0"/>
        <w:numPr>
          <w:ilvl w:val="0"/>
          <w:numId w:val="6"/>
        </w:numPr>
        <w:overflowPunct w:val="0"/>
        <w:autoSpaceDE w:val="0"/>
        <w:autoSpaceDN w:val="0"/>
        <w:adjustRightInd w:val="0"/>
        <w:ind w:hanging="567"/>
        <w:textAlignment w:val="baseline"/>
        <w:rPr>
          <w:b/>
          <w:i/>
          <w:iCs/>
          <w:sz w:val="28"/>
          <w:szCs w:val="28"/>
        </w:rPr>
      </w:pPr>
      <w:hyperlink r:id="rId25" w:history="1">
        <w:r>
          <w:rPr>
            <w:b/>
            <w:i/>
            <w:color w:val="0000FF"/>
            <w:sz w:val="28"/>
            <w:u w:val="single"/>
          </w:rPr>
          <w:t>La dimensión insular en las políticas europeas de cohesión, competitividad y desarrollo sostenible</w:t>
        </w:r>
      </w:hyperlink>
    </w:p>
    <w:p w14:paraId="6D45E35E" w14:textId="77777777" w:rsidR="00153E09" w:rsidRPr="00153E09" w:rsidRDefault="00153E09" w:rsidP="00100EF9">
      <w:pPr>
        <w:widowControl w:val="0"/>
        <w:overflowPunct w:val="0"/>
        <w:autoSpaceDE w:val="0"/>
        <w:autoSpaceDN w:val="0"/>
        <w:adjustRightInd w:val="0"/>
        <w:ind w:left="709"/>
        <w:textAlignment w:val="baseline"/>
      </w:pPr>
    </w:p>
    <w:tbl>
      <w:tblPr>
        <w:tblStyle w:val="TableGrid4"/>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479"/>
      </w:tblGrid>
      <w:tr w:rsidR="00532F99" w:rsidRPr="00532F99" w14:paraId="67745AC7" w14:textId="77777777" w:rsidTr="00D0608D">
        <w:tc>
          <w:tcPr>
            <w:tcW w:w="1701" w:type="dxa"/>
          </w:tcPr>
          <w:p w14:paraId="61C2DFEA" w14:textId="77777777" w:rsidR="00532F99" w:rsidRPr="00532F99" w:rsidRDefault="00532F99" w:rsidP="00100EF9">
            <w:pPr>
              <w:tabs>
                <w:tab w:val="center" w:pos="284"/>
              </w:tabs>
              <w:overflowPunct w:val="0"/>
              <w:autoSpaceDE w:val="0"/>
              <w:autoSpaceDN w:val="0"/>
              <w:adjustRightInd w:val="0"/>
              <w:ind w:left="266" w:hanging="266"/>
              <w:textAlignment w:val="baseline"/>
              <w:rPr>
                <w:b/>
              </w:rPr>
            </w:pPr>
            <w:r>
              <w:rPr>
                <w:b/>
              </w:rPr>
              <w:t>Ponente</w:t>
            </w:r>
          </w:p>
        </w:tc>
        <w:tc>
          <w:tcPr>
            <w:tcW w:w="7479" w:type="dxa"/>
          </w:tcPr>
          <w:p w14:paraId="1D4B2919" w14:textId="013947C3" w:rsidR="00153E09" w:rsidRPr="00532F99" w:rsidRDefault="00532F99" w:rsidP="00100EF9">
            <w:pPr>
              <w:tabs>
                <w:tab w:val="center" w:pos="284"/>
              </w:tabs>
              <w:overflowPunct w:val="0"/>
              <w:autoSpaceDE w:val="0"/>
              <w:autoSpaceDN w:val="0"/>
              <w:adjustRightInd w:val="0"/>
              <w:ind w:left="266" w:hanging="266"/>
              <w:textAlignment w:val="baseline"/>
            </w:pPr>
            <w:r>
              <w:t>Ioannis VARDAKASTANIS (Grupo de Organizaciones de la Sociedad Civil – EL)</w:t>
            </w:r>
          </w:p>
        </w:tc>
      </w:tr>
      <w:tr w:rsidR="00205469" w:rsidRPr="00532F99" w14:paraId="1E28C030" w14:textId="77777777" w:rsidTr="00D0608D">
        <w:tc>
          <w:tcPr>
            <w:tcW w:w="1701" w:type="dxa"/>
          </w:tcPr>
          <w:p w14:paraId="6556B0F0" w14:textId="77777777" w:rsidR="00205469" w:rsidRPr="00532F99" w:rsidRDefault="00205469" w:rsidP="00100EF9">
            <w:pPr>
              <w:tabs>
                <w:tab w:val="center" w:pos="284"/>
              </w:tabs>
              <w:overflowPunct w:val="0"/>
              <w:autoSpaceDE w:val="0"/>
              <w:autoSpaceDN w:val="0"/>
              <w:adjustRightInd w:val="0"/>
              <w:ind w:left="266" w:hanging="266"/>
              <w:textAlignment w:val="baseline"/>
              <w:rPr>
                <w:b/>
              </w:rPr>
            </w:pPr>
          </w:p>
        </w:tc>
        <w:tc>
          <w:tcPr>
            <w:tcW w:w="7479" w:type="dxa"/>
          </w:tcPr>
          <w:p w14:paraId="49CED0B0" w14:textId="77777777" w:rsidR="00205469" w:rsidRPr="00532F99" w:rsidRDefault="00205469" w:rsidP="00100EF9">
            <w:pPr>
              <w:tabs>
                <w:tab w:val="center" w:pos="284"/>
              </w:tabs>
              <w:overflowPunct w:val="0"/>
              <w:autoSpaceDE w:val="0"/>
              <w:autoSpaceDN w:val="0"/>
              <w:adjustRightInd w:val="0"/>
              <w:ind w:left="266" w:hanging="266"/>
              <w:textAlignment w:val="baseline"/>
              <w:rPr>
                <w:bCs/>
              </w:rPr>
            </w:pPr>
          </w:p>
        </w:tc>
      </w:tr>
      <w:tr w:rsidR="00532F99" w:rsidRPr="00532F99" w14:paraId="6B1B0BDA" w14:textId="77777777" w:rsidTr="00D0608D">
        <w:tc>
          <w:tcPr>
            <w:tcW w:w="1701" w:type="dxa"/>
          </w:tcPr>
          <w:p w14:paraId="2C89221D" w14:textId="77777777" w:rsidR="00532F99" w:rsidRPr="00532F99" w:rsidRDefault="00532F99" w:rsidP="00100EF9">
            <w:pPr>
              <w:tabs>
                <w:tab w:val="center" w:pos="284"/>
              </w:tabs>
              <w:overflowPunct w:val="0"/>
              <w:autoSpaceDE w:val="0"/>
              <w:autoSpaceDN w:val="0"/>
              <w:adjustRightInd w:val="0"/>
              <w:ind w:left="266" w:hanging="266"/>
              <w:textAlignment w:val="baseline"/>
              <w:rPr>
                <w:b/>
              </w:rPr>
            </w:pPr>
            <w:r>
              <w:rPr>
                <w:b/>
              </w:rPr>
              <w:t>Referencia</w:t>
            </w:r>
          </w:p>
        </w:tc>
        <w:tc>
          <w:tcPr>
            <w:tcW w:w="7479" w:type="dxa"/>
          </w:tcPr>
          <w:p w14:paraId="23EE8050" w14:textId="0AD297F8" w:rsidR="00532F99" w:rsidRPr="00532F99" w:rsidRDefault="00532F99" w:rsidP="00100EF9">
            <w:pPr>
              <w:tabs>
                <w:tab w:val="center" w:pos="321"/>
              </w:tabs>
              <w:overflowPunct w:val="0"/>
              <w:autoSpaceDE w:val="0"/>
              <w:autoSpaceDN w:val="0"/>
              <w:adjustRightInd w:val="0"/>
              <w:textAlignment w:val="baseline"/>
            </w:pPr>
            <w:r>
              <w:t>Dictamen exploratorio solicitado por la Presidencia chipriota del Consejo de la UE</w:t>
            </w:r>
          </w:p>
          <w:p w14:paraId="0FBD455F" w14:textId="4C1CCA1A" w:rsidR="00532F99" w:rsidRPr="00532F99" w:rsidRDefault="00532F99" w:rsidP="00100EF9">
            <w:pPr>
              <w:tabs>
                <w:tab w:val="center" w:pos="284"/>
              </w:tabs>
              <w:overflowPunct w:val="0"/>
              <w:autoSpaceDE w:val="0"/>
              <w:autoSpaceDN w:val="0"/>
              <w:adjustRightInd w:val="0"/>
              <w:ind w:left="266" w:hanging="266"/>
              <w:textAlignment w:val="baseline"/>
            </w:pPr>
            <w:r>
              <w:t>EESC-2025-03598-00-00-AC</w:t>
            </w:r>
          </w:p>
        </w:tc>
      </w:tr>
    </w:tbl>
    <w:p w14:paraId="68AC2034" w14:textId="77777777" w:rsidR="00153E09" w:rsidRDefault="00153E09" w:rsidP="00100EF9">
      <w:pPr>
        <w:keepNext/>
        <w:keepLines/>
        <w:tabs>
          <w:tab w:val="center" w:pos="284"/>
        </w:tabs>
        <w:overflowPunct w:val="0"/>
        <w:autoSpaceDE w:val="0"/>
        <w:autoSpaceDN w:val="0"/>
        <w:adjustRightInd w:val="0"/>
        <w:ind w:left="266" w:hanging="266"/>
        <w:textAlignment w:val="baseline"/>
        <w:rPr>
          <w:b/>
          <w:lang w:val="en-GB"/>
        </w:rPr>
      </w:pPr>
    </w:p>
    <w:p w14:paraId="07A288D5" w14:textId="6C112457" w:rsidR="00532F99" w:rsidRPr="00532F99" w:rsidRDefault="00532F99" w:rsidP="00100EF9">
      <w:pPr>
        <w:keepNext/>
        <w:keepLines/>
        <w:tabs>
          <w:tab w:val="center" w:pos="284"/>
        </w:tabs>
        <w:overflowPunct w:val="0"/>
        <w:autoSpaceDE w:val="0"/>
        <w:autoSpaceDN w:val="0"/>
        <w:adjustRightInd w:val="0"/>
        <w:ind w:left="266" w:hanging="266"/>
        <w:textAlignment w:val="baseline"/>
        <w:rPr>
          <w:b/>
        </w:rPr>
      </w:pPr>
      <w:r>
        <w:rPr>
          <w:b/>
        </w:rPr>
        <w:t>Puntos clave</w:t>
      </w:r>
    </w:p>
    <w:p w14:paraId="016816BE" w14:textId="77777777" w:rsidR="00532F99" w:rsidRPr="00532F99" w:rsidRDefault="00532F99" w:rsidP="00100EF9">
      <w:pPr>
        <w:keepNext/>
        <w:keepLines/>
        <w:tabs>
          <w:tab w:val="center" w:pos="284"/>
        </w:tabs>
        <w:overflowPunct w:val="0"/>
        <w:autoSpaceDE w:val="0"/>
        <w:autoSpaceDN w:val="0"/>
        <w:adjustRightInd w:val="0"/>
        <w:ind w:left="266" w:hanging="266"/>
        <w:textAlignment w:val="baseline"/>
        <w:rPr>
          <w:b/>
          <w:lang w:val="en-GB"/>
        </w:rPr>
      </w:pPr>
    </w:p>
    <w:p w14:paraId="113D35D1" w14:textId="77777777" w:rsidR="00532F99" w:rsidRPr="00532F99" w:rsidRDefault="00532F99" w:rsidP="00100EF9">
      <w:pPr>
        <w:overflowPunct w:val="0"/>
        <w:autoSpaceDE w:val="0"/>
        <w:autoSpaceDN w:val="0"/>
        <w:adjustRightInd w:val="0"/>
        <w:textAlignment w:val="baseline"/>
        <w:rPr>
          <w:bCs/>
          <w:iCs/>
        </w:rPr>
      </w:pPr>
      <w:r>
        <w:t>El CESE:</w:t>
      </w:r>
    </w:p>
    <w:p w14:paraId="4843EC5E" w14:textId="77777777" w:rsidR="00532F99" w:rsidRPr="00AD4D97" w:rsidRDefault="00532F99" w:rsidP="007526DA">
      <w:pPr>
        <w:pStyle w:val="ListParagraph"/>
        <w:numPr>
          <w:ilvl w:val="0"/>
          <w:numId w:val="28"/>
        </w:numPr>
        <w:ind w:left="567" w:hanging="567"/>
      </w:pPr>
      <w:bookmarkStart w:id="5" w:name="_Toc222825817"/>
      <w:r>
        <w:t xml:space="preserve">considera que las islas de la UE se enfrentan a </w:t>
      </w:r>
      <w:r>
        <w:rPr>
          <w:u w:val="single"/>
        </w:rPr>
        <w:t>desventajas estructurales permanentes</w:t>
      </w:r>
      <w:r>
        <w:t>, es decir, limitaciones geográficas, económicas, demográficas y relacionadas con el clima, como el aislamiento, el deshielo, los elevados costes del transporte y la energía, la presión sobre la vivienda, la escasez de mano de obra y la dependencia excesiva del turismo;</w:t>
      </w:r>
      <w:bookmarkEnd w:id="5"/>
    </w:p>
    <w:p w14:paraId="70CF9AE7" w14:textId="77777777" w:rsidR="00532F99" w:rsidRPr="00AD4D97" w:rsidRDefault="00532F99" w:rsidP="007526DA">
      <w:pPr>
        <w:pStyle w:val="ListParagraph"/>
        <w:numPr>
          <w:ilvl w:val="0"/>
          <w:numId w:val="28"/>
        </w:numPr>
        <w:ind w:left="567" w:hanging="567"/>
        <w:rPr>
          <w:u w:val="single"/>
        </w:rPr>
      </w:pPr>
      <w:bookmarkStart w:id="6" w:name="_Toc222825818"/>
      <w:r>
        <w:t>considera que las islas son esenciales para el posicionamiento geopolítico, la gestión de la migración, la seguridad marítima y la transición energética de la UE. Sus ecosistemas marinos y zonas económicas exclusivas (ZEE) sustentan los objetivos de la economía azul y en materia de biodiversidad. A pesar del reconocimiento de los retos específicos de las islas en los Tratados de la UE y en las declaraciones políticas, estas cuestiones no se abordan adecuadamente en las políticas sectoriales de la UE. Las islas podrían convertirse en laboratorios de innovación y sostenibilidad donde se pongan a prueba soluciones de adaptación al cambio climático, energías renovables, conservación marina y turismo sostenible;</w:t>
      </w:r>
      <w:bookmarkEnd w:id="6"/>
    </w:p>
    <w:p w14:paraId="67767811" w14:textId="77777777" w:rsidR="00532F99" w:rsidRPr="00AD4D97" w:rsidRDefault="00532F99" w:rsidP="007526DA">
      <w:pPr>
        <w:pStyle w:val="ListParagraph"/>
        <w:numPr>
          <w:ilvl w:val="0"/>
          <w:numId w:val="28"/>
        </w:numPr>
        <w:ind w:left="567" w:hanging="567"/>
      </w:pPr>
      <w:bookmarkStart w:id="7" w:name="_Toc222825819"/>
      <w:r>
        <w:rPr>
          <w:u w:val="single"/>
        </w:rPr>
        <w:t>reconoce la necesidad de un enfoque sistémico</w:t>
      </w:r>
      <w:r>
        <w:t>. Una política eficaz de la UE para las islas y los territorios insulares en general (incluidas las regiones ultraperiféricas y las regiones lacustres) requiere estrategias integradas e intersectoriales que aborden la conectividad, la diversificación económica, la cohesión social, la resiliencia ecológica, social y económica, y la preparación geopolítica.</w:t>
      </w:r>
      <w:bookmarkEnd w:id="7"/>
    </w:p>
    <w:p w14:paraId="46E91099" w14:textId="77777777" w:rsidR="00532F99" w:rsidRPr="00AD4D97" w:rsidRDefault="00532F99" w:rsidP="007526DA">
      <w:pPr>
        <w:pStyle w:val="ListParagraph"/>
        <w:numPr>
          <w:ilvl w:val="0"/>
          <w:numId w:val="28"/>
        </w:numPr>
        <w:ind w:left="567" w:hanging="567"/>
      </w:pPr>
      <w:bookmarkStart w:id="8" w:name="_Toc222825820"/>
      <w:r>
        <w:t>pide que se establezca una estrategia específica de la Unión para las islas (</w:t>
      </w:r>
      <w:r>
        <w:rPr>
          <w:b/>
          <w:bCs/>
        </w:rPr>
        <w:t>un pacto por las islas</w:t>
      </w:r>
      <w:r>
        <w:t>), respaldada por un marco legislativo propio (</w:t>
      </w:r>
      <w:r>
        <w:rPr>
          <w:b/>
          <w:bCs/>
        </w:rPr>
        <w:t>una ley de islas</w:t>
      </w:r>
      <w:r>
        <w:t xml:space="preserve">). Dicho marco debe ir acompañado de una estrategia formal y prever la aplicación efectiva de una </w:t>
      </w:r>
      <w:r>
        <w:rPr>
          <w:b/>
        </w:rPr>
        <w:t>«cláusula de insularidad»</w:t>
      </w:r>
      <w:r>
        <w:t>, con vistas a integrar sistemáticamente las necesidades y limitaciones específicas de las islas en las políticas de la Unión en materia de cohesión, transporte, energía, ayudas estatales, medio ambiente y asuntos marítimos.</w:t>
      </w:r>
      <w:bookmarkEnd w:id="8"/>
    </w:p>
    <w:p w14:paraId="762E910D" w14:textId="77777777" w:rsidR="00532F99" w:rsidRPr="00AD4D97" w:rsidRDefault="00532F99" w:rsidP="007526DA">
      <w:pPr>
        <w:pStyle w:val="ListParagraph"/>
        <w:numPr>
          <w:ilvl w:val="0"/>
          <w:numId w:val="28"/>
        </w:numPr>
        <w:ind w:left="567" w:hanging="567"/>
      </w:pPr>
      <w:bookmarkStart w:id="9" w:name="_Toc222825821"/>
      <w:r>
        <w:t>destaca que la mejora de la conectividad y las infraestructuras en los territorios insulares es esencial para la cohesión territorial, y pide que se mejoren los sistemas de transporte y movilidad pública, que se amplíe la conectividad digital y que las redes energéticas se hagan más resilientes, prestando especial atención a la descarbonización, la autonomía energética;</w:t>
      </w:r>
      <w:bookmarkEnd w:id="9"/>
    </w:p>
    <w:p w14:paraId="737F86E5" w14:textId="77777777" w:rsidR="00532F99" w:rsidRPr="00AD4D97" w:rsidRDefault="00532F99" w:rsidP="007526DA">
      <w:pPr>
        <w:pStyle w:val="ListParagraph"/>
        <w:numPr>
          <w:ilvl w:val="0"/>
          <w:numId w:val="28"/>
        </w:numPr>
        <w:ind w:left="567" w:hanging="567"/>
      </w:pPr>
      <w:bookmarkStart w:id="10" w:name="_Toc222825822"/>
      <w:r>
        <w:t>subraya que las regiones insulares deben diversificar sus economías mediante el desarrollo de una economía azul sostenible y competitiva basada en los activos que les son inherentes, como los recursos marinos, el potencial de las energías renovables, el turismo, el patrimonio cultural y las industrias creativas;</w:t>
      </w:r>
      <w:bookmarkEnd w:id="10"/>
    </w:p>
    <w:p w14:paraId="7E670409" w14:textId="77777777" w:rsidR="00532F99" w:rsidRPr="00AD4D97" w:rsidRDefault="00532F99" w:rsidP="007526DA">
      <w:pPr>
        <w:pStyle w:val="ListParagraph"/>
        <w:numPr>
          <w:ilvl w:val="0"/>
          <w:numId w:val="28"/>
        </w:numPr>
        <w:ind w:left="567" w:hanging="567"/>
      </w:pPr>
      <w:bookmarkStart w:id="11" w:name="_Toc222825823"/>
      <w:r>
        <w:t xml:space="preserve">también subraya que la cohesión social y el desarrollo del capital humano son fundamentales para la sostenibilidad a largo plazo de las comunidades insulares, y pide políticas específicas para hacer frente a la escasez de vivienda, los desajustes del mercado laboral, el déficit de </w:t>
      </w:r>
      <w:r>
        <w:lastRenderedPageBreak/>
        <w:t>capacidades y la emigración juvenil, incorporando una educación inclusiva y propiciando oportunidades de empleo de calidad y soluciones de vivienda asequible adaptadas a las características específicas de las islas;</w:t>
      </w:r>
      <w:bookmarkEnd w:id="11"/>
    </w:p>
    <w:p w14:paraId="5112CF6B" w14:textId="77777777" w:rsidR="00532F99" w:rsidRPr="00AD4D97" w:rsidRDefault="00532F99" w:rsidP="007526DA">
      <w:pPr>
        <w:pStyle w:val="ListParagraph"/>
        <w:numPr>
          <w:ilvl w:val="0"/>
          <w:numId w:val="28"/>
        </w:numPr>
        <w:ind w:left="567" w:hanging="567"/>
        <w:rPr>
          <w:sz w:val="24"/>
          <w:szCs w:val="24"/>
        </w:rPr>
      </w:pPr>
      <w:bookmarkStart w:id="12" w:name="_Toc222825824"/>
      <w:r>
        <w:t>destaca la imperiosa necesidad de avanzar en la protección del medio ambiente y la resiliencia frente al cambio climático en los territorios insulares, que están expuestos a él de manera desproporcionada;</w:t>
      </w:r>
      <w:bookmarkEnd w:id="12"/>
    </w:p>
    <w:p w14:paraId="59AC2957" w14:textId="77777777" w:rsidR="00532F99" w:rsidRPr="00AD4D97" w:rsidRDefault="00532F99" w:rsidP="007526DA">
      <w:pPr>
        <w:pStyle w:val="ListParagraph"/>
        <w:numPr>
          <w:ilvl w:val="0"/>
          <w:numId w:val="28"/>
        </w:numPr>
        <w:ind w:left="567" w:hanging="567"/>
      </w:pPr>
      <w:bookmarkStart w:id="13" w:name="_Toc222825825"/>
      <w:r>
        <w:t xml:space="preserve">pide la integración formal del seguimiento, la prospectiva y la gobernanza participativa en las políticas insulares y propone un </w:t>
      </w:r>
      <w:r>
        <w:rPr>
          <w:b/>
          <w:bCs/>
        </w:rPr>
        <w:t>informe de ejecución periódico para las islas</w:t>
      </w:r>
      <w:r>
        <w:t xml:space="preserve"> con el fin de hacer un seguimiento de los principales indicadores demográficos, económicos, sociales y medioambientales;</w:t>
      </w:r>
      <w:bookmarkEnd w:id="13"/>
      <w:r>
        <w:t xml:space="preserve"> </w:t>
      </w:r>
    </w:p>
    <w:p w14:paraId="3CBAD6E8" w14:textId="77777777" w:rsidR="00532F99" w:rsidRPr="00AD4D97" w:rsidRDefault="00532F99" w:rsidP="007526DA">
      <w:pPr>
        <w:pStyle w:val="ListParagraph"/>
        <w:numPr>
          <w:ilvl w:val="0"/>
          <w:numId w:val="28"/>
        </w:numPr>
        <w:ind w:left="567" w:hanging="567"/>
      </w:pPr>
      <w:bookmarkStart w:id="14" w:name="_Toc222825826"/>
      <w:r>
        <w:t xml:space="preserve">considera que las islas de la UE no deben seguir siendo tratadas como territorios periféricos, sino regiones de primera línea para la soberanía, la resiliencia y la capacidad innovadora de Europa. Para convertirlas en motores de crecimiento sostenible, resiliencia frente al cambio climático y seguridad geopolítica, sería esencial una estrategia específica, sistémica y con una sólida base jurídica para las islas de la UE (un </w:t>
      </w:r>
      <w:r>
        <w:rPr>
          <w:b/>
          <w:bCs/>
        </w:rPr>
        <w:t>pacto por las islas</w:t>
      </w:r>
      <w:r>
        <w:t>) que garantice que las comunidades insulares puedan prosperar y refuerce al mismo tiempo la autonomía estratégica y la cohesión de Europa. Esto ha quedado de manifiesto recientemente por la relevancia geopolítica de Groenlandia en la dinámica de seguridad del Ártico, las relaciones transatlánticas y la competencia entre las grandes potencias, así como por su importancia para la autonomía estratégica de Europa en materia de defensa.</w:t>
      </w:r>
      <w:bookmarkEnd w:id="14"/>
    </w:p>
    <w:p w14:paraId="66D35620" w14:textId="77777777" w:rsidR="00532F99" w:rsidRPr="00EE258B" w:rsidRDefault="00532F99" w:rsidP="00100EF9">
      <w:pPr>
        <w:ind w:left="284" w:hanging="284"/>
        <w:rPr>
          <w:bCs/>
          <w:iCs/>
        </w:rPr>
      </w:pPr>
    </w:p>
    <w:tbl>
      <w:tblPr>
        <w:tblStyle w:val="TableGrid4"/>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63"/>
      </w:tblGrid>
      <w:tr w:rsidR="00532F99" w:rsidRPr="00532F99" w14:paraId="51FA2FFC" w14:textId="77777777" w:rsidTr="00EE258B">
        <w:tc>
          <w:tcPr>
            <w:tcW w:w="1951" w:type="dxa"/>
          </w:tcPr>
          <w:p w14:paraId="549BED47" w14:textId="77777777" w:rsidR="00532F99" w:rsidRPr="00532F99" w:rsidRDefault="00532F99" w:rsidP="00D0608D">
            <w:pPr>
              <w:overflowPunct w:val="0"/>
              <w:autoSpaceDE w:val="0"/>
              <w:autoSpaceDN w:val="0"/>
              <w:adjustRightInd w:val="0"/>
              <w:ind w:right="-77"/>
              <w:textAlignment w:val="baseline"/>
              <w:rPr>
                <w:i/>
              </w:rPr>
            </w:pPr>
            <w:r>
              <w:rPr>
                <w:b/>
                <w:i/>
              </w:rPr>
              <w:t>Contacto:</w:t>
            </w:r>
          </w:p>
        </w:tc>
        <w:tc>
          <w:tcPr>
            <w:tcW w:w="7263" w:type="dxa"/>
          </w:tcPr>
          <w:p w14:paraId="7CEAACF5" w14:textId="038878BF" w:rsidR="00532F99" w:rsidRPr="00532F99" w:rsidRDefault="00532F99" w:rsidP="00100EF9">
            <w:pPr>
              <w:overflowPunct w:val="0"/>
              <w:autoSpaceDE w:val="0"/>
              <w:autoSpaceDN w:val="0"/>
              <w:adjustRightInd w:val="0"/>
              <w:textAlignment w:val="baseline"/>
              <w:rPr>
                <w:i/>
              </w:rPr>
            </w:pPr>
            <w:r>
              <w:rPr>
                <w:i/>
              </w:rPr>
              <w:t xml:space="preserve">Georgios </w:t>
            </w:r>
            <w:r w:rsidR="00EE258B">
              <w:rPr>
                <w:i/>
              </w:rPr>
              <w:t>MELEAS</w:t>
            </w:r>
          </w:p>
        </w:tc>
      </w:tr>
      <w:tr w:rsidR="00532F99" w:rsidRPr="00532F99" w14:paraId="0AEF2AEB" w14:textId="77777777" w:rsidTr="00EE258B">
        <w:tc>
          <w:tcPr>
            <w:tcW w:w="1951" w:type="dxa"/>
          </w:tcPr>
          <w:p w14:paraId="060FAF7E" w14:textId="77777777" w:rsidR="00532F99" w:rsidRPr="00532F99" w:rsidRDefault="00532F99" w:rsidP="00100EF9">
            <w:pPr>
              <w:overflowPunct w:val="0"/>
              <w:autoSpaceDE w:val="0"/>
              <w:autoSpaceDN w:val="0"/>
              <w:adjustRightInd w:val="0"/>
              <w:textAlignment w:val="baseline"/>
              <w:rPr>
                <w:i/>
              </w:rPr>
            </w:pPr>
            <w:r>
              <w:rPr>
                <w:i/>
              </w:rPr>
              <w:t>Teléfono:</w:t>
            </w:r>
          </w:p>
        </w:tc>
        <w:tc>
          <w:tcPr>
            <w:tcW w:w="7263" w:type="dxa"/>
          </w:tcPr>
          <w:p w14:paraId="22CC1931" w14:textId="49FE5AFE" w:rsidR="00532F99" w:rsidRPr="00532F99" w:rsidRDefault="00532F99" w:rsidP="00100EF9">
            <w:pPr>
              <w:overflowPunct w:val="0"/>
              <w:autoSpaceDE w:val="0"/>
              <w:autoSpaceDN w:val="0"/>
              <w:adjustRightInd w:val="0"/>
              <w:textAlignment w:val="baseline"/>
              <w:rPr>
                <w:i/>
              </w:rPr>
            </w:pPr>
            <w:r>
              <w:rPr>
                <w:i/>
              </w:rPr>
              <w:t>+32 25469795</w:t>
            </w:r>
          </w:p>
        </w:tc>
      </w:tr>
      <w:tr w:rsidR="00532F99" w:rsidRPr="00532F99" w14:paraId="20E9D1C8" w14:textId="77777777" w:rsidTr="00EE258B">
        <w:tc>
          <w:tcPr>
            <w:tcW w:w="1951" w:type="dxa"/>
          </w:tcPr>
          <w:p w14:paraId="144E431B" w14:textId="64663E9D" w:rsidR="00532F99" w:rsidRPr="00532F99" w:rsidRDefault="0037319B" w:rsidP="00100EF9">
            <w:pPr>
              <w:overflowPunct w:val="0"/>
              <w:autoSpaceDE w:val="0"/>
              <w:autoSpaceDN w:val="0"/>
              <w:adjustRightInd w:val="0"/>
              <w:textAlignment w:val="baseline"/>
              <w:rPr>
                <w:i/>
              </w:rPr>
            </w:pPr>
            <w:r>
              <w:rPr>
                <w:i/>
              </w:rPr>
              <w:t>Correo electrónico:</w:t>
            </w:r>
          </w:p>
        </w:tc>
        <w:tc>
          <w:tcPr>
            <w:tcW w:w="7263" w:type="dxa"/>
          </w:tcPr>
          <w:p w14:paraId="19710C19" w14:textId="38D94F20" w:rsidR="00532F99" w:rsidRPr="00532F99" w:rsidRDefault="00E235D3" w:rsidP="00100EF9">
            <w:pPr>
              <w:overflowPunct w:val="0"/>
              <w:autoSpaceDE w:val="0"/>
              <w:autoSpaceDN w:val="0"/>
              <w:adjustRightInd w:val="0"/>
              <w:textAlignment w:val="baseline"/>
              <w:rPr>
                <w:i/>
                <w:iCs/>
              </w:rPr>
            </w:pPr>
            <w:hyperlink r:id="rId26" w:history="1">
              <w:r>
                <w:rPr>
                  <w:i/>
                  <w:color w:val="0000FF"/>
                  <w:u w:val="single"/>
                </w:rPr>
                <w:t>Georgios.Meleas@eesc.europa.eu</w:t>
              </w:r>
            </w:hyperlink>
          </w:p>
        </w:tc>
      </w:tr>
    </w:tbl>
    <w:p w14:paraId="3016994A" w14:textId="77777777" w:rsidR="007652C3" w:rsidRDefault="007652C3" w:rsidP="00100EF9">
      <w:pPr>
        <w:pStyle w:val="ListParagraph"/>
        <w:ind w:left="0"/>
      </w:pPr>
    </w:p>
    <w:p w14:paraId="28F747AB" w14:textId="77777777" w:rsidR="007652C3" w:rsidRDefault="007652C3" w:rsidP="00100EF9">
      <w:pPr>
        <w:jc w:val="left"/>
      </w:pPr>
      <w:r>
        <w:br w:type="page"/>
      </w:r>
    </w:p>
    <w:p w14:paraId="71EC6247" w14:textId="0EC463C3" w:rsidR="007652C3" w:rsidRPr="007652C3" w:rsidRDefault="00E235D3" w:rsidP="00100EF9">
      <w:pPr>
        <w:widowControl w:val="0"/>
        <w:numPr>
          <w:ilvl w:val="0"/>
          <w:numId w:val="6"/>
        </w:numPr>
        <w:overflowPunct w:val="0"/>
        <w:autoSpaceDE w:val="0"/>
        <w:autoSpaceDN w:val="0"/>
        <w:adjustRightInd w:val="0"/>
        <w:ind w:hanging="567"/>
        <w:textAlignment w:val="baseline"/>
        <w:rPr>
          <w:b/>
          <w:i/>
          <w:iCs/>
          <w:sz w:val="28"/>
          <w:szCs w:val="28"/>
        </w:rPr>
      </w:pPr>
      <w:hyperlink r:id="rId27" w:history="1">
        <w:r>
          <w:rPr>
            <w:b/>
            <w:i/>
            <w:color w:val="0000FF"/>
            <w:sz w:val="28"/>
            <w:u w:val="single"/>
          </w:rPr>
          <w:t>Revisión de la Directiva sobre la tributación del tabaco</w:t>
        </w:r>
      </w:hyperlink>
    </w:p>
    <w:p w14:paraId="14832C64" w14:textId="77777777" w:rsidR="007652C3" w:rsidRPr="00EE258B" w:rsidRDefault="007652C3" w:rsidP="00100EF9">
      <w:pPr>
        <w:tabs>
          <w:tab w:val="center" w:pos="284"/>
        </w:tabs>
        <w:overflowPunct w:val="0"/>
        <w:autoSpaceDE w:val="0"/>
        <w:autoSpaceDN w:val="0"/>
        <w:adjustRightInd w:val="0"/>
        <w:ind w:left="266" w:hanging="266"/>
        <w:textAlignment w:val="baseline"/>
        <w:rPr>
          <w:bCs/>
          <w:sz w:val="16"/>
          <w:szCs w:val="16"/>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7547"/>
      </w:tblGrid>
      <w:tr w:rsidR="007652C3" w:rsidRPr="007652C3" w14:paraId="4B4C09EE" w14:textId="77777777" w:rsidTr="00D0608D">
        <w:tc>
          <w:tcPr>
            <w:tcW w:w="1526" w:type="dxa"/>
          </w:tcPr>
          <w:p w14:paraId="074AAFB4" w14:textId="77777777" w:rsidR="007652C3" w:rsidRPr="007652C3" w:rsidRDefault="007652C3" w:rsidP="00100EF9">
            <w:pPr>
              <w:tabs>
                <w:tab w:val="center" w:pos="284"/>
              </w:tabs>
              <w:overflowPunct w:val="0"/>
              <w:autoSpaceDE w:val="0"/>
              <w:autoSpaceDN w:val="0"/>
              <w:adjustRightInd w:val="0"/>
              <w:ind w:left="266" w:hanging="266"/>
              <w:textAlignment w:val="baseline"/>
              <w:rPr>
                <w:b/>
              </w:rPr>
            </w:pPr>
            <w:r>
              <w:rPr>
                <w:b/>
              </w:rPr>
              <w:t>Ponente</w:t>
            </w:r>
          </w:p>
        </w:tc>
        <w:tc>
          <w:tcPr>
            <w:tcW w:w="7547" w:type="dxa"/>
          </w:tcPr>
          <w:p w14:paraId="574348C8" w14:textId="1A21DC9A" w:rsidR="00FC4D6F" w:rsidRPr="007652C3" w:rsidRDefault="007652C3" w:rsidP="00100EF9">
            <w:pPr>
              <w:tabs>
                <w:tab w:val="center" w:pos="284"/>
              </w:tabs>
              <w:overflowPunct w:val="0"/>
              <w:autoSpaceDE w:val="0"/>
              <w:autoSpaceDN w:val="0"/>
              <w:adjustRightInd w:val="0"/>
              <w:ind w:left="266" w:hanging="266"/>
              <w:textAlignment w:val="baseline"/>
            </w:pPr>
            <w:r>
              <w:t>Matteo Carlo BORSANI (Grupo de Empresarios – IT)</w:t>
            </w:r>
          </w:p>
        </w:tc>
      </w:tr>
      <w:tr w:rsidR="00205469" w:rsidRPr="007652C3" w14:paraId="6586AC35" w14:textId="77777777" w:rsidTr="00D0608D">
        <w:tc>
          <w:tcPr>
            <w:tcW w:w="1526" w:type="dxa"/>
          </w:tcPr>
          <w:p w14:paraId="6C41B8BD" w14:textId="77777777" w:rsidR="00205469" w:rsidRPr="007652C3" w:rsidRDefault="00205469" w:rsidP="00100EF9">
            <w:pPr>
              <w:tabs>
                <w:tab w:val="center" w:pos="284"/>
              </w:tabs>
              <w:overflowPunct w:val="0"/>
              <w:autoSpaceDE w:val="0"/>
              <w:autoSpaceDN w:val="0"/>
              <w:adjustRightInd w:val="0"/>
              <w:ind w:left="266" w:hanging="266"/>
              <w:textAlignment w:val="baseline"/>
              <w:rPr>
                <w:b/>
              </w:rPr>
            </w:pPr>
          </w:p>
        </w:tc>
        <w:tc>
          <w:tcPr>
            <w:tcW w:w="7547" w:type="dxa"/>
          </w:tcPr>
          <w:p w14:paraId="30591BA7" w14:textId="77777777" w:rsidR="00205469" w:rsidRPr="007652C3" w:rsidRDefault="00205469" w:rsidP="00100EF9">
            <w:pPr>
              <w:tabs>
                <w:tab w:val="center" w:pos="284"/>
              </w:tabs>
              <w:overflowPunct w:val="0"/>
              <w:autoSpaceDE w:val="0"/>
              <w:autoSpaceDN w:val="0"/>
              <w:adjustRightInd w:val="0"/>
              <w:ind w:left="266" w:hanging="266"/>
              <w:textAlignment w:val="baseline"/>
              <w:rPr>
                <w:bCs/>
              </w:rPr>
            </w:pPr>
          </w:p>
        </w:tc>
      </w:tr>
      <w:tr w:rsidR="007652C3" w:rsidRPr="005519A6" w14:paraId="2243F74F" w14:textId="77777777" w:rsidTr="00D0608D">
        <w:tc>
          <w:tcPr>
            <w:tcW w:w="1526" w:type="dxa"/>
          </w:tcPr>
          <w:p w14:paraId="3F25D12B" w14:textId="77777777" w:rsidR="007652C3" w:rsidRPr="007652C3" w:rsidRDefault="007652C3" w:rsidP="00100EF9">
            <w:pPr>
              <w:tabs>
                <w:tab w:val="center" w:pos="284"/>
              </w:tabs>
              <w:overflowPunct w:val="0"/>
              <w:autoSpaceDE w:val="0"/>
              <w:autoSpaceDN w:val="0"/>
              <w:adjustRightInd w:val="0"/>
              <w:ind w:left="266" w:hanging="266"/>
              <w:textAlignment w:val="baseline"/>
              <w:rPr>
                <w:b/>
              </w:rPr>
            </w:pPr>
            <w:r>
              <w:rPr>
                <w:b/>
              </w:rPr>
              <w:t>Referencias</w:t>
            </w:r>
          </w:p>
        </w:tc>
        <w:tc>
          <w:tcPr>
            <w:tcW w:w="7547" w:type="dxa"/>
          </w:tcPr>
          <w:p w14:paraId="28D63311" w14:textId="2018BFB6" w:rsidR="007652C3" w:rsidRPr="00EE258B" w:rsidRDefault="007652C3" w:rsidP="00100EF9">
            <w:pPr>
              <w:tabs>
                <w:tab w:val="center" w:pos="284"/>
              </w:tabs>
              <w:overflowPunct w:val="0"/>
              <w:autoSpaceDE w:val="0"/>
              <w:autoSpaceDN w:val="0"/>
              <w:adjustRightInd w:val="0"/>
              <w:ind w:left="266" w:hanging="266"/>
              <w:textAlignment w:val="baseline"/>
              <w:rPr>
                <w:lang w:val="en-US"/>
              </w:rPr>
            </w:pPr>
            <w:r w:rsidRPr="00EE258B">
              <w:rPr>
                <w:lang w:val="en-US"/>
              </w:rPr>
              <w:t>COM(2025) 580 final</w:t>
            </w:r>
          </w:p>
          <w:p w14:paraId="3C71E1DA" w14:textId="707F72B2" w:rsidR="007652C3" w:rsidRPr="00EE258B" w:rsidRDefault="007652C3" w:rsidP="00100EF9">
            <w:pPr>
              <w:tabs>
                <w:tab w:val="center" w:pos="284"/>
              </w:tabs>
              <w:overflowPunct w:val="0"/>
              <w:autoSpaceDE w:val="0"/>
              <w:autoSpaceDN w:val="0"/>
              <w:adjustRightInd w:val="0"/>
              <w:ind w:left="266" w:hanging="266"/>
              <w:textAlignment w:val="baseline"/>
              <w:rPr>
                <w:lang w:val="en-US"/>
              </w:rPr>
            </w:pPr>
            <w:r w:rsidRPr="00EE258B">
              <w:rPr>
                <w:lang w:val="en-US"/>
              </w:rPr>
              <w:t>COM(2025) 581 final</w:t>
            </w:r>
          </w:p>
          <w:p w14:paraId="77F23764" w14:textId="645FFEBD" w:rsidR="007652C3" w:rsidRPr="00EE258B" w:rsidRDefault="007652C3" w:rsidP="00100EF9">
            <w:pPr>
              <w:tabs>
                <w:tab w:val="center" w:pos="284"/>
              </w:tabs>
              <w:overflowPunct w:val="0"/>
              <w:autoSpaceDE w:val="0"/>
              <w:autoSpaceDN w:val="0"/>
              <w:adjustRightInd w:val="0"/>
              <w:ind w:left="266" w:hanging="266"/>
              <w:textAlignment w:val="baseline"/>
              <w:rPr>
                <w:lang w:val="en-US"/>
              </w:rPr>
            </w:pPr>
            <w:r w:rsidRPr="00EE258B">
              <w:rPr>
                <w:lang w:val="en-US"/>
              </w:rPr>
              <w:t>EESC-2025-02514-00-00-AC</w:t>
            </w:r>
          </w:p>
        </w:tc>
      </w:tr>
    </w:tbl>
    <w:p w14:paraId="24734E78" w14:textId="77777777" w:rsidR="007652C3" w:rsidRPr="00153E09" w:rsidRDefault="007652C3" w:rsidP="00100EF9">
      <w:pPr>
        <w:tabs>
          <w:tab w:val="center" w:pos="284"/>
        </w:tabs>
        <w:overflowPunct w:val="0"/>
        <w:autoSpaceDE w:val="0"/>
        <w:autoSpaceDN w:val="0"/>
        <w:adjustRightInd w:val="0"/>
        <w:ind w:left="266" w:hanging="266"/>
        <w:textAlignment w:val="baseline"/>
        <w:rPr>
          <w:lang w:val="pt-PT"/>
        </w:rPr>
      </w:pPr>
    </w:p>
    <w:p w14:paraId="769610FB" w14:textId="77777777" w:rsidR="007652C3" w:rsidRPr="007652C3" w:rsidRDefault="007652C3" w:rsidP="00100EF9">
      <w:pPr>
        <w:keepNext/>
        <w:keepLines/>
        <w:tabs>
          <w:tab w:val="center" w:pos="284"/>
        </w:tabs>
        <w:overflowPunct w:val="0"/>
        <w:autoSpaceDE w:val="0"/>
        <w:autoSpaceDN w:val="0"/>
        <w:adjustRightInd w:val="0"/>
        <w:ind w:left="266" w:hanging="266"/>
        <w:textAlignment w:val="baseline"/>
        <w:rPr>
          <w:b/>
        </w:rPr>
      </w:pPr>
      <w:r>
        <w:rPr>
          <w:b/>
        </w:rPr>
        <w:t>Puntos clave</w:t>
      </w:r>
    </w:p>
    <w:p w14:paraId="761660A5" w14:textId="77777777" w:rsidR="007652C3" w:rsidRPr="007652C3" w:rsidRDefault="007652C3" w:rsidP="00100EF9">
      <w:pPr>
        <w:tabs>
          <w:tab w:val="center" w:pos="284"/>
        </w:tabs>
        <w:overflowPunct w:val="0"/>
        <w:autoSpaceDE w:val="0"/>
        <w:autoSpaceDN w:val="0"/>
        <w:adjustRightInd w:val="0"/>
        <w:ind w:left="266" w:hanging="266"/>
        <w:textAlignment w:val="baseline"/>
        <w:rPr>
          <w:bCs/>
          <w:sz w:val="16"/>
          <w:szCs w:val="16"/>
          <w:lang w:val="en-GB"/>
        </w:rPr>
      </w:pPr>
    </w:p>
    <w:p w14:paraId="538696B2" w14:textId="77777777" w:rsidR="007652C3" w:rsidRPr="007652C3" w:rsidRDefault="007652C3" w:rsidP="00100EF9">
      <w:pPr>
        <w:tabs>
          <w:tab w:val="center" w:pos="284"/>
        </w:tabs>
        <w:overflowPunct w:val="0"/>
        <w:autoSpaceDE w:val="0"/>
        <w:autoSpaceDN w:val="0"/>
        <w:adjustRightInd w:val="0"/>
        <w:ind w:left="266" w:hanging="266"/>
        <w:textAlignment w:val="baseline"/>
        <w:rPr>
          <w:bCs/>
          <w:iCs/>
        </w:rPr>
      </w:pPr>
      <w:r>
        <w:t>El CESE:</w:t>
      </w:r>
    </w:p>
    <w:p w14:paraId="3447BDD3" w14:textId="77777777" w:rsidR="007652C3" w:rsidRPr="00205469" w:rsidRDefault="007652C3" w:rsidP="007526DA">
      <w:pPr>
        <w:pStyle w:val="ListParagraph"/>
        <w:numPr>
          <w:ilvl w:val="0"/>
          <w:numId w:val="30"/>
        </w:numPr>
        <w:ind w:left="567" w:hanging="567"/>
      </w:pPr>
      <w:r>
        <w:rPr>
          <w:b/>
        </w:rPr>
        <w:t>apoya</w:t>
      </w:r>
      <w:r>
        <w:t xml:space="preserve"> la revisión de la Directiva sobre la tributación del tabaco y reconoce la necesidad de adaptar el marco de la UE para los impuestos especiales a la evolución del mercado, los nuevos productos y los objetivos de salud pública; subraya, asimismo, que la reforma debe ser proporcionada, predecible y económicamente sostenible;</w:t>
      </w:r>
    </w:p>
    <w:p w14:paraId="3F4A26E3" w14:textId="77777777" w:rsidR="007652C3" w:rsidRPr="00205469" w:rsidRDefault="007652C3" w:rsidP="007526DA">
      <w:pPr>
        <w:pStyle w:val="ListParagraph"/>
        <w:numPr>
          <w:ilvl w:val="0"/>
          <w:numId w:val="30"/>
        </w:numPr>
        <w:ind w:left="567" w:hanging="567"/>
      </w:pPr>
      <w:bookmarkStart w:id="15" w:name="_Toc222825827"/>
      <w:r>
        <w:rPr>
          <w:b/>
        </w:rPr>
        <w:t>advierte</w:t>
      </w:r>
      <w:r>
        <w:t xml:space="preserve"> contra unas subidas excesivas o bruscas de los impuestos especiales, ya que acarrean el riesgo de alentar el comercio ilícito y menoscabar la recaudación tributaria y los objetivos de salud pública; </w:t>
      </w:r>
      <w:r>
        <w:rPr>
          <w:b/>
        </w:rPr>
        <w:t>recomienda</w:t>
      </w:r>
      <w:r>
        <w:t>, por este motivo, que los ajustes a los impuestos especiales sean graduales y vayan acompañados de una ejecución reforzada, cooperación aduanera y medidas transfronterizas contra el contrabando;</w:t>
      </w:r>
      <w:bookmarkEnd w:id="15"/>
    </w:p>
    <w:p w14:paraId="1AC2A723" w14:textId="77777777" w:rsidR="007652C3" w:rsidRPr="00205469" w:rsidRDefault="007652C3" w:rsidP="007526DA">
      <w:pPr>
        <w:pStyle w:val="ListParagraph"/>
        <w:numPr>
          <w:ilvl w:val="0"/>
          <w:numId w:val="30"/>
        </w:numPr>
        <w:ind w:left="567" w:hanging="567"/>
      </w:pPr>
      <w:bookmarkStart w:id="16" w:name="_Toc222825828"/>
      <w:r>
        <w:rPr>
          <w:b/>
        </w:rPr>
        <w:t>pide</w:t>
      </w:r>
      <w:r>
        <w:t xml:space="preserve"> la aplicación coherente de una tributación proporcional al riesgo, velando por que los productos sin combustión y los productos con un menor riesgo para la salud no se graven de igual modo que los productos del tabaco que requieren combustión, en consonancia con el principio de «a menos daños, menos impuestos» y los objetivos del Plan Europeo de Lucha contra el Cáncer;</w:t>
      </w:r>
      <w:bookmarkEnd w:id="16"/>
    </w:p>
    <w:p w14:paraId="3892A6EF" w14:textId="77777777" w:rsidR="007652C3" w:rsidRPr="00205469" w:rsidRDefault="007652C3" w:rsidP="007526DA">
      <w:pPr>
        <w:pStyle w:val="ListParagraph"/>
        <w:numPr>
          <w:ilvl w:val="0"/>
          <w:numId w:val="30"/>
        </w:numPr>
        <w:ind w:left="567" w:hanging="567"/>
      </w:pPr>
      <w:bookmarkStart w:id="17" w:name="_Toc222825829"/>
      <w:r>
        <w:rPr>
          <w:b/>
          <w:bCs/>
        </w:rPr>
        <w:t>recomienda</w:t>
      </w:r>
      <w:r>
        <w:t xml:space="preserve"> que se mejore la claridad jurídica y se armonicen las definiciones de los productos, en concreto que se definan de manera rigurosa los productos de tabaco calentado, distinguiéndolos claramente de los productos que requieren combustión;</w:t>
      </w:r>
      <w:bookmarkEnd w:id="17"/>
    </w:p>
    <w:p w14:paraId="6D1AE1A8" w14:textId="77777777" w:rsidR="007652C3" w:rsidRPr="00205469" w:rsidRDefault="007652C3" w:rsidP="007526DA">
      <w:pPr>
        <w:pStyle w:val="ListParagraph"/>
        <w:numPr>
          <w:ilvl w:val="0"/>
          <w:numId w:val="30"/>
        </w:numPr>
        <w:ind w:left="567" w:hanging="567"/>
      </w:pPr>
      <w:bookmarkStart w:id="18" w:name="_Toc222825830"/>
      <w:r>
        <w:rPr>
          <w:b/>
        </w:rPr>
        <w:t>invita</w:t>
      </w:r>
      <w:r>
        <w:t xml:space="preserve"> a la Comisión a mejorar la coherencia entre las definiciones de los impuestos especiales y la nomenclatura combinada mediante el mantenimiento de cuadros de correspondencias actualizados y la provisión de orientaciones para la interpretación cuando un cambio en la clasificación aduanera afecte a la categorización de los impuestos especiales;</w:t>
      </w:r>
      <w:bookmarkEnd w:id="18"/>
    </w:p>
    <w:p w14:paraId="3B4FEB22" w14:textId="77777777" w:rsidR="007652C3" w:rsidRPr="00205469" w:rsidRDefault="007652C3" w:rsidP="007526DA">
      <w:pPr>
        <w:pStyle w:val="ListParagraph"/>
        <w:numPr>
          <w:ilvl w:val="0"/>
          <w:numId w:val="30"/>
        </w:numPr>
        <w:ind w:left="567" w:hanging="567"/>
      </w:pPr>
      <w:bookmarkStart w:id="19" w:name="_Toc222825831"/>
      <w:r>
        <w:rPr>
          <w:b/>
        </w:rPr>
        <w:t>pide</w:t>
      </w:r>
      <w:r>
        <w:t xml:space="preserve"> que los Estados miembros cuenten con suficiente flexibilidad en la configuración de los impuestos especiales, entre otras cosas mediante la posibilidad de elegir entre una imposición basada en unidades o en el peso para los productos de tabaco calentado, a fin de reflejar las condiciones del mercado nacional, y sin dejar de respetar los niveles mínimos a escala de la Unión;</w:t>
      </w:r>
      <w:bookmarkEnd w:id="19"/>
    </w:p>
    <w:p w14:paraId="03FC4FFF" w14:textId="77777777" w:rsidR="007652C3" w:rsidRPr="00205469" w:rsidRDefault="007652C3" w:rsidP="007526DA">
      <w:pPr>
        <w:pStyle w:val="ListParagraph"/>
        <w:numPr>
          <w:ilvl w:val="0"/>
          <w:numId w:val="30"/>
        </w:numPr>
        <w:ind w:left="567" w:hanging="567"/>
      </w:pPr>
      <w:bookmarkStart w:id="20" w:name="_Toc222825832"/>
      <w:r>
        <w:rPr>
          <w:b/>
          <w:bCs/>
        </w:rPr>
        <w:t>insta a</w:t>
      </w:r>
      <w:r>
        <w:t xml:space="preserve"> llevar a cabo una cartografía integral y detallada de los puestos de trabajo y capacidades existentes en el sector, acompañada tanto de una evaluación de los posibles escenarios a medio y largo plazo asociados a la propuesta como de previsiones claras sobre el impacto en el empleo;</w:t>
      </w:r>
      <w:bookmarkEnd w:id="20"/>
    </w:p>
    <w:p w14:paraId="0195988C" w14:textId="77777777" w:rsidR="007652C3" w:rsidRPr="00205469" w:rsidRDefault="007652C3" w:rsidP="007526DA">
      <w:pPr>
        <w:pStyle w:val="ListParagraph"/>
        <w:numPr>
          <w:ilvl w:val="0"/>
          <w:numId w:val="30"/>
        </w:numPr>
        <w:ind w:left="567" w:hanging="567"/>
      </w:pPr>
      <w:bookmarkStart w:id="21" w:name="_Toc222825833"/>
      <w:r>
        <w:rPr>
          <w:b/>
          <w:bCs/>
        </w:rPr>
        <w:t>pide</w:t>
      </w:r>
      <w:r>
        <w:t xml:space="preserve"> que se recurra de manera restringida y previsible a los actos delegados, limitándose estrictamente a los ajustes técnicos para tener en cuenta la inflación, en consonancia con el principio de subsidiariedad y la soberanía fiscal de los Estados miembros.</w:t>
      </w:r>
      <w:bookmarkEnd w:id="21"/>
    </w:p>
    <w:p w14:paraId="6309DB18" w14:textId="77777777" w:rsidR="007652C3" w:rsidRPr="00B922EA" w:rsidRDefault="007652C3" w:rsidP="00100EF9">
      <w:pPr>
        <w:ind w:left="567" w:hanging="567"/>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121"/>
      </w:tblGrid>
      <w:tr w:rsidR="007652C3" w:rsidRPr="007652C3" w14:paraId="7534B913" w14:textId="77777777" w:rsidTr="00EE258B">
        <w:tc>
          <w:tcPr>
            <w:tcW w:w="1951" w:type="dxa"/>
          </w:tcPr>
          <w:p w14:paraId="0C271651" w14:textId="77777777" w:rsidR="007652C3" w:rsidRPr="007652C3" w:rsidRDefault="007652C3" w:rsidP="00EE258B">
            <w:pPr>
              <w:keepNext/>
              <w:overflowPunct w:val="0"/>
              <w:autoSpaceDE w:val="0"/>
              <w:autoSpaceDN w:val="0"/>
              <w:adjustRightInd w:val="0"/>
              <w:textAlignment w:val="baseline"/>
              <w:rPr>
                <w:i/>
              </w:rPr>
            </w:pPr>
            <w:r>
              <w:rPr>
                <w:b/>
                <w:i/>
              </w:rPr>
              <w:lastRenderedPageBreak/>
              <w:t>Contacto:</w:t>
            </w:r>
          </w:p>
        </w:tc>
        <w:tc>
          <w:tcPr>
            <w:tcW w:w="7121" w:type="dxa"/>
          </w:tcPr>
          <w:p w14:paraId="528FE443" w14:textId="5FF87165" w:rsidR="007652C3" w:rsidRPr="007652C3" w:rsidRDefault="007652C3" w:rsidP="00EE258B">
            <w:pPr>
              <w:keepNext/>
              <w:overflowPunct w:val="0"/>
              <w:autoSpaceDE w:val="0"/>
              <w:autoSpaceDN w:val="0"/>
              <w:adjustRightInd w:val="0"/>
              <w:textAlignment w:val="baseline"/>
              <w:rPr>
                <w:i/>
              </w:rPr>
            </w:pPr>
            <w:r>
              <w:rPr>
                <w:i/>
              </w:rPr>
              <w:t>Jüri SOOSAAR</w:t>
            </w:r>
          </w:p>
        </w:tc>
      </w:tr>
      <w:tr w:rsidR="007652C3" w:rsidRPr="007652C3" w14:paraId="6D9C46AC" w14:textId="77777777" w:rsidTr="00EE258B">
        <w:tc>
          <w:tcPr>
            <w:tcW w:w="1951" w:type="dxa"/>
          </w:tcPr>
          <w:p w14:paraId="02AD0CD6" w14:textId="77777777" w:rsidR="007652C3" w:rsidRPr="007652C3" w:rsidRDefault="007652C3" w:rsidP="00100EF9">
            <w:pPr>
              <w:overflowPunct w:val="0"/>
              <w:autoSpaceDE w:val="0"/>
              <w:autoSpaceDN w:val="0"/>
              <w:adjustRightInd w:val="0"/>
              <w:textAlignment w:val="baseline"/>
              <w:rPr>
                <w:i/>
              </w:rPr>
            </w:pPr>
            <w:r>
              <w:rPr>
                <w:i/>
              </w:rPr>
              <w:t>Teléfono:</w:t>
            </w:r>
          </w:p>
        </w:tc>
        <w:tc>
          <w:tcPr>
            <w:tcW w:w="7121" w:type="dxa"/>
          </w:tcPr>
          <w:p w14:paraId="43D215D4" w14:textId="14B49C37" w:rsidR="007652C3" w:rsidRPr="007652C3" w:rsidRDefault="007652C3" w:rsidP="00100EF9">
            <w:pPr>
              <w:overflowPunct w:val="0"/>
              <w:autoSpaceDE w:val="0"/>
              <w:autoSpaceDN w:val="0"/>
              <w:adjustRightInd w:val="0"/>
              <w:textAlignment w:val="baseline"/>
              <w:rPr>
                <w:i/>
              </w:rPr>
            </w:pPr>
            <w:r>
              <w:rPr>
                <w:i/>
              </w:rPr>
              <w:t>+32 25469628</w:t>
            </w:r>
          </w:p>
        </w:tc>
      </w:tr>
      <w:tr w:rsidR="007652C3" w:rsidRPr="007652C3" w14:paraId="5C3011C3" w14:textId="77777777" w:rsidTr="00EE258B">
        <w:tc>
          <w:tcPr>
            <w:tcW w:w="1951" w:type="dxa"/>
          </w:tcPr>
          <w:p w14:paraId="1F503178" w14:textId="77777777" w:rsidR="007652C3" w:rsidRPr="007652C3" w:rsidRDefault="007652C3" w:rsidP="00100EF9">
            <w:pPr>
              <w:overflowPunct w:val="0"/>
              <w:autoSpaceDE w:val="0"/>
              <w:autoSpaceDN w:val="0"/>
              <w:adjustRightInd w:val="0"/>
              <w:textAlignment w:val="baseline"/>
              <w:rPr>
                <w:i/>
              </w:rPr>
            </w:pPr>
            <w:r>
              <w:rPr>
                <w:i/>
              </w:rPr>
              <w:t>Correo electrónico:</w:t>
            </w:r>
          </w:p>
        </w:tc>
        <w:tc>
          <w:tcPr>
            <w:tcW w:w="7121" w:type="dxa"/>
          </w:tcPr>
          <w:p w14:paraId="62867B2B" w14:textId="281CA423" w:rsidR="007652C3" w:rsidRPr="007652C3" w:rsidRDefault="00E235D3" w:rsidP="00100EF9">
            <w:pPr>
              <w:overflowPunct w:val="0"/>
              <w:autoSpaceDE w:val="0"/>
              <w:autoSpaceDN w:val="0"/>
              <w:adjustRightInd w:val="0"/>
              <w:textAlignment w:val="baseline"/>
              <w:rPr>
                <w:i/>
                <w:iCs/>
              </w:rPr>
            </w:pPr>
            <w:hyperlink r:id="rId28" w:history="1">
              <w:r>
                <w:rPr>
                  <w:i/>
                  <w:color w:val="0000FF"/>
                  <w:u w:val="single"/>
                </w:rPr>
                <w:t>Juri.Soosaar@eesc.europa.eu</w:t>
              </w:r>
            </w:hyperlink>
          </w:p>
        </w:tc>
      </w:tr>
    </w:tbl>
    <w:p w14:paraId="4982DD98" w14:textId="11429B92" w:rsidR="00302594" w:rsidRDefault="00302594" w:rsidP="00100EF9">
      <w:pPr>
        <w:jc w:val="left"/>
      </w:pPr>
    </w:p>
    <w:p w14:paraId="4356DB93" w14:textId="77777777" w:rsidR="00302594" w:rsidRDefault="00302594" w:rsidP="00100EF9">
      <w:pPr>
        <w:jc w:val="left"/>
      </w:pPr>
      <w:r>
        <w:br w:type="page"/>
      </w:r>
    </w:p>
    <w:p w14:paraId="4982DD99" w14:textId="77777777" w:rsidR="004D7AC0" w:rsidRDefault="004D7AC0" w:rsidP="00100EF9">
      <w:pPr>
        <w:pStyle w:val="Heading1"/>
        <w:rPr>
          <w:b/>
        </w:rPr>
      </w:pPr>
      <w:bookmarkStart w:id="22" w:name="_Toc75527081"/>
      <w:bookmarkStart w:id="23" w:name="_Toc223345258"/>
      <w:r>
        <w:rPr>
          <w:b/>
        </w:rPr>
        <w:lastRenderedPageBreak/>
        <w:t>EMPLEO, ASUNTOS SOCIALES Y CIUDADANÍA</w:t>
      </w:r>
      <w:bookmarkEnd w:id="22"/>
      <w:bookmarkEnd w:id="23"/>
    </w:p>
    <w:p w14:paraId="4982DD9A" w14:textId="77777777" w:rsidR="004D7AC0" w:rsidRPr="00153E09" w:rsidRDefault="004D7AC0" w:rsidP="00100EF9"/>
    <w:p w14:paraId="095440CA" w14:textId="1EA7C2D7" w:rsidR="001653D7" w:rsidRPr="001653D7" w:rsidRDefault="00E235D3" w:rsidP="00100EF9">
      <w:pPr>
        <w:widowControl w:val="0"/>
        <w:numPr>
          <w:ilvl w:val="0"/>
          <w:numId w:val="6"/>
        </w:numPr>
        <w:ind w:hanging="567"/>
        <w:rPr>
          <w:sz w:val="24"/>
          <w:szCs w:val="24"/>
        </w:rPr>
      </w:pPr>
      <w:hyperlink r:id="rId29" w:history="1">
        <w:r>
          <w:rPr>
            <w:b/>
            <w:i/>
            <w:color w:val="0000FF"/>
            <w:sz w:val="28"/>
            <w:u w:val="single"/>
          </w:rPr>
          <w:t>Apoyo de la Unión al asilo, la migración y la integración; a la seguridad interior; y a la gestión europea integrada de las fronteras y la política de visados</w:t>
        </w:r>
      </w:hyperlink>
    </w:p>
    <w:p w14:paraId="00463498" w14:textId="77777777" w:rsidR="001653D7" w:rsidRPr="001653D7" w:rsidRDefault="001653D7" w:rsidP="00100EF9">
      <w:pPr>
        <w:tabs>
          <w:tab w:val="center" w:pos="284"/>
        </w:tabs>
        <w:ind w:left="266" w:hanging="266"/>
        <w:rPr>
          <w:b/>
          <w:sz w:val="20"/>
          <w:szCs w:val="20"/>
        </w:rPr>
      </w:pPr>
    </w:p>
    <w:tbl>
      <w:tblPr>
        <w:tblStyle w:val="TableGrid7"/>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7479"/>
      </w:tblGrid>
      <w:tr w:rsidR="001653D7" w:rsidRPr="00100EF9" w14:paraId="47B2AE04" w14:textId="77777777" w:rsidTr="00D0608D">
        <w:tc>
          <w:tcPr>
            <w:tcW w:w="1559" w:type="dxa"/>
          </w:tcPr>
          <w:p w14:paraId="0F6809D8" w14:textId="4113B348" w:rsidR="001653D7" w:rsidRPr="001653D7" w:rsidRDefault="001653D7" w:rsidP="007526DA">
            <w:pPr>
              <w:tabs>
                <w:tab w:val="center" w:pos="284"/>
              </w:tabs>
              <w:ind w:left="266" w:right="206" w:hanging="374"/>
              <w:rPr>
                <w:b/>
              </w:rPr>
            </w:pPr>
            <w:r>
              <w:rPr>
                <w:b/>
              </w:rPr>
              <w:t>Ponente</w:t>
            </w:r>
          </w:p>
        </w:tc>
        <w:tc>
          <w:tcPr>
            <w:tcW w:w="7479" w:type="dxa"/>
          </w:tcPr>
          <w:p w14:paraId="4C613172" w14:textId="2BD1B530" w:rsidR="001653D7" w:rsidRPr="001653D7" w:rsidRDefault="001653D7" w:rsidP="007526DA">
            <w:pPr>
              <w:tabs>
                <w:tab w:val="center" w:pos="284"/>
              </w:tabs>
              <w:ind w:left="266" w:hanging="374"/>
            </w:pPr>
            <w:r>
              <w:t>José Antonio MORENO DÍAZ (Grupo de Trabajadores – ES)</w:t>
            </w:r>
          </w:p>
        </w:tc>
      </w:tr>
      <w:tr w:rsidR="00205469" w:rsidRPr="00100EF9" w14:paraId="60304579" w14:textId="77777777" w:rsidTr="00D0608D">
        <w:tc>
          <w:tcPr>
            <w:tcW w:w="1559" w:type="dxa"/>
          </w:tcPr>
          <w:p w14:paraId="2F580098" w14:textId="77777777" w:rsidR="00205469" w:rsidRPr="003F66F7" w:rsidRDefault="00205469" w:rsidP="00100EF9">
            <w:pPr>
              <w:tabs>
                <w:tab w:val="center" w:pos="284"/>
              </w:tabs>
              <w:ind w:left="266" w:hanging="374"/>
              <w:rPr>
                <w:b/>
              </w:rPr>
            </w:pPr>
          </w:p>
        </w:tc>
        <w:tc>
          <w:tcPr>
            <w:tcW w:w="7479" w:type="dxa"/>
          </w:tcPr>
          <w:p w14:paraId="5E1B80FD" w14:textId="77777777" w:rsidR="00205469" w:rsidRPr="001653D7" w:rsidRDefault="00205469" w:rsidP="00100EF9">
            <w:pPr>
              <w:tabs>
                <w:tab w:val="center" w:pos="284"/>
              </w:tabs>
              <w:ind w:left="266" w:hanging="374"/>
            </w:pPr>
          </w:p>
        </w:tc>
      </w:tr>
      <w:tr w:rsidR="001653D7" w:rsidRPr="00153E09" w14:paraId="396210B3" w14:textId="77777777" w:rsidTr="00D0608D">
        <w:tc>
          <w:tcPr>
            <w:tcW w:w="1559" w:type="dxa"/>
          </w:tcPr>
          <w:p w14:paraId="2CCAB3DC" w14:textId="2720B8B9" w:rsidR="001653D7" w:rsidRPr="001653D7" w:rsidRDefault="001653D7" w:rsidP="007526DA">
            <w:pPr>
              <w:tabs>
                <w:tab w:val="center" w:pos="284"/>
              </w:tabs>
              <w:ind w:left="266" w:hanging="374"/>
              <w:rPr>
                <w:b/>
              </w:rPr>
            </w:pPr>
            <w:r>
              <w:rPr>
                <w:b/>
              </w:rPr>
              <w:t>Referencias</w:t>
            </w:r>
          </w:p>
        </w:tc>
        <w:tc>
          <w:tcPr>
            <w:tcW w:w="7479" w:type="dxa"/>
          </w:tcPr>
          <w:p w14:paraId="7762C1AE" w14:textId="23946629" w:rsidR="001653D7" w:rsidRPr="00EE258B" w:rsidRDefault="001653D7" w:rsidP="007526DA">
            <w:pPr>
              <w:tabs>
                <w:tab w:val="center" w:pos="284"/>
              </w:tabs>
              <w:ind w:left="266" w:hanging="374"/>
              <w:rPr>
                <w:lang w:val="en-US"/>
              </w:rPr>
            </w:pPr>
            <w:r w:rsidRPr="00EE258B">
              <w:rPr>
                <w:lang w:val="en-US"/>
              </w:rPr>
              <w:t>COM(2025) 540 final</w:t>
            </w:r>
          </w:p>
          <w:p w14:paraId="22AD2A59" w14:textId="56B0125B" w:rsidR="001653D7" w:rsidRPr="00EE258B" w:rsidRDefault="001653D7" w:rsidP="007526DA">
            <w:pPr>
              <w:tabs>
                <w:tab w:val="center" w:pos="284"/>
              </w:tabs>
              <w:ind w:left="266" w:hanging="374"/>
              <w:rPr>
                <w:lang w:val="en-US"/>
              </w:rPr>
            </w:pPr>
            <w:r w:rsidRPr="00EE258B">
              <w:rPr>
                <w:lang w:val="en-US"/>
              </w:rPr>
              <w:t>COM(2025) 541 final</w:t>
            </w:r>
          </w:p>
          <w:p w14:paraId="63B53E3C" w14:textId="5CBBC2DD" w:rsidR="001653D7" w:rsidRPr="00EE258B" w:rsidRDefault="001653D7" w:rsidP="00100EF9">
            <w:pPr>
              <w:tabs>
                <w:tab w:val="center" w:pos="284"/>
              </w:tabs>
              <w:ind w:left="266" w:hanging="374"/>
              <w:rPr>
                <w:lang w:val="en-US"/>
              </w:rPr>
            </w:pPr>
            <w:r w:rsidRPr="00EE258B">
              <w:rPr>
                <w:lang w:val="en-US"/>
              </w:rPr>
              <w:t>COM(2025) 542 final</w:t>
            </w:r>
          </w:p>
          <w:p w14:paraId="683E4ECE" w14:textId="10942A06" w:rsidR="00205469" w:rsidRPr="001653D7" w:rsidRDefault="00205469" w:rsidP="00100EF9">
            <w:pPr>
              <w:tabs>
                <w:tab w:val="center" w:pos="284"/>
              </w:tabs>
              <w:ind w:left="266" w:hanging="374"/>
            </w:pPr>
            <w:r>
              <w:t>EESC-2025-03434-00-00-AC</w:t>
            </w:r>
          </w:p>
        </w:tc>
      </w:tr>
    </w:tbl>
    <w:p w14:paraId="0460B2E8" w14:textId="77777777" w:rsidR="001653D7" w:rsidRPr="001653D7" w:rsidRDefault="001653D7" w:rsidP="00100EF9">
      <w:pPr>
        <w:tabs>
          <w:tab w:val="center" w:pos="284"/>
        </w:tabs>
        <w:ind w:left="266" w:hanging="266"/>
        <w:rPr>
          <w:sz w:val="20"/>
          <w:szCs w:val="20"/>
        </w:rPr>
      </w:pPr>
    </w:p>
    <w:p w14:paraId="0CBC1DF0" w14:textId="77777777" w:rsidR="001653D7" w:rsidRPr="001653D7" w:rsidRDefault="001653D7" w:rsidP="00100EF9">
      <w:pPr>
        <w:keepNext/>
        <w:keepLines/>
        <w:tabs>
          <w:tab w:val="center" w:pos="284"/>
        </w:tabs>
        <w:ind w:left="266" w:hanging="266"/>
        <w:rPr>
          <w:b/>
        </w:rPr>
      </w:pPr>
      <w:r>
        <w:rPr>
          <w:b/>
        </w:rPr>
        <w:t>Puntos clave</w:t>
      </w:r>
    </w:p>
    <w:p w14:paraId="27D547BF" w14:textId="77777777" w:rsidR="001653D7" w:rsidRPr="001653D7" w:rsidRDefault="001653D7" w:rsidP="00100EF9">
      <w:pPr>
        <w:keepNext/>
        <w:keepLines/>
        <w:tabs>
          <w:tab w:val="center" w:pos="284"/>
        </w:tabs>
        <w:ind w:left="266" w:hanging="266"/>
        <w:rPr>
          <w:bCs/>
          <w:sz w:val="20"/>
          <w:szCs w:val="20"/>
        </w:rPr>
      </w:pPr>
    </w:p>
    <w:p w14:paraId="3C2E2FC5" w14:textId="77777777" w:rsidR="001653D7" w:rsidRPr="001653D7" w:rsidRDefault="001653D7" w:rsidP="00100EF9">
      <w:pPr>
        <w:rPr>
          <w:bCs/>
          <w:iCs/>
        </w:rPr>
      </w:pPr>
      <w:r>
        <w:t>El CESE:</w:t>
      </w:r>
    </w:p>
    <w:p w14:paraId="2EB60443" w14:textId="77777777" w:rsidR="001653D7" w:rsidRPr="001653D7" w:rsidRDefault="001653D7" w:rsidP="007526DA">
      <w:pPr>
        <w:numPr>
          <w:ilvl w:val="0"/>
          <w:numId w:val="19"/>
        </w:numPr>
        <w:ind w:left="567" w:hanging="567"/>
        <w:contextualSpacing/>
        <w:rPr>
          <w:bCs/>
          <w:iCs/>
        </w:rPr>
      </w:pPr>
      <w:r>
        <w:t>insiste en la necesidad urgente de establecer una política de inmigración que ofrezca canales legales, seguros y eficaces para la entrada en la UE. Esta postura se alinea con sus dictámenes previos, en los que el CESE ha subrayado la importancia de garantizar vías legales de entrada en la UE, proteger los derechos fundamentales de las personas migrantes y mejorar la gestión de la movilidad dentro de la Unión.</w:t>
      </w:r>
    </w:p>
    <w:p w14:paraId="17CE5961" w14:textId="77777777" w:rsidR="001653D7" w:rsidRPr="001653D7" w:rsidRDefault="001653D7" w:rsidP="007526DA">
      <w:pPr>
        <w:numPr>
          <w:ilvl w:val="0"/>
          <w:numId w:val="19"/>
        </w:numPr>
        <w:ind w:left="567" w:hanging="567"/>
        <w:contextualSpacing/>
        <w:rPr>
          <w:bCs/>
          <w:iCs/>
        </w:rPr>
      </w:pPr>
      <w:r>
        <w:t>señala que el análisis conjunto de los tres Reglamentos revela una reorientación estructural de las prioridades de la UE, con una marcada inclinación hacia el control y la seguridad. El gran énfasis sobre la seguridad, tanto interior como exterior, tiende a pasar por alto las medidas de apoyo a la integración y la inclusión. El CESE hace hincapié en que la política de migración no puede reducirse a un enfoque basado en la seguridad;</w:t>
      </w:r>
    </w:p>
    <w:p w14:paraId="6247AC50" w14:textId="77777777" w:rsidR="001653D7" w:rsidRPr="001653D7" w:rsidRDefault="001653D7" w:rsidP="007526DA">
      <w:pPr>
        <w:numPr>
          <w:ilvl w:val="0"/>
          <w:numId w:val="19"/>
        </w:numPr>
        <w:ind w:left="567" w:hanging="567"/>
        <w:contextualSpacing/>
        <w:rPr>
          <w:bCs/>
          <w:iCs/>
        </w:rPr>
      </w:pPr>
      <w:r>
        <w:t>señala que un conjunto completo de herramientas e instrumentos destinados a gestionar la migración regular y evitar la irregularidad constituye un elemento importante de un sistema de migración que funcione correctamente, del cual forma parte el retorno, cuando ello proceda y en pleno cumplimiento del Derecho internacional y de la UE. No obstante, la aplicación de esas herramientas e instrumentos debe mantener un cuidadoso equilibrio con el respeto de los derechos fundamentales, en particular el derecho a la protección individual.</w:t>
      </w:r>
    </w:p>
    <w:p w14:paraId="72AA5D3D" w14:textId="77777777" w:rsidR="001653D7" w:rsidRPr="001653D7" w:rsidRDefault="001653D7" w:rsidP="007526DA">
      <w:pPr>
        <w:numPr>
          <w:ilvl w:val="0"/>
          <w:numId w:val="19"/>
        </w:numPr>
        <w:ind w:left="567" w:hanging="567"/>
        <w:contextualSpacing/>
        <w:rPr>
          <w:bCs/>
          <w:iCs/>
        </w:rPr>
      </w:pPr>
      <w:r>
        <w:t>considera imprescindible mejorar los mecanismos de supervisión independiente de los derechos fundamentales y las condiciones humanitarias en las fronteras, haciendo uso de sistemas de información transparentes;</w:t>
      </w:r>
    </w:p>
    <w:p w14:paraId="0CC7E7BF" w14:textId="77777777" w:rsidR="001653D7" w:rsidRPr="001653D7" w:rsidRDefault="001653D7" w:rsidP="007526DA">
      <w:pPr>
        <w:numPr>
          <w:ilvl w:val="0"/>
          <w:numId w:val="19"/>
        </w:numPr>
        <w:ind w:left="567" w:hanging="567"/>
        <w:contextualSpacing/>
        <w:rPr>
          <w:bCs/>
          <w:iCs/>
        </w:rPr>
      </w:pPr>
      <w:r>
        <w:t>considera que los tres Reglamentos adoptados conjuntamente para el período 2028-2034 ponen un particular acento en las medidas de seguridad y la externalización del control fronterizo y suscitan preocupación por los posibles riesgos para los derechos fundamentales. Es esencial garantizar que ello no va en detrimento de la protección de los derechos humanos fundamentales.</w:t>
      </w:r>
    </w:p>
    <w:p w14:paraId="6C124427" w14:textId="77777777" w:rsidR="001653D7" w:rsidRPr="001653D7" w:rsidRDefault="001653D7" w:rsidP="00100EF9">
      <w:pPr>
        <w:widowControl w:val="0"/>
        <w:ind w:left="709"/>
        <w:rPr>
          <w:sz w:val="20"/>
        </w:rPr>
      </w:pPr>
    </w:p>
    <w:tbl>
      <w:tblPr>
        <w:tblStyle w:val="TableGrid7"/>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340"/>
      </w:tblGrid>
      <w:tr w:rsidR="001653D7" w:rsidRPr="001653D7" w14:paraId="211429B1" w14:textId="77777777" w:rsidTr="00EE258B">
        <w:tc>
          <w:tcPr>
            <w:tcW w:w="1050" w:type="pct"/>
          </w:tcPr>
          <w:p w14:paraId="13CD8E19" w14:textId="77777777" w:rsidR="001653D7" w:rsidRPr="001653D7" w:rsidRDefault="001653D7" w:rsidP="00100EF9">
            <w:pPr>
              <w:rPr>
                <w:i/>
              </w:rPr>
            </w:pPr>
            <w:r>
              <w:rPr>
                <w:b/>
                <w:i/>
              </w:rPr>
              <w:t>Contacto:</w:t>
            </w:r>
          </w:p>
        </w:tc>
        <w:tc>
          <w:tcPr>
            <w:tcW w:w="3950" w:type="pct"/>
          </w:tcPr>
          <w:p w14:paraId="4FD1075C" w14:textId="32E95F9F" w:rsidR="001653D7" w:rsidRPr="00D05167" w:rsidRDefault="001653D7" w:rsidP="00100EF9">
            <w:pPr>
              <w:rPr>
                <w:i/>
              </w:rPr>
            </w:pPr>
            <w:r>
              <w:rPr>
                <w:i/>
              </w:rPr>
              <w:t>Gemma AMRAN</w:t>
            </w:r>
          </w:p>
        </w:tc>
      </w:tr>
      <w:tr w:rsidR="001653D7" w:rsidRPr="001653D7" w14:paraId="3BC05E8A" w14:textId="77777777" w:rsidTr="00EE258B">
        <w:tc>
          <w:tcPr>
            <w:tcW w:w="1050" w:type="pct"/>
          </w:tcPr>
          <w:p w14:paraId="1D9039E7" w14:textId="77777777" w:rsidR="001653D7" w:rsidRPr="001653D7" w:rsidRDefault="001653D7" w:rsidP="00100EF9">
            <w:pPr>
              <w:rPr>
                <w:i/>
              </w:rPr>
            </w:pPr>
            <w:r>
              <w:rPr>
                <w:i/>
              </w:rPr>
              <w:t>Teléfono:</w:t>
            </w:r>
          </w:p>
        </w:tc>
        <w:tc>
          <w:tcPr>
            <w:tcW w:w="3950" w:type="pct"/>
          </w:tcPr>
          <w:p w14:paraId="410A1B26" w14:textId="0CC1E8ED" w:rsidR="001653D7" w:rsidRPr="00D05167" w:rsidRDefault="001653D7" w:rsidP="00100EF9">
            <w:pPr>
              <w:rPr>
                <w:i/>
              </w:rPr>
            </w:pPr>
            <w:r>
              <w:rPr>
                <w:i/>
              </w:rPr>
              <w:t>+32 25469415</w:t>
            </w:r>
          </w:p>
        </w:tc>
      </w:tr>
      <w:tr w:rsidR="001653D7" w:rsidRPr="001653D7" w14:paraId="653F335D" w14:textId="77777777" w:rsidTr="00EE258B">
        <w:tc>
          <w:tcPr>
            <w:tcW w:w="1050" w:type="pct"/>
          </w:tcPr>
          <w:p w14:paraId="5DF7B6E3" w14:textId="77777777" w:rsidR="001653D7" w:rsidRPr="001653D7" w:rsidRDefault="001653D7" w:rsidP="00100EF9">
            <w:pPr>
              <w:rPr>
                <w:i/>
              </w:rPr>
            </w:pPr>
            <w:r>
              <w:rPr>
                <w:i/>
              </w:rPr>
              <w:t>Correo electrónico:</w:t>
            </w:r>
          </w:p>
        </w:tc>
        <w:tc>
          <w:tcPr>
            <w:tcW w:w="3950" w:type="pct"/>
          </w:tcPr>
          <w:p w14:paraId="03300BBE" w14:textId="50D484F4" w:rsidR="001653D7" w:rsidRPr="001653D7" w:rsidRDefault="00E235D3" w:rsidP="00100EF9">
            <w:pPr>
              <w:rPr>
                <w:i/>
              </w:rPr>
            </w:pPr>
            <w:hyperlink r:id="rId30" w:history="1">
              <w:r>
                <w:rPr>
                  <w:i/>
                  <w:color w:val="0000FF"/>
                  <w:u w:val="single"/>
                </w:rPr>
                <w:t>Gemma.Amran@eesc.europa.eu</w:t>
              </w:r>
            </w:hyperlink>
          </w:p>
        </w:tc>
      </w:tr>
    </w:tbl>
    <w:p w14:paraId="4982DDC4" w14:textId="77777777" w:rsidR="004D7AC0" w:rsidRPr="00803CA6" w:rsidRDefault="004D7AC0" w:rsidP="00100EF9">
      <w:pPr>
        <w:pStyle w:val="ListParagraph"/>
        <w:ind w:left="0"/>
      </w:pPr>
    </w:p>
    <w:p w14:paraId="4982DDC5" w14:textId="77777777" w:rsidR="004D7AC0" w:rsidRDefault="004D7AC0" w:rsidP="00100EF9">
      <w:pPr>
        <w:jc w:val="left"/>
      </w:pPr>
      <w:r>
        <w:br w:type="page"/>
      </w:r>
    </w:p>
    <w:p w14:paraId="4982DDC6" w14:textId="77777777" w:rsidR="004D7AC0" w:rsidRDefault="004D7AC0" w:rsidP="00100EF9">
      <w:pPr>
        <w:pStyle w:val="Heading1"/>
        <w:rPr>
          <w:b/>
        </w:rPr>
      </w:pPr>
      <w:bookmarkStart w:id="24" w:name="_Toc24617160"/>
      <w:bookmarkStart w:id="25" w:name="_Toc75527082"/>
      <w:bookmarkStart w:id="26" w:name="_Toc223345259"/>
      <w:r>
        <w:rPr>
          <w:b/>
        </w:rPr>
        <w:lastRenderedPageBreak/>
        <w:t>TRANSPORTE, ENERGÍA, INFRAESTRUCTURAS Y SOCIEDAD DE LA INFORMACIÓN</w:t>
      </w:r>
      <w:bookmarkEnd w:id="24"/>
      <w:bookmarkEnd w:id="25"/>
      <w:bookmarkEnd w:id="26"/>
    </w:p>
    <w:p w14:paraId="4982DDC7" w14:textId="77777777" w:rsidR="004D7AC0" w:rsidRDefault="004D7AC0" w:rsidP="00100EF9"/>
    <w:p w14:paraId="33F22FD2" w14:textId="1917557F" w:rsidR="00B55C6C" w:rsidRPr="00B55C6C" w:rsidRDefault="00E235D3" w:rsidP="00100EF9">
      <w:pPr>
        <w:widowControl w:val="0"/>
        <w:numPr>
          <w:ilvl w:val="0"/>
          <w:numId w:val="6"/>
        </w:numPr>
        <w:ind w:hanging="567"/>
        <w:rPr>
          <w:sz w:val="24"/>
          <w:szCs w:val="24"/>
        </w:rPr>
      </w:pPr>
      <w:hyperlink r:id="rId31" w:history="1">
        <w:r>
          <w:rPr>
            <w:b/>
            <w:i/>
            <w:color w:val="0000FF"/>
            <w:sz w:val="24"/>
            <w:u w:val="single"/>
          </w:rPr>
          <w:t>La Estrategia Europea para las Ciencias de la Vida, junto con la Estrategia sobre Infraestructuras de Investigación y Tecnológicas, con especial atención al tratamiento de las enfermedades raras</w:t>
        </w:r>
      </w:hyperlink>
    </w:p>
    <w:p w14:paraId="6D214F19" w14:textId="77777777" w:rsidR="00B55C6C" w:rsidRPr="00B55C6C" w:rsidRDefault="00B55C6C" w:rsidP="00100EF9">
      <w:pPr>
        <w:tabs>
          <w:tab w:val="center" w:pos="284"/>
        </w:tabs>
        <w:ind w:left="266" w:hanging="266"/>
        <w:rPr>
          <w:b/>
        </w:rPr>
      </w:pP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3"/>
        <w:gridCol w:w="7400"/>
      </w:tblGrid>
      <w:tr w:rsidR="00B55C6C" w:rsidRPr="00B55C6C" w14:paraId="2B64E1A2" w14:textId="77777777" w:rsidTr="00D0608D">
        <w:tc>
          <w:tcPr>
            <w:tcW w:w="1673" w:type="dxa"/>
          </w:tcPr>
          <w:p w14:paraId="31E45AAF" w14:textId="77777777" w:rsidR="00B55C6C" w:rsidRPr="00B55C6C" w:rsidRDefault="00B55C6C" w:rsidP="00100EF9">
            <w:pPr>
              <w:tabs>
                <w:tab w:val="center" w:pos="284"/>
              </w:tabs>
              <w:ind w:left="266" w:hanging="266"/>
              <w:rPr>
                <w:b/>
              </w:rPr>
            </w:pPr>
            <w:r>
              <w:rPr>
                <w:b/>
              </w:rPr>
              <w:t>Ponente</w:t>
            </w:r>
          </w:p>
        </w:tc>
        <w:tc>
          <w:tcPr>
            <w:tcW w:w="7400" w:type="dxa"/>
          </w:tcPr>
          <w:p w14:paraId="2077B4EE" w14:textId="7CFFDBD7" w:rsidR="0027149A" w:rsidRPr="00B55C6C" w:rsidRDefault="00B55C6C" w:rsidP="00100EF9">
            <w:pPr>
              <w:tabs>
                <w:tab w:val="center" w:pos="284"/>
              </w:tabs>
              <w:ind w:left="266" w:hanging="266"/>
            </w:pPr>
            <w:r>
              <w:t>Milena ANGELOVA (Grupo de Empresarios – BG)</w:t>
            </w:r>
          </w:p>
        </w:tc>
      </w:tr>
      <w:tr w:rsidR="00205469" w:rsidRPr="00B55C6C" w14:paraId="035AE27D" w14:textId="77777777" w:rsidTr="00D0608D">
        <w:tc>
          <w:tcPr>
            <w:tcW w:w="1673" w:type="dxa"/>
          </w:tcPr>
          <w:p w14:paraId="582588EB" w14:textId="77777777" w:rsidR="00205469" w:rsidRPr="00B55C6C" w:rsidRDefault="00205469" w:rsidP="00100EF9">
            <w:pPr>
              <w:tabs>
                <w:tab w:val="center" w:pos="284"/>
              </w:tabs>
              <w:ind w:left="266" w:hanging="266"/>
              <w:rPr>
                <w:b/>
              </w:rPr>
            </w:pPr>
          </w:p>
        </w:tc>
        <w:tc>
          <w:tcPr>
            <w:tcW w:w="7400" w:type="dxa"/>
          </w:tcPr>
          <w:p w14:paraId="33028952" w14:textId="77777777" w:rsidR="00205469" w:rsidRPr="00B55C6C" w:rsidRDefault="00205469" w:rsidP="00100EF9">
            <w:pPr>
              <w:tabs>
                <w:tab w:val="center" w:pos="284"/>
              </w:tabs>
              <w:ind w:left="266" w:hanging="266"/>
            </w:pPr>
          </w:p>
        </w:tc>
      </w:tr>
      <w:tr w:rsidR="00B55C6C" w:rsidRPr="00B55C6C" w14:paraId="416210B9" w14:textId="77777777" w:rsidTr="00D0608D">
        <w:tc>
          <w:tcPr>
            <w:tcW w:w="1673" w:type="dxa"/>
          </w:tcPr>
          <w:p w14:paraId="5830CF27" w14:textId="77777777" w:rsidR="00B55C6C" w:rsidRPr="00B55C6C" w:rsidRDefault="00B55C6C" w:rsidP="00100EF9">
            <w:pPr>
              <w:tabs>
                <w:tab w:val="center" w:pos="284"/>
              </w:tabs>
              <w:ind w:left="266" w:hanging="266"/>
              <w:rPr>
                <w:b/>
              </w:rPr>
            </w:pPr>
            <w:r>
              <w:rPr>
                <w:b/>
              </w:rPr>
              <w:t>Referencia</w:t>
            </w:r>
          </w:p>
        </w:tc>
        <w:tc>
          <w:tcPr>
            <w:tcW w:w="7400" w:type="dxa"/>
          </w:tcPr>
          <w:p w14:paraId="6387FA0F" w14:textId="29179DE5" w:rsidR="00B55C6C" w:rsidRPr="00B55C6C" w:rsidRDefault="00B55C6C" w:rsidP="00100EF9">
            <w:pPr>
              <w:tabs>
                <w:tab w:val="center" w:pos="284"/>
              </w:tabs>
              <w:ind w:left="266" w:right="-108" w:hanging="266"/>
              <w:jc w:val="left"/>
            </w:pPr>
            <w:r>
              <w:t>Dictamen exploratorio solicitado por la Presidencia chipriota del Consejo de la UE</w:t>
            </w:r>
          </w:p>
          <w:p w14:paraId="72910B0E" w14:textId="77777777" w:rsidR="00B55C6C" w:rsidRPr="00B55C6C" w:rsidRDefault="00B55C6C" w:rsidP="00100EF9">
            <w:pPr>
              <w:tabs>
                <w:tab w:val="center" w:pos="284"/>
              </w:tabs>
              <w:ind w:left="266" w:hanging="266"/>
            </w:pPr>
            <w:r>
              <w:t>EESC-2025-03652-00-00-AC</w:t>
            </w:r>
          </w:p>
        </w:tc>
      </w:tr>
    </w:tbl>
    <w:p w14:paraId="6A284DC4" w14:textId="77777777" w:rsidR="00B55C6C" w:rsidRPr="00B55C6C" w:rsidRDefault="00B55C6C" w:rsidP="00100EF9">
      <w:pPr>
        <w:keepNext/>
        <w:keepLines/>
        <w:tabs>
          <w:tab w:val="center" w:pos="284"/>
        </w:tabs>
        <w:ind w:left="266" w:hanging="266"/>
        <w:rPr>
          <w:b/>
          <w:bCs/>
        </w:rPr>
      </w:pPr>
    </w:p>
    <w:p w14:paraId="273C39C3" w14:textId="46817AE1" w:rsidR="00B55C6C" w:rsidRPr="00B55C6C" w:rsidRDefault="00B55C6C" w:rsidP="00100EF9">
      <w:pPr>
        <w:keepNext/>
        <w:keepLines/>
        <w:tabs>
          <w:tab w:val="center" w:pos="284"/>
        </w:tabs>
        <w:ind w:left="266" w:hanging="266"/>
        <w:rPr>
          <w:b/>
          <w:bCs/>
        </w:rPr>
      </w:pPr>
      <w:r>
        <w:rPr>
          <w:b/>
        </w:rPr>
        <w:t>Puntos clave</w:t>
      </w:r>
    </w:p>
    <w:p w14:paraId="4C80B459" w14:textId="77777777" w:rsidR="00B55C6C" w:rsidRPr="00B55C6C" w:rsidRDefault="00B55C6C" w:rsidP="00100EF9">
      <w:pPr>
        <w:keepNext/>
        <w:keepLines/>
        <w:tabs>
          <w:tab w:val="center" w:pos="284"/>
        </w:tabs>
        <w:ind w:left="266" w:hanging="266"/>
        <w:rPr>
          <w:b/>
        </w:rPr>
      </w:pPr>
    </w:p>
    <w:p w14:paraId="00939141" w14:textId="77777777" w:rsidR="00B55C6C" w:rsidRDefault="00B55C6C" w:rsidP="00100EF9">
      <w:r>
        <w:t>El CESE:</w:t>
      </w:r>
    </w:p>
    <w:p w14:paraId="383812B3" w14:textId="77777777" w:rsidR="00B55C6C" w:rsidRPr="00B55C6C" w:rsidRDefault="00B55C6C" w:rsidP="007526DA">
      <w:pPr>
        <w:numPr>
          <w:ilvl w:val="0"/>
          <w:numId w:val="20"/>
        </w:numPr>
        <w:shd w:val="clear" w:color="auto" w:fill="FFFFFF" w:themeFill="background1"/>
        <w:ind w:left="567" w:hanging="567"/>
        <w:contextualSpacing/>
        <w:rPr>
          <w:rFonts w:ascii="Calibri" w:hAnsi="Calibri"/>
          <w:color w:val="242424"/>
          <w:u w:val="single"/>
        </w:rPr>
      </w:pPr>
      <w:r>
        <w:rPr>
          <w:color w:val="242424"/>
        </w:rPr>
        <w:t xml:space="preserve">acoge con satisfacción la Estrategia Europea para las Ciencias de la Vida, y destaca que la adopción de un </w:t>
      </w:r>
      <w:r>
        <w:rPr>
          <w:b/>
          <w:bCs/>
          <w:color w:val="242424"/>
        </w:rPr>
        <w:t>enfoque integral</w:t>
      </w:r>
      <w:r>
        <w:rPr>
          <w:color w:val="242424"/>
        </w:rPr>
        <w:t xml:space="preserve"> y la creación de un entorno propicio pueden convertir a Europa en </w:t>
      </w:r>
      <w:r>
        <w:rPr>
          <w:b/>
          <w:bCs/>
          <w:color w:val="242424"/>
        </w:rPr>
        <w:t>líder mundial en el ámbito de las ciencias de la vida</w:t>
      </w:r>
      <w:r>
        <w:rPr>
          <w:color w:val="242424"/>
        </w:rPr>
        <w:t xml:space="preserve"> (en particular, en lo que respecta a las enfermedades raras y la genómica).</w:t>
      </w:r>
      <w:r w:rsidRPr="00EE258B">
        <w:rPr>
          <w:color w:val="242424"/>
        </w:rPr>
        <w:t xml:space="preserve"> </w:t>
      </w:r>
      <w:r>
        <w:rPr>
          <w:color w:val="242424"/>
          <w:u w:val="single"/>
        </w:rPr>
        <w:t xml:space="preserve">Dicho </w:t>
      </w:r>
      <w:r>
        <w:rPr>
          <w:b/>
          <w:bCs/>
          <w:color w:val="242424"/>
          <w:u w:val="single"/>
        </w:rPr>
        <w:t>enfoque</w:t>
      </w:r>
      <w:r>
        <w:rPr>
          <w:color w:val="242424"/>
          <w:u w:val="single"/>
        </w:rPr>
        <w:t xml:space="preserve"> comprende</w:t>
      </w:r>
      <w:r w:rsidRPr="00EE258B">
        <w:rPr>
          <w:color w:val="242424"/>
        </w:rPr>
        <w:t>:</w:t>
      </w:r>
    </w:p>
    <w:p w14:paraId="5A323DAF" w14:textId="746DCEF3" w:rsidR="00B55C6C" w:rsidRPr="00B55C6C" w:rsidRDefault="00B55C6C" w:rsidP="007526DA">
      <w:pPr>
        <w:numPr>
          <w:ilvl w:val="1"/>
          <w:numId w:val="26"/>
        </w:numPr>
        <w:shd w:val="clear" w:color="auto" w:fill="FFFFFF" w:themeFill="background1"/>
        <w:ind w:left="851" w:hanging="284"/>
        <w:contextualSpacing/>
        <w:rPr>
          <w:rFonts w:ascii="Calibri" w:hAnsi="Calibri"/>
          <w:color w:val="242424"/>
          <w:u w:val="single"/>
        </w:rPr>
      </w:pPr>
      <w:r>
        <w:rPr>
          <w:color w:val="242424"/>
          <w:u w:val="single"/>
        </w:rPr>
        <w:t>métodos científicos exhaustivos y basados en datos, que permiten diagnosticar y comprender las causas de las enfermedades (por ejemplo, la genética, los hábitos y estilos de vida poco saludables, la contaminación, el estrés, etc.)</w:t>
      </w:r>
      <w:r w:rsidRPr="00EE258B">
        <w:rPr>
          <w:color w:val="242424"/>
        </w:rPr>
        <w:t>;</w:t>
      </w:r>
    </w:p>
    <w:p w14:paraId="54755404" w14:textId="5C9C4720" w:rsidR="00B55C6C" w:rsidRPr="00B55C6C" w:rsidRDefault="00B55C6C" w:rsidP="007526DA">
      <w:pPr>
        <w:numPr>
          <w:ilvl w:val="1"/>
          <w:numId w:val="26"/>
        </w:numPr>
        <w:shd w:val="clear" w:color="auto" w:fill="FFFFFF" w:themeFill="background1"/>
        <w:ind w:left="851" w:hanging="284"/>
        <w:contextualSpacing/>
        <w:rPr>
          <w:rFonts w:ascii="Calibri" w:hAnsi="Calibri"/>
          <w:color w:val="242424"/>
          <w:u w:val="single"/>
        </w:rPr>
      </w:pPr>
      <w:r>
        <w:rPr>
          <w:color w:val="242424"/>
          <w:u w:val="single"/>
        </w:rPr>
        <w:t>la difusión de información en materia de prevención y diagnóstico precoz</w:t>
      </w:r>
      <w:r w:rsidRPr="00EE258B">
        <w:rPr>
          <w:color w:val="242424"/>
        </w:rPr>
        <w:t>;</w:t>
      </w:r>
    </w:p>
    <w:p w14:paraId="3424F771" w14:textId="30D8CD98" w:rsidR="00B55C6C" w:rsidRPr="00B55C6C" w:rsidRDefault="00B55C6C" w:rsidP="007526DA">
      <w:pPr>
        <w:numPr>
          <w:ilvl w:val="1"/>
          <w:numId w:val="26"/>
        </w:numPr>
        <w:shd w:val="clear" w:color="auto" w:fill="FFFFFF" w:themeFill="background1"/>
        <w:ind w:left="851" w:hanging="284"/>
        <w:contextualSpacing/>
        <w:rPr>
          <w:color w:val="242424"/>
          <w:u w:val="single"/>
        </w:rPr>
      </w:pPr>
      <w:r>
        <w:rPr>
          <w:color w:val="242424"/>
          <w:u w:val="single"/>
        </w:rPr>
        <w:t>el cribado y el tratamiento eficaz y accesible</w:t>
      </w:r>
      <w:r w:rsidRPr="00EE258B">
        <w:rPr>
          <w:color w:val="242424"/>
        </w:rPr>
        <w:t>;</w:t>
      </w:r>
    </w:p>
    <w:p w14:paraId="093589AA" w14:textId="77777777" w:rsidR="00B55C6C" w:rsidRPr="00B55C6C" w:rsidRDefault="00B55C6C" w:rsidP="007526DA">
      <w:pPr>
        <w:numPr>
          <w:ilvl w:val="1"/>
          <w:numId w:val="26"/>
        </w:numPr>
        <w:shd w:val="clear" w:color="auto" w:fill="FFFFFF" w:themeFill="background1"/>
        <w:ind w:left="851" w:hanging="284"/>
        <w:contextualSpacing/>
        <w:rPr>
          <w:color w:val="242424"/>
          <w:u w:val="single"/>
        </w:rPr>
      </w:pPr>
      <w:r>
        <w:rPr>
          <w:color w:val="242424"/>
          <w:u w:val="single"/>
        </w:rPr>
        <w:t>una atención de alta calidad e infraestructuras de apoyo accesibles para los pacientes y sus familias</w:t>
      </w:r>
      <w:r w:rsidRPr="00EE258B">
        <w:rPr>
          <w:color w:val="242424"/>
        </w:rPr>
        <w:t>;</w:t>
      </w:r>
    </w:p>
    <w:p w14:paraId="65EEE98A" w14:textId="6F85A009" w:rsidR="00B55C6C" w:rsidRPr="00B55C6C" w:rsidRDefault="00B55C6C" w:rsidP="007526DA">
      <w:pPr>
        <w:numPr>
          <w:ilvl w:val="0"/>
          <w:numId w:val="20"/>
        </w:numPr>
        <w:shd w:val="clear" w:color="auto" w:fill="FFFFFF" w:themeFill="background1"/>
        <w:ind w:left="567" w:hanging="567"/>
        <w:contextualSpacing/>
        <w:rPr>
          <w:color w:val="242424"/>
          <w:u w:val="single"/>
        </w:rPr>
      </w:pPr>
      <w:r>
        <w:t xml:space="preserve">apoya el llamamiento del Parlamento Europeo a favor de la rápida adopción de un </w:t>
      </w:r>
      <w:hyperlink r:id="rId32">
        <w:r>
          <w:rPr>
            <w:b/>
            <w:color w:val="242424"/>
            <w:u w:val="single"/>
          </w:rPr>
          <w:t>plan de acción de la UE sobre enfermedades raras</w:t>
        </w:r>
      </w:hyperlink>
      <w:r>
        <w:t xml:space="preserve">, también mediante la revitalización y el ulterior desarrollo del </w:t>
      </w:r>
      <w:hyperlink r:id="rId33">
        <w:r>
          <w:rPr>
            <w:b/>
            <w:color w:val="242424"/>
            <w:u w:val="single"/>
          </w:rPr>
          <w:t>llamamiento de Tartu en pro de un estilo de vida saludable</w:t>
        </w:r>
      </w:hyperlink>
      <w:r>
        <w:t xml:space="preserve"> y la </w:t>
      </w:r>
      <w:hyperlink r:id="rId34">
        <w:r>
          <w:rPr>
            <w:b/>
            <w:color w:val="242424"/>
            <w:u w:val="single"/>
          </w:rPr>
          <w:t>adopción del enfoque de «Una sola salud»</w:t>
        </w:r>
      </w:hyperlink>
      <w:r>
        <w:t>;</w:t>
      </w:r>
    </w:p>
    <w:p w14:paraId="19824879" w14:textId="1ECCBA6F" w:rsidR="00B55C6C" w:rsidRPr="00B55C6C" w:rsidRDefault="00B55C6C" w:rsidP="007526DA">
      <w:pPr>
        <w:numPr>
          <w:ilvl w:val="0"/>
          <w:numId w:val="22"/>
        </w:numPr>
        <w:shd w:val="clear" w:color="auto" w:fill="FFFFFF" w:themeFill="background1"/>
        <w:ind w:left="567" w:hanging="567"/>
        <w:contextualSpacing/>
        <w:rPr>
          <w:b/>
          <w:bCs/>
          <w:color w:val="242424"/>
        </w:rPr>
      </w:pPr>
      <w:r>
        <w:rPr>
          <w:color w:val="242424"/>
        </w:rPr>
        <w:t xml:space="preserve">considera que las infraestructuras de investigación y tecnológicas (incluidas las centradas en las enfermedades raras) constituyen un elemento facilitador clave para el desarrollo de las ciencias de la vida y la economía de la longevidad, y que deben abarcar </w:t>
      </w:r>
      <w:r>
        <w:rPr>
          <w:b/>
          <w:bCs/>
          <w:color w:val="242424"/>
        </w:rPr>
        <w:t>toda la cultura de la longevidad</w:t>
      </w:r>
      <w:r>
        <w:rPr>
          <w:color w:val="242424"/>
        </w:rPr>
        <w:t xml:space="preserve"> (en particular, la prevención, la alimentación sana, el estilo de vida, la balneoterapia, el ocio, la salud física y mental y muchos otros elementos), más allá del diagnóstico y el tratamiento de las enfermedades;</w:t>
      </w:r>
    </w:p>
    <w:p w14:paraId="36230EAB" w14:textId="2F18E6C1" w:rsidR="00B55C6C" w:rsidRPr="00B55C6C" w:rsidRDefault="00B55C6C" w:rsidP="007526DA">
      <w:pPr>
        <w:numPr>
          <w:ilvl w:val="0"/>
          <w:numId w:val="22"/>
        </w:numPr>
        <w:shd w:val="clear" w:color="auto" w:fill="FFFFFF" w:themeFill="background1"/>
        <w:ind w:left="567" w:hanging="567"/>
        <w:contextualSpacing/>
        <w:rPr>
          <w:color w:val="242424"/>
        </w:rPr>
      </w:pPr>
      <w:r>
        <w:rPr>
          <w:color w:val="242424"/>
        </w:rPr>
        <w:t xml:space="preserve">recomienda que se creen </w:t>
      </w:r>
      <w:r>
        <w:rPr>
          <w:b/>
          <w:bCs/>
          <w:color w:val="242424"/>
        </w:rPr>
        <w:t>centros de investigación traslacional especializados en enfermedades raras en todos los Estados miembros,</w:t>
      </w:r>
      <w:r>
        <w:rPr>
          <w:color w:val="242424"/>
        </w:rPr>
        <w:t xml:space="preserve"> coordinados a escala de la UE en aras de la coherencia;</w:t>
      </w:r>
    </w:p>
    <w:p w14:paraId="79F67F3F" w14:textId="695936F4" w:rsidR="00B55C6C" w:rsidRPr="00B55C6C" w:rsidRDefault="00B55C6C" w:rsidP="007526DA">
      <w:pPr>
        <w:numPr>
          <w:ilvl w:val="0"/>
          <w:numId w:val="22"/>
        </w:numPr>
        <w:shd w:val="clear" w:color="auto" w:fill="FFFFFF" w:themeFill="background1"/>
        <w:ind w:left="567" w:hanging="567"/>
        <w:contextualSpacing/>
        <w:rPr>
          <w:color w:val="242424"/>
        </w:rPr>
      </w:pPr>
      <w:r>
        <w:rPr>
          <w:color w:val="242424"/>
        </w:rPr>
        <w:t>subraya que las asociaciones europeas son fundamentales para fomentar un compromiso constructivo y estructurado de todo el espectro de partes interesadas, y pide que se prevean mecanismos formales para su participación.</w:t>
      </w:r>
    </w:p>
    <w:p w14:paraId="007C9EE2" w14:textId="77777777" w:rsidR="00B55C6C" w:rsidRPr="00B55C6C" w:rsidRDefault="00B55C6C" w:rsidP="00EE258B">
      <w:pPr>
        <w:keepLines/>
        <w:numPr>
          <w:ilvl w:val="0"/>
          <w:numId w:val="22"/>
        </w:numPr>
        <w:shd w:val="clear" w:color="auto" w:fill="FFFFFF" w:themeFill="background1"/>
        <w:ind w:left="567" w:hanging="567"/>
        <w:contextualSpacing/>
        <w:rPr>
          <w:color w:val="242424"/>
        </w:rPr>
      </w:pPr>
      <w:r>
        <w:rPr>
          <w:color w:val="242424"/>
        </w:rPr>
        <w:lastRenderedPageBreak/>
        <w:t xml:space="preserve">aboga por una </w:t>
      </w:r>
      <w:r>
        <w:rPr>
          <w:b/>
          <w:bCs/>
          <w:color w:val="242424"/>
        </w:rPr>
        <w:t>representación obligatoria de las organizaciones de pacientes, los interlocutores sociales y las organizaciones de la sociedad civil</w:t>
      </w:r>
      <w:r>
        <w:rPr>
          <w:color w:val="242424"/>
        </w:rPr>
        <w:t xml:space="preserve"> en los órganos de gobernanza, y defiende que una intervención estructurada, transparente y sistemática de todos ellos permitirá establecer prioridades y protocolos de datos, requisitos de transparencia para las decisiones y el uso de datos, y un mecanismo que garantice que sus contribuciones se tengan en cuenta de manera efectiva;</w:t>
      </w:r>
    </w:p>
    <w:p w14:paraId="47E7F57B" w14:textId="77777777" w:rsidR="00B55C6C" w:rsidRPr="00B55C6C" w:rsidRDefault="00B55C6C" w:rsidP="00100EF9">
      <w:pPr>
        <w:ind w:left="720"/>
      </w:pPr>
    </w:p>
    <w:tbl>
      <w:tblPr>
        <w:tblStyle w:val="TableGrid5"/>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121"/>
      </w:tblGrid>
      <w:tr w:rsidR="00B55C6C" w:rsidRPr="00B55C6C" w14:paraId="1B7BB807" w14:textId="77777777" w:rsidTr="00EE258B">
        <w:tc>
          <w:tcPr>
            <w:tcW w:w="1951" w:type="dxa"/>
          </w:tcPr>
          <w:p w14:paraId="28C13E10" w14:textId="77777777" w:rsidR="00B55C6C" w:rsidRPr="00B55C6C" w:rsidRDefault="00B55C6C" w:rsidP="00100EF9">
            <w:pPr>
              <w:rPr>
                <w:i/>
              </w:rPr>
            </w:pPr>
            <w:r>
              <w:rPr>
                <w:b/>
                <w:i/>
              </w:rPr>
              <w:t>Contacto:</w:t>
            </w:r>
          </w:p>
        </w:tc>
        <w:tc>
          <w:tcPr>
            <w:tcW w:w="7121" w:type="dxa"/>
          </w:tcPr>
          <w:p w14:paraId="1876AA9B" w14:textId="77777777" w:rsidR="00B55C6C" w:rsidRPr="00B55C6C" w:rsidRDefault="00B55C6C" w:rsidP="00100EF9">
            <w:pPr>
              <w:rPr>
                <w:i/>
              </w:rPr>
            </w:pPr>
            <w:r>
              <w:rPr>
                <w:i/>
              </w:rPr>
              <w:t>Konstantina ANGELOPOULOU</w:t>
            </w:r>
          </w:p>
        </w:tc>
      </w:tr>
      <w:tr w:rsidR="00B55C6C" w:rsidRPr="00B55C6C" w14:paraId="3A6228E8" w14:textId="77777777" w:rsidTr="00EE258B">
        <w:tc>
          <w:tcPr>
            <w:tcW w:w="1951" w:type="dxa"/>
          </w:tcPr>
          <w:p w14:paraId="744FB576" w14:textId="77777777" w:rsidR="00B55C6C" w:rsidRPr="00B55C6C" w:rsidRDefault="00B55C6C" w:rsidP="00100EF9">
            <w:pPr>
              <w:rPr>
                <w:i/>
              </w:rPr>
            </w:pPr>
            <w:r>
              <w:rPr>
                <w:i/>
              </w:rPr>
              <w:t>Teléfono:</w:t>
            </w:r>
          </w:p>
        </w:tc>
        <w:tc>
          <w:tcPr>
            <w:tcW w:w="7121" w:type="dxa"/>
          </w:tcPr>
          <w:p w14:paraId="30F176AA" w14:textId="69662FEA" w:rsidR="00B55C6C" w:rsidRPr="00B55C6C" w:rsidRDefault="00B55C6C" w:rsidP="00100EF9">
            <w:pPr>
              <w:rPr>
                <w:i/>
              </w:rPr>
            </w:pPr>
            <w:r>
              <w:rPr>
                <w:i/>
              </w:rPr>
              <w:t>+32 25469747</w:t>
            </w:r>
          </w:p>
        </w:tc>
      </w:tr>
      <w:tr w:rsidR="00B55C6C" w:rsidRPr="00B55C6C" w14:paraId="3F5E6411" w14:textId="77777777" w:rsidTr="00EE258B">
        <w:tc>
          <w:tcPr>
            <w:tcW w:w="1951" w:type="dxa"/>
          </w:tcPr>
          <w:p w14:paraId="62C81B41" w14:textId="1E9E1B5D" w:rsidR="00B55C6C" w:rsidRPr="00B55C6C" w:rsidRDefault="00256B74" w:rsidP="00100EF9">
            <w:pPr>
              <w:rPr>
                <w:i/>
              </w:rPr>
            </w:pPr>
            <w:r>
              <w:rPr>
                <w:i/>
              </w:rPr>
              <w:t>Correo electrónico:</w:t>
            </w:r>
          </w:p>
        </w:tc>
        <w:tc>
          <w:tcPr>
            <w:tcW w:w="7121" w:type="dxa"/>
          </w:tcPr>
          <w:p w14:paraId="31CA77B0" w14:textId="239696BF" w:rsidR="00B55C6C" w:rsidRPr="00B55C6C" w:rsidRDefault="00E235D3" w:rsidP="00100EF9">
            <w:pPr>
              <w:rPr>
                <w:i/>
                <w:iCs/>
              </w:rPr>
            </w:pPr>
            <w:hyperlink r:id="rId35" w:history="1">
              <w:r>
                <w:rPr>
                  <w:i/>
                  <w:color w:val="0000FF"/>
                  <w:u w:val="single"/>
                </w:rPr>
                <w:t>Konstantina.Angelopoulou@eesc.europa.eu</w:t>
              </w:r>
            </w:hyperlink>
          </w:p>
        </w:tc>
      </w:tr>
    </w:tbl>
    <w:p w14:paraId="4982DDF1" w14:textId="3CAFEF7D" w:rsidR="00EE1B31" w:rsidRDefault="00EE1B31" w:rsidP="00100EF9">
      <w:pPr>
        <w:pStyle w:val="ListParagraph"/>
        <w:ind w:left="0"/>
      </w:pPr>
    </w:p>
    <w:p w14:paraId="4483536B" w14:textId="77777777" w:rsidR="00EE1B31" w:rsidRDefault="00EE1B31" w:rsidP="00100EF9">
      <w:pPr>
        <w:jc w:val="left"/>
      </w:pPr>
      <w:r>
        <w:br w:type="page"/>
      </w:r>
    </w:p>
    <w:p w14:paraId="20E4C813" w14:textId="25B7E48B" w:rsidR="00594237" w:rsidRPr="00594237" w:rsidRDefault="00E235D3" w:rsidP="00100EF9">
      <w:pPr>
        <w:widowControl w:val="0"/>
        <w:numPr>
          <w:ilvl w:val="0"/>
          <w:numId w:val="6"/>
        </w:numPr>
        <w:overflowPunct w:val="0"/>
        <w:autoSpaceDE w:val="0"/>
        <w:autoSpaceDN w:val="0"/>
        <w:adjustRightInd w:val="0"/>
        <w:ind w:hanging="567"/>
        <w:textAlignment w:val="baseline"/>
        <w:rPr>
          <w:sz w:val="20"/>
          <w:szCs w:val="20"/>
        </w:rPr>
      </w:pPr>
      <w:hyperlink r:id="rId36" w:history="1">
        <w:r>
          <w:rPr>
            <w:b/>
            <w:i/>
            <w:color w:val="0000FF"/>
            <w:sz w:val="28"/>
            <w:u w:val="single"/>
          </w:rPr>
          <w:t>Conectividad energética, redes eléctricas</w:t>
        </w:r>
      </w:hyperlink>
    </w:p>
    <w:p w14:paraId="03DC3C66" w14:textId="77777777" w:rsidR="00594237" w:rsidRPr="00594237" w:rsidRDefault="00594237" w:rsidP="00100EF9">
      <w:pPr>
        <w:tabs>
          <w:tab w:val="center" w:pos="284"/>
        </w:tabs>
        <w:overflowPunct w:val="0"/>
        <w:autoSpaceDE w:val="0"/>
        <w:autoSpaceDN w:val="0"/>
        <w:adjustRightInd w:val="0"/>
        <w:ind w:left="266" w:hanging="266"/>
        <w:textAlignment w:val="baseline"/>
        <w:rPr>
          <w:b/>
          <w:lang w:val="en-GB"/>
        </w:rPr>
      </w:pP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405"/>
      </w:tblGrid>
      <w:tr w:rsidR="00594237" w:rsidRPr="00594237" w14:paraId="0B3E8F32" w14:textId="77777777" w:rsidTr="00D0608D">
        <w:tc>
          <w:tcPr>
            <w:tcW w:w="1668" w:type="dxa"/>
          </w:tcPr>
          <w:p w14:paraId="3305D113" w14:textId="77777777" w:rsidR="00594237" w:rsidRPr="00594237" w:rsidRDefault="00594237" w:rsidP="00100EF9">
            <w:pPr>
              <w:tabs>
                <w:tab w:val="center" w:pos="284"/>
              </w:tabs>
              <w:overflowPunct w:val="0"/>
              <w:autoSpaceDE w:val="0"/>
              <w:autoSpaceDN w:val="0"/>
              <w:adjustRightInd w:val="0"/>
              <w:ind w:left="266" w:hanging="266"/>
              <w:textAlignment w:val="baseline"/>
              <w:rPr>
                <w:b/>
              </w:rPr>
            </w:pPr>
            <w:r>
              <w:rPr>
                <w:b/>
              </w:rPr>
              <w:t>Ponente</w:t>
            </w:r>
          </w:p>
        </w:tc>
        <w:tc>
          <w:tcPr>
            <w:tcW w:w="7405" w:type="dxa"/>
          </w:tcPr>
          <w:p w14:paraId="01328C57" w14:textId="544140E5" w:rsidR="00F172E5" w:rsidRPr="00594237" w:rsidRDefault="00594237" w:rsidP="00100EF9">
            <w:pPr>
              <w:tabs>
                <w:tab w:val="center" w:pos="284"/>
              </w:tabs>
              <w:overflowPunct w:val="0"/>
              <w:autoSpaceDE w:val="0"/>
              <w:autoSpaceDN w:val="0"/>
              <w:adjustRightInd w:val="0"/>
              <w:ind w:left="266" w:hanging="266"/>
              <w:textAlignment w:val="baseline"/>
            </w:pPr>
            <w:r>
              <w:t>Christophe BÉGUINET (Grupo de Trabajadores – FR)</w:t>
            </w:r>
          </w:p>
        </w:tc>
      </w:tr>
      <w:tr w:rsidR="00205469" w:rsidRPr="00594237" w14:paraId="4D1871B6" w14:textId="77777777" w:rsidTr="00D0608D">
        <w:tc>
          <w:tcPr>
            <w:tcW w:w="1668" w:type="dxa"/>
          </w:tcPr>
          <w:p w14:paraId="589D2486" w14:textId="77777777" w:rsidR="00205469" w:rsidRPr="00594237" w:rsidRDefault="00205469" w:rsidP="00100EF9">
            <w:pPr>
              <w:tabs>
                <w:tab w:val="center" w:pos="284"/>
              </w:tabs>
              <w:overflowPunct w:val="0"/>
              <w:autoSpaceDE w:val="0"/>
              <w:autoSpaceDN w:val="0"/>
              <w:adjustRightInd w:val="0"/>
              <w:ind w:left="266" w:hanging="266"/>
              <w:textAlignment w:val="baseline"/>
              <w:rPr>
                <w:b/>
              </w:rPr>
            </w:pPr>
          </w:p>
        </w:tc>
        <w:tc>
          <w:tcPr>
            <w:tcW w:w="7405" w:type="dxa"/>
          </w:tcPr>
          <w:p w14:paraId="1F8F0751" w14:textId="77777777" w:rsidR="00205469" w:rsidRPr="00594237" w:rsidRDefault="00205469" w:rsidP="00100EF9">
            <w:pPr>
              <w:tabs>
                <w:tab w:val="center" w:pos="284"/>
              </w:tabs>
              <w:overflowPunct w:val="0"/>
              <w:autoSpaceDE w:val="0"/>
              <w:autoSpaceDN w:val="0"/>
              <w:adjustRightInd w:val="0"/>
              <w:ind w:left="266" w:hanging="266"/>
              <w:textAlignment w:val="baseline"/>
            </w:pPr>
          </w:p>
        </w:tc>
      </w:tr>
      <w:tr w:rsidR="00594237" w:rsidRPr="00594237" w14:paraId="57747D28" w14:textId="77777777" w:rsidTr="00D0608D">
        <w:tc>
          <w:tcPr>
            <w:tcW w:w="1668" w:type="dxa"/>
          </w:tcPr>
          <w:p w14:paraId="7A081D5F" w14:textId="1DA4EDF6" w:rsidR="00594237" w:rsidRPr="00594237" w:rsidRDefault="00594237" w:rsidP="00100EF9">
            <w:pPr>
              <w:tabs>
                <w:tab w:val="center" w:pos="284"/>
              </w:tabs>
              <w:overflowPunct w:val="0"/>
              <w:autoSpaceDE w:val="0"/>
              <w:autoSpaceDN w:val="0"/>
              <w:adjustRightInd w:val="0"/>
              <w:ind w:left="266" w:hanging="266"/>
              <w:textAlignment w:val="baseline"/>
              <w:rPr>
                <w:b/>
              </w:rPr>
            </w:pPr>
            <w:r>
              <w:rPr>
                <w:b/>
              </w:rPr>
              <w:t>Referencia</w:t>
            </w:r>
          </w:p>
        </w:tc>
        <w:tc>
          <w:tcPr>
            <w:tcW w:w="7405" w:type="dxa"/>
          </w:tcPr>
          <w:p w14:paraId="245BB14C" w14:textId="0A43048D" w:rsidR="00594237" w:rsidRPr="00594237" w:rsidRDefault="00594237" w:rsidP="00100EF9">
            <w:pPr>
              <w:tabs>
                <w:tab w:val="center" w:pos="284"/>
              </w:tabs>
              <w:overflowPunct w:val="0"/>
              <w:autoSpaceDE w:val="0"/>
              <w:autoSpaceDN w:val="0"/>
              <w:adjustRightInd w:val="0"/>
              <w:ind w:left="266" w:hanging="266"/>
              <w:textAlignment w:val="baseline"/>
            </w:pPr>
            <w:r>
              <w:t>Dictamen exploratorio solicitado por la Presidencia chipriota del Consejo de la UE</w:t>
            </w:r>
          </w:p>
          <w:p w14:paraId="6CAD8281" w14:textId="77777777" w:rsidR="00594237" w:rsidRPr="00594237" w:rsidRDefault="00594237" w:rsidP="00100EF9">
            <w:pPr>
              <w:tabs>
                <w:tab w:val="center" w:pos="284"/>
              </w:tabs>
              <w:overflowPunct w:val="0"/>
              <w:autoSpaceDE w:val="0"/>
              <w:autoSpaceDN w:val="0"/>
              <w:adjustRightInd w:val="0"/>
              <w:ind w:left="266" w:hanging="266"/>
              <w:textAlignment w:val="baseline"/>
            </w:pPr>
            <w:r>
              <w:t>EESC-2025-03570-00-00-AC</w:t>
            </w:r>
          </w:p>
        </w:tc>
      </w:tr>
    </w:tbl>
    <w:p w14:paraId="2AF24FC2" w14:textId="77777777" w:rsidR="00594237" w:rsidRPr="00594237" w:rsidRDefault="00594237" w:rsidP="00100EF9">
      <w:pPr>
        <w:tabs>
          <w:tab w:val="center" w:pos="284"/>
        </w:tabs>
        <w:overflowPunct w:val="0"/>
        <w:autoSpaceDE w:val="0"/>
        <w:autoSpaceDN w:val="0"/>
        <w:adjustRightInd w:val="0"/>
        <w:ind w:left="266" w:hanging="266"/>
        <w:textAlignment w:val="baseline"/>
      </w:pPr>
    </w:p>
    <w:p w14:paraId="2CEA925B" w14:textId="77777777" w:rsidR="00594237" w:rsidRPr="00594237" w:rsidRDefault="00594237" w:rsidP="00100EF9">
      <w:pPr>
        <w:keepNext/>
        <w:keepLines/>
        <w:tabs>
          <w:tab w:val="center" w:pos="284"/>
        </w:tabs>
        <w:overflowPunct w:val="0"/>
        <w:autoSpaceDE w:val="0"/>
        <w:autoSpaceDN w:val="0"/>
        <w:adjustRightInd w:val="0"/>
        <w:ind w:left="266" w:hanging="266"/>
        <w:textAlignment w:val="baseline"/>
        <w:rPr>
          <w:b/>
        </w:rPr>
      </w:pPr>
      <w:r>
        <w:rPr>
          <w:b/>
        </w:rPr>
        <w:t>Puntos clave</w:t>
      </w:r>
    </w:p>
    <w:p w14:paraId="3DFD6E79" w14:textId="77777777" w:rsidR="00594237" w:rsidRPr="00594237" w:rsidRDefault="00594237" w:rsidP="00100EF9">
      <w:pPr>
        <w:keepNext/>
        <w:keepLines/>
        <w:tabs>
          <w:tab w:val="center" w:pos="284"/>
        </w:tabs>
        <w:overflowPunct w:val="0"/>
        <w:autoSpaceDE w:val="0"/>
        <w:autoSpaceDN w:val="0"/>
        <w:adjustRightInd w:val="0"/>
        <w:ind w:left="266" w:hanging="266"/>
        <w:textAlignment w:val="baseline"/>
        <w:rPr>
          <w:b/>
          <w:lang w:val="en-GB"/>
        </w:rPr>
      </w:pPr>
    </w:p>
    <w:p w14:paraId="6A6D3353" w14:textId="0A952B50" w:rsidR="002D77C8" w:rsidRPr="00594237" w:rsidRDefault="00594237" w:rsidP="00100EF9">
      <w:pPr>
        <w:overflowPunct w:val="0"/>
        <w:autoSpaceDE w:val="0"/>
        <w:autoSpaceDN w:val="0"/>
        <w:adjustRightInd w:val="0"/>
        <w:textAlignment w:val="baseline"/>
        <w:rPr>
          <w:bCs/>
          <w:iCs/>
        </w:rPr>
      </w:pPr>
      <w:r>
        <w:t>El CESE:</w:t>
      </w:r>
    </w:p>
    <w:p w14:paraId="646A6D1A" w14:textId="77777777" w:rsidR="00594237" w:rsidRPr="00594237" w:rsidRDefault="00594237" w:rsidP="007526DA">
      <w:pPr>
        <w:widowControl w:val="0"/>
        <w:numPr>
          <w:ilvl w:val="0"/>
          <w:numId w:val="25"/>
        </w:numPr>
        <w:overflowPunct w:val="0"/>
        <w:autoSpaceDE w:val="0"/>
        <w:autoSpaceDN w:val="0"/>
        <w:adjustRightInd w:val="0"/>
        <w:ind w:left="567" w:hanging="567"/>
        <w:textAlignment w:val="baseline"/>
        <w:rPr>
          <w:bCs/>
          <w:iCs/>
        </w:rPr>
      </w:pPr>
      <w:r>
        <w:t>destaca que el sector eléctrico europeo debe tener la capacidad de planificar las necesidades del sistema eléctrico a escala de la UE y en los países socios, sobre la base de un escenario energético común establecido por la Comisión y los gestores de redes nacionales;</w:t>
      </w:r>
    </w:p>
    <w:p w14:paraId="61E86BFD" w14:textId="77777777" w:rsidR="00594237" w:rsidRPr="00594237" w:rsidRDefault="00594237" w:rsidP="007526DA">
      <w:pPr>
        <w:widowControl w:val="0"/>
        <w:numPr>
          <w:ilvl w:val="0"/>
          <w:numId w:val="25"/>
        </w:numPr>
        <w:overflowPunct w:val="0"/>
        <w:autoSpaceDE w:val="0"/>
        <w:autoSpaceDN w:val="0"/>
        <w:adjustRightInd w:val="0"/>
        <w:ind w:left="567" w:hanging="567"/>
        <w:textAlignment w:val="baseline"/>
        <w:rPr>
          <w:bCs/>
          <w:iCs/>
        </w:rPr>
      </w:pPr>
      <w:r>
        <w:t>señala que el valor de las interconexiones debe considerarse bien desde la perspectiva de un beneficio compartido entre dos países (enfoque bilateral), bien desde el punto de vista de la búsqueda de un beneficio global para el sistema, más allá de los dos países que albergan la interconexión. En este segundo caso, deben surgir nuevos modelos económicos como resultado de la colaboración entre la Agencia de la Unión Europea para la Cooperación de los Reguladores de la Energía (ACER), los reguladores nacionales y los gestores de redes;</w:t>
      </w:r>
    </w:p>
    <w:p w14:paraId="2C83B82E" w14:textId="77777777" w:rsidR="00594237" w:rsidRPr="00594237" w:rsidRDefault="00594237" w:rsidP="007526DA">
      <w:pPr>
        <w:widowControl w:val="0"/>
        <w:numPr>
          <w:ilvl w:val="0"/>
          <w:numId w:val="25"/>
        </w:numPr>
        <w:overflowPunct w:val="0"/>
        <w:autoSpaceDE w:val="0"/>
        <w:autoSpaceDN w:val="0"/>
        <w:adjustRightInd w:val="0"/>
        <w:ind w:left="567" w:hanging="567"/>
        <w:textAlignment w:val="baseline"/>
        <w:rPr>
          <w:bCs/>
          <w:iCs/>
        </w:rPr>
      </w:pPr>
      <w:r>
        <w:t>subraya que, para que las interconexiones sean eficaces, su desarrollo debe ir acompañado de la ampliación de las infraestructuras nacionales pertinentes, especialmente a nivel de los gestores de redes de transporte (GRT) y los gestores de redes de distribución (GRD). La creación de capacidad de interconexión debe verse como una oportunidad de fomentar la solidaridad europea en relación con las redes eléctricas;</w:t>
      </w:r>
    </w:p>
    <w:p w14:paraId="543D8C6F" w14:textId="77777777" w:rsidR="00594237" w:rsidRPr="00594237" w:rsidRDefault="00594237" w:rsidP="007526DA">
      <w:pPr>
        <w:widowControl w:val="0"/>
        <w:numPr>
          <w:ilvl w:val="0"/>
          <w:numId w:val="25"/>
        </w:numPr>
        <w:overflowPunct w:val="0"/>
        <w:autoSpaceDE w:val="0"/>
        <w:autoSpaceDN w:val="0"/>
        <w:adjustRightInd w:val="0"/>
        <w:ind w:left="567" w:hanging="567"/>
        <w:textAlignment w:val="baseline"/>
        <w:rPr>
          <w:bCs/>
          <w:iCs/>
        </w:rPr>
      </w:pPr>
      <w:r>
        <w:t>señala que la optimización económica del sistema eléctrico europeo requiere una instalación generalizada de contadores inteligentes, nuevas inversiones en las redes de transporte y distribución y la accesibilidad de los datos sobre flujos de energía;</w:t>
      </w:r>
    </w:p>
    <w:p w14:paraId="5841625A" w14:textId="77777777" w:rsidR="00594237" w:rsidRPr="00594237" w:rsidRDefault="00594237" w:rsidP="007526DA">
      <w:pPr>
        <w:widowControl w:val="0"/>
        <w:numPr>
          <w:ilvl w:val="0"/>
          <w:numId w:val="25"/>
        </w:numPr>
        <w:overflowPunct w:val="0"/>
        <w:autoSpaceDE w:val="0"/>
        <w:autoSpaceDN w:val="0"/>
        <w:adjustRightInd w:val="0"/>
        <w:ind w:left="567" w:hanging="567"/>
        <w:textAlignment w:val="baseline"/>
        <w:rPr>
          <w:bCs/>
          <w:iCs/>
        </w:rPr>
      </w:pPr>
      <w:r>
        <w:t>considera prioritaria la seguridad del sistema eléctrico en lo que respecta a las repercusiones del cambio climático, los ataques físicos, los actos de sabotaje, los riesgos cibernéticos y los riesgos para el equilibrio del sistema;</w:t>
      </w:r>
    </w:p>
    <w:p w14:paraId="5F670357" w14:textId="77777777" w:rsidR="00594237" w:rsidRPr="00594237" w:rsidRDefault="00594237" w:rsidP="007526DA">
      <w:pPr>
        <w:widowControl w:val="0"/>
        <w:numPr>
          <w:ilvl w:val="0"/>
          <w:numId w:val="25"/>
        </w:numPr>
        <w:overflowPunct w:val="0"/>
        <w:autoSpaceDE w:val="0"/>
        <w:autoSpaceDN w:val="0"/>
        <w:adjustRightInd w:val="0"/>
        <w:ind w:left="567" w:hanging="567"/>
        <w:textAlignment w:val="baseline"/>
        <w:rPr>
          <w:bCs/>
          <w:iCs/>
        </w:rPr>
      </w:pPr>
      <w:r>
        <w:t>pide que, antes de considerar el posible desarrollo de nuevas infraestructuras, debe darse prioridad a la optimización de las ya existentes.</w:t>
      </w:r>
    </w:p>
    <w:p w14:paraId="7F7D5FFE" w14:textId="77777777" w:rsidR="00594237" w:rsidRPr="00EE258B" w:rsidRDefault="00594237" w:rsidP="00100EF9">
      <w:pPr>
        <w:widowControl w:val="0"/>
        <w:overflowPunct w:val="0"/>
        <w:autoSpaceDE w:val="0"/>
        <w:autoSpaceDN w:val="0"/>
        <w:adjustRightInd w:val="0"/>
        <w:ind w:left="709"/>
        <w:textAlignment w:val="baseline"/>
        <w:rPr>
          <w:szCs w:val="20"/>
        </w:rPr>
      </w:pP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594237" w:rsidRPr="00594237" w14:paraId="0AB1B93A" w14:textId="77777777" w:rsidTr="00EE258B">
        <w:tc>
          <w:tcPr>
            <w:tcW w:w="1951" w:type="dxa"/>
          </w:tcPr>
          <w:p w14:paraId="07D8992D" w14:textId="77777777" w:rsidR="00594237" w:rsidRPr="00594237" w:rsidRDefault="00594237" w:rsidP="00100EF9">
            <w:pPr>
              <w:overflowPunct w:val="0"/>
              <w:autoSpaceDE w:val="0"/>
              <w:autoSpaceDN w:val="0"/>
              <w:adjustRightInd w:val="0"/>
              <w:textAlignment w:val="baseline"/>
              <w:rPr>
                <w:i/>
              </w:rPr>
            </w:pPr>
            <w:r>
              <w:rPr>
                <w:b/>
                <w:i/>
              </w:rPr>
              <w:t>Contacto:</w:t>
            </w:r>
          </w:p>
        </w:tc>
        <w:tc>
          <w:tcPr>
            <w:tcW w:w="7229" w:type="dxa"/>
          </w:tcPr>
          <w:p w14:paraId="1B78F73E" w14:textId="78914975" w:rsidR="00594237" w:rsidRPr="00594237" w:rsidRDefault="00594237" w:rsidP="00100EF9">
            <w:pPr>
              <w:overflowPunct w:val="0"/>
              <w:autoSpaceDE w:val="0"/>
              <w:autoSpaceDN w:val="0"/>
              <w:adjustRightInd w:val="0"/>
              <w:textAlignment w:val="baseline"/>
              <w:rPr>
                <w:i/>
              </w:rPr>
            </w:pPr>
            <w:r>
              <w:rPr>
                <w:i/>
              </w:rPr>
              <w:t>Giorgia BORDIGNON</w:t>
            </w:r>
          </w:p>
        </w:tc>
      </w:tr>
      <w:tr w:rsidR="00594237" w:rsidRPr="00594237" w14:paraId="6912C935" w14:textId="77777777" w:rsidTr="00EE258B">
        <w:tc>
          <w:tcPr>
            <w:tcW w:w="1951" w:type="dxa"/>
          </w:tcPr>
          <w:p w14:paraId="5F1BA648" w14:textId="77777777" w:rsidR="00594237" w:rsidRPr="00594237" w:rsidRDefault="00594237" w:rsidP="00100EF9">
            <w:pPr>
              <w:overflowPunct w:val="0"/>
              <w:autoSpaceDE w:val="0"/>
              <w:autoSpaceDN w:val="0"/>
              <w:adjustRightInd w:val="0"/>
              <w:textAlignment w:val="baseline"/>
              <w:rPr>
                <w:i/>
              </w:rPr>
            </w:pPr>
            <w:r>
              <w:rPr>
                <w:i/>
              </w:rPr>
              <w:t>Teléfono:</w:t>
            </w:r>
          </w:p>
        </w:tc>
        <w:tc>
          <w:tcPr>
            <w:tcW w:w="7229" w:type="dxa"/>
          </w:tcPr>
          <w:p w14:paraId="42C70B8C" w14:textId="0FF6B91B" w:rsidR="00594237" w:rsidRPr="00594237" w:rsidRDefault="00594237" w:rsidP="00100EF9">
            <w:pPr>
              <w:overflowPunct w:val="0"/>
              <w:autoSpaceDE w:val="0"/>
              <w:autoSpaceDN w:val="0"/>
              <w:adjustRightInd w:val="0"/>
              <w:textAlignment w:val="baseline"/>
              <w:rPr>
                <w:i/>
              </w:rPr>
            </w:pPr>
            <w:r>
              <w:rPr>
                <w:i/>
              </w:rPr>
              <w:t>+32 2 546 8535</w:t>
            </w:r>
          </w:p>
        </w:tc>
      </w:tr>
      <w:tr w:rsidR="00594237" w:rsidRPr="00594237" w14:paraId="2BBC59B6" w14:textId="77777777" w:rsidTr="00EE258B">
        <w:tc>
          <w:tcPr>
            <w:tcW w:w="1951" w:type="dxa"/>
          </w:tcPr>
          <w:p w14:paraId="10BDDDCF" w14:textId="77777777" w:rsidR="00594237" w:rsidRPr="00594237" w:rsidRDefault="00594237" w:rsidP="00100EF9">
            <w:pPr>
              <w:overflowPunct w:val="0"/>
              <w:autoSpaceDE w:val="0"/>
              <w:autoSpaceDN w:val="0"/>
              <w:adjustRightInd w:val="0"/>
              <w:textAlignment w:val="baseline"/>
              <w:rPr>
                <w:i/>
              </w:rPr>
            </w:pPr>
            <w:r>
              <w:rPr>
                <w:i/>
              </w:rPr>
              <w:t>Correo electrónico:</w:t>
            </w:r>
          </w:p>
        </w:tc>
        <w:tc>
          <w:tcPr>
            <w:tcW w:w="7229" w:type="dxa"/>
          </w:tcPr>
          <w:p w14:paraId="5EF302B9" w14:textId="6E5C62E7" w:rsidR="00594237" w:rsidRPr="00594237" w:rsidRDefault="00E235D3" w:rsidP="00100EF9">
            <w:pPr>
              <w:overflowPunct w:val="0"/>
              <w:autoSpaceDE w:val="0"/>
              <w:autoSpaceDN w:val="0"/>
              <w:adjustRightInd w:val="0"/>
              <w:textAlignment w:val="baseline"/>
              <w:rPr>
                <w:i/>
              </w:rPr>
            </w:pPr>
            <w:hyperlink r:id="rId37" w:history="1">
              <w:r>
                <w:rPr>
                  <w:i/>
                  <w:color w:val="0000FF"/>
                  <w:u w:val="single"/>
                </w:rPr>
                <w:t>GiorgiaAndrea.Bordignon@eesc.europa.eu</w:t>
              </w:r>
            </w:hyperlink>
          </w:p>
        </w:tc>
      </w:tr>
    </w:tbl>
    <w:p w14:paraId="79D0072B" w14:textId="77777777" w:rsidR="004D7AC0" w:rsidRDefault="004D7AC0" w:rsidP="00100EF9">
      <w:pPr>
        <w:pStyle w:val="ListParagraph"/>
        <w:ind w:left="0"/>
      </w:pPr>
    </w:p>
    <w:p w14:paraId="4982DDF2" w14:textId="77777777" w:rsidR="004D7AC0" w:rsidRDefault="004D7AC0" w:rsidP="00100EF9">
      <w:pPr>
        <w:jc w:val="left"/>
      </w:pPr>
      <w:r>
        <w:br w:type="page"/>
      </w:r>
    </w:p>
    <w:p w14:paraId="4982DE1F" w14:textId="77777777" w:rsidR="004D7AC0" w:rsidRDefault="004D7AC0" w:rsidP="00100EF9">
      <w:pPr>
        <w:pStyle w:val="Heading1"/>
        <w:rPr>
          <w:b/>
        </w:rPr>
      </w:pPr>
      <w:bookmarkStart w:id="27" w:name="_Toc70322234"/>
      <w:bookmarkStart w:id="28" w:name="_Toc75527084"/>
      <w:bookmarkStart w:id="29" w:name="_Toc223345260"/>
      <w:r>
        <w:rPr>
          <w:b/>
        </w:rPr>
        <w:lastRenderedPageBreak/>
        <w:t>AGRICULTURA, DESARROLLO RURAL Y MEDIO AMBIENTE</w:t>
      </w:r>
      <w:bookmarkEnd w:id="27"/>
      <w:bookmarkEnd w:id="28"/>
      <w:bookmarkEnd w:id="29"/>
    </w:p>
    <w:p w14:paraId="4982DE20" w14:textId="77777777" w:rsidR="004D7AC0" w:rsidRDefault="004D7AC0" w:rsidP="00100EF9"/>
    <w:p w14:paraId="2C76C141" w14:textId="00F205D9" w:rsidR="00621347" w:rsidRPr="00621347" w:rsidRDefault="00E235D3" w:rsidP="00100EF9">
      <w:pPr>
        <w:widowControl w:val="0"/>
        <w:numPr>
          <w:ilvl w:val="0"/>
          <w:numId w:val="6"/>
        </w:numPr>
        <w:overflowPunct w:val="0"/>
        <w:autoSpaceDE w:val="0"/>
        <w:autoSpaceDN w:val="0"/>
        <w:adjustRightInd w:val="0"/>
        <w:ind w:hanging="567"/>
        <w:textAlignment w:val="baseline"/>
        <w:rPr>
          <w:i/>
          <w:iCs/>
          <w:sz w:val="28"/>
          <w:szCs w:val="28"/>
        </w:rPr>
      </w:pPr>
      <w:hyperlink r:id="rId38" w:history="1">
        <w:r>
          <w:rPr>
            <w:b/>
            <w:i/>
            <w:color w:val="0000FF"/>
            <w:sz w:val="28"/>
            <w:u w:val="single"/>
          </w:rPr>
          <w:t>Hoja de Ruta hacia los Créditos Naturaleza</w:t>
        </w:r>
      </w:hyperlink>
    </w:p>
    <w:p w14:paraId="62E0B68C" w14:textId="77777777" w:rsidR="00621347" w:rsidRPr="00EE258B" w:rsidRDefault="00621347" w:rsidP="00100EF9">
      <w:pPr>
        <w:tabs>
          <w:tab w:val="center" w:pos="284"/>
        </w:tabs>
        <w:overflowPunct w:val="0"/>
        <w:autoSpaceDE w:val="0"/>
        <w:autoSpaceDN w:val="0"/>
        <w:adjustRightInd w:val="0"/>
        <w:ind w:left="266" w:hanging="266"/>
        <w:textAlignment w:val="baseline"/>
        <w:rPr>
          <w:b/>
        </w:rPr>
      </w:pPr>
    </w:p>
    <w:tbl>
      <w:tblPr>
        <w:tblStyle w:val="TableGrid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621"/>
      </w:tblGrid>
      <w:tr w:rsidR="00621347" w:rsidRPr="00621347" w14:paraId="5980278B" w14:textId="77777777" w:rsidTr="00D0608D">
        <w:tc>
          <w:tcPr>
            <w:tcW w:w="898" w:type="pct"/>
          </w:tcPr>
          <w:p w14:paraId="61C81431" w14:textId="77777777" w:rsidR="00621347" w:rsidRPr="00621347" w:rsidRDefault="00621347" w:rsidP="00100EF9">
            <w:pPr>
              <w:tabs>
                <w:tab w:val="center" w:pos="284"/>
              </w:tabs>
              <w:overflowPunct w:val="0"/>
              <w:autoSpaceDE w:val="0"/>
              <w:autoSpaceDN w:val="0"/>
              <w:adjustRightInd w:val="0"/>
              <w:ind w:left="266" w:hanging="266"/>
              <w:textAlignment w:val="baseline"/>
              <w:rPr>
                <w:b/>
              </w:rPr>
            </w:pPr>
            <w:r>
              <w:rPr>
                <w:b/>
              </w:rPr>
              <w:t>Ponente</w:t>
            </w:r>
          </w:p>
        </w:tc>
        <w:tc>
          <w:tcPr>
            <w:tcW w:w="4102" w:type="pct"/>
          </w:tcPr>
          <w:p w14:paraId="53BB74E4" w14:textId="19992D32" w:rsidR="00621347" w:rsidRPr="00621347" w:rsidRDefault="00621347" w:rsidP="00100EF9">
            <w:pPr>
              <w:tabs>
                <w:tab w:val="center" w:pos="284"/>
              </w:tabs>
              <w:overflowPunct w:val="0"/>
              <w:autoSpaceDE w:val="0"/>
              <w:autoSpaceDN w:val="0"/>
              <w:adjustRightInd w:val="0"/>
              <w:ind w:left="266" w:right="-3091" w:hanging="266"/>
              <w:textAlignment w:val="baseline"/>
            </w:pPr>
            <w:r>
              <w:t>Arnaud SCHWARTZ (Grupo de Organizaciones de la Sociedad Civil - FR)</w:t>
            </w:r>
          </w:p>
        </w:tc>
      </w:tr>
      <w:tr w:rsidR="00621347" w:rsidRPr="00621347" w14:paraId="0CEBEBE7" w14:textId="77777777" w:rsidTr="00D0608D">
        <w:tc>
          <w:tcPr>
            <w:tcW w:w="898" w:type="pct"/>
          </w:tcPr>
          <w:p w14:paraId="2479DBBC" w14:textId="77777777" w:rsidR="00621347" w:rsidRPr="00621347" w:rsidRDefault="00621347" w:rsidP="00100EF9">
            <w:pPr>
              <w:tabs>
                <w:tab w:val="center" w:pos="284"/>
              </w:tabs>
              <w:overflowPunct w:val="0"/>
              <w:autoSpaceDE w:val="0"/>
              <w:autoSpaceDN w:val="0"/>
              <w:adjustRightInd w:val="0"/>
              <w:ind w:left="266" w:hanging="266"/>
              <w:textAlignment w:val="baseline"/>
              <w:rPr>
                <w:b/>
              </w:rPr>
            </w:pPr>
            <w:r>
              <w:rPr>
                <w:b/>
                <w:bCs/>
              </w:rPr>
              <w:t>Coponente</w:t>
            </w:r>
          </w:p>
        </w:tc>
        <w:tc>
          <w:tcPr>
            <w:tcW w:w="4102" w:type="pct"/>
          </w:tcPr>
          <w:p w14:paraId="71EF85C6" w14:textId="36F8549C" w:rsidR="00630779" w:rsidRPr="00621347" w:rsidRDefault="00621347" w:rsidP="00100EF9">
            <w:pPr>
              <w:tabs>
                <w:tab w:val="center" w:pos="284"/>
              </w:tabs>
              <w:overflowPunct w:val="0"/>
              <w:autoSpaceDE w:val="0"/>
              <w:autoSpaceDN w:val="0"/>
              <w:adjustRightInd w:val="0"/>
              <w:ind w:left="266" w:right="-3091" w:hanging="266"/>
              <w:textAlignment w:val="baseline"/>
            </w:pPr>
            <w:r>
              <w:t>Teppo SÄKKINEN (Grupo de Empresarios – FI)</w:t>
            </w:r>
          </w:p>
        </w:tc>
      </w:tr>
      <w:tr w:rsidR="00205469" w:rsidRPr="00621347" w14:paraId="778CD321" w14:textId="77777777" w:rsidTr="00D0608D">
        <w:tc>
          <w:tcPr>
            <w:tcW w:w="898" w:type="pct"/>
          </w:tcPr>
          <w:p w14:paraId="7759C9B9" w14:textId="77777777" w:rsidR="00205469" w:rsidRPr="00EE258B" w:rsidRDefault="00205469" w:rsidP="00100EF9">
            <w:pPr>
              <w:tabs>
                <w:tab w:val="center" w:pos="284"/>
              </w:tabs>
              <w:overflowPunct w:val="0"/>
              <w:autoSpaceDE w:val="0"/>
              <w:autoSpaceDN w:val="0"/>
              <w:adjustRightInd w:val="0"/>
              <w:ind w:left="266" w:hanging="266"/>
              <w:textAlignment w:val="baseline"/>
              <w:rPr>
                <w:b/>
              </w:rPr>
            </w:pPr>
          </w:p>
        </w:tc>
        <w:tc>
          <w:tcPr>
            <w:tcW w:w="4102" w:type="pct"/>
          </w:tcPr>
          <w:p w14:paraId="4A9CAC5A" w14:textId="77777777" w:rsidR="00205469" w:rsidRPr="00621347" w:rsidRDefault="00205469" w:rsidP="00100EF9">
            <w:pPr>
              <w:tabs>
                <w:tab w:val="center" w:pos="284"/>
              </w:tabs>
              <w:overflowPunct w:val="0"/>
              <w:autoSpaceDE w:val="0"/>
              <w:autoSpaceDN w:val="0"/>
              <w:adjustRightInd w:val="0"/>
              <w:ind w:left="266" w:right="-3091" w:hanging="266"/>
              <w:textAlignment w:val="baseline"/>
            </w:pPr>
          </w:p>
        </w:tc>
      </w:tr>
      <w:tr w:rsidR="00621347" w:rsidRPr="00621347" w14:paraId="27481885" w14:textId="77777777" w:rsidTr="00D0608D">
        <w:tc>
          <w:tcPr>
            <w:tcW w:w="898" w:type="pct"/>
          </w:tcPr>
          <w:p w14:paraId="51C5B0D8" w14:textId="77777777" w:rsidR="00621347" w:rsidRPr="00621347" w:rsidRDefault="00621347" w:rsidP="00100EF9">
            <w:pPr>
              <w:tabs>
                <w:tab w:val="center" w:pos="284"/>
              </w:tabs>
              <w:overflowPunct w:val="0"/>
              <w:autoSpaceDE w:val="0"/>
              <w:autoSpaceDN w:val="0"/>
              <w:adjustRightInd w:val="0"/>
              <w:ind w:left="266" w:hanging="266"/>
              <w:textAlignment w:val="baseline"/>
              <w:rPr>
                <w:b/>
              </w:rPr>
            </w:pPr>
            <w:r>
              <w:rPr>
                <w:b/>
              </w:rPr>
              <w:t>Referencias</w:t>
            </w:r>
          </w:p>
        </w:tc>
        <w:tc>
          <w:tcPr>
            <w:tcW w:w="4102" w:type="pct"/>
          </w:tcPr>
          <w:p w14:paraId="72CD413C" w14:textId="352FF01B" w:rsidR="00CC7D10" w:rsidRDefault="00124E6A" w:rsidP="00100EF9">
            <w:pPr>
              <w:tabs>
                <w:tab w:val="center" w:pos="284"/>
              </w:tabs>
              <w:overflowPunct w:val="0"/>
              <w:autoSpaceDE w:val="0"/>
              <w:autoSpaceDN w:val="0"/>
              <w:adjustRightInd w:val="0"/>
              <w:ind w:left="266" w:right="-3091" w:hanging="266"/>
              <w:textAlignment w:val="baseline"/>
            </w:pPr>
            <w:r>
              <w:t>COM(2025) 374 final</w:t>
            </w:r>
          </w:p>
          <w:p w14:paraId="281E2397" w14:textId="6410C7C8" w:rsidR="00621347" w:rsidRPr="00621347" w:rsidRDefault="00621347" w:rsidP="00100EF9">
            <w:pPr>
              <w:tabs>
                <w:tab w:val="center" w:pos="284"/>
              </w:tabs>
              <w:overflowPunct w:val="0"/>
              <w:autoSpaceDE w:val="0"/>
              <w:autoSpaceDN w:val="0"/>
              <w:adjustRightInd w:val="0"/>
              <w:ind w:left="266" w:right="-3091" w:hanging="266"/>
              <w:textAlignment w:val="baseline"/>
            </w:pPr>
            <w:r>
              <w:t>EESC-2025-03041-00-00-AC</w:t>
            </w:r>
          </w:p>
        </w:tc>
      </w:tr>
    </w:tbl>
    <w:p w14:paraId="13E176CB" w14:textId="77777777" w:rsidR="00621347" w:rsidRPr="00621347" w:rsidRDefault="00621347" w:rsidP="00100EF9">
      <w:pPr>
        <w:tabs>
          <w:tab w:val="center" w:pos="284"/>
        </w:tabs>
        <w:overflowPunct w:val="0"/>
        <w:autoSpaceDE w:val="0"/>
        <w:autoSpaceDN w:val="0"/>
        <w:adjustRightInd w:val="0"/>
        <w:ind w:left="266" w:hanging="266"/>
        <w:textAlignment w:val="baseline"/>
        <w:rPr>
          <w:b/>
          <w:lang w:val="en-GB"/>
        </w:rPr>
      </w:pPr>
    </w:p>
    <w:p w14:paraId="4B97005E" w14:textId="77777777" w:rsidR="00621347" w:rsidRPr="00621347" w:rsidRDefault="00621347" w:rsidP="00100EF9">
      <w:pPr>
        <w:keepNext/>
        <w:keepLines/>
        <w:tabs>
          <w:tab w:val="center" w:pos="284"/>
        </w:tabs>
        <w:overflowPunct w:val="0"/>
        <w:autoSpaceDE w:val="0"/>
        <w:autoSpaceDN w:val="0"/>
        <w:adjustRightInd w:val="0"/>
        <w:ind w:left="266" w:hanging="266"/>
        <w:textAlignment w:val="baseline"/>
        <w:rPr>
          <w:b/>
        </w:rPr>
      </w:pPr>
      <w:r>
        <w:rPr>
          <w:b/>
        </w:rPr>
        <w:t>Puntos clave</w:t>
      </w:r>
    </w:p>
    <w:p w14:paraId="7AF5FFF2" w14:textId="77777777" w:rsidR="00621347" w:rsidRPr="00621347" w:rsidRDefault="00621347" w:rsidP="00100EF9">
      <w:pPr>
        <w:keepNext/>
        <w:keepLines/>
        <w:tabs>
          <w:tab w:val="center" w:pos="284"/>
        </w:tabs>
        <w:overflowPunct w:val="0"/>
        <w:autoSpaceDE w:val="0"/>
        <w:autoSpaceDN w:val="0"/>
        <w:adjustRightInd w:val="0"/>
        <w:ind w:left="266" w:hanging="266"/>
        <w:textAlignment w:val="baseline"/>
        <w:rPr>
          <w:b/>
          <w:lang w:val="en-GB"/>
        </w:rPr>
      </w:pPr>
    </w:p>
    <w:p w14:paraId="4A68D309" w14:textId="77777777" w:rsidR="00621347" w:rsidRDefault="00621347" w:rsidP="00100EF9">
      <w:pPr>
        <w:overflowPunct w:val="0"/>
        <w:autoSpaceDE w:val="0"/>
        <w:autoSpaceDN w:val="0"/>
        <w:adjustRightInd w:val="0"/>
        <w:textAlignment w:val="baseline"/>
        <w:rPr>
          <w:szCs w:val="20"/>
        </w:rPr>
      </w:pPr>
      <w:r>
        <w:t>El Comité pide a la Comisión Europea que:</w:t>
      </w:r>
    </w:p>
    <w:p w14:paraId="3274DE4E" w14:textId="0652F3F9" w:rsidR="00621347" w:rsidRPr="00621347" w:rsidRDefault="00621347" w:rsidP="007526DA">
      <w:pPr>
        <w:pStyle w:val="ListParagraph"/>
        <w:numPr>
          <w:ilvl w:val="0"/>
          <w:numId w:val="29"/>
        </w:numPr>
        <w:ind w:left="567" w:hanging="578"/>
        <w:rPr>
          <w:szCs w:val="20"/>
        </w:rPr>
      </w:pPr>
      <w:bookmarkStart w:id="30" w:name="_Toc222988740"/>
      <w:bookmarkStart w:id="31" w:name="_Toc222989237"/>
      <w:bookmarkStart w:id="32" w:name="_Toc222989275"/>
      <w:bookmarkStart w:id="33" w:name="_Toc222825837"/>
      <w:bookmarkEnd w:id="30"/>
      <w:bookmarkEnd w:id="31"/>
      <w:bookmarkEnd w:id="32"/>
      <w:r>
        <w:t>garantice el cumplimiento de los objetivos de financiación de la biodiversidad establecidos por el Marco Mundial de Biodiversidad de Kunming-Montreal, para lo cual es necesario contar con una financiación pública suficiente, estable y oportuna, también con cargo al presupuesto de la UE, y eliminar gradualmente las subvenciones (por ejemplo, a los combustibles fósiles) que sean perjudiciales para el medio ambiente. Los créditos naturaleza pueden ser un instrumento que —como suplemento a los fondos públicos, que no sustituto— contribuya a colmar el déficit de financiación y movilizar financiación privada;</w:t>
      </w:r>
      <w:bookmarkEnd w:id="33"/>
    </w:p>
    <w:p w14:paraId="48812E9A" w14:textId="77777777" w:rsidR="00621347" w:rsidRPr="00F43315" w:rsidRDefault="00621347" w:rsidP="007526DA">
      <w:pPr>
        <w:pStyle w:val="ListParagraph"/>
        <w:numPr>
          <w:ilvl w:val="0"/>
          <w:numId w:val="29"/>
        </w:numPr>
        <w:ind w:left="567" w:hanging="578"/>
        <w:rPr>
          <w:szCs w:val="20"/>
        </w:rPr>
      </w:pPr>
      <w:bookmarkStart w:id="34" w:name="_Toc222825838"/>
      <w:r>
        <w:t>se ocupe de que se cumpla la legislación medioambiental y se observen los principios fundamentales, no solo como vía eficaz para garantizar la consecución de los objetivos en materia de biodiversidad y colmar el déficit de financiación, sino también en pro de un marco fiable de créditos naturaleza;</w:t>
      </w:r>
      <w:bookmarkEnd w:id="34"/>
    </w:p>
    <w:p w14:paraId="1EE5A2BD" w14:textId="6CCEB5F0" w:rsidR="00621347" w:rsidRPr="00F43315" w:rsidRDefault="00621347" w:rsidP="007526DA">
      <w:pPr>
        <w:pStyle w:val="ListParagraph"/>
        <w:numPr>
          <w:ilvl w:val="0"/>
          <w:numId w:val="29"/>
        </w:numPr>
        <w:ind w:left="567" w:hanging="578"/>
        <w:rPr>
          <w:szCs w:val="20"/>
        </w:rPr>
      </w:pPr>
      <w:bookmarkStart w:id="35" w:name="_Toc222825839"/>
      <w:r>
        <w:t>vele por que el marco de créditos naturaleza se base en principios estrictos que reflejen un elevado nivel de integridad, entroncados en la jerarquía de medidas de mitigación y otras salvaguardias sociales, medioambientales y en materia de clima, y evalúe sistemáticamente que los proyectos respeten dichos principios. Las metodologías utilizadas deben ser integrales y científicas y partir de un enfoque integrado desde el punto de vista ecológico y basado en los resultados;</w:t>
      </w:r>
      <w:bookmarkEnd w:id="35"/>
    </w:p>
    <w:p w14:paraId="6AA0E980" w14:textId="011DCE8C" w:rsidR="00621347" w:rsidRPr="00F43315" w:rsidRDefault="00621347" w:rsidP="007526DA">
      <w:pPr>
        <w:pStyle w:val="ListParagraph"/>
        <w:numPr>
          <w:ilvl w:val="0"/>
          <w:numId w:val="29"/>
        </w:numPr>
        <w:ind w:left="567" w:hanging="578"/>
        <w:rPr>
          <w:szCs w:val="20"/>
        </w:rPr>
      </w:pPr>
      <w:bookmarkStart w:id="36" w:name="_Toc222825840"/>
      <w:r>
        <w:t>se asegure de que el marco de gobernanza para el mercado de los créditos naturaleza esté basado en la ciencia y sea inclusivo, transparente y participativo, haciendo especial hincapié en agentes con potencial para restaurar, conservar la naturaleza, así como de los grupos vulnerables y marginados, como la juventud, las mujeres, las comunidades rurales y los pueblos indígenas. Debe velarse por que la gestión y propiedad de los datos sean transparente y justas;</w:t>
      </w:r>
      <w:bookmarkEnd w:id="36"/>
    </w:p>
    <w:p w14:paraId="3A2AC039" w14:textId="2F75D698" w:rsidR="00621347" w:rsidRPr="00F43315" w:rsidRDefault="00621347" w:rsidP="007526DA">
      <w:pPr>
        <w:pStyle w:val="ListParagraph"/>
        <w:numPr>
          <w:ilvl w:val="0"/>
          <w:numId w:val="29"/>
        </w:numPr>
        <w:ind w:left="567" w:hanging="578"/>
        <w:rPr>
          <w:szCs w:val="20"/>
        </w:rPr>
      </w:pPr>
      <w:bookmarkStart w:id="37" w:name="_Toc222825841"/>
      <w:r>
        <w:t>analice cuidadosamente si se requiere una Directiva o un Reglamento, ya que el establecimiento de créditos naturaleza debe seguir siendo voluntario, a pesar de que deban respetarse unas normas y criterios estrictos. El marco debe centrarse principalmente en las contribuciones positivas, mientras que el recurso a la compensación debe dejarse a la discreción de los Estados miembros, a fin de no socavar las ambiciosas iniciativas existentes a escala nacional;</w:t>
      </w:r>
      <w:bookmarkEnd w:id="37"/>
    </w:p>
    <w:p w14:paraId="151D13B1" w14:textId="3080CBDB" w:rsidR="00621347" w:rsidRPr="00F43315" w:rsidRDefault="00621347" w:rsidP="007526DA">
      <w:pPr>
        <w:pStyle w:val="ListParagraph"/>
        <w:numPr>
          <w:ilvl w:val="0"/>
          <w:numId w:val="29"/>
        </w:numPr>
        <w:ind w:left="567" w:hanging="578"/>
        <w:rPr>
          <w:szCs w:val="20"/>
        </w:rPr>
      </w:pPr>
      <w:bookmarkStart w:id="38" w:name="_Toc222825842"/>
      <w:r>
        <w:t>aclare la armonización de los créditos naturaleza con otras políticas, como la política agrícola común (PAC). Dichos créditos deben establecerse de manera que favorezcan la prosperidad de la bioeconomía, la economía circular, la producción sostenible de alimentos y la silvicultura en la UE. El marco debe evitar la imposición de cargas administrativas innecesarias a los profesionales, en particular a los que operan a pequeña escala, y a la vez velar por un elevado nivel de integridad y una base científica;</w:t>
      </w:r>
      <w:bookmarkEnd w:id="38"/>
    </w:p>
    <w:p w14:paraId="17891DA2" w14:textId="173A8059" w:rsidR="00621347" w:rsidRPr="00F43315" w:rsidRDefault="00621347" w:rsidP="007526DA">
      <w:pPr>
        <w:pStyle w:val="ListParagraph"/>
        <w:numPr>
          <w:ilvl w:val="0"/>
          <w:numId w:val="29"/>
        </w:numPr>
        <w:ind w:left="567" w:hanging="578"/>
        <w:rPr>
          <w:szCs w:val="20"/>
        </w:rPr>
      </w:pPr>
      <w:bookmarkStart w:id="39" w:name="_Toc222825843"/>
      <w:r>
        <w:lastRenderedPageBreak/>
        <w:t>se asegure de que los créditos no conduzcan a la mercantilización de la naturaleza: el acaparamiento de tierras y la especulación deben evitarse a toda costa. En el ámbito de los créditos naturaleza se debe dar prioridad a la integridad sobre la rentabilidad a corto plazo, así como a un reparto equitativo de los beneficios y a la reducción de las desigualdades;</w:t>
      </w:r>
      <w:bookmarkEnd w:id="39"/>
    </w:p>
    <w:p w14:paraId="02428967" w14:textId="77777777" w:rsidR="00621347" w:rsidRPr="00F43315" w:rsidRDefault="00621347" w:rsidP="007526DA">
      <w:pPr>
        <w:pStyle w:val="ListParagraph"/>
        <w:numPr>
          <w:ilvl w:val="0"/>
          <w:numId w:val="29"/>
        </w:numPr>
        <w:ind w:left="567" w:hanging="578"/>
        <w:rPr>
          <w:szCs w:val="20"/>
        </w:rPr>
      </w:pPr>
      <w:bookmarkStart w:id="40" w:name="_Toc222825844"/>
      <w:r>
        <w:t>participe con cautela en los proyectos externos a la UE, teniendo en cuenta que las metodologías y los marcos de gobernanza desarrollados en Europa podrían no ajustarse a los contextos sociales, culturales, jurídicos, políticos y ecológicos en el extranjero, y genere efectos positivos para la naturaleza en las cadenas de valor fuera de la UE.</w:t>
      </w:r>
      <w:bookmarkEnd w:id="40"/>
    </w:p>
    <w:p w14:paraId="4D9DD4B6" w14:textId="77777777" w:rsidR="00621347" w:rsidRPr="00EE258B" w:rsidRDefault="00621347" w:rsidP="00100EF9">
      <w:pPr>
        <w:widowControl w:val="0"/>
        <w:overflowPunct w:val="0"/>
        <w:autoSpaceDE w:val="0"/>
        <w:autoSpaceDN w:val="0"/>
        <w:adjustRightInd w:val="0"/>
        <w:ind w:left="709"/>
        <w:textAlignment w:val="baseline"/>
        <w:rPr>
          <w:szCs w:val="20"/>
        </w:rPr>
      </w:pPr>
    </w:p>
    <w:tbl>
      <w:tblPr>
        <w:tblStyle w:val="TableGrid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338"/>
      </w:tblGrid>
      <w:tr w:rsidR="00621347" w:rsidRPr="00621347" w14:paraId="4C4EEF76" w14:textId="77777777" w:rsidTr="00EE258B">
        <w:tc>
          <w:tcPr>
            <w:tcW w:w="1050" w:type="pct"/>
          </w:tcPr>
          <w:p w14:paraId="3AF62EF9" w14:textId="77777777" w:rsidR="00621347" w:rsidRPr="00621347" w:rsidRDefault="00621347" w:rsidP="00100EF9">
            <w:pPr>
              <w:overflowPunct w:val="0"/>
              <w:autoSpaceDE w:val="0"/>
              <w:autoSpaceDN w:val="0"/>
              <w:adjustRightInd w:val="0"/>
              <w:textAlignment w:val="baseline"/>
              <w:rPr>
                <w:i/>
              </w:rPr>
            </w:pPr>
            <w:r>
              <w:rPr>
                <w:b/>
                <w:i/>
              </w:rPr>
              <w:t>Contacto:</w:t>
            </w:r>
          </w:p>
        </w:tc>
        <w:tc>
          <w:tcPr>
            <w:tcW w:w="3950" w:type="pct"/>
          </w:tcPr>
          <w:p w14:paraId="1174E3AC" w14:textId="582EC194" w:rsidR="00621347" w:rsidRPr="00621347" w:rsidRDefault="00621347" w:rsidP="00100EF9">
            <w:pPr>
              <w:overflowPunct w:val="0"/>
              <w:autoSpaceDE w:val="0"/>
              <w:autoSpaceDN w:val="0"/>
              <w:adjustRightInd w:val="0"/>
              <w:textAlignment w:val="baseline"/>
              <w:rPr>
                <w:i/>
              </w:rPr>
            </w:pPr>
            <w:r>
              <w:rPr>
                <w:i/>
              </w:rPr>
              <w:t>Gaia BOTTONI</w:t>
            </w:r>
          </w:p>
        </w:tc>
      </w:tr>
      <w:tr w:rsidR="00621347" w:rsidRPr="00621347" w14:paraId="60C3DC59" w14:textId="77777777" w:rsidTr="00EE258B">
        <w:tc>
          <w:tcPr>
            <w:tcW w:w="1050" w:type="pct"/>
          </w:tcPr>
          <w:p w14:paraId="0B4561A1" w14:textId="77777777" w:rsidR="00621347" w:rsidRPr="00621347" w:rsidRDefault="00621347" w:rsidP="00100EF9">
            <w:pPr>
              <w:overflowPunct w:val="0"/>
              <w:autoSpaceDE w:val="0"/>
              <w:autoSpaceDN w:val="0"/>
              <w:adjustRightInd w:val="0"/>
              <w:textAlignment w:val="baseline"/>
              <w:rPr>
                <w:i/>
              </w:rPr>
            </w:pPr>
            <w:r>
              <w:rPr>
                <w:i/>
              </w:rPr>
              <w:t>Teléfono:</w:t>
            </w:r>
          </w:p>
        </w:tc>
        <w:tc>
          <w:tcPr>
            <w:tcW w:w="3950" w:type="pct"/>
          </w:tcPr>
          <w:p w14:paraId="7FBF1635" w14:textId="73B5954C" w:rsidR="00621347" w:rsidRPr="00621347" w:rsidRDefault="00621347" w:rsidP="00100EF9">
            <w:pPr>
              <w:overflowPunct w:val="0"/>
              <w:autoSpaceDE w:val="0"/>
              <w:autoSpaceDN w:val="0"/>
              <w:adjustRightInd w:val="0"/>
              <w:textAlignment w:val="baseline"/>
              <w:rPr>
                <w:i/>
              </w:rPr>
            </w:pPr>
            <w:r>
              <w:rPr>
                <w:i/>
              </w:rPr>
              <w:t>+32 25469447</w:t>
            </w:r>
          </w:p>
        </w:tc>
      </w:tr>
      <w:tr w:rsidR="00621347" w:rsidRPr="00621347" w14:paraId="5D7F6D2E" w14:textId="77777777" w:rsidTr="00EE258B">
        <w:tc>
          <w:tcPr>
            <w:tcW w:w="1050" w:type="pct"/>
          </w:tcPr>
          <w:p w14:paraId="54E92E27" w14:textId="77777777" w:rsidR="00621347" w:rsidRPr="00621347" w:rsidRDefault="00621347" w:rsidP="00100EF9">
            <w:pPr>
              <w:overflowPunct w:val="0"/>
              <w:autoSpaceDE w:val="0"/>
              <w:autoSpaceDN w:val="0"/>
              <w:adjustRightInd w:val="0"/>
              <w:textAlignment w:val="baseline"/>
              <w:rPr>
                <w:i/>
              </w:rPr>
            </w:pPr>
            <w:r>
              <w:rPr>
                <w:i/>
              </w:rPr>
              <w:t>Correo electrónico:</w:t>
            </w:r>
          </w:p>
        </w:tc>
        <w:tc>
          <w:tcPr>
            <w:tcW w:w="3950" w:type="pct"/>
          </w:tcPr>
          <w:p w14:paraId="109C769F" w14:textId="55EC2020" w:rsidR="00621347" w:rsidRPr="00621347" w:rsidRDefault="00E235D3" w:rsidP="00100EF9">
            <w:pPr>
              <w:overflowPunct w:val="0"/>
              <w:autoSpaceDE w:val="0"/>
              <w:autoSpaceDN w:val="0"/>
              <w:adjustRightInd w:val="0"/>
              <w:textAlignment w:val="baseline"/>
              <w:rPr>
                <w:i/>
              </w:rPr>
            </w:pPr>
            <w:hyperlink r:id="rId39" w:history="1">
              <w:r>
                <w:rPr>
                  <w:i/>
                  <w:color w:val="0000FF"/>
                  <w:u w:val="single"/>
                </w:rPr>
                <w:t>Gaia.Bottoni@eesc.europa.eu</w:t>
              </w:r>
            </w:hyperlink>
          </w:p>
        </w:tc>
      </w:tr>
    </w:tbl>
    <w:p w14:paraId="715DB2BD" w14:textId="77777777" w:rsidR="007F5784" w:rsidRDefault="007F5784" w:rsidP="00100EF9">
      <w:pPr>
        <w:jc w:val="left"/>
      </w:pPr>
      <w:r>
        <w:br w:type="page"/>
      </w:r>
    </w:p>
    <w:p w14:paraId="528C73AA" w14:textId="46DE726B" w:rsidR="006D2C8A" w:rsidRPr="006D2C8A" w:rsidRDefault="006D2C8A" w:rsidP="00100EF9">
      <w:pPr>
        <w:pStyle w:val="Heading1"/>
        <w:rPr>
          <w:b/>
        </w:rPr>
      </w:pPr>
      <w:bookmarkStart w:id="41" w:name="_Toc223345261"/>
      <w:r>
        <w:rPr>
          <w:b/>
          <w:color w:val="222A35" w:themeColor="text2" w:themeShade="80"/>
        </w:rPr>
        <w:lastRenderedPageBreak/>
        <w:t>COMISIÓN CONSULTIVA DE LAS TRANSFORMACIONES INDUSTRIALES</w:t>
      </w:r>
      <w:bookmarkEnd w:id="41"/>
    </w:p>
    <w:p w14:paraId="713E272F" w14:textId="77777777" w:rsidR="006D2C8A" w:rsidRDefault="006D2C8A" w:rsidP="00100EF9"/>
    <w:p w14:paraId="3CC91A48" w14:textId="384180F5" w:rsidR="003534E0" w:rsidRPr="00153E09" w:rsidRDefault="003534E0" w:rsidP="00100EF9">
      <w:pPr>
        <w:widowControl w:val="0"/>
        <w:numPr>
          <w:ilvl w:val="0"/>
          <w:numId w:val="6"/>
        </w:numPr>
        <w:overflowPunct w:val="0"/>
        <w:autoSpaceDE w:val="0"/>
        <w:autoSpaceDN w:val="0"/>
        <w:adjustRightInd w:val="0"/>
        <w:ind w:hanging="567"/>
        <w:textAlignment w:val="baseline"/>
        <w:rPr>
          <w:sz w:val="20"/>
          <w:szCs w:val="20"/>
        </w:rPr>
      </w:pPr>
      <w:hyperlink r:id="rId40" w:history="1">
        <w:r>
          <w:rPr>
            <w:b/>
            <w:i/>
            <w:color w:val="0000FF"/>
            <w:sz w:val="28"/>
            <w:u w:val="single"/>
          </w:rPr>
          <w:t>Modificación del Reglamento (UE) 2024/1252 (Reglamento de Materias Primas Fundamentales)</w:t>
        </w:r>
      </w:hyperlink>
    </w:p>
    <w:p w14:paraId="4BAFD485" w14:textId="77777777" w:rsidR="009277D3" w:rsidRPr="00EE258B" w:rsidRDefault="009277D3" w:rsidP="00100EF9">
      <w:pPr>
        <w:tabs>
          <w:tab w:val="center" w:pos="284"/>
        </w:tabs>
        <w:overflowPunct w:val="0"/>
        <w:autoSpaceDE w:val="0"/>
        <w:autoSpaceDN w:val="0"/>
        <w:adjustRightInd w:val="0"/>
        <w:ind w:left="266" w:hanging="266"/>
        <w:textAlignment w:val="baseline"/>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72"/>
      </w:tblGrid>
      <w:tr w:rsidR="00153E09" w14:paraId="65A34AAF" w14:textId="77777777" w:rsidTr="00205469">
        <w:tc>
          <w:tcPr>
            <w:tcW w:w="1701" w:type="dxa"/>
          </w:tcPr>
          <w:p w14:paraId="111B4B02" w14:textId="6AC41F6C" w:rsidR="00153E09" w:rsidRDefault="00153E09" w:rsidP="00100EF9">
            <w:pPr>
              <w:overflowPunct w:val="0"/>
              <w:autoSpaceDE w:val="0"/>
              <w:autoSpaceDN w:val="0"/>
              <w:adjustRightInd w:val="0"/>
              <w:textAlignment w:val="baseline"/>
              <w:rPr>
                <w:b/>
              </w:rPr>
            </w:pPr>
            <w:r>
              <w:rPr>
                <w:b/>
                <w:sz w:val="20"/>
              </w:rPr>
              <w:t>Referencias</w:t>
            </w:r>
          </w:p>
        </w:tc>
        <w:tc>
          <w:tcPr>
            <w:tcW w:w="7372" w:type="dxa"/>
          </w:tcPr>
          <w:p w14:paraId="0221ADAC" w14:textId="77777777" w:rsidR="00153E09" w:rsidRDefault="00153E09" w:rsidP="00100EF9">
            <w:pPr>
              <w:tabs>
                <w:tab w:val="center" w:pos="284"/>
              </w:tabs>
              <w:overflowPunct w:val="0"/>
              <w:autoSpaceDE w:val="0"/>
              <w:autoSpaceDN w:val="0"/>
              <w:adjustRightInd w:val="0"/>
              <w:textAlignment w:val="baseline"/>
              <w:rPr>
                <w:bCs/>
                <w:sz w:val="20"/>
                <w:szCs w:val="20"/>
              </w:rPr>
            </w:pPr>
            <w:r>
              <w:rPr>
                <w:sz w:val="20"/>
              </w:rPr>
              <w:t>COM(2025) 946 final</w:t>
            </w:r>
          </w:p>
          <w:p w14:paraId="5F1938C2" w14:textId="40D8E2D3" w:rsidR="00153E09" w:rsidRDefault="00153E09" w:rsidP="00100EF9">
            <w:pPr>
              <w:tabs>
                <w:tab w:val="center" w:pos="284"/>
              </w:tabs>
              <w:overflowPunct w:val="0"/>
              <w:autoSpaceDE w:val="0"/>
              <w:autoSpaceDN w:val="0"/>
              <w:adjustRightInd w:val="0"/>
              <w:textAlignment w:val="baseline"/>
              <w:rPr>
                <w:b/>
              </w:rPr>
            </w:pPr>
            <w:r>
              <w:rPr>
                <w:sz w:val="20"/>
              </w:rPr>
              <w:t>EESC-2026-00393-00-00-AC</w:t>
            </w:r>
          </w:p>
        </w:tc>
      </w:tr>
    </w:tbl>
    <w:p w14:paraId="185B6A63" w14:textId="77777777" w:rsidR="009277D3" w:rsidRPr="00153E09" w:rsidRDefault="009277D3" w:rsidP="00100EF9">
      <w:pPr>
        <w:tabs>
          <w:tab w:val="center" w:pos="284"/>
        </w:tabs>
        <w:overflowPunct w:val="0"/>
        <w:autoSpaceDE w:val="0"/>
        <w:autoSpaceDN w:val="0"/>
        <w:adjustRightInd w:val="0"/>
        <w:ind w:left="266" w:hanging="266"/>
        <w:textAlignment w:val="baseline"/>
        <w:rPr>
          <w:b/>
          <w:lang w:val="en-GB"/>
        </w:rPr>
      </w:pPr>
    </w:p>
    <w:p w14:paraId="0D51E678" w14:textId="77777777" w:rsidR="003534E0" w:rsidRPr="003534E0" w:rsidRDefault="003534E0" w:rsidP="00100EF9">
      <w:pPr>
        <w:keepNext/>
        <w:keepLines/>
        <w:tabs>
          <w:tab w:val="center" w:pos="284"/>
        </w:tabs>
        <w:overflowPunct w:val="0"/>
        <w:autoSpaceDE w:val="0"/>
        <w:autoSpaceDN w:val="0"/>
        <w:adjustRightInd w:val="0"/>
        <w:ind w:left="266" w:hanging="266"/>
        <w:textAlignment w:val="baseline"/>
        <w:rPr>
          <w:b/>
        </w:rPr>
      </w:pPr>
      <w:r>
        <w:rPr>
          <w:b/>
        </w:rPr>
        <w:t>Puntos clave</w:t>
      </w:r>
    </w:p>
    <w:p w14:paraId="1A032EB0" w14:textId="77777777" w:rsidR="003534E0" w:rsidRPr="003534E0" w:rsidRDefault="003534E0" w:rsidP="00100EF9">
      <w:pPr>
        <w:widowControl w:val="0"/>
        <w:overflowPunct w:val="0"/>
        <w:autoSpaceDE w:val="0"/>
        <w:autoSpaceDN w:val="0"/>
        <w:adjustRightInd w:val="0"/>
        <w:textAlignment w:val="baseline"/>
        <w:rPr>
          <w:bCs/>
          <w:iCs/>
          <w:lang w:val="en-GB"/>
        </w:rPr>
      </w:pPr>
    </w:p>
    <w:p w14:paraId="0722C60C" w14:textId="5BA7A0BB" w:rsidR="003534E0" w:rsidRPr="003534E0" w:rsidRDefault="003534E0" w:rsidP="00100EF9">
      <w:pPr>
        <w:widowControl w:val="0"/>
        <w:overflowPunct w:val="0"/>
        <w:autoSpaceDE w:val="0"/>
        <w:autoSpaceDN w:val="0"/>
        <w:adjustRightInd w:val="0"/>
        <w:textAlignment w:val="baseline"/>
        <w:rPr>
          <w:bCs/>
          <w:iCs/>
        </w:rPr>
      </w:pPr>
      <w:r>
        <w:t xml:space="preserve">Considerando que el contenido de la propuesta es plenamente satisfactorio y que, además, esta había sido examinada en su Dictamen sobre el </w:t>
      </w:r>
      <w:hyperlink r:id="rId41" w:history="1">
        <w:r>
          <w:rPr>
            <w:color w:val="0000FF"/>
            <w:u w:val="single"/>
          </w:rPr>
          <w:t>Reglamento de Materias Primas Fundamentales</w:t>
        </w:r>
      </w:hyperlink>
      <w:r>
        <w:t>, aprobado el 12 de julio de 2023, el Comité ha decidido emitir un Dictamen favorable sobre la propuesta y remitirse a la posición expresada en dicho documento.</w:t>
      </w:r>
    </w:p>
    <w:p w14:paraId="2B63EAC7" w14:textId="3C6C9A7D" w:rsidR="00950272" w:rsidRPr="00EE258B" w:rsidRDefault="00950272" w:rsidP="00100EF9">
      <w:pPr>
        <w:widowControl w:val="0"/>
        <w:overflowPunct w:val="0"/>
        <w:autoSpaceDE w:val="0"/>
        <w:autoSpaceDN w:val="0"/>
        <w:adjustRightInd w:val="0"/>
        <w:ind w:left="709" w:hanging="709"/>
        <w:textAlignment w:val="baseline"/>
        <w:rPr>
          <w:szCs w:val="20"/>
        </w:rPr>
      </w:pPr>
    </w:p>
    <w:tbl>
      <w:tblPr>
        <w:tblStyle w:val="TableGrid8"/>
        <w:tblW w:w="48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229"/>
      </w:tblGrid>
      <w:tr w:rsidR="003534E0" w:rsidRPr="003534E0" w14:paraId="1ABE88A2" w14:textId="77777777" w:rsidTr="00EE258B">
        <w:tc>
          <w:tcPr>
            <w:tcW w:w="1001" w:type="pct"/>
          </w:tcPr>
          <w:p w14:paraId="148D5606" w14:textId="77777777" w:rsidR="003534E0" w:rsidRPr="003534E0" w:rsidRDefault="003534E0" w:rsidP="007526DA">
            <w:pPr>
              <w:overflowPunct w:val="0"/>
              <w:autoSpaceDE w:val="0"/>
              <w:autoSpaceDN w:val="0"/>
              <w:adjustRightInd w:val="0"/>
              <w:ind w:hanging="110"/>
              <w:textAlignment w:val="baseline"/>
              <w:rPr>
                <w:i/>
              </w:rPr>
            </w:pPr>
            <w:r>
              <w:rPr>
                <w:b/>
                <w:i/>
              </w:rPr>
              <w:t>Contacto:</w:t>
            </w:r>
          </w:p>
        </w:tc>
        <w:tc>
          <w:tcPr>
            <w:tcW w:w="3999" w:type="pct"/>
          </w:tcPr>
          <w:p w14:paraId="0D29E18D" w14:textId="5491D9AB" w:rsidR="003534E0" w:rsidRPr="003534E0" w:rsidRDefault="003534E0" w:rsidP="007526DA">
            <w:pPr>
              <w:overflowPunct w:val="0"/>
              <w:autoSpaceDE w:val="0"/>
              <w:autoSpaceDN w:val="0"/>
              <w:adjustRightInd w:val="0"/>
              <w:ind w:hanging="110"/>
              <w:textAlignment w:val="baseline"/>
              <w:rPr>
                <w:i/>
              </w:rPr>
            </w:pPr>
            <w:r>
              <w:rPr>
                <w:i/>
              </w:rPr>
              <w:t>Adam DORYWALSKI</w:t>
            </w:r>
          </w:p>
        </w:tc>
      </w:tr>
      <w:tr w:rsidR="003534E0" w:rsidRPr="003534E0" w14:paraId="29310390" w14:textId="77777777" w:rsidTr="00EE258B">
        <w:tc>
          <w:tcPr>
            <w:tcW w:w="1001" w:type="pct"/>
          </w:tcPr>
          <w:p w14:paraId="1A8C815A" w14:textId="77777777" w:rsidR="003534E0" w:rsidRPr="003534E0" w:rsidRDefault="003534E0" w:rsidP="007526DA">
            <w:pPr>
              <w:overflowPunct w:val="0"/>
              <w:autoSpaceDE w:val="0"/>
              <w:autoSpaceDN w:val="0"/>
              <w:adjustRightInd w:val="0"/>
              <w:ind w:hanging="110"/>
              <w:textAlignment w:val="baseline"/>
              <w:rPr>
                <w:i/>
              </w:rPr>
            </w:pPr>
            <w:r>
              <w:rPr>
                <w:i/>
              </w:rPr>
              <w:t>Teléfono:</w:t>
            </w:r>
          </w:p>
        </w:tc>
        <w:tc>
          <w:tcPr>
            <w:tcW w:w="3999" w:type="pct"/>
          </w:tcPr>
          <w:p w14:paraId="1B4B0CA6" w14:textId="23FF8050" w:rsidR="003534E0" w:rsidRPr="003534E0" w:rsidRDefault="003534E0" w:rsidP="007526DA">
            <w:pPr>
              <w:overflowPunct w:val="0"/>
              <w:autoSpaceDE w:val="0"/>
              <w:autoSpaceDN w:val="0"/>
              <w:adjustRightInd w:val="0"/>
              <w:ind w:hanging="110"/>
              <w:textAlignment w:val="baseline"/>
              <w:rPr>
                <w:i/>
              </w:rPr>
            </w:pPr>
            <w:r>
              <w:rPr>
                <w:i/>
              </w:rPr>
              <w:t>+32 25469397</w:t>
            </w:r>
          </w:p>
        </w:tc>
      </w:tr>
      <w:tr w:rsidR="003534E0" w:rsidRPr="003534E0" w14:paraId="4800E009" w14:textId="77777777" w:rsidTr="00EE258B">
        <w:tc>
          <w:tcPr>
            <w:tcW w:w="1001" w:type="pct"/>
          </w:tcPr>
          <w:p w14:paraId="58627B2F" w14:textId="77777777" w:rsidR="003534E0" w:rsidRPr="003534E0" w:rsidRDefault="003534E0" w:rsidP="007526DA">
            <w:pPr>
              <w:overflowPunct w:val="0"/>
              <w:autoSpaceDE w:val="0"/>
              <w:autoSpaceDN w:val="0"/>
              <w:adjustRightInd w:val="0"/>
              <w:ind w:hanging="110"/>
              <w:textAlignment w:val="baseline"/>
              <w:rPr>
                <w:i/>
              </w:rPr>
            </w:pPr>
            <w:r>
              <w:rPr>
                <w:i/>
              </w:rPr>
              <w:t>Correo electrónico:</w:t>
            </w:r>
          </w:p>
        </w:tc>
        <w:tc>
          <w:tcPr>
            <w:tcW w:w="3999" w:type="pct"/>
          </w:tcPr>
          <w:p w14:paraId="551CAC0A" w14:textId="22305CB9" w:rsidR="00E25EB4" w:rsidRPr="00153E09" w:rsidRDefault="003534E0" w:rsidP="007526DA">
            <w:pPr>
              <w:overflowPunct w:val="0"/>
              <w:autoSpaceDE w:val="0"/>
              <w:autoSpaceDN w:val="0"/>
              <w:adjustRightInd w:val="0"/>
              <w:ind w:hanging="110"/>
              <w:textAlignment w:val="baseline"/>
            </w:pPr>
            <w:hyperlink r:id="rId42" w:history="1">
              <w:r>
                <w:rPr>
                  <w:i/>
                  <w:color w:val="0000FF"/>
                  <w:u w:val="single"/>
                </w:rPr>
                <w:t>Adam.Dorywalski@eesc.europa.eu</w:t>
              </w:r>
            </w:hyperlink>
          </w:p>
        </w:tc>
      </w:tr>
    </w:tbl>
    <w:p w14:paraId="3FA9F92E" w14:textId="77777777" w:rsidR="00E25EB4" w:rsidRPr="003F66F7" w:rsidRDefault="00E25EB4" w:rsidP="00100EF9">
      <w:pPr>
        <w:overflowPunct w:val="0"/>
        <w:autoSpaceDE w:val="0"/>
        <w:autoSpaceDN w:val="0"/>
        <w:adjustRightInd w:val="0"/>
        <w:jc w:val="center"/>
        <w:textAlignment w:val="baseline"/>
        <w:rPr>
          <w:szCs w:val="20"/>
        </w:rPr>
      </w:pPr>
    </w:p>
    <w:p w14:paraId="5D7A6973" w14:textId="77777777" w:rsidR="004C4CDB" w:rsidRPr="00153E09" w:rsidRDefault="004C4CDB" w:rsidP="00100EF9">
      <w:pPr>
        <w:jc w:val="left"/>
      </w:pPr>
      <w:r>
        <w:br w:type="page"/>
      </w:r>
    </w:p>
    <w:p w14:paraId="4E1C48EE" w14:textId="2D29508D" w:rsidR="00E25EB4" w:rsidRPr="00E25EB4" w:rsidRDefault="00E235D3" w:rsidP="00100EF9">
      <w:pPr>
        <w:widowControl w:val="0"/>
        <w:numPr>
          <w:ilvl w:val="0"/>
          <w:numId w:val="12"/>
        </w:numPr>
        <w:overflowPunct w:val="0"/>
        <w:autoSpaceDE w:val="0"/>
        <w:autoSpaceDN w:val="0"/>
        <w:adjustRightInd w:val="0"/>
        <w:ind w:left="567" w:hanging="567"/>
        <w:contextualSpacing/>
        <w:jc w:val="left"/>
        <w:textAlignment w:val="baseline"/>
        <w:rPr>
          <w:rFonts w:ascii="Calibri" w:hAnsi="Calibri"/>
          <w:b/>
          <w:bCs/>
        </w:rPr>
      </w:pPr>
      <w:hyperlink r:id="rId43" w:tooltip="Reforzar la autonomía estratégica de la UE y desarrollar una economía más ecológica y azul: el potencial del sector de la fabricación de pilas y baterías de sodio" w:history="1">
        <w:r>
          <w:rPr>
            <w:b/>
            <w:i/>
            <w:color w:val="0000FF"/>
            <w:sz w:val="28"/>
            <w:u w:val="single"/>
          </w:rPr>
          <w:t>Reforzar la autonomía estratégica de la UE y desarrollar una economía más ecológica y azul: el potencial del sector de la fabricación de pilas y baterías de sodio</w:t>
        </w:r>
      </w:hyperlink>
    </w:p>
    <w:p w14:paraId="2E26A662" w14:textId="77777777" w:rsidR="00E25EB4" w:rsidRPr="00EE258B" w:rsidRDefault="00E25EB4" w:rsidP="00100EF9">
      <w:pPr>
        <w:widowControl w:val="0"/>
        <w:ind w:left="567"/>
        <w:contextualSpacing/>
        <w:jc w:val="left"/>
        <w:rPr>
          <w:sz w:val="12"/>
          <w:szCs w:val="12"/>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71"/>
      </w:tblGrid>
      <w:tr w:rsidR="00E25EB4" w:rsidRPr="00E25EB4" w14:paraId="0E750117" w14:textId="77777777" w:rsidTr="00153E09">
        <w:tc>
          <w:tcPr>
            <w:tcW w:w="1701" w:type="dxa"/>
          </w:tcPr>
          <w:p w14:paraId="1BC9C1DD" w14:textId="77777777" w:rsidR="00E25EB4" w:rsidRPr="00E25EB4" w:rsidRDefault="00E25EB4" w:rsidP="00100EF9">
            <w:pPr>
              <w:tabs>
                <w:tab w:val="center" w:pos="284"/>
              </w:tabs>
              <w:overflowPunct w:val="0"/>
              <w:autoSpaceDE w:val="0"/>
              <w:autoSpaceDN w:val="0"/>
              <w:adjustRightInd w:val="0"/>
              <w:ind w:left="266" w:hanging="266"/>
              <w:textAlignment w:val="baseline"/>
              <w:rPr>
                <w:b/>
              </w:rPr>
            </w:pPr>
            <w:r>
              <w:rPr>
                <w:b/>
              </w:rPr>
              <w:t>Ponente</w:t>
            </w:r>
          </w:p>
        </w:tc>
        <w:tc>
          <w:tcPr>
            <w:tcW w:w="7371" w:type="dxa"/>
          </w:tcPr>
          <w:p w14:paraId="261F00F8" w14:textId="77777777" w:rsidR="00E25EB4" w:rsidRPr="00E25EB4" w:rsidRDefault="00E25EB4" w:rsidP="00100EF9">
            <w:pPr>
              <w:tabs>
                <w:tab w:val="center" w:pos="284"/>
              </w:tabs>
              <w:overflowPunct w:val="0"/>
              <w:autoSpaceDE w:val="0"/>
              <w:autoSpaceDN w:val="0"/>
              <w:adjustRightInd w:val="0"/>
              <w:ind w:left="266" w:hanging="266"/>
              <w:textAlignment w:val="baseline"/>
            </w:pPr>
            <w:r>
              <w:t>Paul RÜBIG (Grupo de Empresarios – AT)</w:t>
            </w:r>
          </w:p>
        </w:tc>
      </w:tr>
      <w:tr w:rsidR="00E25EB4" w:rsidRPr="00E25EB4" w14:paraId="7E321F8F" w14:textId="77777777" w:rsidTr="00153E09">
        <w:tc>
          <w:tcPr>
            <w:tcW w:w="1701" w:type="dxa"/>
          </w:tcPr>
          <w:p w14:paraId="39B77E69" w14:textId="77777777" w:rsidR="00E25EB4" w:rsidRPr="00E25EB4" w:rsidRDefault="00E25EB4" w:rsidP="00100EF9">
            <w:pPr>
              <w:tabs>
                <w:tab w:val="center" w:pos="284"/>
              </w:tabs>
              <w:overflowPunct w:val="0"/>
              <w:autoSpaceDE w:val="0"/>
              <w:autoSpaceDN w:val="0"/>
              <w:adjustRightInd w:val="0"/>
              <w:ind w:left="266" w:hanging="266"/>
              <w:textAlignment w:val="baseline"/>
              <w:rPr>
                <w:b/>
              </w:rPr>
            </w:pPr>
            <w:r>
              <w:rPr>
                <w:b/>
                <w:bCs/>
              </w:rPr>
              <w:t>Coponente</w:t>
            </w:r>
          </w:p>
        </w:tc>
        <w:tc>
          <w:tcPr>
            <w:tcW w:w="7371" w:type="dxa"/>
          </w:tcPr>
          <w:p w14:paraId="4F795EAE" w14:textId="7B894B11" w:rsidR="00E25EB4" w:rsidRPr="00E25EB4" w:rsidRDefault="00E25EB4" w:rsidP="00100EF9">
            <w:pPr>
              <w:tabs>
                <w:tab w:val="center" w:pos="284"/>
              </w:tabs>
              <w:overflowPunct w:val="0"/>
              <w:autoSpaceDE w:val="0"/>
              <w:autoSpaceDN w:val="0"/>
              <w:adjustRightInd w:val="0"/>
              <w:ind w:left="266" w:hanging="266"/>
              <w:textAlignment w:val="baseline"/>
            </w:pPr>
            <w:r>
              <w:t>Hervé JEANNIN (Cat. 2 – FR)</w:t>
            </w:r>
          </w:p>
        </w:tc>
      </w:tr>
      <w:tr w:rsidR="00E25EB4" w:rsidRPr="00E25EB4" w14:paraId="4AD82EE5" w14:textId="77777777" w:rsidTr="00153E09">
        <w:tc>
          <w:tcPr>
            <w:tcW w:w="9072" w:type="dxa"/>
            <w:gridSpan w:val="2"/>
          </w:tcPr>
          <w:p w14:paraId="63F1B5CC" w14:textId="77777777" w:rsidR="00E25EB4" w:rsidRPr="00EE258B" w:rsidRDefault="00E25EB4" w:rsidP="00100EF9">
            <w:pPr>
              <w:tabs>
                <w:tab w:val="center" w:pos="284"/>
              </w:tabs>
              <w:overflowPunct w:val="0"/>
              <w:autoSpaceDE w:val="0"/>
              <w:autoSpaceDN w:val="0"/>
              <w:adjustRightInd w:val="0"/>
              <w:ind w:left="266" w:hanging="266"/>
              <w:textAlignment w:val="baseline"/>
              <w:rPr>
                <w:sz w:val="12"/>
                <w:szCs w:val="12"/>
              </w:rPr>
            </w:pPr>
          </w:p>
        </w:tc>
      </w:tr>
      <w:tr w:rsidR="00E25EB4" w:rsidRPr="00E25EB4" w14:paraId="758D199D" w14:textId="77777777" w:rsidTr="00153E09">
        <w:tc>
          <w:tcPr>
            <w:tcW w:w="1701" w:type="dxa"/>
          </w:tcPr>
          <w:p w14:paraId="628BF496" w14:textId="1BBD7898" w:rsidR="00E25EB4" w:rsidRPr="00E25EB4" w:rsidRDefault="00E25EB4" w:rsidP="00100EF9">
            <w:pPr>
              <w:tabs>
                <w:tab w:val="center" w:pos="284"/>
              </w:tabs>
              <w:overflowPunct w:val="0"/>
              <w:autoSpaceDE w:val="0"/>
              <w:autoSpaceDN w:val="0"/>
              <w:adjustRightInd w:val="0"/>
              <w:ind w:left="266" w:hanging="266"/>
              <w:textAlignment w:val="baseline"/>
              <w:rPr>
                <w:b/>
              </w:rPr>
            </w:pPr>
            <w:r>
              <w:rPr>
                <w:b/>
              </w:rPr>
              <w:t>Referencia</w:t>
            </w:r>
          </w:p>
        </w:tc>
        <w:tc>
          <w:tcPr>
            <w:tcW w:w="7371" w:type="dxa"/>
          </w:tcPr>
          <w:p w14:paraId="1AC738BE" w14:textId="11F7A673" w:rsidR="001A58BD" w:rsidRDefault="00043E7B" w:rsidP="00100EF9">
            <w:pPr>
              <w:tabs>
                <w:tab w:val="center" w:pos="284"/>
              </w:tabs>
              <w:overflowPunct w:val="0"/>
              <w:autoSpaceDE w:val="0"/>
              <w:autoSpaceDN w:val="0"/>
              <w:adjustRightInd w:val="0"/>
              <w:ind w:left="266" w:hanging="266"/>
              <w:textAlignment w:val="baseline"/>
            </w:pPr>
            <w:r>
              <w:t>Dictamen exploratorio solicitado por la Comisión Europea</w:t>
            </w:r>
          </w:p>
          <w:p w14:paraId="2E32FFD3" w14:textId="1F51A8D8" w:rsidR="00E25EB4" w:rsidRPr="00E25EB4" w:rsidRDefault="00E25EB4" w:rsidP="00100EF9">
            <w:pPr>
              <w:tabs>
                <w:tab w:val="center" w:pos="284"/>
              </w:tabs>
              <w:overflowPunct w:val="0"/>
              <w:autoSpaceDE w:val="0"/>
              <w:autoSpaceDN w:val="0"/>
              <w:adjustRightInd w:val="0"/>
              <w:ind w:left="266" w:hanging="266"/>
              <w:textAlignment w:val="baseline"/>
            </w:pPr>
            <w:r>
              <w:t>EESC-2025-02464-00-00-AC</w:t>
            </w:r>
          </w:p>
        </w:tc>
      </w:tr>
    </w:tbl>
    <w:p w14:paraId="270F2408" w14:textId="77777777" w:rsidR="00153E09" w:rsidRPr="00EE258B" w:rsidRDefault="00153E09" w:rsidP="00100EF9">
      <w:pPr>
        <w:keepNext/>
        <w:keepLines/>
        <w:tabs>
          <w:tab w:val="center" w:pos="284"/>
        </w:tabs>
        <w:overflowPunct w:val="0"/>
        <w:autoSpaceDE w:val="0"/>
        <w:autoSpaceDN w:val="0"/>
        <w:adjustRightInd w:val="0"/>
        <w:ind w:left="266" w:hanging="266"/>
        <w:textAlignment w:val="baseline"/>
        <w:rPr>
          <w:bCs/>
          <w:sz w:val="12"/>
          <w:szCs w:val="12"/>
          <w:lang w:val="en-GB"/>
        </w:rPr>
      </w:pPr>
    </w:p>
    <w:p w14:paraId="25E8D43C" w14:textId="53EC308B" w:rsidR="00E25EB4" w:rsidRPr="00E25EB4" w:rsidRDefault="00E25EB4" w:rsidP="00100EF9">
      <w:pPr>
        <w:keepNext/>
        <w:keepLines/>
        <w:tabs>
          <w:tab w:val="center" w:pos="284"/>
        </w:tabs>
        <w:overflowPunct w:val="0"/>
        <w:autoSpaceDE w:val="0"/>
        <w:autoSpaceDN w:val="0"/>
        <w:adjustRightInd w:val="0"/>
        <w:ind w:left="266" w:hanging="266"/>
        <w:textAlignment w:val="baseline"/>
        <w:rPr>
          <w:b/>
        </w:rPr>
      </w:pPr>
      <w:r>
        <w:rPr>
          <w:b/>
        </w:rPr>
        <w:t>Puntos clave</w:t>
      </w:r>
    </w:p>
    <w:p w14:paraId="7022CF32" w14:textId="77777777" w:rsidR="00E25EB4" w:rsidRPr="00EE258B" w:rsidRDefault="00E25EB4" w:rsidP="00100EF9">
      <w:pPr>
        <w:keepNext/>
        <w:keepLines/>
        <w:tabs>
          <w:tab w:val="center" w:pos="284"/>
        </w:tabs>
        <w:overflowPunct w:val="0"/>
        <w:autoSpaceDE w:val="0"/>
        <w:autoSpaceDN w:val="0"/>
        <w:adjustRightInd w:val="0"/>
        <w:ind w:left="266" w:hanging="266"/>
        <w:textAlignment w:val="baseline"/>
        <w:rPr>
          <w:bCs/>
          <w:sz w:val="12"/>
          <w:szCs w:val="12"/>
          <w:lang w:val="en-GB"/>
        </w:rPr>
      </w:pPr>
    </w:p>
    <w:p w14:paraId="0273A35C" w14:textId="77777777" w:rsidR="00E25EB4" w:rsidRPr="00E25EB4" w:rsidRDefault="00E25EB4" w:rsidP="00100EF9">
      <w:pPr>
        <w:keepNext/>
        <w:keepLines/>
        <w:tabs>
          <w:tab w:val="center" w:pos="284"/>
        </w:tabs>
        <w:overflowPunct w:val="0"/>
        <w:autoSpaceDE w:val="0"/>
        <w:autoSpaceDN w:val="0"/>
        <w:adjustRightInd w:val="0"/>
        <w:ind w:left="266" w:hanging="266"/>
        <w:textAlignment w:val="baseline"/>
        <w:rPr>
          <w:bCs/>
        </w:rPr>
      </w:pPr>
      <w:r>
        <w:t>El CESE:</w:t>
      </w:r>
    </w:p>
    <w:p w14:paraId="4A4FDC20" w14:textId="77777777" w:rsidR="00E25EB4" w:rsidRPr="007526DA" w:rsidRDefault="00E25EB4" w:rsidP="007526DA">
      <w:pPr>
        <w:numPr>
          <w:ilvl w:val="0"/>
          <w:numId w:val="24"/>
        </w:numPr>
        <w:shd w:val="clear" w:color="auto" w:fill="FEFEFE"/>
        <w:overflowPunct w:val="0"/>
        <w:autoSpaceDE w:val="0"/>
        <w:autoSpaceDN w:val="0"/>
        <w:adjustRightInd w:val="0"/>
        <w:ind w:left="567" w:hanging="567"/>
        <w:contextualSpacing/>
        <w:textAlignment w:val="baseline"/>
        <w:rPr>
          <w:color w:val="333333"/>
        </w:rPr>
      </w:pPr>
      <w:r>
        <w:t>considera que las pilas y baterías de sodio constituyen una tecnología estratégica y que Europa tiene un gran potencial para asumir el liderazgo tecnológico en los sistemas de pilas y baterías de sodio con agua salada;</w:t>
      </w:r>
    </w:p>
    <w:p w14:paraId="74BCA385" w14:textId="77777777" w:rsidR="00E25EB4" w:rsidRPr="007526DA" w:rsidRDefault="00E25EB4" w:rsidP="007526DA">
      <w:pPr>
        <w:numPr>
          <w:ilvl w:val="0"/>
          <w:numId w:val="24"/>
        </w:numPr>
        <w:shd w:val="clear" w:color="auto" w:fill="FEFEFE"/>
        <w:overflowPunct w:val="0"/>
        <w:autoSpaceDE w:val="0"/>
        <w:autoSpaceDN w:val="0"/>
        <w:adjustRightInd w:val="0"/>
        <w:ind w:left="567" w:hanging="567"/>
        <w:contextualSpacing/>
        <w:textAlignment w:val="baseline"/>
        <w:rPr>
          <w:color w:val="333333"/>
        </w:rPr>
      </w:pPr>
      <w:r>
        <w:t>destaca que las pilas y baterías de sodio tienen potencial porque facilitan la consecución de los objetivos de la política industrial de la Unión —al contribuir a los objetivos del Pacto Verde Europeo y del Pacto Azul Europeo y ser herramientas fundamentales para lograr la autonomía estratégica— y que la construcción de gigafábricas de este tipo de pilas y baterías en Europa impulsaría la competitividad y crearía empleo en toda la cadena de valor;</w:t>
      </w:r>
    </w:p>
    <w:p w14:paraId="03DA14BD" w14:textId="77777777" w:rsidR="00E25EB4" w:rsidRPr="007526DA" w:rsidRDefault="00E25EB4" w:rsidP="007526DA">
      <w:pPr>
        <w:numPr>
          <w:ilvl w:val="0"/>
          <w:numId w:val="24"/>
        </w:numPr>
        <w:shd w:val="clear" w:color="auto" w:fill="FEFEFE"/>
        <w:overflowPunct w:val="0"/>
        <w:autoSpaceDE w:val="0"/>
        <w:autoSpaceDN w:val="0"/>
        <w:adjustRightInd w:val="0"/>
        <w:ind w:left="567" w:hanging="567"/>
        <w:contextualSpacing/>
        <w:textAlignment w:val="baseline"/>
        <w:rPr>
          <w:color w:val="333333"/>
        </w:rPr>
      </w:pPr>
      <w:r>
        <w:t>subraya que las pilas y baterías de sodio pueden producirse enteramente a partir de materias primas europeas, ya que se trata de un material en gran abundancia en el continente, y que el potencial de una industria europea de desalinización es cada vez mayor, por lo que es posible reducir el uso de materias primas fundamentales;</w:t>
      </w:r>
    </w:p>
    <w:p w14:paraId="605A4E08" w14:textId="77777777" w:rsidR="00E25EB4" w:rsidRPr="007526DA" w:rsidRDefault="00E25EB4" w:rsidP="007526DA">
      <w:pPr>
        <w:numPr>
          <w:ilvl w:val="0"/>
          <w:numId w:val="24"/>
        </w:numPr>
        <w:shd w:val="clear" w:color="auto" w:fill="FEFEFE"/>
        <w:overflowPunct w:val="0"/>
        <w:autoSpaceDE w:val="0"/>
        <w:autoSpaceDN w:val="0"/>
        <w:adjustRightInd w:val="0"/>
        <w:ind w:left="567" w:hanging="567"/>
        <w:contextualSpacing/>
        <w:textAlignment w:val="baseline"/>
        <w:rPr>
          <w:color w:val="333333"/>
        </w:rPr>
      </w:pPr>
      <w:r>
        <w:t>hace un llamamiento a favor de una acción decisiva y coordinada de la UE para crear una industria competitiva para la fabricación de pilas y baterías de sodio. Esta tecnología avanza en todo el mundo, y Europa corre el riesgo de ver cómo se amplía la brecha;</w:t>
      </w:r>
    </w:p>
    <w:p w14:paraId="03706BAA" w14:textId="77777777" w:rsidR="00E25EB4" w:rsidRPr="007526DA" w:rsidRDefault="00E25EB4" w:rsidP="007526DA">
      <w:pPr>
        <w:numPr>
          <w:ilvl w:val="0"/>
          <w:numId w:val="24"/>
        </w:numPr>
        <w:shd w:val="clear" w:color="auto" w:fill="FEFEFE"/>
        <w:overflowPunct w:val="0"/>
        <w:autoSpaceDE w:val="0"/>
        <w:autoSpaceDN w:val="0"/>
        <w:adjustRightInd w:val="0"/>
        <w:ind w:left="567" w:hanging="567"/>
        <w:contextualSpacing/>
        <w:textAlignment w:val="baseline"/>
        <w:rPr>
          <w:color w:val="333333"/>
        </w:rPr>
      </w:pPr>
      <w:r>
        <w:t>recomienda que se actualice el itinerario industrial para las pilas y baterías, tanto de litio como de sodio, que debe incluir una hoja de ruta que aborde las necesidades sociales y de mano de obra y prever una inversión en capacidades, movilidad de la mano de obra y participación estratégica de las pymes;</w:t>
      </w:r>
    </w:p>
    <w:p w14:paraId="0ADF1BAC" w14:textId="77777777" w:rsidR="00E25EB4" w:rsidRPr="007526DA" w:rsidRDefault="00E25EB4" w:rsidP="007526DA">
      <w:pPr>
        <w:numPr>
          <w:ilvl w:val="0"/>
          <w:numId w:val="24"/>
        </w:numPr>
        <w:shd w:val="clear" w:color="auto" w:fill="FEFEFE"/>
        <w:overflowPunct w:val="0"/>
        <w:autoSpaceDE w:val="0"/>
        <w:autoSpaceDN w:val="0"/>
        <w:adjustRightInd w:val="0"/>
        <w:ind w:left="567" w:hanging="567"/>
        <w:contextualSpacing/>
        <w:textAlignment w:val="baseline"/>
        <w:rPr>
          <w:color w:val="333333"/>
        </w:rPr>
      </w:pPr>
      <w:r>
        <w:t xml:space="preserve">insiste en la importancia de romper los compartimentos políticos estancos y de armonizar las estrategias clave de la Unión (Brújula para la Competitividad, Estrategia de Preparación de la Unión, Plan de Acción para la Economía Circular y Estrategia Europea de Resiliencia Hídrica) para desarrollar una cadena de valor europea de pilas y baterías de sodio que contribuya a la consecución de los objetivos estratégicos de Europa; </w:t>
      </w:r>
    </w:p>
    <w:p w14:paraId="2C3550D4" w14:textId="77777777" w:rsidR="00E25EB4" w:rsidRPr="007526DA" w:rsidRDefault="00E25EB4" w:rsidP="007526DA">
      <w:pPr>
        <w:numPr>
          <w:ilvl w:val="0"/>
          <w:numId w:val="24"/>
        </w:numPr>
        <w:shd w:val="clear" w:color="auto" w:fill="FEFEFE"/>
        <w:overflowPunct w:val="0"/>
        <w:autoSpaceDE w:val="0"/>
        <w:autoSpaceDN w:val="0"/>
        <w:adjustRightInd w:val="0"/>
        <w:ind w:left="567" w:hanging="567"/>
        <w:contextualSpacing/>
        <w:textAlignment w:val="baseline"/>
        <w:rPr>
          <w:color w:val="333333"/>
        </w:rPr>
      </w:pPr>
      <w:r>
        <w:t>recomienda, entre otras cosas, subvenciones a la inversión, créditos fiscales a la producción, convocatorias específicas de proyectos o vales de inversión para la cooperación de la industria con las organizaciones de investigación y tecnología;</w:t>
      </w:r>
    </w:p>
    <w:p w14:paraId="146AA976" w14:textId="77777777" w:rsidR="00E25EB4" w:rsidRPr="007526DA" w:rsidRDefault="00E25EB4" w:rsidP="007526DA">
      <w:pPr>
        <w:numPr>
          <w:ilvl w:val="0"/>
          <w:numId w:val="24"/>
        </w:numPr>
        <w:shd w:val="clear" w:color="auto" w:fill="FEFEFE"/>
        <w:overflowPunct w:val="0"/>
        <w:autoSpaceDE w:val="0"/>
        <w:autoSpaceDN w:val="0"/>
        <w:adjustRightInd w:val="0"/>
        <w:ind w:left="567" w:hanging="567"/>
        <w:contextualSpacing/>
        <w:textAlignment w:val="baseline"/>
      </w:pPr>
      <w:r>
        <w:t>pide un apoyo público flexible que evite los bloqueos prematuros y una mayor colaboración en I+D cofinanciada por los gobiernos y la industria;</w:t>
      </w:r>
    </w:p>
    <w:p w14:paraId="5AF3E28A" w14:textId="77777777" w:rsidR="00E25EB4" w:rsidRPr="007526DA" w:rsidRDefault="00E25EB4" w:rsidP="007526DA">
      <w:pPr>
        <w:numPr>
          <w:ilvl w:val="0"/>
          <w:numId w:val="24"/>
        </w:numPr>
        <w:shd w:val="clear" w:color="auto" w:fill="FEFEFE"/>
        <w:overflowPunct w:val="0"/>
        <w:autoSpaceDE w:val="0"/>
        <w:autoSpaceDN w:val="0"/>
        <w:adjustRightInd w:val="0"/>
        <w:ind w:left="567" w:hanging="567"/>
        <w:contextualSpacing/>
        <w:textAlignment w:val="baseline"/>
      </w:pPr>
      <w:r>
        <w:t>reconoce el potencial de convertir las instalaciones industriales que se encuentran actualmente inactivas o cerradas en gigafábricas de pilas y baterías de sodio, lo cual representaría un uso de las infraestructuras existentes eficiente y respetuoso con el medio ambiente;</w:t>
      </w:r>
    </w:p>
    <w:p w14:paraId="5946BDB2" w14:textId="77777777" w:rsidR="00E25EB4" w:rsidRPr="00713CC2" w:rsidRDefault="00E25EB4" w:rsidP="007526DA">
      <w:pPr>
        <w:numPr>
          <w:ilvl w:val="0"/>
          <w:numId w:val="24"/>
        </w:numPr>
        <w:shd w:val="clear" w:color="auto" w:fill="FEFEFE"/>
        <w:overflowPunct w:val="0"/>
        <w:autoSpaceDE w:val="0"/>
        <w:autoSpaceDN w:val="0"/>
        <w:adjustRightInd w:val="0"/>
        <w:ind w:left="567" w:hanging="567"/>
        <w:contextualSpacing/>
        <w:textAlignment w:val="baseline"/>
      </w:pPr>
      <w:r>
        <w:t>reconoce la importancia de integrar en esta industria manufacturera el diseño ecológico y el reciclado y de fomentar una cadena de valor circular para las pilas y baterías de sodio.</w:t>
      </w: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E25EB4" w:rsidRPr="00E25EB4" w14:paraId="3DADE2B6" w14:textId="77777777" w:rsidTr="00EE258B">
        <w:tc>
          <w:tcPr>
            <w:tcW w:w="1951" w:type="dxa"/>
          </w:tcPr>
          <w:p w14:paraId="16410084" w14:textId="77777777" w:rsidR="00E25EB4" w:rsidRPr="00E25EB4" w:rsidRDefault="00E25EB4" w:rsidP="00100EF9">
            <w:pPr>
              <w:overflowPunct w:val="0"/>
              <w:autoSpaceDE w:val="0"/>
              <w:autoSpaceDN w:val="0"/>
              <w:adjustRightInd w:val="0"/>
              <w:textAlignment w:val="baseline"/>
              <w:rPr>
                <w:i/>
              </w:rPr>
            </w:pPr>
            <w:r>
              <w:rPr>
                <w:b/>
                <w:i/>
              </w:rPr>
              <w:lastRenderedPageBreak/>
              <w:t>Contacto:</w:t>
            </w:r>
          </w:p>
        </w:tc>
        <w:tc>
          <w:tcPr>
            <w:tcW w:w="7229" w:type="dxa"/>
          </w:tcPr>
          <w:p w14:paraId="56BD77E8" w14:textId="5D11D232" w:rsidR="00E25EB4" w:rsidRPr="00153E09" w:rsidRDefault="00E25EB4" w:rsidP="00100EF9">
            <w:pPr>
              <w:overflowPunct w:val="0"/>
              <w:autoSpaceDE w:val="0"/>
              <w:autoSpaceDN w:val="0"/>
              <w:adjustRightInd w:val="0"/>
              <w:textAlignment w:val="baseline"/>
              <w:rPr>
                <w:bCs/>
                <w:i/>
              </w:rPr>
            </w:pPr>
            <w:r>
              <w:rPr>
                <w:i/>
              </w:rPr>
              <w:t>Luís BARBOSA E SILVA</w:t>
            </w:r>
          </w:p>
        </w:tc>
      </w:tr>
      <w:tr w:rsidR="00E25EB4" w:rsidRPr="00E25EB4" w14:paraId="6AE7CB28" w14:textId="77777777" w:rsidTr="00EE258B">
        <w:tc>
          <w:tcPr>
            <w:tcW w:w="1951" w:type="dxa"/>
          </w:tcPr>
          <w:p w14:paraId="52DF3B61" w14:textId="77777777" w:rsidR="00E25EB4" w:rsidRPr="00E25EB4" w:rsidRDefault="00E25EB4" w:rsidP="00100EF9">
            <w:pPr>
              <w:overflowPunct w:val="0"/>
              <w:autoSpaceDE w:val="0"/>
              <w:autoSpaceDN w:val="0"/>
              <w:adjustRightInd w:val="0"/>
              <w:textAlignment w:val="baseline"/>
              <w:rPr>
                <w:i/>
              </w:rPr>
            </w:pPr>
            <w:r>
              <w:rPr>
                <w:i/>
              </w:rPr>
              <w:t>Teléfono:</w:t>
            </w:r>
          </w:p>
        </w:tc>
        <w:tc>
          <w:tcPr>
            <w:tcW w:w="7229" w:type="dxa"/>
          </w:tcPr>
          <w:p w14:paraId="58F5DB38" w14:textId="05F56609" w:rsidR="00E25EB4" w:rsidRPr="00E25EB4" w:rsidRDefault="00E25EB4" w:rsidP="00100EF9">
            <w:pPr>
              <w:overflowPunct w:val="0"/>
              <w:autoSpaceDE w:val="0"/>
              <w:autoSpaceDN w:val="0"/>
              <w:adjustRightInd w:val="0"/>
              <w:textAlignment w:val="baseline"/>
              <w:rPr>
                <w:i/>
              </w:rPr>
            </w:pPr>
            <w:r>
              <w:rPr>
                <w:i/>
              </w:rPr>
              <w:t>+32 25468846</w:t>
            </w:r>
          </w:p>
        </w:tc>
      </w:tr>
      <w:tr w:rsidR="00E25EB4" w:rsidRPr="00E25EB4" w14:paraId="7DB45FE9" w14:textId="77777777" w:rsidTr="00EE258B">
        <w:trPr>
          <w:trHeight w:val="244"/>
        </w:trPr>
        <w:tc>
          <w:tcPr>
            <w:tcW w:w="1951" w:type="dxa"/>
          </w:tcPr>
          <w:p w14:paraId="5969B93D" w14:textId="77777777" w:rsidR="00E25EB4" w:rsidRPr="00E25EB4" w:rsidRDefault="00E25EB4" w:rsidP="00100EF9">
            <w:pPr>
              <w:overflowPunct w:val="0"/>
              <w:autoSpaceDE w:val="0"/>
              <w:autoSpaceDN w:val="0"/>
              <w:adjustRightInd w:val="0"/>
              <w:textAlignment w:val="baseline"/>
              <w:rPr>
                <w:i/>
              </w:rPr>
            </w:pPr>
            <w:r>
              <w:rPr>
                <w:i/>
              </w:rPr>
              <w:t>Correo electrónico:</w:t>
            </w:r>
          </w:p>
        </w:tc>
        <w:tc>
          <w:tcPr>
            <w:tcW w:w="7229" w:type="dxa"/>
          </w:tcPr>
          <w:p w14:paraId="47F42ECE" w14:textId="2676FE81" w:rsidR="00187E31" w:rsidRPr="00153E09" w:rsidRDefault="00E235D3" w:rsidP="00100EF9">
            <w:pPr>
              <w:overflowPunct w:val="0"/>
              <w:autoSpaceDE w:val="0"/>
              <w:autoSpaceDN w:val="0"/>
              <w:adjustRightInd w:val="0"/>
              <w:textAlignment w:val="baseline"/>
              <w:rPr>
                <w:i/>
                <w:iCs/>
              </w:rPr>
            </w:pPr>
            <w:hyperlink r:id="rId44" w:history="1">
              <w:r>
                <w:rPr>
                  <w:i/>
                  <w:color w:val="0000FF"/>
                  <w:u w:val="single"/>
                </w:rPr>
                <w:t>Luis.BarbosaESilva@eesc.europa.eu</w:t>
              </w:r>
            </w:hyperlink>
          </w:p>
        </w:tc>
      </w:tr>
    </w:tbl>
    <w:p w14:paraId="6D62AEE3" w14:textId="77777777" w:rsidR="00150371" w:rsidRDefault="00150371" w:rsidP="00100EF9">
      <w:pPr>
        <w:overflowPunct w:val="0"/>
        <w:autoSpaceDE w:val="0"/>
        <w:autoSpaceDN w:val="0"/>
        <w:adjustRightInd w:val="0"/>
        <w:jc w:val="center"/>
        <w:textAlignment w:val="baseline"/>
      </w:pPr>
    </w:p>
    <w:p w14:paraId="2E28EF19" w14:textId="39542D82" w:rsidR="000D394D" w:rsidRPr="00205469" w:rsidRDefault="00E25EB4" w:rsidP="00100EF9">
      <w:pPr>
        <w:overflowPunct w:val="0"/>
        <w:autoSpaceDE w:val="0"/>
        <w:autoSpaceDN w:val="0"/>
        <w:adjustRightInd w:val="0"/>
        <w:jc w:val="center"/>
        <w:textAlignment w:val="baseline"/>
        <w:rPr>
          <w:szCs w:val="20"/>
        </w:rPr>
      </w:pPr>
      <w:r>
        <w:t>_____________</w:t>
      </w:r>
    </w:p>
    <w:sectPr w:rsidR="000D394D" w:rsidRPr="00205469" w:rsidSect="00153E09">
      <w:headerReference w:type="even" r:id="rId45"/>
      <w:headerReference w:type="default" r:id="rId46"/>
      <w:footerReference w:type="even" r:id="rId47"/>
      <w:footerReference w:type="default" r:id="rId48"/>
      <w:headerReference w:type="first" r:id="rId49"/>
      <w:footerReference w:type="first" r:id="rId50"/>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4386D" w14:textId="77777777" w:rsidR="009A2206" w:rsidRDefault="009A2206" w:rsidP="00B518C9">
      <w:pPr>
        <w:spacing w:line="240" w:lineRule="auto"/>
      </w:pPr>
      <w:r>
        <w:separator/>
      </w:r>
    </w:p>
  </w:endnote>
  <w:endnote w:type="continuationSeparator" w:id="0">
    <w:p w14:paraId="16819716" w14:textId="77777777" w:rsidR="009A2206" w:rsidRDefault="009A2206"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AA344" w14:textId="77777777" w:rsidR="00153E09" w:rsidRPr="00153E09" w:rsidRDefault="00153E09" w:rsidP="00153E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2DE51" w14:textId="1EF32E47" w:rsidR="00B518C9" w:rsidRPr="00153E09" w:rsidRDefault="00153E09" w:rsidP="00153E09">
    <w:pPr>
      <w:pStyle w:val="Footer"/>
    </w:pPr>
    <w:r>
      <w:t xml:space="preserve">EESC-2026-00247-00-00-TCD-TRA (EN) </w:t>
    </w:r>
    <w:r>
      <w:fldChar w:fldCharType="begin"/>
    </w:r>
    <w:r>
      <w:instrText xml:space="preserve"> PAGE  \* Arabic  \* MERGEFORMAT </w:instrText>
    </w:r>
    <w:r>
      <w:fldChar w:fldCharType="separate"/>
    </w:r>
    <w:r w:rsidR="00E235D3">
      <w:t>1</w:t>
    </w:r>
    <w:r>
      <w:fldChar w:fldCharType="end"/>
    </w:r>
    <w:r>
      <w:t>/</w:t>
    </w:r>
    <w:fldSimple w:instr=" NUMPAGES ">
      <w:r w:rsidR="00E235D3">
        <w:t>15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242C2" w14:textId="77777777" w:rsidR="00153E09" w:rsidRPr="00153E09" w:rsidRDefault="00153E09" w:rsidP="00153E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E809" w14:textId="77777777" w:rsidR="00153E09" w:rsidRPr="00153E09" w:rsidRDefault="00153E09" w:rsidP="00153E0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67402" w14:textId="0C6B551C" w:rsidR="00153E09" w:rsidRPr="00153E09" w:rsidRDefault="00153E09" w:rsidP="00153E09">
    <w:pPr>
      <w:pStyle w:val="Footer"/>
    </w:pPr>
    <w:r>
      <w:t xml:space="preserve">EESC-2026-00247-00-00-TCD-TRA (EN) </w:t>
    </w:r>
    <w:r>
      <w:fldChar w:fldCharType="begin"/>
    </w:r>
    <w:r>
      <w:instrText xml:space="preserve"> PAGE  \* Arabic  \* MERGEFORMAT </w:instrText>
    </w:r>
    <w:r>
      <w:fldChar w:fldCharType="separate"/>
    </w:r>
    <w:r w:rsidR="007526DA">
      <w:t>15</w:t>
    </w:r>
    <w:r>
      <w:fldChar w:fldCharType="end"/>
    </w:r>
    <w:r>
      <w:t>/</w:t>
    </w:r>
    <w:fldSimple w:instr=" NUMPAGES ">
      <w:r w:rsidR="007526DA">
        <w:t>15</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543FF" w14:textId="77777777" w:rsidR="00153E09" w:rsidRPr="00153E09" w:rsidRDefault="00153E09" w:rsidP="00153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11CDD" w14:textId="77777777" w:rsidR="009A2206" w:rsidRDefault="009A2206" w:rsidP="00B518C9">
      <w:pPr>
        <w:spacing w:line="240" w:lineRule="auto"/>
      </w:pPr>
      <w:r>
        <w:separator/>
      </w:r>
    </w:p>
  </w:footnote>
  <w:footnote w:type="continuationSeparator" w:id="0">
    <w:p w14:paraId="6802190A" w14:textId="77777777" w:rsidR="009A2206" w:rsidRDefault="009A2206" w:rsidP="00B51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055B" w14:textId="77777777" w:rsidR="00153E09" w:rsidRPr="00153E09" w:rsidRDefault="00153E09" w:rsidP="00153E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34852" w14:textId="3FAF7247" w:rsidR="00153E09" w:rsidRPr="00153E09" w:rsidRDefault="00153E09" w:rsidP="00153E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1D48A" w14:textId="77777777" w:rsidR="00153E09" w:rsidRPr="00153E09" w:rsidRDefault="00153E09" w:rsidP="00153E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52BE" w14:textId="77777777" w:rsidR="00153E09" w:rsidRPr="00153E09" w:rsidRDefault="00153E09" w:rsidP="00153E0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3AA39" w14:textId="04F245DB" w:rsidR="00153E09" w:rsidRPr="00153E09" w:rsidRDefault="00153E09" w:rsidP="00153E0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39C97" w14:textId="77777777" w:rsidR="00153E09" w:rsidRPr="00153E09" w:rsidRDefault="00153E09" w:rsidP="00153E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C8B8DD2E"/>
    <w:lvl w:ilvl="0">
      <w:start w:val="1"/>
      <w:numFmt w:val="decimal"/>
      <w:pStyle w:val="Heading1"/>
      <w:lvlText w:val="%1."/>
      <w:legacy w:legacy="1" w:legacySpace="0" w:legacyIndent="0"/>
      <w:lvlJc w:val="left"/>
      <w:rPr>
        <w:b/>
        <w:bCs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1D08466C"/>
    <w:lvl w:ilvl="0">
      <w:numFmt w:val="decimal"/>
      <w:lvlText w:val="*"/>
      <w:lvlJc w:val="left"/>
    </w:lvl>
  </w:abstractNum>
  <w:abstractNum w:abstractNumId="2" w15:restartNumberingAfterBreak="0">
    <w:nsid w:val="03A15EA7"/>
    <w:multiLevelType w:val="multilevel"/>
    <w:tmpl w:val="B450D112"/>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 w15:restartNumberingAfterBreak="0">
    <w:nsid w:val="0F9F7110"/>
    <w:multiLevelType w:val="hybridMultilevel"/>
    <w:tmpl w:val="7E8C5ED6"/>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129786E"/>
    <w:multiLevelType w:val="hybridMultilevel"/>
    <w:tmpl w:val="2960A99E"/>
    <w:lvl w:ilvl="0" w:tplc="C76041DE">
      <w:start w:val="1"/>
      <w:numFmt w:val="bullet"/>
      <w:lvlText w:val=""/>
      <w:lvlJc w:val="left"/>
      <w:pPr>
        <w:ind w:left="720" w:hanging="360"/>
      </w:pPr>
      <w:rPr>
        <w:rFonts w:ascii="Symbol" w:hAnsi="Symbol" w:hint="default"/>
        <w:sz w:val="28"/>
        <w:szCs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97976BE"/>
    <w:multiLevelType w:val="hybridMultilevel"/>
    <w:tmpl w:val="20F4A5FC"/>
    <w:lvl w:ilvl="0" w:tplc="FFFFFFFF">
      <w:start w:val="1"/>
      <w:numFmt w:val="bullet"/>
      <w:lvlText w:val=""/>
      <w:lvlJc w:val="left"/>
      <w:pPr>
        <w:ind w:left="720" w:hanging="360"/>
      </w:pPr>
      <w:rPr>
        <w:rFonts w:ascii="Symbol" w:hAnsi="Symbol" w:hint="default"/>
        <w:color w:val="auto"/>
      </w:rPr>
    </w:lvl>
    <w:lvl w:ilvl="1" w:tplc="1000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D2F3FBA"/>
    <w:multiLevelType w:val="hybridMultilevel"/>
    <w:tmpl w:val="BE9CD944"/>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06A28EE"/>
    <w:multiLevelType w:val="hybridMultilevel"/>
    <w:tmpl w:val="E7B48E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5223B38"/>
    <w:multiLevelType w:val="multilevel"/>
    <w:tmpl w:val="847E4C18"/>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9" w15:restartNumberingAfterBreak="0">
    <w:nsid w:val="274E0DB2"/>
    <w:multiLevelType w:val="hybridMultilevel"/>
    <w:tmpl w:val="CA00EAAE"/>
    <w:lvl w:ilvl="0" w:tplc="FFFFFFFF">
      <w:start w:val="1"/>
      <w:numFmt w:val="bullet"/>
      <w:lvlText w:val=""/>
      <w:lvlJc w:val="left"/>
      <w:pPr>
        <w:ind w:left="720" w:hanging="360"/>
      </w:pPr>
      <w:rPr>
        <w:rFonts w:ascii="Symbol" w:hAnsi="Symbol" w:hint="default"/>
        <w:color w:val="auto"/>
      </w:rPr>
    </w:lvl>
    <w:lvl w:ilvl="1" w:tplc="8E864B0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9DA3C5C"/>
    <w:multiLevelType w:val="hybridMultilevel"/>
    <w:tmpl w:val="8F5E9440"/>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2EAA6D68"/>
    <w:multiLevelType w:val="multilevel"/>
    <w:tmpl w:val="274C107E"/>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2" w15:restartNumberingAfterBreak="0">
    <w:nsid w:val="362E4D7F"/>
    <w:multiLevelType w:val="hybridMultilevel"/>
    <w:tmpl w:val="8C922762"/>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41216355"/>
    <w:multiLevelType w:val="hybridMultilevel"/>
    <w:tmpl w:val="DE10A170"/>
    <w:lvl w:ilvl="0" w:tplc="8E864B0C">
      <w:start w:val="1"/>
      <w:numFmt w:val="bullet"/>
      <w:lvlText w:val=""/>
      <w:lvlJc w:val="left"/>
      <w:pPr>
        <w:ind w:left="720" w:hanging="360"/>
      </w:pPr>
      <w:rPr>
        <w:rFonts w:ascii="Symbol" w:hAnsi="Symbol" w:hint="default"/>
        <w:color w:val="auto"/>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43527568"/>
    <w:multiLevelType w:val="hybridMultilevel"/>
    <w:tmpl w:val="F2789A4A"/>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70E2F27"/>
    <w:multiLevelType w:val="hybridMultilevel"/>
    <w:tmpl w:val="C60EBDA0"/>
    <w:lvl w:ilvl="0" w:tplc="8E864B0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79B5BA4"/>
    <w:multiLevelType w:val="multilevel"/>
    <w:tmpl w:val="D22C911E"/>
    <w:lvl w:ilvl="0">
      <w:start w:val="1"/>
      <w:numFmt w:val="bullet"/>
      <w:lvlText w:val=""/>
      <w:lvlJc w:val="left"/>
      <w:rPr>
        <w:rFonts w:ascii="Symbol" w:hAnsi="Symbol" w:hint="default"/>
      </w:rPr>
    </w:lvl>
    <w:lvl w:ilvl="1">
      <w:start w:val="1"/>
      <w:numFmt w:val="bullet"/>
      <w:lvlText w:val=""/>
      <w:lvlJc w:val="left"/>
      <w:pPr>
        <w:ind w:left="-252" w:hanging="360"/>
      </w:pPr>
      <w:rPr>
        <w:rFonts w:ascii="Symbol" w:hAnsi="Symbol" w:hint="default"/>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7" w15:restartNumberingAfterBreak="0">
    <w:nsid w:val="48954870"/>
    <w:multiLevelType w:val="hybridMultilevel"/>
    <w:tmpl w:val="718CAA2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8" w15:restartNumberingAfterBreak="0">
    <w:nsid w:val="4F0D630B"/>
    <w:multiLevelType w:val="hybridMultilevel"/>
    <w:tmpl w:val="C5CCC4D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9" w15:restartNumberingAfterBreak="0">
    <w:nsid w:val="51F858A5"/>
    <w:multiLevelType w:val="multilevel"/>
    <w:tmpl w:val="847E4C18"/>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0" w15:restartNumberingAfterBreak="0">
    <w:nsid w:val="54840386"/>
    <w:multiLevelType w:val="hybridMultilevel"/>
    <w:tmpl w:val="9E7C99B6"/>
    <w:lvl w:ilvl="0" w:tplc="DDE088C8">
      <w:start w:val="1"/>
      <w:numFmt w:val="bullet"/>
      <w:lvlText w:val=""/>
      <w:lvlJc w:val="left"/>
      <w:pPr>
        <w:ind w:left="720" w:hanging="360"/>
      </w:pPr>
      <w:rPr>
        <w:rFonts w:ascii="Symbol" w:hAnsi="Symbol" w:hint="default"/>
        <w:color w:val="auto"/>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51C4B27"/>
    <w:multiLevelType w:val="hybridMultilevel"/>
    <w:tmpl w:val="998C3E8A"/>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5BDD7A66"/>
    <w:multiLevelType w:val="hybridMultilevel"/>
    <w:tmpl w:val="DEB8F97A"/>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3" w15:restartNumberingAfterBreak="0">
    <w:nsid w:val="68D16D5B"/>
    <w:multiLevelType w:val="hybridMultilevel"/>
    <w:tmpl w:val="9BE07FF0"/>
    <w:lvl w:ilvl="0" w:tplc="8E864B0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9E014D1"/>
    <w:multiLevelType w:val="hybridMultilevel"/>
    <w:tmpl w:val="84DED000"/>
    <w:lvl w:ilvl="0" w:tplc="4D645226">
      <w:start w:val="1"/>
      <w:numFmt w:val="bullet"/>
      <w:lvlText w:val=""/>
      <w:lvlJc w:val="left"/>
      <w:pPr>
        <w:ind w:left="1637"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5" w15:restartNumberingAfterBreak="0">
    <w:nsid w:val="72323163"/>
    <w:multiLevelType w:val="hybridMultilevel"/>
    <w:tmpl w:val="31FAA748"/>
    <w:lvl w:ilvl="0" w:tplc="FFFFFFFF">
      <w:start w:val="1"/>
      <w:numFmt w:val="bullet"/>
      <w:lvlText w:val=""/>
      <w:lvlJc w:val="left"/>
      <w:pPr>
        <w:ind w:left="720" w:hanging="360"/>
      </w:pPr>
      <w:rPr>
        <w:rFonts w:ascii="Symbol" w:hAnsi="Symbol" w:hint="default"/>
        <w:color w:val="auto"/>
      </w:rPr>
    </w:lvl>
    <w:lvl w:ilvl="1" w:tplc="8E864B0C">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4D00E4B"/>
    <w:multiLevelType w:val="hybridMultilevel"/>
    <w:tmpl w:val="654ED096"/>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700E66"/>
    <w:multiLevelType w:val="hybridMultilevel"/>
    <w:tmpl w:val="0F0456B0"/>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num w:numId="1" w16cid:durableId="1043670866">
    <w:abstractNumId w:val="0"/>
  </w:num>
  <w:num w:numId="2" w16cid:durableId="632950818">
    <w:abstractNumId w:val="24"/>
  </w:num>
  <w:num w:numId="3" w16cid:durableId="2069768606">
    <w:abstractNumId w:val="27"/>
  </w:num>
  <w:num w:numId="4" w16cid:durableId="1807893985">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5" w16cid:durableId="1856311089">
    <w:abstractNumId w:val="18"/>
  </w:num>
  <w:num w:numId="6" w16cid:durableId="1844976059">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7" w16cid:durableId="451363882">
    <w:abstractNumId w:val="11"/>
  </w:num>
  <w:num w:numId="8" w16cid:durableId="1434745164">
    <w:abstractNumId w:val="8"/>
  </w:num>
  <w:num w:numId="9" w16cid:durableId="1168133798">
    <w:abstractNumId w:val="19"/>
  </w:num>
  <w:num w:numId="10" w16cid:durableId="1245257814">
    <w:abstractNumId w:val="16"/>
  </w:num>
  <w:num w:numId="11" w16cid:durableId="1189101429">
    <w:abstractNumId w:val="20"/>
  </w:num>
  <w:num w:numId="12" w16cid:durableId="320038614">
    <w:abstractNumId w:val="4"/>
  </w:num>
  <w:num w:numId="13" w16cid:durableId="963778286">
    <w:abstractNumId w:val="7"/>
  </w:num>
  <w:num w:numId="14" w16cid:durableId="2002854990">
    <w:abstractNumId w:val="14"/>
  </w:num>
  <w:num w:numId="15" w16cid:durableId="545532230">
    <w:abstractNumId w:val="17"/>
  </w:num>
  <w:num w:numId="16" w16cid:durableId="1607615440">
    <w:abstractNumId w:val="26"/>
  </w:num>
  <w:num w:numId="17" w16cid:durableId="97484513">
    <w:abstractNumId w:val="3"/>
  </w:num>
  <w:num w:numId="18" w16cid:durableId="1179006011">
    <w:abstractNumId w:val="25"/>
  </w:num>
  <w:num w:numId="19" w16cid:durableId="1466972265">
    <w:abstractNumId w:val="28"/>
  </w:num>
  <w:num w:numId="20" w16cid:durableId="550503024">
    <w:abstractNumId w:val="23"/>
  </w:num>
  <w:num w:numId="21" w16cid:durableId="881791496">
    <w:abstractNumId w:val="9"/>
  </w:num>
  <w:num w:numId="22" w16cid:durableId="1168906940">
    <w:abstractNumId w:val="15"/>
  </w:num>
  <w:num w:numId="23" w16cid:durableId="1229802066">
    <w:abstractNumId w:val="2"/>
  </w:num>
  <w:num w:numId="24" w16cid:durableId="1753429552">
    <w:abstractNumId w:val="6"/>
  </w:num>
  <w:num w:numId="25" w16cid:durableId="352918769">
    <w:abstractNumId w:val="22"/>
  </w:num>
  <w:num w:numId="26" w16cid:durableId="1966346048">
    <w:abstractNumId w:val="5"/>
  </w:num>
  <w:num w:numId="27" w16cid:durableId="722557746">
    <w:abstractNumId w:val="12"/>
  </w:num>
  <w:num w:numId="28" w16cid:durableId="868959007">
    <w:abstractNumId w:val="10"/>
  </w:num>
  <w:num w:numId="29" w16cid:durableId="683164903">
    <w:abstractNumId w:val="13"/>
  </w:num>
  <w:num w:numId="30" w16cid:durableId="147202096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4364"/>
    <w:rsid w:val="00010A4D"/>
    <w:rsid w:val="00043E7B"/>
    <w:rsid w:val="000638B5"/>
    <w:rsid w:val="00063DFF"/>
    <w:rsid w:val="000D394D"/>
    <w:rsid w:val="00100EF9"/>
    <w:rsid w:val="00120A45"/>
    <w:rsid w:val="00124E6A"/>
    <w:rsid w:val="001313E0"/>
    <w:rsid w:val="00150371"/>
    <w:rsid w:val="00153E09"/>
    <w:rsid w:val="001653D7"/>
    <w:rsid w:val="00167743"/>
    <w:rsid w:val="00170C1C"/>
    <w:rsid w:val="00187E31"/>
    <w:rsid w:val="001A1F1F"/>
    <w:rsid w:val="001A58BD"/>
    <w:rsid w:val="001A7538"/>
    <w:rsid w:val="001E391D"/>
    <w:rsid w:val="00205469"/>
    <w:rsid w:val="00210CBF"/>
    <w:rsid w:val="002419D9"/>
    <w:rsid w:val="00250B70"/>
    <w:rsid w:val="00256B74"/>
    <w:rsid w:val="0027149A"/>
    <w:rsid w:val="00274F1A"/>
    <w:rsid w:val="0027678C"/>
    <w:rsid w:val="002A5636"/>
    <w:rsid w:val="002B7981"/>
    <w:rsid w:val="002D77C8"/>
    <w:rsid w:val="002F4AD1"/>
    <w:rsid w:val="00302594"/>
    <w:rsid w:val="003066BE"/>
    <w:rsid w:val="003066E2"/>
    <w:rsid w:val="003227CC"/>
    <w:rsid w:val="00322BA6"/>
    <w:rsid w:val="00326237"/>
    <w:rsid w:val="00340FA5"/>
    <w:rsid w:val="003452F9"/>
    <w:rsid w:val="003534E0"/>
    <w:rsid w:val="0037319B"/>
    <w:rsid w:val="0037722B"/>
    <w:rsid w:val="00384CD9"/>
    <w:rsid w:val="003B6923"/>
    <w:rsid w:val="003E1B8B"/>
    <w:rsid w:val="003F326D"/>
    <w:rsid w:val="003F4F92"/>
    <w:rsid w:val="003F66F7"/>
    <w:rsid w:val="003F79EF"/>
    <w:rsid w:val="00416286"/>
    <w:rsid w:val="00426372"/>
    <w:rsid w:val="0043191A"/>
    <w:rsid w:val="00433007"/>
    <w:rsid w:val="004475D6"/>
    <w:rsid w:val="00462F24"/>
    <w:rsid w:val="004A5CD7"/>
    <w:rsid w:val="004C4CDB"/>
    <w:rsid w:val="004C6DA8"/>
    <w:rsid w:val="004D1319"/>
    <w:rsid w:val="004D5F49"/>
    <w:rsid w:val="004D7AC0"/>
    <w:rsid w:val="00527B47"/>
    <w:rsid w:val="00532089"/>
    <w:rsid w:val="00532F99"/>
    <w:rsid w:val="005519A6"/>
    <w:rsid w:val="00557848"/>
    <w:rsid w:val="00586B4B"/>
    <w:rsid w:val="00594237"/>
    <w:rsid w:val="005A0BDA"/>
    <w:rsid w:val="005C2B2F"/>
    <w:rsid w:val="005C357F"/>
    <w:rsid w:val="005C6D36"/>
    <w:rsid w:val="005D3E1C"/>
    <w:rsid w:val="005E7651"/>
    <w:rsid w:val="00621347"/>
    <w:rsid w:val="00625CA3"/>
    <w:rsid w:val="00627FDF"/>
    <w:rsid w:val="00630779"/>
    <w:rsid w:val="00632B12"/>
    <w:rsid w:val="00641262"/>
    <w:rsid w:val="00646AC3"/>
    <w:rsid w:val="006553ED"/>
    <w:rsid w:val="00660482"/>
    <w:rsid w:val="00666301"/>
    <w:rsid w:val="006B2C49"/>
    <w:rsid w:val="006D2C8A"/>
    <w:rsid w:val="006D2D64"/>
    <w:rsid w:val="006E7051"/>
    <w:rsid w:val="00705489"/>
    <w:rsid w:val="00711298"/>
    <w:rsid w:val="00713CC2"/>
    <w:rsid w:val="007526DA"/>
    <w:rsid w:val="00753B41"/>
    <w:rsid w:val="00754027"/>
    <w:rsid w:val="007652C3"/>
    <w:rsid w:val="00766B1A"/>
    <w:rsid w:val="007E284A"/>
    <w:rsid w:val="007F5784"/>
    <w:rsid w:val="008072FE"/>
    <w:rsid w:val="008402C8"/>
    <w:rsid w:val="00845F24"/>
    <w:rsid w:val="00846483"/>
    <w:rsid w:val="00881A01"/>
    <w:rsid w:val="0088219D"/>
    <w:rsid w:val="00892105"/>
    <w:rsid w:val="008B1A24"/>
    <w:rsid w:val="008B4127"/>
    <w:rsid w:val="008D7FAC"/>
    <w:rsid w:val="009277D3"/>
    <w:rsid w:val="00933300"/>
    <w:rsid w:val="009338FC"/>
    <w:rsid w:val="009348BC"/>
    <w:rsid w:val="00940A7B"/>
    <w:rsid w:val="00950272"/>
    <w:rsid w:val="00974BD0"/>
    <w:rsid w:val="009858F5"/>
    <w:rsid w:val="009A2206"/>
    <w:rsid w:val="009A66B9"/>
    <w:rsid w:val="009B3AED"/>
    <w:rsid w:val="00A05217"/>
    <w:rsid w:val="00A0600A"/>
    <w:rsid w:val="00A20E9D"/>
    <w:rsid w:val="00A22C83"/>
    <w:rsid w:val="00A272B2"/>
    <w:rsid w:val="00A3284F"/>
    <w:rsid w:val="00A43668"/>
    <w:rsid w:val="00A4486C"/>
    <w:rsid w:val="00A50553"/>
    <w:rsid w:val="00AD49F5"/>
    <w:rsid w:val="00AD4D97"/>
    <w:rsid w:val="00AF0EB2"/>
    <w:rsid w:val="00AF2146"/>
    <w:rsid w:val="00B11622"/>
    <w:rsid w:val="00B203DA"/>
    <w:rsid w:val="00B241B1"/>
    <w:rsid w:val="00B458B2"/>
    <w:rsid w:val="00B518C9"/>
    <w:rsid w:val="00B55C6C"/>
    <w:rsid w:val="00B922EA"/>
    <w:rsid w:val="00BA0232"/>
    <w:rsid w:val="00BA6AA9"/>
    <w:rsid w:val="00BC7ED2"/>
    <w:rsid w:val="00BD64BD"/>
    <w:rsid w:val="00BE54B3"/>
    <w:rsid w:val="00BE5CBC"/>
    <w:rsid w:val="00BF79AB"/>
    <w:rsid w:val="00C008B4"/>
    <w:rsid w:val="00C17ABD"/>
    <w:rsid w:val="00C26C67"/>
    <w:rsid w:val="00C821A5"/>
    <w:rsid w:val="00CC7D10"/>
    <w:rsid w:val="00CF196A"/>
    <w:rsid w:val="00D05167"/>
    <w:rsid w:val="00D0608D"/>
    <w:rsid w:val="00D33B4E"/>
    <w:rsid w:val="00D43613"/>
    <w:rsid w:val="00D505CF"/>
    <w:rsid w:val="00D66BF5"/>
    <w:rsid w:val="00D70520"/>
    <w:rsid w:val="00D7076A"/>
    <w:rsid w:val="00D81F5E"/>
    <w:rsid w:val="00D92269"/>
    <w:rsid w:val="00DE176A"/>
    <w:rsid w:val="00DF392C"/>
    <w:rsid w:val="00DF7590"/>
    <w:rsid w:val="00DF78D0"/>
    <w:rsid w:val="00E00A6B"/>
    <w:rsid w:val="00E2062A"/>
    <w:rsid w:val="00E235D3"/>
    <w:rsid w:val="00E25EB4"/>
    <w:rsid w:val="00E77899"/>
    <w:rsid w:val="00EE1B31"/>
    <w:rsid w:val="00EE258B"/>
    <w:rsid w:val="00EF5581"/>
    <w:rsid w:val="00F15673"/>
    <w:rsid w:val="00F172E5"/>
    <w:rsid w:val="00F253CA"/>
    <w:rsid w:val="00F25B2E"/>
    <w:rsid w:val="00F43315"/>
    <w:rsid w:val="00F55F11"/>
    <w:rsid w:val="00F604AD"/>
    <w:rsid w:val="00F83C17"/>
    <w:rsid w:val="00F96D7F"/>
    <w:rsid w:val="00FA7B95"/>
    <w:rsid w:val="00FB4220"/>
    <w:rsid w:val="00FC178B"/>
    <w:rsid w:val="00FC456F"/>
    <w:rsid w:val="00FC4D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2D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table" w:customStyle="1" w:styleId="TableGrid1">
    <w:name w:val="Table Grid1"/>
    <w:basedOn w:val="TableNormal"/>
    <w:next w:val="TableGrid"/>
    <w:rsid w:val="001A1F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27F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7652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32F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55C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5942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1653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534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E25E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62134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4CDB"/>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3066E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esc.europa.eu/es/our-work/opinions-information-reports/plenary-session-summaries" TargetMode="External"/><Relationship Id="rId18" Type="http://schemas.openxmlformats.org/officeDocument/2006/relationships/footer" Target="footer2.xml"/><Relationship Id="rId26" Type="http://schemas.openxmlformats.org/officeDocument/2006/relationships/hyperlink" Target="mailto:Georgios.Meleas@eesc.europa.eu" TargetMode="External"/><Relationship Id="rId39" Type="http://schemas.openxmlformats.org/officeDocument/2006/relationships/hyperlink" Target="mailto:Gaia.Bottoni@eesc.europa.eu" TargetMode="External"/><Relationship Id="rId21" Type="http://schemas.openxmlformats.org/officeDocument/2006/relationships/hyperlink" Target="https://www.eesc.europa.eu/es/our-work/opinions-information-reports/opinions/eppo-and-olaf-access-vat-information-union-level" TargetMode="External"/><Relationship Id="rId34" Type="http://schemas.openxmlformats.org/officeDocument/2006/relationships/hyperlink" Target="https://health.ec.europa.eu/one-health/overview_en" TargetMode="External"/><Relationship Id="rId42" Type="http://schemas.openxmlformats.org/officeDocument/2006/relationships/hyperlink" Target="mailto:Adam.Dorywalski@eesc.europa.eu" TargetMode="External"/><Relationship Id="rId47" Type="http://schemas.openxmlformats.org/officeDocument/2006/relationships/footer" Target="footer4.xml"/><Relationship Id="rId50" Type="http://schemas.openxmlformats.org/officeDocument/2006/relationships/footer" Target="footer6.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www.eesc.europa.eu/es/our-work/opinions-information-reports/opinions/union-support-asylum-migration-and-integration-internal-security-and-integrated-border-management-and-visa-policy" TargetMode="External"/><Relationship Id="rId11" Type="http://schemas.openxmlformats.org/officeDocument/2006/relationships/endnotes" Target="endnotes.xml"/><Relationship Id="rId24" Type="http://schemas.openxmlformats.org/officeDocument/2006/relationships/hyperlink" Target="mailto:Anna.Pantazi@eesc.europa.eu" TargetMode="External"/><Relationship Id="rId32" Type="http://schemas.openxmlformats.org/officeDocument/2006/relationships/hyperlink" Target="https://www.europarl.europa.eu/RegData/etudes/ATAG/2025/779215/EPRS_ATA(2025)779215_EN.pdf" TargetMode="External"/><Relationship Id="rId37" Type="http://schemas.openxmlformats.org/officeDocument/2006/relationships/hyperlink" Target="mailto:GiorgiaAndrea.Bordignon@eesc.europa.eu" TargetMode="External"/><Relationship Id="rId40" Type="http://schemas.openxmlformats.org/officeDocument/2006/relationships/hyperlink" Target="https://www.eesc.europa.eu/our-work/opinions-information-reports/opinions/amending-regulation-eu-20241252-critical-raw-materials-act" TargetMode="External"/><Relationship Id="rId45"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eesc.europa.eu/es/our-work/opinions-information-reports/opinions/2026-european-semester-autumn-package" TargetMode="External"/><Relationship Id="rId28" Type="http://schemas.openxmlformats.org/officeDocument/2006/relationships/hyperlink" Target="mailto:Juri.Soosaar@eesc.europa.eu" TargetMode="External"/><Relationship Id="rId36" Type="http://schemas.openxmlformats.org/officeDocument/2006/relationships/hyperlink" Target="https://www.eesc.europa.eu/es/our-work/opinions-information-reports/opinions/energy-connectivity-electricity-grids" TargetMode="External"/><Relationship Id="rId49"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https://www.eesc.europa.eu/es/our-work/opinions-information-reports/opinions/european-life-science-strategy-along-strategy-research-and-technology-infrastructures-focus-treatment-rare-diseases" TargetMode="External"/><Relationship Id="rId44" Type="http://schemas.openxmlformats.org/officeDocument/2006/relationships/hyperlink" Target="mailto:Luis.BarbosaESilva@eesc.europa.eu"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msearch.eesc.europa.eu/search/opinion" TargetMode="External"/><Relationship Id="rId22" Type="http://schemas.openxmlformats.org/officeDocument/2006/relationships/hyperlink" Target="mailto:Juri.Soosaar@eesc.europa.eu" TargetMode="External"/><Relationship Id="rId27" Type="http://schemas.openxmlformats.org/officeDocument/2006/relationships/hyperlink" Target="https://www.eesc.europa.eu/es/our-work/opinions-information-reports/opinions/revision-tobacco-taxation-directive" TargetMode="External"/><Relationship Id="rId30" Type="http://schemas.openxmlformats.org/officeDocument/2006/relationships/hyperlink" Target="mailto:gemma.amran@eesc.europa.eu" TargetMode="External"/><Relationship Id="rId35" Type="http://schemas.openxmlformats.org/officeDocument/2006/relationships/hyperlink" Target="mailto:Konstantina.Angelopoulou@eesc.europa.eu" TargetMode="External"/><Relationship Id="rId43" Type="http://schemas.openxmlformats.org/officeDocument/2006/relationships/hyperlink" Target="https://www.eesc.europa.eu/es/our-work/opinions-information-reports/opinions/enhancing-eu-strategic-autonomy-and-developing-greener-and-bluer-economy-potential-sodium-battery-manufacturing-sector" TargetMode="External"/><Relationship Id="rId48" Type="http://schemas.openxmlformats.org/officeDocument/2006/relationships/footer" Target="footer5.xm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https://www.eesc.europa.eu/es/our-work/opinions-information-reports/opinions/island-dimension-european-cohesion-competitiveness-and-sustainable-development-policies" TargetMode="External"/><Relationship Id="rId33" Type="http://schemas.openxmlformats.org/officeDocument/2006/relationships/hyperlink" Target="https://health.ec.europa.eu/publications/tartu-call-healthy-lifestyle-joint-actions-promote-healthy-lifestyles_en" TargetMode="External"/><Relationship Id="rId38" Type="http://schemas.openxmlformats.org/officeDocument/2006/relationships/hyperlink" Target="https://www.eesc.europa.eu/es/our-work/opinions-information-reports/opinions/roadmap-towards-nature-credits" TargetMode="External"/><Relationship Id="rId46" Type="http://schemas.openxmlformats.org/officeDocument/2006/relationships/header" Target="header5.xml"/><Relationship Id="rId20" Type="http://schemas.openxmlformats.org/officeDocument/2006/relationships/footer" Target="footer3.xml"/><Relationship Id="rId41" Type="http://schemas.openxmlformats.org/officeDocument/2006/relationships/hyperlink" Target="https://eur-lex.europa.eu/legal-content/ES/TXT/?uri=CELEX%3A52023AE1573"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42CFDF3EA65A64469BBC042F89C9AB74" ma:contentTypeVersion="4" ma:contentTypeDescription="Defines the documents for Document Manager V2" ma:contentTypeScope="" ma:versionID="950fd1e17e619020af71b7c808e1ed46">
  <xsd:schema xmlns:xsd="http://www.w3.org/2001/XMLSchema" xmlns:xs="http://www.w3.org/2001/XMLSchema" xmlns:p="http://schemas.microsoft.com/office/2006/metadata/properties" xmlns:ns2="7d640e6d-779c-472f-a269-6b546787f1c9" xmlns:ns3="http://schemas.microsoft.com/sharepoint/v3/fields" xmlns:ns4="a95533f8-59af-4217-bc7a-c1167744adb0" targetNamespace="http://schemas.microsoft.com/office/2006/metadata/properties" ma:root="true" ma:fieldsID="6ac0e0394313d7e2a7cc0de55d4cf26a" ns2:_="" ns3:_="" ns4:_="">
    <xsd:import namespace="7d640e6d-779c-472f-a269-6b546787f1c9"/>
    <xsd:import namespace="http://schemas.microsoft.com/sharepoint/v3/fields"/>
    <xsd:import namespace="a95533f8-59af-4217-bc7a-c1167744adb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533f8-59af-4217-bc7a-c1167744adb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VP3JK3XSEPRV-2087481956-3324</_dlc_DocId>
    <_dlc_DocIdUrl xmlns="7d640e6d-779c-472f-a269-6b546787f1c9">
      <Url>http://dm/eesc/2026/_layouts/15/DocIdRedir.aspx?ID=VP3JK3XSEPRV-2087481956-3324</Url>
      <Description>VP3JK3XSEPRV-2087481956-3324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2026-03-04T12:00:00+00:00</ProductionDate>
    <DocumentNumber xmlns="a95533f8-59af-4217-bc7a-c1167744adb0">247</DocumentNumber>
    <FicheYear xmlns="7d640e6d-779c-472f-a269-6b546787f1c9" xsi:nil="true"/>
    <DossierNumber xmlns="7d640e6d-779c-472f-a269-6b546787f1c9"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7d640e6d-779c-472f-a269-6b546787f1c9">
      <Value>60</Value>
      <Value>59</Value>
      <Value>55</Value>
      <Value>51</Value>
      <Value>46</Value>
      <Value>45</Value>
      <Value>44</Value>
      <Value>43</Value>
      <Value>37</Value>
      <Value>36</Value>
      <Value>34</Value>
      <Value>32</Value>
      <Value>31</Value>
      <Value>30</Value>
      <Value>29</Value>
      <Value>28</Value>
      <Value>27</Value>
      <Value>25</Value>
      <Value>23</Value>
      <Value>19</Value>
      <Value>18</Value>
      <Value>13</Value>
      <Value>12</Value>
      <Value>11</Value>
      <Value>9</Value>
      <Value>7</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s>
    </DocumentLanguage_0>
    <MeetingDate xmlns="7d640e6d-779c-472f-a269-6b546787f1c9">2026-03-18T12:00:00+00:00</MeetingDat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7d640e6d-779c-472f-a269-6b546787f1c9" xsi:nil="true"/>
    <DocumentYear xmlns="7d640e6d-779c-472f-a269-6b546787f1c9">2026</DocumentYear>
    <FicheNumber xmlns="7d640e6d-779c-472f-a269-6b546787f1c9">300453</FicheNumber>
    <OriginalSender xmlns="7d640e6d-779c-472f-a269-6b546787f1c9">
      <UserInfo>
        <DisplayName>Piedra Molina Graciela</DisplayName>
        <AccountId>1621</AccountId>
        <AccountType/>
      </UserInfo>
    </OriginalSender>
    <DocumentPart xmlns="7d640e6d-779c-472f-a269-6b546787f1c9">0</DocumentPart>
    <AdoptionDate xmlns="7d640e6d-779c-472f-a269-6b546787f1c9" xsi:nil="true"/>
    <RequestingService xmlns="7d640e6d-779c-472f-a269-6b546787f1c9">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95533f8-59af-4217-bc7a-c1167744adb0">604</MeetingNumber>
    <DossierName_0 xmlns="http://schemas.microsoft.com/sharepoint/v3/fields">
      <Terms xmlns="http://schemas.microsoft.com/office/infopath/2007/PartnerControls"/>
    </DossierName_0>
    <DocumentVersion xmlns="7d640e6d-779c-472f-a269-6b546787f1c9">0</DocumentVers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35A8939-89E8-4A0F-8709-0651374F0971}"/>
</file>

<file path=customXml/itemProps2.xml><?xml version="1.0" encoding="utf-8"?>
<ds:datastoreItem xmlns:ds="http://schemas.openxmlformats.org/officeDocument/2006/customXml" ds:itemID="{4A03EBBC-B428-477F-AB6A-163022156F55}">
  <ds:schemaRefs>
    <ds:schemaRef ds:uri="http://schemas.openxmlformats.org/officeDocument/2006/bibliography"/>
  </ds:schemaRefs>
</ds:datastoreItem>
</file>

<file path=customXml/itemProps3.xml><?xml version="1.0" encoding="utf-8"?>
<ds:datastoreItem xmlns:ds="http://schemas.openxmlformats.org/officeDocument/2006/customXml" ds:itemID="{FA5B0471-EE33-4BA9-BB89-D492EFC236E6}">
  <ds:schemaRefs>
    <ds:schemaRef ds:uri="http://schemas.microsoft.com/office/2006/metadata/properties"/>
    <ds:schemaRef ds:uri="http://schemas.microsoft.com/office/infopath/2007/PartnerControls"/>
    <ds:schemaRef ds:uri="bdd5dab9-bfdd-4431-a245-30f3c6677de9"/>
    <ds:schemaRef ds:uri="http://schemas.microsoft.com/sharepoint/v3/fields"/>
    <ds:schemaRef ds:uri="eb21defb-1074-42ca-8d3e-c3f375910b41"/>
  </ds:schemaRefs>
</ds:datastoreItem>
</file>

<file path=customXml/itemProps4.xml><?xml version="1.0" encoding="utf-8"?>
<ds:datastoreItem xmlns:ds="http://schemas.openxmlformats.org/officeDocument/2006/customXml" ds:itemID="{A5982D98-2B49-4D8D-9E82-3A196D630916}">
  <ds:schemaRefs>
    <ds:schemaRef ds:uri="http://schemas.microsoft.com/sharepoint/v3/contenttype/forms"/>
  </ds:schemaRefs>
</ds:datastoreItem>
</file>

<file path=customXml/itemProps5.xml><?xml version="1.0" encoding="utf-8"?>
<ds:datastoreItem xmlns:ds="http://schemas.openxmlformats.org/officeDocument/2006/customXml" ds:itemID="{4550B7D9-B944-4719-A93C-2F495E041519}">
  <ds:schemaRefs>
    <ds:schemaRef ds:uri="http://schemas.microsoft.com/sharepoint/events"/>
  </ds:schemaRefs>
</ds:datastoreItem>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Template>
  <TotalTime>47</TotalTime>
  <Pages>18</Pages>
  <Words>5194</Words>
  <Characters>28988</Characters>
  <Application>Microsoft Office Word</Application>
  <DocSecurity>0</DocSecurity>
  <Lines>658</Lines>
  <Paragraphs>302</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Manager/>
  <Company/>
  <LinksUpToDate>false</LinksUpToDate>
  <CharactersWithSpaces>33880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Síntesis de los dictámenes - 603.º pleno - Febrero de 2026</dc:title>
  <dc:subject>ADMIN</dc:subject>
  <dc:creator/>
  <cp:keywords>COR-EESC-2022-02583-00-00-ADMIN-TRA-EN</cp:keywords>
  <dc:description>Rapporteur:  - Original language: EN - Date of document: 20/05/2022 - Date of meeting:  - External documents:  - Administrator:  SUCIU Serban</dc:description>
  <cp:lastModifiedBy/>
  <cp:revision>14</cp:revision>
  <dcterms:created xsi:type="dcterms:W3CDTF">2026-02-26T08:13:00Z</dcterms:created>
  <dcterms:modified xsi:type="dcterms:W3CDTF">2026-03-04T08:25:00Z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26/02/2026, 02/05/2022, 02/05/2022, 28/06/2021</vt:lpwstr>
  </property>
  <property fmtid="{D5CDD505-2E9C-101B-9397-08002B2CF9AE}" pid="4" name="Pref_Time">
    <vt:lpwstr>09:12:28, 12:28:29, 12:25:37, 08:41:48</vt:lpwstr>
  </property>
  <property fmtid="{D5CDD505-2E9C-101B-9397-08002B2CF9AE}" pid="5" name="Pref_User">
    <vt:lpwstr>amett, enied, enied, enied</vt:lpwstr>
  </property>
  <property fmtid="{D5CDD505-2E9C-101B-9397-08002B2CF9AE}" pid="6" name="Pref_FileName">
    <vt:lpwstr>EESC-2026-00247-00-00-TCD-ORI.docx, Summary of opinions.docx, COR-EESC-2022-02370-00-00-ADMIN-ORI.docx, Synthese des avis Template.docx</vt:lpwstr>
  </property>
  <property fmtid="{D5CDD505-2E9C-101B-9397-08002B2CF9AE}" pid="7" name="ContentTypeId">
    <vt:lpwstr>0x010100EA97B91038054C99906057A708A1480A0042CFDF3EA65A64469BBC042F89C9AB74</vt:lpwstr>
  </property>
  <property fmtid="{D5CDD505-2E9C-101B-9397-08002B2CF9AE}" pid="8" name="_dlc_DocIdItemGuid">
    <vt:lpwstr>6a1ca568-0de2-4ca1-9068-75a4a1e64a17</vt:lpwstr>
  </property>
  <property fmtid="{D5CDD505-2E9C-101B-9397-08002B2CF9AE}" pid="9" name="AvailableTranslations">
    <vt:lpwstr>60;#EL|6d4f4d51-af9b-4650-94b4-4276bee85c91;#34;#HR|2f555653-ed1a-4fe6-8362-9082d95989e5;#45;#SV|c2ed69e7-a339-43d7-8f22-d93680a92aa0;#43;#BG|1a1b3951-7821-4e6a-85f5-5673fc08bd2c;#37;#HU|6b229040-c589-4408-b4c1-4285663d20a8;#31;#SL|98a412ae-eb01-49e9-ae3d-585a81724cfc;#4;#EN|f2175f21-25d7-44a3-96da-d6a61b075e1b;#30;#SK|46d9fce0-ef79-4f71-b89b-cd6aa82426b8;#12;#ES|e7a6b05b-ae16-40c8-add9-68b64b03aeba;#46;#DA|5d49c027-8956-412b-aa16-e85a0f96ad0e;#32;#PL|1e03da61-4678-4e07-b136-b5024ca9197b;#29;#CS|72f9705b-0217-4fd3-bea2-cbc7ed80e26e;#11;#DE|f6b31e5a-26fa-4935-b661-318e46daf27e;#44;#LT|a7ff5ce7-6123-4f68-865a-a57c31810414;#25;#FI|87606a43-d45f-42d6-b8c9-e1a3457db5b7;#27;#ET|ff6c3f4c-b02c-4c3c-ab07-2c37995a7a0a;#23;#FR|d2afafd3-4c81-4f60-8f52-ee33f2f54ff3;#51;#LV|46f7e311-5d9f-4663-b433-18aeccb7ace7;#36;#NL|55c6556c-b4f4-441d-9acf-c498d4f838bd;#28;#PT|50ccc04a-eadd-42ae-a0cb-acaf45f812ba;#55;#RO|feb747a2-64cd-4299-af12-4833ddc30497;#13;#IT|0774613c-01ed-4e5d-a25d-11d2388de825</vt:lpwstr>
  </property>
  <property fmtid="{D5CDD505-2E9C-101B-9397-08002B2CF9AE}" pid="10" name="DocumentType_0">
    <vt:lpwstr>TCD|cd9d6eb6-3f4f-424a-b2d1-57c9d450eaaf</vt:lpwstr>
  </property>
  <property fmtid="{D5CDD505-2E9C-101B-9397-08002B2CF9AE}" pid="11" name="DocumentSource_0">
    <vt:lpwstr>EESC|422833ec-8d7e-4e65-8e4e-8bed07ffb729</vt:lpwstr>
  </property>
  <property fmtid="{D5CDD505-2E9C-101B-9397-08002B2CF9AE}" pid="12" name="ProductionDate">
    <vt:filetime>2022-05-18T12:00:00Z</vt:filetime>
  </property>
  <property fmtid="{D5CDD505-2E9C-101B-9397-08002B2CF9AE}" pid="13" name="DocumentNumber">
    <vt:i4>247</vt:i4>
  </property>
  <property fmtid="{D5CDD505-2E9C-101B-9397-08002B2CF9AE}" pid="14" name="DocumentVersion">
    <vt:i4>0</vt:i4>
  </property>
  <property fmtid="{D5CDD505-2E9C-101B-9397-08002B2CF9AE}" pid="15" name="DocumentStatus">
    <vt:lpwstr>9;#TRA|150d2a88-1431-44e6-a8ca-0bb753ab8672</vt:lpwstr>
  </property>
  <property fmtid="{D5CDD505-2E9C-101B-9397-08002B2CF9AE}" pid="16" name="DossierName">
    <vt:lpwstr/>
  </property>
  <property fmtid="{D5CDD505-2E9C-101B-9397-08002B2CF9AE}" pid="17" name="Confidentiality_0">
    <vt:lpwstr>Unrestricted|826e22d7-d029-4ec0-a450-0c28ff673572</vt:lpwstr>
  </property>
  <property fmtid="{D5CDD505-2E9C-101B-9397-08002B2CF9AE}" pid="18" name="Confidentiality">
    <vt:lpwstr>19;#Unrestricted|826e22d7-d029-4ec0-a450-0c28ff673572</vt:lpwstr>
  </property>
  <property fmtid="{D5CDD505-2E9C-101B-9397-08002B2CF9AE}" pid="19" name="OriginalLanguage">
    <vt:lpwstr>4;#EN|f2175f21-25d7-44a3-96da-d6a61b075e1b</vt:lpwstr>
  </property>
  <property fmtid="{D5CDD505-2E9C-101B-9397-08002B2CF9AE}" pid="20" name="MeetingName">
    <vt:lpwstr>59;#SPL-CES|32d8cb1f-c9ec-4365-95c7-8385a18618ac</vt:lpwstr>
  </property>
  <property fmtid="{D5CDD505-2E9C-101B-9397-08002B2CF9AE}" pid="21" name="TaxCatchAll">
    <vt:lpwstr>31;#SL|98a412ae-eb01-49e9-ae3d-585a81724cfc;#18;#TCD|cd9d6eb6-3f4f-424a-b2d1-57c9d450eaaf;#11;#DE|f6b31e5a-26fa-4935-b661-318e46daf27e;#9;#TRA|150d2a88-1431-44e6-a8ca-0bb753ab8672;#59;#SPL-CES|32d8cb1f-c9ec-4365-95c7-8385a18618ac;#7;#Final|ea5e6674-7b27-4bac-b091-73adbb394efe;#4;#EN|f2175f21-25d7-44a3-96da-d6a61b075e1b;#28;#PT|50ccc04a-eadd-42ae-a0cb-acaf45f812ba;#19;#Unrestricted|826e22d7-d029-4ec0-a450-0c28ff673572;#1;#EESC|422833ec-8d7e-4e65-8e4e-8bed07ffb729</vt:lpwstr>
  </property>
  <property fmtid="{D5CDD505-2E9C-101B-9397-08002B2CF9AE}" pid="22" name="DocumentLanguage_0">
    <vt:lpwstr>EN|f2175f21-25d7-44a3-96da-d6a61b075e1b</vt:lpwstr>
  </property>
  <property fmtid="{D5CDD505-2E9C-101B-9397-08002B2CF9AE}" pid="23" name="VersionStatus_0">
    <vt:lpwstr>Final|ea5e6674-7b27-4bac-b091-73adbb394efe</vt:lpwstr>
  </property>
  <property fmtid="{D5CDD505-2E9C-101B-9397-08002B2CF9AE}" pid="24" name="VersionStatus">
    <vt:lpwstr>7;#Final|ea5e6674-7b27-4bac-b091-73adbb394efe</vt:lpwstr>
  </property>
  <property fmtid="{D5CDD505-2E9C-101B-9397-08002B2CF9AE}" pid="25" name="DocumentYear">
    <vt:i4>2026</vt:i4>
  </property>
  <property fmtid="{D5CDD505-2E9C-101B-9397-08002B2CF9AE}" pid="26" name="FicheNumber">
    <vt:i4>300453</vt:i4>
  </property>
  <property fmtid="{D5CDD505-2E9C-101B-9397-08002B2CF9AE}" pid="27" name="OriginalSender">
    <vt:lpwstr>1528;#TDriveSVCUserProd</vt:lpwstr>
  </property>
  <property fmtid="{D5CDD505-2E9C-101B-9397-08002B2CF9AE}" pid="28" name="DocumentPart">
    <vt:i4>0</vt:i4>
  </property>
  <property fmtid="{D5CDD505-2E9C-101B-9397-08002B2CF9AE}" pid="29" name="DocumentSource">
    <vt:lpwstr>1;#EESC|422833ec-8d7e-4e65-8e4e-8bed07ffb729</vt:lpwstr>
  </property>
  <property fmtid="{D5CDD505-2E9C-101B-9397-08002B2CF9AE}" pid="30" name="DocumentType">
    <vt:lpwstr>18;#TCD|cd9d6eb6-3f4f-424a-b2d1-57c9d450eaaf</vt:lpwstr>
  </property>
  <property fmtid="{D5CDD505-2E9C-101B-9397-08002B2CF9AE}" pid="31" name="RequestingService">
    <vt:lpwstr>Greffe</vt:lpwstr>
  </property>
  <property fmtid="{D5CDD505-2E9C-101B-9397-08002B2CF9AE}" pid="32" name="DocumentLanguage">
    <vt:lpwstr>12;#ES|e7a6b05b-ae16-40c8-add9-68b64b03aeba</vt:lpwstr>
  </property>
  <property fmtid="{D5CDD505-2E9C-101B-9397-08002B2CF9AE}" pid="33" name="AvailableTranslations_0">
    <vt:lpwstr>SL|98a412ae-eb01-49e9-ae3d-585a81724cfc;EN|f2175f21-25d7-44a3-96da-d6a61b075e1b;DE|f6b31e5a-26fa-4935-b661-318e46daf27e;PT|50ccc04a-eadd-42ae-a0cb-acaf45f812ba</vt:lpwstr>
  </property>
  <property fmtid="{D5CDD505-2E9C-101B-9397-08002B2CF9AE}" pid="34" name="DocumentStatus_0">
    <vt:lpwstr>TRA|150d2a88-1431-44e6-a8ca-0bb753ab8672</vt:lpwstr>
  </property>
  <property fmtid="{D5CDD505-2E9C-101B-9397-08002B2CF9AE}" pid="35" name="OriginalLanguage_0">
    <vt:lpwstr>EN|f2175f21-25d7-44a3-96da-d6a61b075e1b</vt:lpwstr>
  </property>
  <property fmtid="{D5CDD505-2E9C-101B-9397-08002B2CF9AE}" pid="36" name="_docset_NoMedatataSyncRequired">
    <vt:lpwstr>False</vt:lpwstr>
  </property>
  <property fmtid="{D5CDD505-2E9C-101B-9397-08002B2CF9AE}" pid="37" name="MeetingName_0">
    <vt:lpwstr>SPL-CES|32d8cb1f-c9ec-4365-95c7-8385a18618ac</vt:lpwstr>
  </property>
  <property fmtid="{D5CDD505-2E9C-101B-9397-08002B2CF9AE}" pid="38" name="DossierName_0">
    <vt:lpwstr/>
  </property>
  <property fmtid="{D5CDD505-2E9C-101B-9397-08002B2CF9AE}" pid="39" name="MeetingNumber">
    <vt:i4>604</vt:i4>
  </property>
  <property fmtid="{D5CDD505-2E9C-101B-9397-08002B2CF9AE}" pid="40" name="MeetingDate">
    <vt:filetime>2026-03-18T12:00:00Z</vt:filetime>
  </property>
</Properties>
</file>