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7777777" w:rsidR="004D7AC0" w:rsidRDefault="004D7AC0" w:rsidP="00100EF9">
      <w:pPr>
        <w:jc w:val="center"/>
      </w:pPr>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anchorId="4982DE48" wp14:editId="4982DE4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Brussels,</w:t>
      </w:r>
      <w:r w:rsidR="00D66BF5">
        <w:t xml:space="preserve"> </w:t>
      </w:r>
      <w:r w:rsidR="00153E09">
        <w:t>4</w:t>
      </w:r>
      <w:r w:rsidR="00D66BF5">
        <w:t xml:space="preserve"> March 2026</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1505F55C" w:rsidR="003066BE" w:rsidRDefault="004C4CDB" w:rsidP="00100EF9">
            <w:pPr>
              <w:snapToGrid w:val="0"/>
              <w:jc w:val="center"/>
              <w:rPr>
                <w:b/>
                <w:sz w:val="32"/>
                <w:szCs w:val="32"/>
              </w:rPr>
            </w:pPr>
            <w:r>
              <w:rPr>
                <w:b/>
                <w:sz w:val="32"/>
                <w:szCs w:val="32"/>
              </w:rPr>
              <w:t>603</w:t>
            </w:r>
            <w:r w:rsidR="00660482">
              <w:rPr>
                <w:b/>
                <w:sz w:val="32"/>
                <w:szCs w:val="32"/>
              </w:rPr>
              <w:t>rd</w:t>
            </w:r>
            <w:r w:rsidR="004D7AC0" w:rsidRPr="0081153B">
              <w:rPr>
                <w:b/>
                <w:sz w:val="32"/>
                <w:szCs w:val="32"/>
              </w:rPr>
              <w:t xml:space="preserve"> PLENARY SESSION</w:t>
            </w:r>
          </w:p>
          <w:p w14:paraId="4982DD54" w14:textId="77777777" w:rsidR="003066BE" w:rsidRDefault="003066BE" w:rsidP="00100EF9">
            <w:pPr>
              <w:snapToGrid w:val="0"/>
              <w:jc w:val="center"/>
              <w:rPr>
                <w:b/>
                <w:sz w:val="32"/>
                <w:szCs w:val="32"/>
              </w:rPr>
            </w:pPr>
          </w:p>
          <w:p w14:paraId="4982DD55" w14:textId="20A27462" w:rsidR="003066BE" w:rsidRDefault="003066E2" w:rsidP="00100EF9">
            <w:pPr>
              <w:snapToGrid w:val="0"/>
              <w:jc w:val="center"/>
              <w:rPr>
                <w:b/>
                <w:sz w:val="32"/>
                <w:szCs w:val="32"/>
              </w:rPr>
            </w:pPr>
            <w:r>
              <w:rPr>
                <w:b/>
                <w:sz w:val="32"/>
                <w:szCs w:val="32"/>
              </w:rPr>
              <w:t>18 and 19 February 2026</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sidRPr="005463FF">
              <w:rPr>
                <w:b/>
                <w:sz w:val="32"/>
              </w:rPr>
              <w:t>SUMMARY OF ADOPTED OPINIONS, RESOLUTIONS AND INFORMATION / EVALUATION REPORTS</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00EF9">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r:id="rId13" w:history="1">
              <w:r w:rsidRPr="006D2D64">
                <w:rPr>
                  <w:rStyle w:val="Hyperlink"/>
                </w:rPr>
                <w:t>https://www.eesc.europa.eu/en/our-work/opinions-information-reports/plenary-session-summaries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77777777" w:rsidR="004D7AC0" w:rsidRPr="00044561" w:rsidRDefault="004D7AC0" w:rsidP="00100EF9">
            <w:pPr>
              <w:snapToGrid w:val="0"/>
              <w:jc w:val="center"/>
            </w:pPr>
            <w:r w:rsidRPr="0081153B">
              <w:t>The opinions listed can be consulted online using the EESC search engine:</w:t>
            </w:r>
            <w:r>
              <w:br/>
            </w:r>
            <w:r>
              <w:br/>
            </w:r>
            <w:hyperlink r:id="rId14" w:history="1">
              <w:r w:rsidRPr="0081153B">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100EF9">
      <w:pPr>
        <w:rPr>
          <w:b/>
        </w:rPr>
      </w:pPr>
      <w:r w:rsidRPr="00A81AFE">
        <w:rPr>
          <w:b/>
        </w:rPr>
        <w:lastRenderedPageBreak/>
        <w:t>Contents: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050A0623" w14:textId="29FE07AF" w:rsidR="00205469" w:rsidRDefault="004D7AC0" w:rsidP="00100EF9">
          <w:pPr>
            <w:pStyle w:val="TOC1"/>
            <w:tabs>
              <w:tab w:val="left" w:pos="480"/>
              <w:tab w:val="right" w:leader="dot" w:pos="9063"/>
            </w:tabs>
            <w:spacing w:after="0"/>
            <w:rPr>
              <w:rFonts w:asciiTheme="minorHAnsi" w:eastAsiaTheme="minorEastAsia" w:hAnsiTheme="minorHAnsi" w:cstheme="minorBidi"/>
              <w:noProof/>
              <w:kern w:val="2"/>
              <w:sz w:val="24"/>
              <w:szCs w:val="24"/>
              <w:lang w:eastAsia="ja-JP"/>
              <w14:ligatures w14:val="standardContextual"/>
            </w:rPr>
          </w:pPr>
          <w:r>
            <w:fldChar w:fldCharType="begin"/>
          </w:r>
          <w:r>
            <w:instrText xml:space="preserve"> TOC \o "1-3" \h \z \u </w:instrText>
          </w:r>
          <w:r>
            <w:fldChar w:fldCharType="separate"/>
          </w:r>
          <w:hyperlink w:anchor="_Toc222989384" w:history="1">
            <w:r w:rsidR="00205469" w:rsidRPr="00307A30">
              <w:rPr>
                <w:rStyle w:val="Hyperlink"/>
                <w:bCs/>
                <w:noProof/>
              </w:rPr>
              <w:t>1.</w:t>
            </w:r>
            <w:r w:rsidR="00205469">
              <w:rPr>
                <w:rFonts w:asciiTheme="minorHAnsi" w:eastAsiaTheme="minorEastAsia" w:hAnsiTheme="minorHAnsi" w:cstheme="minorBidi"/>
                <w:noProof/>
                <w:kern w:val="2"/>
                <w:sz w:val="24"/>
                <w:szCs w:val="24"/>
                <w:lang w:eastAsia="ja-JP"/>
                <w14:ligatures w14:val="standardContextual"/>
              </w:rPr>
              <w:tab/>
            </w:r>
            <w:r w:rsidR="00205469" w:rsidRPr="00307A30">
              <w:rPr>
                <w:rStyle w:val="Hyperlink"/>
                <w:b/>
                <w:noProof/>
              </w:rPr>
              <w:t>ECONOMIC AND MONETARY UNION, ECONOMIC AND SOCIAL COHESION</w:t>
            </w:r>
            <w:r w:rsidR="00205469">
              <w:rPr>
                <w:noProof/>
                <w:webHidden/>
              </w:rPr>
              <w:tab/>
            </w:r>
            <w:r w:rsidR="00205469">
              <w:rPr>
                <w:noProof/>
                <w:webHidden/>
              </w:rPr>
              <w:fldChar w:fldCharType="begin"/>
            </w:r>
            <w:r w:rsidR="00205469">
              <w:rPr>
                <w:noProof/>
                <w:webHidden/>
              </w:rPr>
              <w:instrText xml:space="preserve"> PAGEREF _Toc222989384 \h </w:instrText>
            </w:r>
            <w:r w:rsidR="00205469">
              <w:rPr>
                <w:noProof/>
                <w:webHidden/>
              </w:rPr>
            </w:r>
            <w:r w:rsidR="00205469">
              <w:rPr>
                <w:noProof/>
                <w:webHidden/>
              </w:rPr>
              <w:fldChar w:fldCharType="separate"/>
            </w:r>
            <w:r w:rsidR="00205469">
              <w:rPr>
                <w:noProof/>
                <w:webHidden/>
              </w:rPr>
              <w:t>3</w:t>
            </w:r>
            <w:r w:rsidR="00205469">
              <w:rPr>
                <w:noProof/>
                <w:webHidden/>
              </w:rPr>
              <w:fldChar w:fldCharType="end"/>
            </w:r>
          </w:hyperlink>
        </w:p>
        <w:p w14:paraId="6C9A18C5" w14:textId="021B160C" w:rsidR="00205469" w:rsidRDefault="00DA095D" w:rsidP="00100EF9">
          <w:pPr>
            <w:pStyle w:val="TOC1"/>
            <w:tabs>
              <w:tab w:val="left" w:pos="480"/>
              <w:tab w:val="right" w:leader="dot" w:pos="9063"/>
            </w:tabs>
            <w:spacing w:after="0"/>
            <w:rPr>
              <w:rFonts w:asciiTheme="minorHAnsi" w:eastAsiaTheme="minorEastAsia" w:hAnsiTheme="minorHAnsi" w:cstheme="minorBidi"/>
              <w:noProof/>
              <w:kern w:val="2"/>
              <w:sz w:val="24"/>
              <w:szCs w:val="24"/>
              <w:lang w:eastAsia="ja-JP"/>
              <w14:ligatures w14:val="standardContextual"/>
            </w:rPr>
          </w:pPr>
          <w:hyperlink w:anchor="_Toc222989385" w:history="1">
            <w:r w:rsidR="00205469" w:rsidRPr="00307A30">
              <w:rPr>
                <w:rStyle w:val="Hyperlink"/>
                <w:bCs/>
                <w:noProof/>
              </w:rPr>
              <w:t>2.</w:t>
            </w:r>
            <w:r w:rsidR="00205469">
              <w:rPr>
                <w:rFonts w:asciiTheme="minorHAnsi" w:eastAsiaTheme="minorEastAsia" w:hAnsiTheme="minorHAnsi" w:cstheme="minorBidi"/>
                <w:noProof/>
                <w:kern w:val="2"/>
                <w:sz w:val="24"/>
                <w:szCs w:val="24"/>
                <w:lang w:eastAsia="ja-JP"/>
                <w14:ligatures w14:val="standardContextual"/>
              </w:rPr>
              <w:tab/>
            </w:r>
            <w:r w:rsidR="00205469" w:rsidRPr="00307A30">
              <w:rPr>
                <w:rStyle w:val="Hyperlink"/>
                <w:b/>
                <w:noProof/>
              </w:rPr>
              <w:t>EMPLOYMENT, SOCIAL AFFAIRS AND CITIZENSHIP</w:t>
            </w:r>
            <w:r w:rsidR="00205469">
              <w:rPr>
                <w:noProof/>
                <w:webHidden/>
              </w:rPr>
              <w:tab/>
            </w:r>
            <w:r w:rsidR="00205469">
              <w:rPr>
                <w:noProof/>
                <w:webHidden/>
              </w:rPr>
              <w:fldChar w:fldCharType="begin"/>
            </w:r>
            <w:r w:rsidR="00205469">
              <w:rPr>
                <w:noProof/>
                <w:webHidden/>
              </w:rPr>
              <w:instrText xml:space="preserve"> PAGEREF _Toc222989385 \h </w:instrText>
            </w:r>
            <w:r w:rsidR="00205469">
              <w:rPr>
                <w:noProof/>
                <w:webHidden/>
              </w:rPr>
            </w:r>
            <w:r w:rsidR="00205469">
              <w:rPr>
                <w:noProof/>
                <w:webHidden/>
              </w:rPr>
              <w:fldChar w:fldCharType="separate"/>
            </w:r>
            <w:r w:rsidR="00205469">
              <w:rPr>
                <w:noProof/>
                <w:webHidden/>
              </w:rPr>
              <w:t>9</w:t>
            </w:r>
            <w:r w:rsidR="00205469">
              <w:rPr>
                <w:noProof/>
                <w:webHidden/>
              </w:rPr>
              <w:fldChar w:fldCharType="end"/>
            </w:r>
          </w:hyperlink>
        </w:p>
        <w:p w14:paraId="6EB53646" w14:textId="24382A2A" w:rsidR="00205469" w:rsidRDefault="00DA095D" w:rsidP="00100EF9">
          <w:pPr>
            <w:pStyle w:val="TOC1"/>
            <w:tabs>
              <w:tab w:val="left" w:pos="480"/>
              <w:tab w:val="right" w:leader="dot" w:pos="9063"/>
            </w:tabs>
            <w:spacing w:after="0"/>
            <w:rPr>
              <w:rFonts w:asciiTheme="minorHAnsi" w:eastAsiaTheme="minorEastAsia" w:hAnsiTheme="minorHAnsi" w:cstheme="minorBidi"/>
              <w:noProof/>
              <w:kern w:val="2"/>
              <w:sz w:val="24"/>
              <w:szCs w:val="24"/>
              <w:lang w:eastAsia="ja-JP"/>
              <w14:ligatures w14:val="standardContextual"/>
            </w:rPr>
          </w:pPr>
          <w:hyperlink w:anchor="_Toc222989386" w:history="1">
            <w:r w:rsidR="00205469" w:rsidRPr="00307A30">
              <w:rPr>
                <w:rStyle w:val="Hyperlink"/>
                <w:bCs/>
                <w:noProof/>
              </w:rPr>
              <w:t>3.</w:t>
            </w:r>
            <w:r w:rsidR="00205469">
              <w:rPr>
                <w:rFonts w:asciiTheme="minorHAnsi" w:eastAsiaTheme="minorEastAsia" w:hAnsiTheme="minorHAnsi" w:cstheme="minorBidi"/>
                <w:noProof/>
                <w:kern w:val="2"/>
                <w:sz w:val="24"/>
                <w:szCs w:val="24"/>
                <w:lang w:eastAsia="ja-JP"/>
                <w14:ligatures w14:val="standardContextual"/>
              </w:rPr>
              <w:tab/>
            </w:r>
            <w:r w:rsidR="00205469" w:rsidRPr="00307A30">
              <w:rPr>
                <w:rStyle w:val="Hyperlink"/>
                <w:b/>
                <w:noProof/>
              </w:rPr>
              <w:t>TRANSPORT, ENERGY, INFRASTRUCTURE AND INFORMATION SOCIETY</w:t>
            </w:r>
            <w:r w:rsidR="00205469">
              <w:rPr>
                <w:noProof/>
                <w:webHidden/>
              </w:rPr>
              <w:tab/>
            </w:r>
            <w:r w:rsidR="00205469">
              <w:rPr>
                <w:noProof/>
                <w:webHidden/>
              </w:rPr>
              <w:fldChar w:fldCharType="begin"/>
            </w:r>
            <w:r w:rsidR="00205469">
              <w:rPr>
                <w:noProof/>
                <w:webHidden/>
              </w:rPr>
              <w:instrText xml:space="preserve"> PAGEREF _Toc222989386 \h </w:instrText>
            </w:r>
            <w:r w:rsidR="00205469">
              <w:rPr>
                <w:noProof/>
                <w:webHidden/>
              </w:rPr>
            </w:r>
            <w:r w:rsidR="00205469">
              <w:rPr>
                <w:noProof/>
                <w:webHidden/>
              </w:rPr>
              <w:fldChar w:fldCharType="separate"/>
            </w:r>
            <w:r w:rsidR="00205469">
              <w:rPr>
                <w:noProof/>
                <w:webHidden/>
              </w:rPr>
              <w:t>10</w:t>
            </w:r>
            <w:r w:rsidR="00205469">
              <w:rPr>
                <w:noProof/>
                <w:webHidden/>
              </w:rPr>
              <w:fldChar w:fldCharType="end"/>
            </w:r>
          </w:hyperlink>
        </w:p>
        <w:p w14:paraId="38F00D3F" w14:textId="01904A72" w:rsidR="00205469" w:rsidRDefault="00DA095D" w:rsidP="00100EF9">
          <w:pPr>
            <w:pStyle w:val="TOC1"/>
            <w:tabs>
              <w:tab w:val="left" w:pos="480"/>
              <w:tab w:val="right" w:leader="dot" w:pos="9063"/>
            </w:tabs>
            <w:spacing w:after="0"/>
            <w:rPr>
              <w:rFonts w:asciiTheme="minorHAnsi" w:eastAsiaTheme="minorEastAsia" w:hAnsiTheme="minorHAnsi" w:cstheme="minorBidi"/>
              <w:noProof/>
              <w:kern w:val="2"/>
              <w:sz w:val="24"/>
              <w:szCs w:val="24"/>
              <w:lang w:eastAsia="ja-JP"/>
              <w14:ligatures w14:val="standardContextual"/>
            </w:rPr>
          </w:pPr>
          <w:hyperlink w:anchor="_Toc222989387" w:history="1">
            <w:r w:rsidR="00205469" w:rsidRPr="00307A30">
              <w:rPr>
                <w:rStyle w:val="Hyperlink"/>
                <w:bCs/>
                <w:noProof/>
              </w:rPr>
              <w:t>4.</w:t>
            </w:r>
            <w:r w:rsidR="00205469">
              <w:rPr>
                <w:rFonts w:asciiTheme="minorHAnsi" w:eastAsiaTheme="minorEastAsia" w:hAnsiTheme="minorHAnsi" w:cstheme="minorBidi"/>
                <w:noProof/>
                <w:kern w:val="2"/>
                <w:sz w:val="24"/>
                <w:szCs w:val="24"/>
                <w:lang w:eastAsia="ja-JP"/>
                <w14:ligatures w14:val="standardContextual"/>
              </w:rPr>
              <w:tab/>
            </w:r>
            <w:r w:rsidR="00205469" w:rsidRPr="00307A30">
              <w:rPr>
                <w:rStyle w:val="Hyperlink"/>
                <w:b/>
                <w:noProof/>
              </w:rPr>
              <w:t>AGRICULTURE, RURAL DEVELOPMENT AND THE ENVIRONMENT</w:t>
            </w:r>
            <w:r w:rsidR="00205469">
              <w:rPr>
                <w:noProof/>
                <w:webHidden/>
              </w:rPr>
              <w:tab/>
            </w:r>
            <w:r w:rsidR="00205469">
              <w:rPr>
                <w:noProof/>
                <w:webHidden/>
              </w:rPr>
              <w:fldChar w:fldCharType="begin"/>
            </w:r>
            <w:r w:rsidR="00205469">
              <w:rPr>
                <w:noProof/>
                <w:webHidden/>
              </w:rPr>
              <w:instrText xml:space="preserve"> PAGEREF _Toc222989387 \h </w:instrText>
            </w:r>
            <w:r w:rsidR="00205469">
              <w:rPr>
                <w:noProof/>
                <w:webHidden/>
              </w:rPr>
            </w:r>
            <w:r w:rsidR="00205469">
              <w:rPr>
                <w:noProof/>
                <w:webHidden/>
              </w:rPr>
              <w:fldChar w:fldCharType="separate"/>
            </w:r>
            <w:r w:rsidR="00205469">
              <w:rPr>
                <w:noProof/>
                <w:webHidden/>
              </w:rPr>
              <w:t>12</w:t>
            </w:r>
            <w:r w:rsidR="00205469">
              <w:rPr>
                <w:noProof/>
                <w:webHidden/>
              </w:rPr>
              <w:fldChar w:fldCharType="end"/>
            </w:r>
          </w:hyperlink>
        </w:p>
        <w:p w14:paraId="6C39006D" w14:textId="5646ADE4" w:rsidR="00205469" w:rsidRDefault="00DA095D" w:rsidP="00100EF9">
          <w:pPr>
            <w:pStyle w:val="TOC1"/>
            <w:tabs>
              <w:tab w:val="left" w:pos="480"/>
              <w:tab w:val="right" w:leader="dot" w:pos="9063"/>
            </w:tabs>
            <w:spacing w:after="0"/>
            <w:rPr>
              <w:rFonts w:asciiTheme="minorHAnsi" w:eastAsiaTheme="minorEastAsia" w:hAnsiTheme="minorHAnsi" w:cstheme="minorBidi"/>
              <w:noProof/>
              <w:kern w:val="2"/>
              <w:sz w:val="24"/>
              <w:szCs w:val="24"/>
              <w:lang w:eastAsia="ja-JP"/>
              <w14:ligatures w14:val="standardContextual"/>
            </w:rPr>
          </w:pPr>
          <w:hyperlink w:anchor="_Toc222989388" w:history="1">
            <w:r w:rsidR="00205469" w:rsidRPr="00307A30">
              <w:rPr>
                <w:rStyle w:val="Hyperlink"/>
                <w:bCs/>
                <w:noProof/>
              </w:rPr>
              <w:t>5.</w:t>
            </w:r>
            <w:r w:rsidR="00205469">
              <w:rPr>
                <w:rFonts w:asciiTheme="minorHAnsi" w:eastAsiaTheme="minorEastAsia" w:hAnsiTheme="minorHAnsi" w:cstheme="minorBidi"/>
                <w:noProof/>
                <w:kern w:val="2"/>
                <w:sz w:val="24"/>
                <w:szCs w:val="24"/>
                <w:lang w:eastAsia="ja-JP"/>
                <w14:ligatures w14:val="standardContextual"/>
              </w:rPr>
              <w:tab/>
            </w:r>
            <w:r w:rsidR="00205469" w:rsidRPr="00307A30">
              <w:rPr>
                <w:rStyle w:val="Hyperlink"/>
                <w:b/>
                <w:noProof/>
                <w:lang w:val="en-GB"/>
              </w:rPr>
              <w:t>CONSULTATIVE COMMISSION ON INDUSTRIAL CHANGE</w:t>
            </w:r>
            <w:r w:rsidR="00205469">
              <w:rPr>
                <w:noProof/>
                <w:webHidden/>
              </w:rPr>
              <w:tab/>
            </w:r>
            <w:r w:rsidR="00205469">
              <w:rPr>
                <w:noProof/>
                <w:webHidden/>
              </w:rPr>
              <w:fldChar w:fldCharType="begin"/>
            </w:r>
            <w:r w:rsidR="00205469">
              <w:rPr>
                <w:noProof/>
                <w:webHidden/>
              </w:rPr>
              <w:instrText xml:space="preserve"> PAGEREF _Toc222989388 \h </w:instrText>
            </w:r>
            <w:r w:rsidR="00205469">
              <w:rPr>
                <w:noProof/>
                <w:webHidden/>
              </w:rPr>
            </w:r>
            <w:r w:rsidR="00205469">
              <w:rPr>
                <w:noProof/>
                <w:webHidden/>
              </w:rPr>
              <w:fldChar w:fldCharType="separate"/>
            </w:r>
            <w:r w:rsidR="00205469">
              <w:rPr>
                <w:noProof/>
                <w:webHidden/>
              </w:rPr>
              <w:t>14</w:t>
            </w:r>
            <w:r w:rsidR="00205469">
              <w:rPr>
                <w:noProof/>
                <w:webHidden/>
              </w:rPr>
              <w:fldChar w:fldCharType="end"/>
            </w:r>
          </w:hyperlink>
        </w:p>
        <w:p w14:paraId="4982DD6A" w14:textId="61D24DEE" w:rsidR="004D7AC0" w:rsidRDefault="004D7AC0" w:rsidP="00100EF9">
          <w:r>
            <w:rPr>
              <w:b/>
              <w:bCs/>
              <w:noProof/>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2989384"/>
      <w:r w:rsidRPr="00803CA6">
        <w:rPr>
          <w:b/>
        </w:rPr>
        <w:lastRenderedPageBreak/>
        <w:t>ECONOMIC AND MONETARY UNION, ECONOMIC AND SOCIAL COHESION</w:t>
      </w:r>
      <w:bookmarkEnd w:id="0"/>
    </w:p>
    <w:p w14:paraId="4982DD97" w14:textId="77777777" w:rsidR="004D7AC0" w:rsidRDefault="004D7AC0" w:rsidP="00100EF9">
      <w:pPr>
        <w:pStyle w:val="ListParagraph"/>
        <w:ind w:left="0"/>
      </w:pPr>
    </w:p>
    <w:p w14:paraId="14BFA1D1" w14:textId="175BC17F" w:rsidR="001A1F1F" w:rsidRPr="001A1F1F" w:rsidRDefault="00DA095D" w:rsidP="00100EF9">
      <w:pPr>
        <w:widowControl w:val="0"/>
        <w:numPr>
          <w:ilvl w:val="0"/>
          <w:numId w:val="4"/>
        </w:numPr>
        <w:overflowPunct w:val="0"/>
        <w:autoSpaceDE w:val="0"/>
        <w:autoSpaceDN w:val="0"/>
        <w:adjustRightInd w:val="0"/>
        <w:ind w:hanging="567"/>
        <w:textAlignment w:val="baseline"/>
        <w:rPr>
          <w:b/>
          <w:i/>
          <w:iCs/>
          <w:sz w:val="28"/>
          <w:szCs w:val="28"/>
          <w:lang w:val="en-GB"/>
        </w:rPr>
      </w:pPr>
      <w:hyperlink r:id="rId21" w:history="1">
        <w:r w:rsidR="001A1F1F" w:rsidRPr="001A1F1F">
          <w:rPr>
            <w:b/>
            <w:bCs/>
            <w:i/>
            <w:iCs/>
            <w:color w:val="0000FF"/>
            <w:sz w:val="28"/>
            <w:szCs w:val="28"/>
            <w:u w:val="single"/>
            <w:lang w:val="en-GB"/>
          </w:rPr>
          <w:t>EPPO and OLAF access to VAT information at Union level</w:t>
        </w:r>
      </w:hyperlink>
    </w:p>
    <w:p w14:paraId="16AF8D1E" w14:textId="77777777" w:rsidR="001A1F1F" w:rsidRPr="001A1F1F" w:rsidRDefault="001A1F1F" w:rsidP="00100EF9">
      <w:pPr>
        <w:widowControl w:val="0"/>
        <w:overflowPunct w:val="0"/>
        <w:autoSpaceDE w:val="0"/>
        <w:autoSpaceDN w:val="0"/>
        <w:adjustRightInd w:val="0"/>
        <w:ind w:left="284"/>
        <w:textAlignment w:val="baseline"/>
        <w:rPr>
          <w:b/>
          <w:i/>
          <w:iCs/>
          <w:sz w:val="20"/>
          <w:szCs w:val="20"/>
          <w:lang w:val="en-GB"/>
        </w:rPr>
      </w:pPr>
    </w:p>
    <w:tbl>
      <w:tblPr>
        <w:tblStyle w:val="TableGrid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1A1F1F" w:rsidRPr="001A1F1F" w14:paraId="0C010C9C" w14:textId="77777777" w:rsidTr="00601D8A">
        <w:tc>
          <w:tcPr>
            <w:tcW w:w="1701" w:type="dxa"/>
          </w:tcPr>
          <w:p w14:paraId="67C58898" w14:textId="77777777" w:rsidR="001A1F1F" w:rsidRPr="001A1F1F" w:rsidRDefault="001A1F1F" w:rsidP="00100EF9">
            <w:pPr>
              <w:tabs>
                <w:tab w:val="center" w:pos="284"/>
              </w:tabs>
              <w:overflowPunct w:val="0"/>
              <w:autoSpaceDE w:val="0"/>
              <w:autoSpaceDN w:val="0"/>
              <w:adjustRightInd w:val="0"/>
              <w:ind w:left="266" w:hanging="266"/>
              <w:textAlignment w:val="baseline"/>
              <w:rPr>
                <w:b/>
              </w:rPr>
            </w:pPr>
            <w:r w:rsidRPr="001A1F1F">
              <w:rPr>
                <w:b/>
              </w:rPr>
              <w:t>Rapporteur</w:t>
            </w:r>
          </w:p>
        </w:tc>
        <w:tc>
          <w:tcPr>
            <w:tcW w:w="7479" w:type="dxa"/>
          </w:tcPr>
          <w:p w14:paraId="2016211D" w14:textId="361AD863" w:rsidR="001A1F1F" w:rsidRPr="001A1F1F" w:rsidRDefault="001A1F1F" w:rsidP="00100EF9">
            <w:pPr>
              <w:tabs>
                <w:tab w:val="center" w:pos="284"/>
              </w:tabs>
              <w:overflowPunct w:val="0"/>
              <w:autoSpaceDE w:val="0"/>
              <w:autoSpaceDN w:val="0"/>
              <w:adjustRightInd w:val="0"/>
              <w:ind w:left="266" w:hanging="266"/>
              <w:textAlignment w:val="baseline"/>
            </w:pPr>
            <w:r w:rsidRPr="001A1F1F">
              <w:rPr>
                <w:bCs/>
              </w:rPr>
              <w:t xml:space="preserve">Justyna </w:t>
            </w:r>
            <w:proofErr w:type="spellStart"/>
            <w:r w:rsidRPr="001A1F1F">
              <w:rPr>
                <w:bCs/>
              </w:rPr>
              <w:t>Kalina</w:t>
            </w:r>
            <w:proofErr w:type="spellEnd"/>
            <w:r w:rsidRPr="001A1F1F">
              <w:rPr>
                <w:bCs/>
              </w:rPr>
              <w:t xml:space="preserve"> OCHĘDZAN (Civil Society </w:t>
            </w:r>
            <w:proofErr w:type="spellStart"/>
            <w:r w:rsidRPr="001A1F1F">
              <w:rPr>
                <w:bCs/>
              </w:rPr>
              <w:t>Organisations'</w:t>
            </w:r>
            <w:proofErr w:type="spellEnd"/>
            <w:r w:rsidRPr="001A1F1F">
              <w:rPr>
                <w:bCs/>
              </w:rPr>
              <w:t xml:space="preserve"> Group </w:t>
            </w:r>
            <w:r w:rsidR="00B241B1">
              <w:t>-</w:t>
            </w:r>
            <w:r w:rsidRPr="001A1F1F">
              <w:t xml:space="preserve"> PL)</w:t>
            </w:r>
          </w:p>
        </w:tc>
      </w:tr>
      <w:tr w:rsidR="00205469" w:rsidRPr="001A1F1F" w14:paraId="2E27DAF9" w14:textId="77777777" w:rsidTr="00601D8A">
        <w:tc>
          <w:tcPr>
            <w:tcW w:w="1701" w:type="dxa"/>
          </w:tcPr>
          <w:p w14:paraId="2C056183" w14:textId="77777777" w:rsidR="00205469" w:rsidRPr="001A1F1F"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657AAC10" w14:textId="77777777" w:rsidR="00205469" w:rsidRPr="001A1F1F" w:rsidRDefault="00205469" w:rsidP="00100EF9">
            <w:pPr>
              <w:tabs>
                <w:tab w:val="center" w:pos="284"/>
              </w:tabs>
              <w:overflowPunct w:val="0"/>
              <w:autoSpaceDE w:val="0"/>
              <w:autoSpaceDN w:val="0"/>
              <w:adjustRightInd w:val="0"/>
              <w:ind w:left="266" w:hanging="266"/>
              <w:textAlignment w:val="baseline"/>
              <w:rPr>
                <w:bCs/>
              </w:rPr>
            </w:pPr>
          </w:p>
        </w:tc>
      </w:tr>
      <w:tr w:rsidR="001A1F1F" w:rsidRPr="001A1F1F" w14:paraId="7FD540DB" w14:textId="77777777" w:rsidTr="00601D8A">
        <w:tc>
          <w:tcPr>
            <w:tcW w:w="1701" w:type="dxa"/>
          </w:tcPr>
          <w:p w14:paraId="1F4D838E" w14:textId="0EE217C2" w:rsidR="001A1F1F" w:rsidRPr="001A1F1F" w:rsidRDefault="001A1F1F" w:rsidP="00100EF9">
            <w:pPr>
              <w:tabs>
                <w:tab w:val="center" w:pos="284"/>
              </w:tabs>
              <w:overflowPunct w:val="0"/>
              <w:autoSpaceDE w:val="0"/>
              <w:autoSpaceDN w:val="0"/>
              <w:adjustRightInd w:val="0"/>
              <w:ind w:left="266" w:hanging="266"/>
              <w:textAlignment w:val="baseline"/>
              <w:rPr>
                <w:b/>
              </w:rPr>
            </w:pPr>
            <w:r w:rsidRPr="001A1F1F">
              <w:rPr>
                <w:b/>
              </w:rPr>
              <w:t>References</w:t>
            </w:r>
          </w:p>
        </w:tc>
        <w:tc>
          <w:tcPr>
            <w:tcW w:w="7479" w:type="dxa"/>
          </w:tcPr>
          <w:p w14:paraId="7BBCB1FA" w14:textId="3EEC3118" w:rsidR="001A1F1F" w:rsidRPr="001A1F1F" w:rsidRDefault="001A1F1F" w:rsidP="00100EF9">
            <w:pPr>
              <w:tabs>
                <w:tab w:val="center" w:pos="321"/>
              </w:tabs>
              <w:overflowPunct w:val="0"/>
              <w:autoSpaceDE w:val="0"/>
              <w:autoSpaceDN w:val="0"/>
              <w:adjustRightInd w:val="0"/>
              <w:textAlignment w:val="baseline"/>
              <w:rPr>
                <w:lang w:val="pt-PT"/>
              </w:rPr>
            </w:pPr>
            <w:r w:rsidRPr="001A1F1F">
              <w:rPr>
                <w:lang w:val="pt-PT"/>
              </w:rPr>
              <w:t>COM(2025) 685 final</w:t>
            </w:r>
          </w:p>
          <w:p w14:paraId="1104CA65" w14:textId="06244B7A" w:rsidR="001A1F1F" w:rsidRPr="001A1F1F" w:rsidRDefault="001A1F1F" w:rsidP="00100EF9">
            <w:pPr>
              <w:tabs>
                <w:tab w:val="center" w:pos="284"/>
              </w:tabs>
              <w:overflowPunct w:val="0"/>
              <w:autoSpaceDE w:val="0"/>
              <w:autoSpaceDN w:val="0"/>
              <w:adjustRightInd w:val="0"/>
              <w:ind w:left="266" w:hanging="266"/>
              <w:textAlignment w:val="baseline"/>
              <w:rPr>
                <w:lang w:val="pt-PT"/>
              </w:rPr>
            </w:pPr>
            <w:r w:rsidRPr="001A1F1F">
              <w:rPr>
                <w:lang w:val="pt-PT"/>
              </w:rP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r w:rsidRPr="001A1F1F">
        <w:rPr>
          <w:b/>
          <w:lang w:val="en-GB"/>
        </w:rPr>
        <w:t>Key points</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lang w:val="en-GB"/>
        </w:rPr>
      </w:pPr>
      <w:r w:rsidRPr="001A1F1F">
        <w:rPr>
          <w:bCs/>
          <w:iCs/>
          <w:lang w:val="en-GB"/>
        </w:rPr>
        <w:t>The EESC:</w:t>
      </w:r>
    </w:p>
    <w:p w14:paraId="2A48351A" w14:textId="77777777" w:rsidR="001A1F1F" w:rsidRPr="00153E09" w:rsidRDefault="001A1F1F" w:rsidP="00E54618">
      <w:pPr>
        <w:pStyle w:val="ListParagraph"/>
        <w:numPr>
          <w:ilvl w:val="0"/>
          <w:numId w:val="27"/>
        </w:numPr>
        <w:ind w:left="567" w:hanging="567"/>
        <w:rPr>
          <w:lang w:val="en-GB"/>
        </w:rPr>
      </w:pPr>
      <w:bookmarkStart w:id="1" w:name="_Toc222825813"/>
      <w:r w:rsidRPr="00153E09">
        <w:rPr>
          <w:lang w:val="en-GB"/>
        </w:rPr>
        <w:t xml:space="preserve">fully </w:t>
      </w:r>
      <w:r w:rsidRPr="00153E09">
        <w:rPr>
          <w:b/>
          <w:bCs/>
          <w:lang w:val="en-GB"/>
        </w:rPr>
        <w:t>supports</w:t>
      </w:r>
      <w:r w:rsidRPr="00153E09">
        <w:rPr>
          <w:lang w:val="en-GB"/>
        </w:rPr>
        <w:t xml:space="preserve"> the Commission’s efforts to promote a more comprehensive and holistic approach to tackling VAT fraud by enabling the European Public Prosecutor’s Office (EPPO) and the European Anti-Fraud Office (OLAF) to access value added tax (VAT) data under Council Regulation (EU) No 904/2010;</w:t>
      </w:r>
      <w:bookmarkEnd w:id="1"/>
    </w:p>
    <w:p w14:paraId="2F29EED4" w14:textId="77777777" w:rsidR="001A1F1F" w:rsidRPr="00153E09" w:rsidRDefault="001A1F1F" w:rsidP="00E54618">
      <w:pPr>
        <w:pStyle w:val="ListParagraph"/>
        <w:numPr>
          <w:ilvl w:val="0"/>
          <w:numId w:val="27"/>
        </w:numPr>
        <w:ind w:left="567" w:hanging="567"/>
        <w:rPr>
          <w:lang w:val="en-GB"/>
        </w:rPr>
      </w:pPr>
      <w:bookmarkStart w:id="2" w:name="_Toc222825814"/>
      <w:r w:rsidRPr="00153E09">
        <w:rPr>
          <w:b/>
          <w:bCs/>
          <w:lang w:val="en-GB"/>
        </w:rPr>
        <w:t>acknowledges</w:t>
      </w:r>
      <w:r w:rsidRPr="00153E09">
        <w:rPr>
          <w:lang w:val="en-GB"/>
        </w:rPr>
        <w:t xml:space="preserve"> that in order to combat the most significant forms of VAT fraud, it is necessary to enable the competent authorities to swiftly collect, use and cross-reference VAT-relevant information across multiple Member States, thereby reducing delays in the competent tax authorities’ response to fraudulent activities;</w:t>
      </w:r>
      <w:bookmarkEnd w:id="2"/>
    </w:p>
    <w:p w14:paraId="76BC0052" w14:textId="77777777" w:rsidR="001A1F1F" w:rsidRPr="00153E09" w:rsidRDefault="001A1F1F" w:rsidP="00E54618">
      <w:pPr>
        <w:pStyle w:val="ListParagraph"/>
        <w:numPr>
          <w:ilvl w:val="0"/>
          <w:numId w:val="27"/>
        </w:numPr>
        <w:ind w:left="567" w:hanging="567"/>
        <w:rPr>
          <w:lang w:val="en-GB"/>
        </w:rPr>
      </w:pPr>
      <w:bookmarkStart w:id="3" w:name="_Toc222825815"/>
      <w:r w:rsidRPr="00153E09">
        <w:rPr>
          <w:b/>
          <w:bCs/>
          <w:lang w:val="en-GB"/>
        </w:rPr>
        <w:t>appreciates</w:t>
      </w:r>
      <w:r w:rsidRPr="00153E09">
        <w:rPr>
          <w:lang w:val="en-GB"/>
        </w:rPr>
        <w:t xml:space="preserve"> that the Commission’s proposal follows an ex post evaluation of the rules applicable under Council Regulation (EU) No 904/2010, taking into account feedback provided by the Member States. The EESC </w:t>
      </w:r>
      <w:r w:rsidRPr="00153E09">
        <w:rPr>
          <w:b/>
          <w:bCs/>
          <w:lang w:val="en-GB"/>
        </w:rPr>
        <w:t xml:space="preserve">points out </w:t>
      </w:r>
      <w:r w:rsidRPr="00153E09">
        <w:rPr>
          <w:lang w:val="en-GB"/>
        </w:rPr>
        <w:t>that no impact assessment was carried out in relation to the present proposal, although it acknowledges that this was due to an urgent request from Member States;</w:t>
      </w:r>
      <w:bookmarkEnd w:id="3"/>
    </w:p>
    <w:p w14:paraId="25654AAB" w14:textId="77777777" w:rsidR="001A1F1F" w:rsidRPr="00153E09" w:rsidRDefault="001A1F1F" w:rsidP="00E54618">
      <w:pPr>
        <w:pStyle w:val="ListParagraph"/>
        <w:numPr>
          <w:ilvl w:val="0"/>
          <w:numId w:val="27"/>
        </w:numPr>
        <w:ind w:left="567" w:hanging="567"/>
        <w:rPr>
          <w:lang w:val="en-GB"/>
        </w:rPr>
      </w:pPr>
      <w:bookmarkStart w:id="4" w:name="_Toc222825816"/>
      <w:r w:rsidRPr="00153E09">
        <w:rPr>
          <w:b/>
          <w:bCs/>
          <w:lang w:val="en-GB"/>
        </w:rPr>
        <w:t>welcomes</w:t>
      </w:r>
      <w:r w:rsidRPr="00153E09">
        <w:rPr>
          <w:lang w:val="en-GB"/>
        </w:rPr>
        <w:t xml:space="preserve"> the Commission’s intention to enhance cooperation between the relevant authorities fighting against VAT fraud, including the possibility of enhancing cooperation between Europol and </w:t>
      </w:r>
      <w:proofErr w:type="spellStart"/>
      <w:r w:rsidRPr="00153E09">
        <w:rPr>
          <w:lang w:val="en-GB"/>
        </w:rPr>
        <w:t>Eurofisc</w:t>
      </w:r>
      <w:proofErr w:type="spellEnd"/>
      <w:r w:rsidRPr="00153E09">
        <w:rPr>
          <w:lang w:val="en-GB"/>
        </w:rPr>
        <w:t xml:space="preserve"> within the Council Regulation (EU) No. 904/2010 framework and urges a further reinforcement of the structured cooperation among all the competent authorities in Member States.</w:t>
      </w:r>
      <w:bookmarkEnd w:id="4"/>
    </w:p>
    <w:p w14:paraId="39EE45C8" w14:textId="77777777" w:rsidR="001A1F1F" w:rsidRPr="001A1F1F" w:rsidRDefault="001A1F1F" w:rsidP="00100EF9">
      <w:pPr>
        <w:overflowPunct w:val="0"/>
        <w:autoSpaceDE w:val="0"/>
        <w:autoSpaceDN w:val="0"/>
        <w:adjustRightInd w:val="0"/>
        <w:textAlignment w:val="baseline"/>
        <w:rPr>
          <w:bCs/>
          <w:iC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665"/>
      </w:tblGrid>
      <w:tr w:rsidR="001A1F1F" w:rsidRPr="001A1F1F" w14:paraId="33327B63" w14:textId="77777777" w:rsidTr="00D0608D">
        <w:tc>
          <w:tcPr>
            <w:tcW w:w="1418" w:type="dxa"/>
          </w:tcPr>
          <w:p w14:paraId="04F7E453" w14:textId="77777777" w:rsidR="001A1F1F" w:rsidRPr="001A1F1F" w:rsidRDefault="001A1F1F" w:rsidP="00100EF9">
            <w:pPr>
              <w:overflowPunct w:val="0"/>
              <w:autoSpaceDE w:val="0"/>
              <w:autoSpaceDN w:val="0"/>
              <w:adjustRightInd w:val="0"/>
              <w:textAlignment w:val="baseline"/>
              <w:rPr>
                <w:i/>
              </w:rPr>
            </w:pPr>
            <w:r w:rsidRPr="001A1F1F">
              <w:rPr>
                <w:b/>
                <w:i/>
              </w:rPr>
              <w:t>Contact</w:t>
            </w:r>
          </w:p>
        </w:tc>
        <w:tc>
          <w:tcPr>
            <w:tcW w:w="7762" w:type="dxa"/>
          </w:tcPr>
          <w:p w14:paraId="34FEEF63" w14:textId="62F84E0C" w:rsidR="001A1F1F" w:rsidRPr="001A1F1F" w:rsidRDefault="001A1F1F" w:rsidP="00100EF9">
            <w:pPr>
              <w:overflowPunct w:val="0"/>
              <w:autoSpaceDE w:val="0"/>
              <w:autoSpaceDN w:val="0"/>
              <w:adjustRightInd w:val="0"/>
              <w:textAlignment w:val="baseline"/>
              <w:rPr>
                <w:i/>
              </w:rPr>
            </w:pPr>
            <w:proofErr w:type="spellStart"/>
            <w:r w:rsidRPr="001A1F1F">
              <w:rPr>
                <w:i/>
              </w:rPr>
              <w:t>Jüri</w:t>
            </w:r>
            <w:proofErr w:type="spellEnd"/>
            <w:r w:rsidRPr="001A1F1F">
              <w:rPr>
                <w:i/>
              </w:rPr>
              <w:t xml:space="preserve"> S</w:t>
            </w:r>
            <w:r w:rsidR="00F253CA" w:rsidRPr="001A1F1F">
              <w:rPr>
                <w:i/>
              </w:rPr>
              <w:t>oosaar</w:t>
            </w:r>
          </w:p>
        </w:tc>
      </w:tr>
      <w:tr w:rsidR="001A1F1F" w:rsidRPr="001A1F1F" w14:paraId="7DA1B58C" w14:textId="77777777" w:rsidTr="00D0608D">
        <w:tc>
          <w:tcPr>
            <w:tcW w:w="1418" w:type="dxa"/>
          </w:tcPr>
          <w:p w14:paraId="32B45750" w14:textId="77777777" w:rsidR="001A1F1F" w:rsidRPr="001A1F1F" w:rsidRDefault="001A1F1F" w:rsidP="00100EF9">
            <w:pPr>
              <w:overflowPunct w:val="0"/>
              <w:autoSpaceDE w:val="0"/>
              <w:autoSpaceDN w:val="0"/>
              <w:adjustRightInd w:val="0"/>
              <w:textAlignment w:val="baseline"/>
              <w:rPr>
                <w:i/>
              </w:rPr>
            </w:pPr>
            <w:r w:rsidRPr="001A1F1F">
              <w:rPr>
                <w:i/>
              </w:rPr>
              <w:t>Tel.</w:t>
            </w:r>
          </w:p>
        </w:tc>
        <w:tc>
          <w:tcPr>
            <w:tcW w:w="7762" w:type="dxa"/>
          </w:tcPr>
          <w:p w14:paraId="4B866371" w14:textId="51149591" w:rsidR="001A1F1F" w:rsidRPr="001A1F1F" w:rsidRDefault="001A1F1F" w:rsidP="00100EF9">
            <w:pPr>
              <w:overflowPunct w:val="0"/>
              <w:autoSpaceDE w:val="0"/>
              <w:autoSpaceDN w:val="0"/>
              <w:adjustRightInd w:val="0"/>
              <w:textAlignment w:val="baseline"/>
              <w:rPr>
                <w:i/>
              </w:rPr>
            </w:pPr>
            <w:r w:rsidRPr="001A1F1F">
              <w:rPr>
                <w:i/>
                <w:lang w:val="fr-BE"/>
              </w:rPr>
              <w:t>+32 25469628</w:t>
            </w:r>
          </w:p>
        </w:tc>
      </w:tr>
      <w:tr w:rsidR="001A1F1F" w:rsidRPr="001A1F1F" w14:paraId="3A08DF12" w14:textId="77777777" w:rsidTr="00D0608D">
        <w:tc>
          <w:tcPr>
            <w:tcW w:w="1418" w:type="dxa"/>
          </w:tcPr>
          <w:p w14:paraId="3FBEB159" w14:textId="77777777" w:rsidR="001A1F1F" w:rsidRPr="001A1F1F" w:rsidRDefault="001A1F1F" w:rsidP="00100EF9">
            <w:pPr>
              <w:overflowPunct w:val="0"/>
              <w:autoSpaceDE w:val="0"/>
              <w:autoSpaceDN w:val="0"/>
              <w:adjustRightInd w:val="0"/>
              <w:textAlignment w:val="baseline"/>
              <w:rPr>
                <w:i/>
              </w:rPr>
            </w:pPr>
            <w:r w:rsidRPr="001A1F1F">
              <w:rPr>
                <w:i/>
              </w:rPr>
              <w:t>Email</w:t>
            </w:r>
          </w:p>
        </w:tc>
        <w:tc>
          <w:tcPr>
            <w:tcW w:w="7762" w:type="dxa"/>
          </w:tcPr>
          <w:p w14:paraId="11A675FB" w14:textId="4E851F41" w:rsidR="001A1F1F" w:rsidRPr="001A1F1F" w:rsidRDefault="00DA095D" w:rsidP="00100EF9">
            <w:pPr>
              <w:overflowPunct w:val="0"/>
              <w:autoSpaceDE w:val="0"/>
              <w:autoSpaceDN w:val="0"/>
              <w:adjustRightInd w:val="0"/>
              <w:textAlignment w:val="baseline"/>
              <w:rPr>
                <w:i/>
                <w:iCs/>
              </w:rPr>
            </w:pPr>
            <w:hyperlink r:id="rId22" w:history="1">
              <w:r w:rsidR="001A1F1F" w:rsidRPr="001A1F1F">
                <w:rPr>
                  <w:i/>
                  <w:iCs/>
                  <w:color w:val="0000FF"/>
                  <w:u w:val="single"/>
                  <w:lang w:val="en-GB"/>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2F0029D0" w:rsidR="00627FDF" w:rsidRPr="00627FDF" w:rsidRDefault="00DA095D" w:rsidP="00100EF9">
      <w:pPr>
        <w:widowControl w:val="0"/>
        <w:numPr>
          <w:ilvl w:val="0"/>
          <w:numId w:val="4"/>
        </w:numPr>
        <w:overflowPunct w:val="0"/>
        <w:autoSpaceDE w:val="0"/>
        <w:autoSpaceDN w:val="0"/>
        <w:adjustRightInd w:val="0"/>
        <w:ind w:hanging="567"/>
        <w:textAlignment w:val="baseline"/>
        <w:rPr>
          <w:i/>
          <w:iCs/>
          <w:sz w:val="20"/>
          <w:szCs w:val="20"/>
          <w:lang w:val="en-GB"/>
        </w:rPr>
      </w:pPr>
      <w:hyperlink r:id="rId23" w:history="1">
        <w:r w:rsidR="00627FDF" w:rsidRPr="00627FDF">
          <w:rPr>
            <w:b/>
            <w:bCs/>
            <w:i/>
            <w:iCs/>
            <w:color w:val="0000FF"/>
            <w:sz w:val="28"/>
            <w:szCs w:val="28"/>
            <w:u w:val="single"/>
            <w:lang w:val="en-GB"/>
          </w:rPr>
          <w:t>2026 European Semester - Autumn Package</w:t>
        </w:r>
      </w:hyperlink>
    </w:p>
    <w:p w14:paraId="2922872A"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en-GB"/>
        </w:rPr>
      </w:pPr>
    </w:p>
    <w:tbl>
      <w:tblPr>
        <w:tblStyle w:val="TableGrid2"/>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627FDF" w:rsidRPr="00627FDF" w14:paraId="59DBBD6A" w14:textId="77777777" w:rsidTr="00601D8A">
        <w:tc>
          <w:tcPr>
            <w:tcW w:w="1077" w:type="pct"/>
          </w:tcPr>
          <w:p w14:paraId="2CA81E57" w14:textId="77777777" w:rsidR="00627FDF" w:rsidRPr="00627FDF" w:rsidRDefault="00627FDF" w:rsidP="00100EF9">
            <w:pPr>
              <w:tabs>
                <w:tab w:val="center" w:pos="284"/>
              </w:tabs>
              <w:overflowPunct w:val="0"/>
              <w:autoSpaceDE w:val="0"/>
              <w:autoSpaceDN w:val="0"/>
              <w:adjustRightInd w:val="0"/>
              <w:ind w:left="266" w:hanging="266"/>
              <w:textAlignment w:val="baseline"/>
              <w:rPr>
                <w:b/>
              </w:rPr>
            </w:pPr>
            <w:r w:rsidRPr="00627FDF">
              <w:rPr>
                <w:b/>
              </w:rPr>
              <w:t>Rapporteur</w:t>
            </w:r>
          </w:p>
        </w:tc>
        <w:tc>
          <w:tcPr>
            <w:tcW w:w="3923" w:type="pct"/>
          </w:tcPr>
          <w:p w14:paraId="48A0BF67" w14:textId="3450D725" w:rsidR="00627FDF" w:rsidRPr="00627FDF" w:rsidRDefault="00627FDF" w:rsidP="00100EF9">
            <w:pPr>
              <w:tabs>
                <w:tab w:val="center" w:pos="284"/>
              </w:tabs>
              <w:overflowPunct w:val="0"/>
              <w:autoSpaceDE w:val="0"/>
              <w:autoSpaceDN w:val="0"/>
              <w:adjustRightInd w:val="0"/>
              <w:ind w:left="266" w:right="-3091" w:hanging="266"/>
              <w:textAlignment w:val="baseline"/>
              <w:rPr>
                <w:lang w:val="en-GB"/>
              </w:rPr>
            </w:pPr>
            <w:r w:rsidRPr="00627FDF">
              <w:rPr>
                <w:bCs/>
                <w:lang w:val="en-GB"/>
              </w:rPr>
              <w:t xml:space="preserve">Luca JAHIER </w:t>
            </w:r>
            <w:r w:rsidRPr="00627FDF">
              <w:rPr>
                <w:lang w:val="en-GB"/>
              </w:rPr>
              <w:t xml:space="preserve">(Civil Society Organisations' Group </w:t>
            </w:r>
            <w:r w:rsidR="002F4AD1">
              <w:rPr>
                <w:lang w:val="en-GB"/>
              </w:rPr>
              <w:t xml:space="preserve">- </w:t>
            </w:r>
            <w:r w:rsidRPr="00627FDF">
              <w:rPr>
                <w:lang w:val="en-GB"/>
              </w:rPr>
              <w:t>IT)</w:t>
            </w:r>
          </w:p>
        </w:tc>
      </w:tr>
      <w:tr w:rsidR="00205469" w:rsidRPr="00627FDF" w14:paraId="6A4A7A00" w14:textId="77777777" w:rsidTr="00601D8A">
        <w:tc>
          <w:tcPr>
            <w:tcW w:w="1077" w:type="pct"/>
          </w:tcPr>
          <w:p w14:paraId="12EA3C9E" w14:textId="77777777" w:rsidR="00205469" w:rsidRPr="00627FDF" w:rsidRDefault="00205469" w:rsidP="00100EF9">
            <w:pPr>
              <w:tabs>
                <w:tab w:val="center" w:pos="284"/>
              </w:tabs>
              <w:overflowPunct w:val="0"/>
              <w:autoSpaceDE w:val="0"/>
              <w:autoSpaceDN w:val="0"/>
              <w:adjustRightInd w:val="0"/>
              <w:ind w:left="266" w:hanging="266"/>
              <w:textAlignment w:val="baseline"/>
              <w:rPr>
                <w:b/>
              </w:rPr>
            </w:pPr>
          </w:p>
        </w:tc>
        <w:tc>
          <w:tcPr>
            <w:tcW w:w="3923" w:type="pct"/>
          </w:tcPr>
          <w:p w14:paraId="3F242FCC" w14:textId="77777777" w:rsidR="00205469" w:rsidRPr="00627FDF" w:rsidRDefault="00205469" w:rsidP="00100EF9">
            <w:pPr>
              <w:tabs>
                <w:tab w:val="center" w:pos="284"/>
              </w:tabs>
              <w:overflowPunct w:val="0"/>
              <w:autoSpaceDE w:val="0"/>
              <w:autoSpaceDN w:val="0"/>
              <w:adjustRightInd w:val="0"/>
              <w:ind w:left="266" w:right="-3091" w:hanging="266"/>
              <w:textAlignment w:val="baseline"/>
              <w:rPr>
                <w:bCs/>
                <w:lang w:val="en-GB"/>
              </w:rPr>
            </w:pPr>
          </w:p>
        </w:tc>
      </w:tr>
      <w:tr w:rsidR="00627FDF" w:rsidRPr="00627FDF" w14:paraId="261B2615" w14:textId="77777777" w:rsidTr="00601D8A">
        <w:tc>
          <w:tcPr>
            <w:tcW w:w="1077" w:type="pct"/>
          </w:tcPr>
          <w:p w14:paraId="5DFE7408" w14:textId="6FA9C295" w:rsidR="00627FDF" w:rsidRPr="00627FDF" w:rsidRDefault="00627FDF" w:rsidP="00100EF9">
            <w:pPr>
              <w:tabs>
                <w:tab w:val="center" w:pos="284"/>
              </w:tabs>
              <w:overflowPunct w:val="0"/>
              <w:autoSpaceDE w:val="0"/>
              <w:autoSpaceDN w:val="0"/>
              <w:adjustRightInd w:val="0"/>
              <w:ind w:left="266" w:hanging="266"/>
              <w:textAlignment w:val="baseline"/>
              <w:rPr>
                <w:b/>
              </w:rPr>
            </w:pPr>
            <w:r w:rsidRPr="00627FDF">
              <w:rPr>
                <w:b/>
              </w:rPr>
              <w:t>References</w:t>
            </w:r>
          </w:p>
        </w:tc>
        <w:tc>
          <w:tcPr>
            <w:tcW w:w="3923" w:type="pct"/>
          </w:tcPr>
          <w:p w14:paraId="05B63FA9" w14:textId="3576FDD2" w:rsidR="00627FDF" w:rsidRPr="00627FDF" w:rsidRDefault="00627FDF" w:rsidP="00100EF9">
            <w:pPr>
              <w:tabs>
                <w:tab w:val="center" w:pos="284"/>
              </w:tabs>
              <w:overflowPunct w:val="0"/>
              <w:autoSpaceDE w:val="0"/>
              <w:autoSpaceDN w:val="0"/>
              <w:adjustRightInd w:val="0"/>
              <w:ind w:left="266" w:right="-3091" w:hanging="266"/>
              <w:textAlignment w:val="baseline"/>
              <w:rPr>
                <w:lang w:val="pt-PT"/>
              </w:rPr>
            </w:pPr>
            <w:r w:rsidRPr="00627FDF">
              <w:rPr>
                <w:lang w:val="pt-PT"/>
              </w:rPr>
              <w:t>COM(2025) 955 final</w:t>
            </w:r>
          </w:p>
          <w:p w14:paraId="3BB4E753" w14:textId="77777777" w:rsidR="00627FDF" w:rsidRPr="00627FDF" w:rsidRDefault="00627FDF" w:rsidP="00100EF9">
            <w:pPr>
              <w:tabs>
                <w:tab w:val="center" w:pos="284"/>
              </w:tabs>
              <w:overflowPunct w:val="0"/>
              <w:autoSpaceDE w:val="0"/>
              <w:autoSpaceDN w:val="0"/>
              <w:adjustRightInd w:val="0"/>
              <w:ind w:left="266" w:right="-3091" w:hanging="266"/>
              <w:textAlignment w:val="baseline"/>
              <w:rPr>
                <w:lang w:val="pt-PT"/>
              </w:rPr>
            </w:pPr>
            <w:r w:rsidRPr="00627FDF">
              <w:rPr>
                <w:lang w:val="pt-PT"/>
              </w:rPr>
              <w:t>EESC-2025-03794-00-00-AC</w:t>
            </w:r>
          </w:p>
        </w:tc>
      </w:tr>
    </w:tbl>
    <w:p w14:paraId="7A90BFAE"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pt-PT"/>
        </w:rPr>
      </w:pPr>
    </w:p>
    <w:p w14:paraId="1E165E10" w14:textId="77777777" w:rsidR="00627FDF" w:rsidRDefault="00627FDF" w:rsidP="00100EF9">
      <w:pPr>
        <w:overflowPunct w:val="0"/>
        <w:autoSpaceDE w:val="0"/>
        <w:autoSpaceDN w:val="0"/>
        <w:adjustRightInd w:val="0"/>
        <w:textAlignment w:val="baseline"/>
        <w:rPr>
          <w:b/>
          <w:lang w:val="en-GB"/>
        </w:rPr>
      </w:pPr>
      <w:r w:rsidRPr="00627FDF">
        <w:rPr>
          <w:b/>
          <w:lang w:val="en-GB"/>
        </w:rPr>
        <w:t>Key points</w:t>
      </w:r>
    </w:p>
    <w:p w14:paraId="6A1E467B" w14:textId="77777777" w:rsidR="002F4AD1" w:rsidRPr="00627FDF" w:rsidRDefault="002F4AD1" w:rsidP="00100EF9">
      <w:pPr>
        <w:overflowPunct w:val="0"/>
        <w:autoSpaceDE w:val="0"/>
        <w:autoSpaceDN w:val="0"/>
        <w:adjustRightInd w:val="0"/>
        <w:textAlignment w:val="baseline"/>
        <w:rPr>
          <w:bCs/>
          <w:iCs/>
          <w:lang w:val="en-GB"/>
        </w:rPr>
      </w:pPr>
    </w:p>
    <w:p w14:paraId="5B235C5C" w14:textId="77777777" w:rsidR="00627FDF" w:rsidRDefault="00627FDF" w:rsidP="00100EF9">
      <w:pPr>
        <w:overflowPunct w:val="0"/>
        <w:autoSpaceDE w:val="0"/>
        <w:autoSpaceDN w:val="0"/>
        <w:adjustRightInd w:val="0"/>
        <w:textAlignment w:val="baseline"/>
        <w:rPr>
          <w:bCs/>
          <w:iCs/>
          <w:lang w:val="en-GB"/>
        </w:rPr>
      </w:pPr>
      <w:r w:rsidRPr="00627FDF">
        <w:rPr>
          <w:bCs/>
          <w:iCs/>
          <w:lang w:val="en-GB"/>
        </w:rPr>
        <w:t>The EESC:</w:t>
      </w:r>
    </w:p>
    <w:p w14:paraId="769B1960"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regrets, that the Commission has once again refrained from presenting the </w:t>
      </w:r>
      <w:r w:rsidRPr="00627FDF">
        <w:rPr>
          <w:b/>
          <w:iCs/>
          <w:lang w:val="en-GB"/>
        </w:rPr>
        <w:t xml:space="preserve">Annual Sustainable Growth Survey (ASGS) </w:t>
      </w:r>
      <w:r w:rsidRPr="00627FDF">
        <w:rPr>
          <w:bCs/>
          <w:iCs/>
          <w:lang w:val="en-GB"/>
        </w:rPr>
        <w:t xml:space="preserve">and stresses that </w:t>
      </w:r>
      <w:r w:rsidRPr="00627FDF">
        <w:rPr>
          <w:b/>
          <w:iCs/>
          <w:lang w:val="en-GB"/>
        </w:rPr>
        <w:t>sustainable economic growth</w:t>
      </w:r>
      <w:r w:rsidRPr="00627FDF">
        <w:rPr>
          <w:bCs/>
          <w:iCs/>
          <w:lang w:val="en-GB"/>
        </w:rPr>
        <w:t xml:space="preserve"> is a necessary condition for Europe to meet its multiple commitments, welcomes the </w:t>
      </w:r>
      <w:r w:rsidRPr="00627FDF">
        <w:rPr>
          <w:b/>
          <w:iCs/>
          <w:lang w:val="en-GB"/>
        </w:rPr>
        <w:t>European Macroeconomic Report</w:t>
      </w:r>
      <w:r w:rsidRPr="00627FDF">
        <w:rPr>
          <w:bCs/>
          <w:iCs/>
          <w:lang w:val="en-GB"/>
        </w:rPr>
        <w:t>, which provides a deep dive into the underlying structural challenges facing the EU</w:t>
      </w:r>
      <w:r w:rsidRPr="00627FDF" w:rsidDel="00C83F14">
        <w:rPr>
          <w:bCs/>
          <w:iCs/>
          <w:lang w:val="en-GB"/>
        </w:rPr>
        <w:t xml:space="preserve"> </w:t>
      </w:r>
      <w:r w:rsidRPr="00627FDF">
        <w:rPr>
          <w:bCs/>
          <w:iCs/>
          <w:lang w:val="en-GB"/>
        </w:rPr>
        <w:t xml:space="preserve">and the </w:t>
      </w:r>
      <w:r w:rsidRPr="00627FDF">
        <w:rPr>
          <w:b/>
          <w:iCs/>
          <w:lang w:val="en-GB"/>
        </w:rPr>
        <w:t>new recommendation on human capital</w:t>
      </w:r>
      <w:r w:rsidRPr="00627FDF">
        <w:rPr>
          <w:bCs/>
          <w:iCs/>
          <w:lang w:val="en-GB"/>
        </w:rPr>
        <w:t>, which is a crucial element in filling the EU technological gap, also taking into account the EU demographic challenge;</w:t>
      </w:r>
    </w:p>
    <w:p w14:paraId="37295D8E"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reiterates its call for more </w:t>
      </w:r>
      <w:r w:rsidRPr="00627FDF">
        <w:rPr>
          <w:b/>
          <w:iCs/>
          <w:lang w:val="en-GB"/>
        </w:rPr>
        <w:t>robust common</w:t>
      </w:r>
      <w:r w:rsidRPr="00627FDF">
        <w:rPr>
          <w:bCs/>
          <w:iCs/>
          <w:lang w:val="en-GB"/>
        </w:rPr>
        <w:t xml:space="preserve"> </w:t>
      </w:r>
      <w:r w:rsidRPr="00627FDF">
        <w:rPr>
          <w:b/>
          <w:iCs/>
          <w:lang w:val="en-GB"/>
        </w:rPr>
        <w:t>fiscal capacity</w:t>
      </w:r>
      <w:r w:rsidRPr="00627FDF">
        <w:rPr>
          <w:bCs/>
          <w:iCs/>
          <w:lang w:val="en-GB"/>
        </w:rPr>
        <w:t>, supported by targeted issuances of joint debt, to help fill this growing gap in public investment, and for permanent macroeconomic stabilisation instruments to address shocks, based on experience with the European instrument for temporary support to mitigate unemployment risks in an emergency (SURE), which should be made permanent;</w:t>
      </w:r>
    </w:p>
    <w:p w14:paraId="48F6D6CB"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remains alarmed by the </w:t>
      </w:r>
      <w:r w:rsidRPr="00627FDF">
        <w:rPr>
          <w:b/>
          <w:iCs/>
          <w:lang w:val="en-GB"/>
        </w:rPr>
        <w:t>fragmentation of the EU financial markets</w:t>
      </w:r>
      <w:r w:rsidRPr="00627FDF">
        <w:rPr>
          <w:bCs/>
          <w:iCs/>
          <w:lang w:val="en-GB"/>
        </w:rPr>
        <w:t xml:space="preserve"> and calls on the Commission to assess whether an </w:t>
      </w:r>
      <w:r w:rsidRPr="00627FDF">
        <w:rPr>
          <w:b/>
          <w:iCs/>
          <w:lang w:val="en-GB"/>
        </w:rPr>
        <w:t>EU-level set of instruments, equivalent to the US National Securities Markets Improvement Act (NSMIA)</w:t>
      </w:r>
      <w:r w:rsidRPr="00627FDF">
        <w:rPr>
          <w:bCs/>
          <w:iCs/>
          <w:lang w:val="en-GB"/>
        </w:rPr>
        <w:t>, could simplify cross-border market access, reduce compliance fragmentation and support deeper, more efficient and more liquid markets, while maintaining the necessary level of current security;</w:t>
      </w:r>
    </w:p>
    <w:p w14:paraId="409B0B27"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reiterates its call for the Commission to urgently </w:t>
      </w:r>
      <w:r w:rsidRPr="00627FDF">
        <w:rPr>
          <w:b/>
          <w:iCs/>
          <w:lang w:val="en-GB"/>
        </w:rPr>
        <w:t>revise the set of proposed indicators to monitor the Macroeconomic Imbalance Procedure (MIP)</w:t>
      </w:r>
      <w:r w:rsidRPr="00627FDF">
        <w:rPr>
          <w:bCs/>
          <w:iCs/>
          <w:lang w:val="en-GB"/>
        </w:rPr>
        <w:t>. Monitoring the evolution of combined leverage instead of sticking to silos could be part of the solution to improve the current MIP scoreboard;</w:t>
      </w:r>
    </w:p>
    <w:p w14:paraId="1707B61B"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considers it necessary to make more </w:t>
      </w:r>
      <w:r w:rsidRPr="00627FDF">
        <w:rPr>
          <w:b/>
          <w:iCs/>
          <w:lang w:val="en-GB"/>
        </w:rPr>
        <w:t>streamlined use of the Social Scoreboard</w:t>
      </w:r>
      <w:r w:rsidRPr="00627FDF">
        <w:rPr>
          <w:bCs/>
          <w:iCs/>
          <w:lang w:val="en-GB"/>
        </w:rPr>
        <w:t xml:space="preserve">, </w:t>
      </w:r>
      <w:r w:rsidRPr="00627FDF">
        <w:rPr>
          <w:b/>
          <w:iCs/>
          <w:lang w:val="en-GB"/>
        </w:rPr>
        <w:t>a revised MIP scoreboard</w:t>
      </w:r>
      <w:r w:rsidRPr="00627FDF">
        <w:rPr>
          <w:bCs/>
          <w:iCs/>
          <w:lang w:val="en-GB"/>
        </w:rPr>
        <w:t xml:space="preserve">, and </w:t>
      </w:r>
      <w:r w:rsidRPr="00627FDF">
        <w:rPr>
          <w:b/>
          <w:iCs/>
          <w:lang w:val="en-GB"/>
        </w:rPr>
        <w:t>a revised debt sustainability analysis (DSA) methodology</w:t>
      </w:r>
      <w:r w:rsidRPr="00627FDF">
        <w:rPr>
          <w:bCs/>
          <w:iCs/>
          <w:lang w:val="en-GB"/>
        </w:rPr>
        <w:t xml:space="preserve">, </w:t>
      </w:r>
      <w:r w:rsidRPr="00627FDF">
        <w:rPr>
          <w:b/>
          <w:iCs/>
          <w:lang w:val="en-GB"/>
        </w:rPr>
        <w:t>complemented by</w:t>
      </w:r>
      <w:r w:rsidRPr="00627FDF">
        <w:rPr>
          <w:bCs/>
          <w:iCs/>
          <w:lang w:val="en-GB"/>
        </w:rPr>
        <w:t xml:space="preserve"> the new </w:t>
      </w:r>
      <w:r w:rsidRPr="00627FDF">
        <w:rPr>
          <w:b/>
          <w:iCs/>
          <w:lang w:val="en-GB"/>
        </w:rPr>
        <w:t>wellbeing indicators</w:t>
      </w:r>
      <w:r w:rsidRPr="00627FDF">
        <w:rPr>
          <w:bCs/>
          <w:iCs/>
          <w:lang w:val="en-GB"/>
        </w:rPr>
        <w:t xml:space="preserve"> proposed by the Joint Research Centre (JRC);</w:t>
      </w:r>
    </w:p>
    <w:p w14:paraId="1DE1E29B"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asks the Commission to treat the </w:t>
      </w:r>
      <w:r w:rsidRPr="00627FDF">
        <w:rPr>
          <w:b/>
          <w:iCs/>
          <w:lang w:val="en-GB"/>
        </w:rPr>
        <w:t>social convergence framework</w:t>
      </w:r>
      <w:r w:rsidRPr="00627FDF">
        <w:rPr>
          <w:bCs/>
          <w:iCs/>
          <w:lang w:val="en-GB"/>
        </w:rPr>
        <w:t xml:space="preserve"> </w:t>
      </w:r>
      <w:r w:rsidRPr="00627FDF">
        <w:rPr>
          <w:b/>
          <w:iCs/>
          <w:lang w:val="en-GB"/>
        </w:rPr>
        <w:t xml:space="preserve">as being on the same level as the fiscal one and to formulate clear recommendations </w:t>
      </w:r>
      <w:r w:rsidRPr="00627FDF">
        <w:rPr>
          <w:bCs/>
          <w:iCs/>
          <w:lang w:val="en-GB"/>
        </w:rPr>
        <w:t xml:space="preserve">to each Member State accordingly in the next Country Specific Recommendations (CSRs) and calls on the Commission to propose concrete incentives for Member States to increase the use of the </w:t>
      </w:r>
      <w:r w:rsidRPr="00627FDF">
        <w:rPr>
          <w:b/>
          <w:iCs/>
          <w:lang w:val="en-GB"/>
        </w:rPr>
        <w:t>flexibility clause for social investments</w:t>
      </w:r>
      <w:r w:rsidRPr="00627FDF">
        <w:rPr>
          <w:bCs/>
          <w:iCs/>
          <w:lang w:val="en-GB"/>
        </w:rPr>
        <w:t>;</w:t>
      </w:r>
    </w:p>
    <w:p w14:paraId="7DBF2201"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reiterates its call for an </w:t>
      </w:r>
      <w:r w:rsidRPr="00627FDF">
        <w:rPr>
          <w:b/>
          <w:iCs/>
          <w:lang w:val="en-GB"/>
        </w:rPr>
        <w:t>in-depth analysis and clarification on the announced connections between the European Semester</w:t>
      </w:r>
      <w:r w:rsidRPr="00627FDF">
        <w:rPr>
          <w:bCs/>
          <w:iCs/>
          <w:lang w:val="en-GB"/>
        </w:rPr>
        <w:t xml:space="preserve">, the </w:t>
      </w:r>
      <w:r w:rsidRPr="00627FDF">
        <w:rPr>
          <w:b/>
          <w:iCs/>
          <w:lang w:val="en-GB"/>
        </w:rPr>
        <w:t>Competitiveness Coordination Tool</w:t>
      </w:r>
      <w:r w:rsidRPr="00627FDF">
        <w:rPr>
          <w:bCs/>
          <w:iCs/>
          <w:lang w:val="en-GB"/>
        </w:rPr>
        <w:t xml:space="preserve"> and the proposed future </w:t>
      </w:r>
      <w:r w:rsidRPr="00627FDF">
        <w:rPr>
          <w:b/>
          <w:iCs/>
          <w:lang w:val="en-GB"/>
        </w:rPr>
        <w:t>Multiannual Financial Framework (MFF)</w:t>
      </w:r>
      <w:r w:rsidRPr="00627FDF">
        <w:rPr>
          <w:bCs/>
          <w:iCs/>
          <w:lang w:val="en-GB"/>
        </w:rPr>
        <w:t xml:space="preserve">; </w:t>
      </w:r>
    </w:p>
    <w:p w14:paraId="28888E6E"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calls on the </w:t>
      </w:r>
      <w:r w:rsidRPr="00627FDF">
        <w:rPr>
          <w:b/>
          <w:iCs/>
          <w:lang w:val="en-GB"/>
        </w:rPr>
        <w:t>European Parliament to establish</w:t>
      </w:r>
      <w:r w:rsidRPr="00627FDF">
        <w:rPr>
          <w:bCs/>
          <w:iCs/>
          <w:lang w:val="en-GB"/>
        </w:rPr>
        <w:t xml:space="preserve"> – as is the case for the Recovery and Resilience Facility (RRF) – </w:t>
      </w:r>
      <w:r w:rsidRPr="00627FDF">
        <w:rPr>
          <w:b/>
          <w:iCs/>
          <w:lang w:val="en-GB"/>
        </w:rPr>
        <w:t xml:space="preserve">a permanent monitoring and assessment committee for the ‘new’ European Semester, the implementation and annual assessment of the medium-term fiscal-structural plans </w:t>
      </w:r>
      <w:r w:rsidRPr="00627FDF">
        <w:rPr>
          <w:bCs/>
          <w:iCs/>
          <w:lang w:val="en-GB"/>
        </w:rPr>
        <w:t>(MTFSPs)</w:t>
      </w:r>
      <w:r w:rsidRPr="00627FDF">
        <w:rPr>
          <w:b/>
          <w:iCs/>
          <w:lang w:val="en-GB"/>
        </w:rPr>
        <w:t xml:space="preserve">, the CSRs, and their concrete interconnections with the future national and regional partnership plans </w:t>
      </w:r>
      <w:r w:rsidRPr="00627FDF">
        <w:rPr>
          <w:bCs/>
          <w:iCs/>
          <w:lang w:val="en-GB"/>
        </w:rPr>
        <w:t>(NRPPs);</w:t>
      </w:r>
    </w:p>
    <w:p w14:paraId="19CCD46D"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calls on the Commission to </w:t>
      </w:r>
      <w:r w:rsidRPr="00627FDF">
        <w:rPr>
          <w:b/>
          <w:iCs/>
          <w:lang w:val="en-GB"/>
        </w:rPr>
        <w:t>frame the escape clause as a temporary emergency instrument</w:t>
      </w:r>
      <w:r w:rsidRPr="00627FDF">
        <w:rPr>
          <w:bCs/>
          <w:iCs/>
          <w:lang w:val="en-GB"/>
        </w:rPr>
        <w:t xml:space="preserve"> rather than as a substitute for a coherent long-term fiscal and growth strategy and calls on the Commission to assess </w:t>
      </w:r>
      <w:r w:rsidRPr="00627FDF">
        <w:rPr>
          <w:b/>
          <w:iCs/>
          <w:lang w:val="en-GB"/>
        </w:rPr>
        <w:t>the increasing role played by defence spending in the EU’s sustainable growth</w:t>
      </w:r>
      <w:r w:rsidRPr="00627FDF">
        <w:rPr>
          <w:bCs/>
          <w:iCs/>
          <w:lang w:val="en-GB"/>
        </w:rPr>
        <w:t xml:space="preserve"> and its impact on employment and future fiscal stability;</w:t>
      </w:r>
    </w:p>
    <w:p w14:paraId="61FE117E" w14:textId="77777777" w:rsidR="00627FDF" w:rsidRPr="00627FDF" w:rsidRDefault="00627FDF" w:rsidP="00E54618">
      <w:pPr>
        <w:widowControl w:val="0"/>
        <w:numPr>
          <w:ilvl w:val="0"/>
          <w:numId w:val="15"/>
        </w:numPr>
        <w:overflowPunct w:val="0"/>
        <w:autoSpaceDE w:val="0"/>
        <w:autoSpaceDN w:val="0"/>
        <w:adjustRightInd w:val="0"/>
        <w:ind w:left="567" w:hanging="567"/>
        <w:textAlignment w:val="baseline"/>
        <w:rPr>
          <w:bCs/>
          <w:iCs/>
          <w:lang w:val="en-GB"/>
        </w:rPr>
      </w:pPr>
      <w:r w:rsidRPr="00627FDF">
        <w:rPr>
          <w:bCs/>
          <w:iCs/>
          <w:lang w:val="en-GB"/>
        </w:rPr>
        <w:t xml:space="preserve">reiterates its calls for the more </w:t>
      </w:r>
      <w:r w:rsidRPr="00627FDF">
        <w:rPr>
          <w:b/>
          <w:iCs/>
          <w:lang w:val="en-GB"/>
        </w:rPr>
        <w:t>robust, structured and meaningful involvement of social partners and Civil Society Organisations</w:t>
      </w:r>
      <w:r w:rsidRPr="00627FDF">
        <w:rPr>
          <w:bCs/>
          <w:iCs/>
          <w:lang w:val="en-GB"/>
        </w:rPr>
        <w:t xml:space="preserve"> </w:t>
      </w:r>
      <w:r w:rsidRPr="00627FDF">
        <w:rPr>
          <w:b/>
          <w:iCs/>
          <w:lang w:val="en-GB"/>
        </w:rPr>
        <w:t>at European, national and local level</w:t>
      </w:r>
      <w:r w:rsidRPr="00627FDF">
        <w:rPr>
          <w:bCs/>
          <w:iCs/>
          <w:lang w:val="en-GB"/>
        </w:rPr>
        <w:t>, in implementing the Semester cycle.</w:t>
      </w:r>
    </w:p>
    <w:p w14:paraId="6AF1FBF1" w14:textId="77777777" w:rsidR="00627FDF" w:rsidRPr="00627FDF" w:rsidRDefault="00627FDF" w:rsidP="00100EF9">
      <w:pPr>
        <w:widowControl w:val="0"/>
        <w:overflowPunct w:val="0"/>
        <w:autoSpaceDE w:val="0"/>
        <w:autoSpaceDN w:val="0"/>
        <w:adjustRightInd w:val="0"/>
        <w:ind w:left="567"/>
        <w:textAlignment w:val="baseline"/>
        <w:rPr>
          <w:bCs/>
          <w:i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9"/>
      </w:tblGrid>
      <w:tr w:rsidR="00627FDF" w:rsidRPr="00627FDF" w14:paraId="52F142FB" w14:textId="77777777" w:rsidTr="00601D8A">
        <w:tc>
          <w:tcPr>
            <w:tcW w:w="625" w:type="pct"/>
          </w:tcPr>
          <w:p w14:paraId="605B3F57" w14:textId="77777777" w:rsidR="00627FDF" w:rsidRPr="00627FDF" w:rsidRDefault="00627FDF" w:rsidP="00100EF9">
            <w:pPr>
              <w:overflowPunct w:val="0"/>
              <w:autoSpaceDE w:val="0"/>
              <w:autoSpaceDN w:val="0"/>
              <w:adjustRightInd w:val="0"/>
              <w:textAlignment w:val="baseline"/>
              <w:rPr>
                <w:i/>
              </w:rPr>
            </w:pPr>
            <w:r w:rsidRPr="00627FDF">
              <w:rPr>
                <w:b/>
                <w:i/>
              </w:rPr>
              <w:t>Contact</w:t>
            </w:r>
          </w:p>
        </w:tc>
        <w:tc>
          <w:tcPr>
            <w:tcW w:w="4375" w:type="pct"/>
          </w:tcPr>
          <w:p w14:paraId="2799D0F0" w14:textId="77777777" w:rsidR="00627FDF" w:rsidRPr="00627FDF" w:rsidRDefault="00627FDF" w:rsidP="00100EF9">
            <w:pPr>
              <w:overflowPunct w:val="0"/>
              <w:autoSpaceDE w:val="0"/>
              <w:autoSpaceDN w:val="0"/>
              <w:adjustRightInd w:val="0"/>
              <w:textAlignment w:val="baseline"/>
              <w:rPr>
                <w:i/>
              </w:rPr>
            </w:pPr>
            <w:r w:rsidRPr="00627FDF">
              <w:rPr>
                <w:i/>
              </w:rPr>
              <w:t>Anna Pantazi</w:t>
            </w:r>
          </w:p>
        </w:tc>
      </w:tr>
      <w:tr w:rsidR="00627FDF" w:rsidRPr="00627FDF" w14:paraId="2AECF76E" w14:textId="77777777" w:rsidTr="00601D8A">
        <w:tc>
          <w:tcPr>
            <w:tcW w:w="625" w:type="pct"/>
          </w:tcPr>
          <w:p w14:paraId="0CA36F14" w14:textId="77777777" w:rsidR="00627FDF" w:rsidRPr="00627FDF" w:rsidRDefault="00627FDF" w:rsidP="00100EF9">
            <w:pPr>
              <w:overflowPunct w:val="0"/>
              <w:autoSpaceDE w:val="0"/>
              <w:autoSpaceDN w:val="0"/>
              <w:adjustRightInd w:val="0"/>
              <w:textAlignment w:val="baseline"/>
              <w:rPr>
                <w:i/>
              </w:rPr>
            </w:pPr>
            <w:r w:rsidRPr="00627FDF">
              <w:rPr>
                <w:i/>
              </w:rPr>
              <w:t>Tel.</w:t>
            </w:r>
          </w:p>
        </w:tc>
        <w:tc>
          <w:tcPr>
            <w:tcW w:w="4375" w:type="pct"/>
          </w:tcPr>
          <w:p w14:paraId="74E90836" w14:textId="1D42CC9B" w:rsidR="00627FDF" w:rsidRPr="00627FDF" w:rsidRDefault="00627FDF" w:rsidP="00100EF9">
            <w:pPr>
              <w:overflowPunct w:val="0"/>
              <w:autoSpaceDE w:val="0"/>
              <w:autoSpaceDN w:val="0"/>
              <w:adjustRightInd w:val="0"/>
              <w:textAlignment w:val="baseline"/>
              <w:rPr>
                <w:i/>
              </w:rPr>
            </w:pPr>
            <w:r w:rsidRPr="00627FDF">
              <w:rPr>
                <w:i/>
                <w:lang w:val="fr-BE"/>
              </w:rPr>
              <w:t>+32 25469231</w:t>
            </w:r>
          </w:p>
        </w:tc>
      </w:tr>
      <w:tr w:rsidR="00627FDF" w:rsidRPr="00627FDF" w14:paraId="03A39DE3" w14:textId="77777777" w:rsidTr="00601D8A">
        <w:tc>
          <w:tcPr>
            <w:tcW w:w="625" w:type="pct"/>
          </w:tcPr>
          <w:p w14:paraId="5FDCFB85" w14:textId="77777777" w:rsidR="00627FDF" w:rsidRPr="00627FDF" w:rsidRDefault="00627FDF" w:rsidP="00100EF9">
            <w:pPr>
              <w:overflowPunct w:val="0"/>
              <w:autoSpaceDE w:val="0"/>
              <w:autoSpaceDN w:val="0"/>
              <w:adjustRightInd w:val="0"/>
              <w:textAlignment w:val="baseline"/>
              <w:rPr>
                <w:i/>
              </w:rPr>
            </w:pPr>
            <w:r w:rsidRPr="00627FDF">
              <w:rPr>
                <w:i/>
              </w:rPr>
              <w:t>Email</w:t>
            </w:r>
          </w:p>
        </w:tc>
        <w:tc>
          <w:tcPr>
            <w:tcW w:w="4375" w:type="pct"/>
          </w:tcPr>
          <w:p w14:paraId="3BA9FEE0" w14:textId="77777777" w:rsidR="00627FDF" w:rsidRPr="00627FDF" w:rsidRDefault="00DA095D" w:rsidP="00100EF9">
            <w:pPr>
              <w:overflowPunct w:val="0"/>
              <w:autoSpaceDE w:val="0"/>
              <w:autoSpaceDN w:val="0"/>
              <w:adjustRightInd w:val="0"/>
              <w:textAlignment w:val="baseline"/>
              <w:rPr>
                <w:i/>
              </w:rPr>
            </w:pPr>
            <w:hyperlink r:id="rId24" w:history="1">
              <w:r w:rsidR="00627FDF" w:rsidRPr="00627FDF">
                <w:rPr>
                  <w:i/>
                  <w:color w:val="0000FF"/>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659AE7F4" w:rsidR="00532F99" w:rsidRPr="00153E09" w:rsidRDefault="00532F99" w:rsidP="00100EF9">
      <w:pPr>
        <w:widowControl w:val="0"/>
        <w:numPr>
          <w:ilvl w:val="0"/>
          <w:numId w:val="6"/>
        </w:numPr>
        <w:overflowPunct w:val="0"/>
        <w:autoSpaceDE w:val="0"/>
        <w:autoSpaceDN w:val="0"/>
        <w:adjustRightInd w:val="0"/>
        <w:ind w:hanging="567"/>
        <w:textAlignment w:val="baseline"/>
        <w:rPr>
          <w:b/>
          <w:i/>
          <w:iCs/>
          <w:sz w:val="28"/>
          <w:szCs w:val="28"/>
          <w:lang w:val="en-GB"/>
        </w:rPr>
      </w:pPr>
      <w:hyperlink r:id="rId25" w:history="1">
        <w:r w:rsidRPr="00532F99">
          <w:rPr>
            <w:b/>
            <w:bCs/>
            <w:i/>
            <w:iCs/>
            <w:color w:val="0000FF"/>
            <w:sz w:val="28"/>
            <w:szCs w:val="28"/>
            <w:u w:val="single"/>
            <w:lang w:val="en-GB"/>
          </w:rPr>
          <w:t xml:space="preserve">The Island Dimension in </w:t>
        </w:r>
        <w:r w:rsidR="00120A45" w:rsidRPr="00120A45">
          <w:rPr>
            <w:b/>
            <w:bCs/>
            <w:i/>
            <w:iCs/>
            <w:color w:val="0000FF"/>
            <w:sz w:val="28"/>
            <w:szCs w:val="28"/>
            <w:u w:val="single"/>
            <w:lang w:val="en-GB"/>
          </w:rPr>
          <w:t>European Cohesion, Competitiveness and Sustainable Development</w:t>
        </w:r>
        <w:r w:rsidRPr="00532F99">
          <w:rPr>
            <w:b/>
            <w:bCs/>
            <w:i/>
            <w:iCs/>
            <w:color w:val="0000FF"/>
            <w:sz w:val="28"/>
            <w:szCs w:val="28"/>
            <w:u w:val="single"/>
            <w:lang w:val="en-GB"/>
          </w:rPr>
          <w:t xml:space="preserve"> Policies</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32F99" w:rsidRPr="00532F99" w14:paraId="67745AC7" w14:textId="77777777" w:rsidTr="00D0608D">
        <w:tc>
          <w:tcPr>
            <w:tcW w:w="1701" w:type="dxa"/>
          </w:tcPr>
          <w:p w14:paraId="61C2DFEA"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sidRPr="00532F99">
              <w:rPr>
                <w:b/>
              </w:rPr>
              <w:t>Rapporteur</w:t>
            </w:r>
          </w:p>
        </w:tc>
        <w:tc>
          <w:tcPr>
            <w:tcW w:w="7479" w:type="dxa"/>
          </w:tcPr>
          <w:p w14:paraId="1D4B2919" w14:textId="013947C3" w:rsidR="00153E09" w:rsidRPr="00532F99" w:rsidRDefault="00532F99" w:rsidP="00100EF9">
            <w:pPr>
              <w:tabs>
                <w:tab w:val="center" w:pos="284"/>
              </w:tabs>
              <w:overflowPunct w:val="0"/>
              <w:autoSpaceDE w:val="0"/>
              <w:autoSpaceDN w:val="0"/>
              <w:adjustRightInd w:val="0"/>
              <w:ind w:left="266" w:hanging="266"/>
              <w:textAlignment w:val="baseline"/>
            </w:pPr>
            <w:r w:rsidRPr="00532F99">
              <w:rPr>
                <w:bCs/>
              </w:rPr>
              <w:t xml:space="preserve">Ioannis VARDAKASTANIS (Civil Society </w:t>
            </w:r>
            <w:proofErr w:type="spellStart"/>
            <w:r w:rsidRPr="00532F99">
              <w:rPr>
                <w:bCs/>
              </w:rPr>
              <w:t>Organisations'</w:t>
            </w:r>
            <w:proofErr w:type="spellEnd"/>
            <w:r w:rsidRPr="00532F99">
              <w:rPr>
                <w:bCs/>
              </w:rPr>
              <w:t xml:space="preserve"> Group </w:t>
            </w:r>
            <w:r w:rsidRPr="00532F99">
              <w:rPr>
                <w:b/>
                <w:bCs/>
                <w:i/>
                <w:iCs/>
              </w:rPr>
              <w:t xml:space="preserve">– </w:t>
            </w:r>
            <w:r w:rsidRPr="00532F99">
              <w:t>EL)</w:t>
            </w:r>
          </w:p>
        </w:tc>
      </w:tr>
      <w:tr w:rsidR="00205469" w:rsidRPr="00532F99" w14:paraId="1E28C030" w14:textId="77777777" w:rsidTr="00D0608D">
        <w:tc>
          <w:tcPr>
            <w:tcW w:w="1701" w:type="dxa"/>
          </w:tcPr>
          <w:p w14:paraId="6556B0F0" w14:textId="77777777" w:rsidR="00205469" w:rsidRPr="00532F99"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49CED0B0" w14:textId="77777777" w:rsidR="00205469" w:rsidRPr="00532F99" w:rsidRDefault="00205469" w:rsidP="00100EF9">
            <w:pPr>
              <w:tabs>
                <w:tab w:val="center" w:pos="284"/>
              </w:tabs>
              <w:overflowPunct w:val="0"/>
              <w:autoSpaceDE w:val="0"/>
              <w:autoSpaceDN w:val="0"/>
              <w:adjustRightInd w:val="0"/>
              <w:ind w:left="266" w:hanging="266"/>
              <w:textAlignment w:val="baseline"/>
              <w:rPr>
                <w:bCs/>
              </w:rPr>
            </w:pPr>
          </w:p>
        </w:tc>
      </w:tr>
      <w:tr w:rsidR="00532F99" w:rsidRPr="00532F99" w14:paraId="6B1B0BDA" w14:textId="77777777" w:rsidTr="00D0608D">
        <w:tc>
          <w:tcPr>
            <w:tcW w:w="1701" w:type="dxa"/>
          </w:tcPr>
          <w:p w14:paraId="2C89221D"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sidRPr="00532F99">
              <w:rPr>
                <w:b/>
              </w:rPr>
              <w:t>References</w:t>
            </w:r>
          </w:p>
        </w:tc>
        <w:tc>
          <w:tcPr>
            <w:tcW w:w="7479" w:type="dxa"/>
          </w:tcPr>
          <w:p w14:paraId="23EE8050" w14:textId="51DBB49C" w:rsidR="00532F99" w:rsidRPr="00532F99" w:rsidRDefault="00532F99" w:rsidP="00100EF9">
            <w:pPr>
              <w:tabs>
                <w:tab w:val="center" w:pos="321"/>
              </w:tabs>
              <w:overflowPunct w:val="0"/>
              <w:autoSpaceDE w:val="0"/>
              <w:autoSpaceDN w:val="0"/>
              <w:adjustRightInd w:val="0"/>
              <w:textAlignment w:val="baseline"/>
            </w:pPr>
            <w:r w:rsidRPr="00532F99">
              <w:t>Exploratory opinion request</w:t>
            </w:r>
            <w:r w:rsidR="00CF196A">
              <w:t>ed</w:t>
            </w:r>
            <w:r w:rsidR="0037319B">
              <w:t xml:space="preserve"> by </w:t>
            </w:r>
            <w:r w:rsidRPr="00532F99">
              <w:t>the Cyprus Presidency of the Council</w:t>
            </w:r>
            <w:r w:rsidR="0037319B">
              <w:t xml:space="preserve"> of the EU</w:t>
            </w:r>
          </w:p>
          <w:p w14:paraId="0FBD455F" w14:textId="74AC979E" w:rsidR="00532F99" w:rsidRPr="00532F99" w:rsidRDefault="00532F99" w:rsidP="00100EF9">
            <w:pPr>
              <w:tabs>
                <w:tab w:val="center" w:pos="284"/>
              </w:tabs>
              <w:overflowPunct w:val="0"/>
              <w:autoSpaceDE w:val="0"/>
              <w:autoSpaceDN w:val="0"/>
              <w:adjustRightInd w:val="0"/>
              <w:ind w:left="266" w:hanging="266"/>
              <w:textAlignment w:val="baseline"/>
              <w:rPr>
                <w:lang w:val="pt-PT"/>
              </w:rPr>
            </w:pPr>
            <w:r w:rsidRPr="00532F99">
              <w:rPr>
                <w:lang w:val="pt-PT"/>
              </w:rP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r w:rsidRPr="00532F99">
        <w:rPr>
          <w:b/>
          <w:lang w:val="en-GB"/>
        </w:rPr>
        <w:t>Key points</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lang w:val="en-GB"/>
        </w:rPr>
      </w:pPr>
      <w:r w:rsidRPr="00532F99">
        <w:rPr>
          <w:bCs/>
          <w:iCs/>
          <w:lang w:val="en-GB"/>
        </w:rPr>
        <w:t>The EESC:</w:t>
      </w:r>
    </w:p>
    <w:p w14:paraId="4843EC5E" w14:textId="77777777" w:rsidR="00532F99" w:rsidRPr="00AD4D97" w:rsidRDefault="00532F99" w:rsidP="00E54618">
      <w:pPr>
        <w:pStyle w:val="ListParagraph"/>
        <w:numPr>
          <w:ilvl w:val="0"/>
          <w:numId w:val="28"/>
        </w:numPr>
        <w:ind w:left="567" w:hanging="567"/>
        <w:rPr>
          <w:lang w:val="en-GB" w:eastAsia="en-GB"/>
        </w:rPr>
      </w:pPr>
      <w:bookmarkStart w:id="5" w:name="_Toc222825817"/>
      <w:r w:rsidRPr="00AD4D97">
        <w:rPr>
          <w:lang w:val="en-GB" w:eastAsia="en-GB"/>
        </w:rPr>
        <w:t xml:space="preserve">believes that EU islands face </w:t>
      </w:r>
      <w:r w:rsidRPr="00AD4D97">
        <w:rPr>
          <w:u w:val="single"/>
          <w:lang w:val="en-GB" w:eastAsia="en-GB"/>
        </w:rPr>
        <w:t>persistent structural disadvantages</w:t>
      </w:r>
      <w:r w:rsidRPr="00AD4D97">
        <w:rPr>
          <w:lang w:val="en-GB" w:eastAsia="en-GB"/>
        </w:rPr>
        <w:t>, i.e. geographic, economic, demographic and climate-related constraints such as isolation, melting ice, high transport and energy costs, housing pressure, labour shortages and over-reliance on tourism;</w:t>
      </w:r>
      <w:bookmarkEnd w:id="5"/>
    </w:p>
    <w:p w14:paraId="70CF9AE7" w14:textId="77777777" w:rsidR="00532F99" w:rsidRPr="00AD4D97" w:rsidRDefault="00532F99" w:rsidP="00E54618">
      <w:pPr>
        <w:pStyle w:val="ListParagraph"/>
        <w:numPr>
          <w:ilvl w:val="0"/>
          <w:numId w:val="28"/>
        </w:numPr>
        <w:ind w:left="567" w:hanging="567"/>
        <w:rPr>
          <w:u w:val="single"/>
          <w:lang w:val="en-GB" w:eastAsia="en-GB"/>
        </w:rPr>
      </w:pPr>
      <w:bookmarkStart w:id="6" w:name="_Toc222825818"/>
      <w:r w:rsidRPr="00AD4D97">
        <w:rPr>
          <w:lang w:val="en-GB" w:eastAsia="en-GB"/>
        </w:rPr>
        <w:t>is of the view that islands are essential for the EU’s geopolitical positioning, migration management, maritime security and energy transition. Their marine ecosystems and Exclusive Economic Zones (EEZs) underpin the Blue Economy and biodiversity objectives. Despite recognition in EU treaties and political statements, islands’ unique challenges are not adequately addressed in the EU’s sectoral policies. Islands have the potential to be laboratories of innovation and sustainability, demonstrating solutions for climate adaptation, renewable energy, marine conservation and sustainable tourism;</w:t>
      </w:r>
      <w:bookmarkEnd w:id="6"/>
    </w:p>
    <w:p w14:paraId="67767811" w14:textId="77777777" w:rsidR="00532F99" w:rsidRPr="00AD4D97" w:rsidRDefault="00532F99" w:rsidP="00E54618">
      <w:pPr>
        <w:pStyle w:val="ListParagraph"/>
        <w:numPr>
          <w:ilvl w:val="0"/>
          <w:numId w:val="28"/>
        </w:numPr>
        <w:ind w:left="567" w:hanging="567"/>
        <w:rPr>
          <w:lang w:val="en-GB" w:eastAsia="en-GB"/>
        </w:rPr>
      </w:pPr>
      <w:bookmarkStart w:id="7" w:name="_Toc222825819"/>
      <w:r w:rsidRPr="00AD4D97">
        <w:rPr>
          <w:u w:val="single"/>
          <w:lang w:val="en-GB" w:eastAsia="en-GB"/>
        </w:rPr>
        <w:t>recognises that there is a need for a systemic approach</w:t>
      </w:r>
      <w:r w:rsidRPr="00AD4D97">
        <w:rPr>
          <w:lang w:val="en-GB" w:eastAsia="en-GB"/>
        </w:rPr>
        <w:t>. Effective EU policy for islands and island territories in general (including outermost regions and lake regions) requires integrated, cross-sectoral strategies addressing connectivity, economic diversification, social cohesion, ecological, social and economic resilience, and geopolitical readiness;</w:t>
      </w:r>
      <w:bookmarkEnd w:id="7"/>
    </w:p>
    <w:p w14:paraId="46E91099" w14:textId="77777777" w:rsidR="00532F99" w:rsidRPr="00AD4D97" w:rsidRDefault="00532F99" w:rsidP="00E54618">
      <w:pPr>
        <w:pStyle w:val="ListParagraph"/>
        <w:numPr>
          <w:ilvl w:val="0"/>
          <w:numId w:val="28"/>
        </w:numPr>
        <w:ind w:left="567" w:hanging="567"/>
        <w:rPr>
          <w:lang w:val="en-GB" w:eastAsia="en-GB"/>
        </w:rPr>
      </w:pPr>
      <w:bookmarkStart w:id="8" w:name="_Toc222825820"/>
      <w:r w:rsidRPr="00AD4D97">
        <w:rPr>
          <w:lang w:val="en-GB"/>
        </w:rPr>
        <w:t>calls for the establishment of a dedicated Union strategy for islands (</w:t>
      </w:r>
      <w:r w:rsidRPr="00AD4D97">
        <w:rPr>
          <w:b/>
          <w:lang w:val="en-GB"/>
        </w:rPr>
        <w:t>Islands Pact</w:t>
      </w:r>
      <w:r w:rsidRPr="00AD4D97">
        <w:rPr>
          <w:lang w:val="en-GB"/>
        </w:rPr>
        <w:t>), supported by a specific legislative framework (</w:t>
      </w:r>
      <w:r w:rsidRPr="00AD4D97">
        <w:rPr>
          <w:b/>
          <w:lang w:val="en-GB"/>
        </w:rPr>
        <w:t>Islands Act</w:t>
      </w:r>
      <w:r w:rsidRPr="00AD4D97">
        <w:rPr>
          <w:lang w:val="en-GB"/>
        </w:rPr>
        <w:t xml:space="preserve">). That framework should be accompanied by a formal strategy and provide for the effective implementation of an </w:t>
      </w:r>
      <w:r w:rsidRPr="00AD4D97">
        <w:rPr>
          <w:b/>
          <w:lang w:val="en-GB"/>
        </w:rPr>
        <w:t>‘insularity clause</w:t>
      </w:r>
      <w:r w:rsidRPr="00AD4D97">
        <w:rPr>
          <w:b/>
          <w:bCs/>
          <w:lang w:val="en-GB"/>
        </w:rPr>
        <w:t>’</w:t>
      </w:r>
      <w:r w:rsidRPr="00AD4D97">
        <w:rPr>
          <w:lang w:val="en-GB"/>
        </w:rPr>
        <w:t xml:space="preserve">, with a view to systematically integrating the specific needs and constraints of islands into Union policies on cohesion, transport, energy, </w:t>
      </w:r>
      <w:r w:rsidRPr="00AD4D97">
        <w:rPr>
          <w:lang w:val="en-GB" w:eastAsia="en-GB"/>
        </w:rPr>
        <w:t>s</w:t>
      </w:r>
      <w:r w:rsidRPr="00AD4D97">
        <w:rPr>
          <w:lang w:val="en-GB"/>
        </w:rPr>
        <w:t>tate aid, the environment and maritime affairs;</w:t>
      </w:r>
      <w:bookmarkEnd w:id="8"/>
    </w:p>
    <w:p w14:paraId="762E910D" w14:textId="77777777" w:rsidR="00532F99" w:rsidRPr="00AD4D97" w:rsidRDefault="00532F99" w:rsidP="00E54618">
      <w:pPr>
        <w:pStyle w:val="ListParagraph"/>
        <w:numPr>
          <w:ilvl w:val="0"/>
          <w:numId w:val="28"/>
        </w:numPr>
        <w:ind w:left="567" w:hanging="567"/>
        <w:rPr>
          <w:lang w:val="en-GB" w:eastAsia="en-GB"/>
        </w:rPr>
      </w:pPr>
      <w:bookmarkStart w:id="9" w:name="_Toc222825821"/>
      <w:r w:rsidRPr="00AD4D97">
        <w:rPr>
          <w:lang w:val="en-GB" w:eastAsia="en-GB"/>
        </w:rPr>
        <w:t>stresses that improving connectivity and infrastructure in island territories is essential for territorial cohesion, and calls for improved transport and public mobility systems, enhanced digital connectivity and more resilient energy grids, with a clear focus on decarbonisation, energy autonomy;</w:t>
      </w:r>
      <w:bookmarkEnd w:id="9"/>
    </w:p>
    <w:p w14:paraId="737F86E5" w14:textId="77777777" w:rsidR="00532F99" w:rsidRPr="00AD4D97" w:rsidRDefault="00532F99" w:rsidP="00E54618">
      <w:pPr>
        <w:pStyle w:val="ListParagraph"/>
        <w:numPr>
          <w:ilvl w:val="0"/>
          <w:numId w:val="28"/>
        </w:numPr>
        <w:ind w:left="567" w:hanging="567"/>
        <w:rPr>
          <w:lang w:val="en-GB"/>
        </w:rPr>
      </w:pPr>
      <w:bookmarkStart w:id="10" w:name="_Toc222825822"/>
      <w:r w:rsidRPr="00AD4D97">
        <w:rPr>
          <w:lang w:val="en-GB" w:eastAsia="en-GB"/>
        </w:rPr>
        <w:t>stresses that island regions should diversify their economies by developing a sustainable and competitive blue economy that builds on their unique assets, such as marine resources, renewable energy potential, tourism, cultural heritage and creative industries;</w:t>
      </w:r>
      <w:bookmarkEnd w:id="10"/>
    </w:p>
    <w:p w14:paraId="7E670409" w14:textId="77777777" w:rsidR="00532F99" w:rsidRPr="00AD4D97" w:rsidRDefault="00532F99" w:rsidP="00E54618">
      <w:pPr>
        <w:pStyle w:val="ListParagraph"/>
        <w:numPr>
          <w:ilvl w:val="0"/>
          <w:numId w:val="28"/>
        </w:numPr>
        <w:ind w:left="567" w:hanging="567"/>
        <w:rPr>
          <w:lang w:val="en-GB" w:eastAsia="en-GB"/>
        </w:rPr>
      </w:pPr>
      <w:bookmarkStart w:id="11" w:name="_Toc222825823"/>
      <w:r w:rsidRPr="00AD4D97">
        <w:rPr>
          <w:lang w:val="en-GB" w:eastAsia="en-GB"/>
        </w:rPr>
        <w:t>emphasises that social cohesion and human capital development are central to the long-term sustainability of island communities. It calls for targeted policies to address housing shortages, labour market mismatches, skills gaps and youth outmigration, incorporating inclusive education, quality employment opportunities and affordable housing solutions adapted to islands’ specific features;</w:t>
      </w:r>
      <w:bookmarkEnd w:id="11"/>
    </w:p>
    <w:p w14:paraId="5112CF6B" w14:textId="77777777" w:rsidR="00532F99" w:rsidRPr="00AD4D97" w:rsidRDefault="00532F99" w:rsidP="00E54618">
      <w:pPr>
        <w:pStyle w:val="ListParagraph"/>
        <w:numPr>
          <w:ilvl w:val="0"/>
          <w:numId w:val="28"/>
        </w:numPr>
        <w:ind w:left="567" w:hanging="567"/>
        <w:rPr>
          <w:sz w:val="24"/>
          <w:szCs w:val="24"/>
          <w:lang w:val="en-GB" w:eastAsia="fr-BE"/>
        </w:rPr>
      </w:pPr>
      <w:bookmarkStart w:id="12" w:name="_Toc222825824"/>
      <w:r w:rsidRPr="00AD4D97">
        <w:rPr>
          <w:lang w:val="en-GB" w:eastAsia="en-GB"/>
        </w:rPr>
        <w:t>highlights that it is urgent to make progress with environmental protection and climate resilience in island territories, which are disproportionately exposed to climate change;</w:t>
      </w:r>
      <w:bookmarkEnd w:id="12"/>
    </w:p>
    <w:p w14:paraId="59AC2957" w14:textId="77777777" w:rsidR="00532F99" w:rsidRPr="00AD4D97" w:rsidRDefault="00532F99" w:rsidP="00E54618">
      <w:pPr>
        <w:pStyle w:val="ListParagraph"/>
        <w:numPr>
          <w:ilvl w:val="0"/>
          <w:numId w:val="28"/>
        </w:numPr>
        <w:ind w:left="567" w:hanging="567"/>
        <w:rPr>
          <w:lang w:val="en-GB" w:eastAsia="en-GB"/>
        </w:rPr>
      </w:pPr>
      <w:bookmarkStart w:id="13" w:name="_Toc222825825"/>
      <w:r w:rsidRPr="00AD4D97">
        <w:rPr>
          <w:lang w:val="en-GB" w:eastAsia="en-GB"/>
        </w:rPr>
        <w:t>calls for</w:t>
      </w:r>
      <w:r w:rsidRPr="00AD4D97">
        <w:rPr>
          <w:lang w:val="en-GB"/>
        </w:rPr>
        <w:t xml:space="preserve"> the formal integration of monitoring, foresight and participatory governance into island policies, proposing a </w:t>
      </w:r>
      <w:r w:rsidRPr="00AD4D97">
        <w:rPr>
          <w:b/>
          <w:bCs/>
          <w:lang w:val="en-GB"/>
        </w:rPr>
        <w:t>regular</w:t>
      </w:r>
      <w:r w:rsidRPr="00AD4D97">
        <w:rPr>
          <w:b/>
          <w:lang w:val="en-GB"/>
        </w:rPr>
        <w:t xml:space="preserve"> island implementation report</w:t>
      </w:r>
      <w:r w:rsidRPr="00AD4D97">
        <w:rPr>
          <w:lang w:val="en-GB"/>
        </w:rPr>
        <w:t xml:space="preserve"> to track key </w:t>
      </w:r>
      <w:r w:rsidRPr="00AD4D97">
        <w:rPr>
          <w:lang w:val="en-GB" w:eastAsia="en-GB"/>
        </w:rPr>
        <w:t>demographic, economic, social and environmental</w:t>
      </w:r>
      <w:r w:rsidRPr="00AD4D97">
        <w:rPr>
          <w:lang w:val="en-GB"/>
        </w:rPr>
        <w:t xml:space="preserve"> indicators;</w:t>
      </w:r>
      <w:bookmarkEnd w:id="13"/>
      <w:r w:rsidRPr="00AD4D97">
        <w:rPr>
          <w:lang w:val="en-GB"/>
        </w:rPr>
        <w:t xml:space="preserve"> </w:t>
      </w:r>
    </w:p>
    <w:p w14:paraId="3CBAD6E8" w14:textId="77777777" w:rsidR="00532F99" w:rsidRPr="00AD4D97" w:rsidRDefault="00532F99" w:rsidP="00E54618">
      <w:pPr>
        <w:pStyle w:val="ListParagraph"/>
        <w:numPr>
          <w:ilvl w:val="0"/>
          <w:numId w:val="28"/>
        </w:numPr>
        <w:ind w:left="567" w:hanging="567"/>
        <w:rPr>
          <w:lang w:val="en-GB" w:eastAsia="en-GB"/>
        </w:rPr>
      </w:pPr>
      <w:bookmarkStart w:id="14" w:name="_Toc222825826"/>
      <w:r w:rsidRPr="00AD4D97">
        <w:rPr>
          <w:lang w:val="en-GB" w:eastAsia="en-GB"/>
        </w:rPr>
        <w:t>believes that EU islands must no longer be treated as peripheral territories. They are front-line regions for Europe’s sovereignty, resilience and innovation capacity. A targeted, systemic and legally anchored EU islands strategy (</w:t>
      </w:r>
      <w:r w:rsidRPr="00AD4D97">
        <w:rPr>
          <w:b/>
          <w:lang w:val="en-GB"/>
        </w:rPr>
        <w:t>Islands Pact</w:t>
      </w:r>
      <w:r w:rsidRPr="00AD4D97">
        <w:rPr>
          <w:lang w:val="en-GB" w:eastAsia="en-GB"/>
        </w:rPr>
        <w:t>) would be essential for turning islands into engines of sustainable growth, climate resilience and geopolitical security – ensuring that island communities are able to prosper, while reinforcing Europe’s strategic autonomy and cohesion. This has recently been highlighted by the geopolitical centrality of Greenland in Arctic security dynamics, transatlantic relations and great-power competition, and its relevance for Europe’s strategic autonomy in defence.</w:t>
      </w:r>
      <w:bookmarkEnd w:id="14"/>
    </w:p>
    <w:p w14:paraId="66D35620" w14:textId="77777777" w:rsidR="00532F99" w:rsidRPr="00532F99" w:rsidRDefault="00532F99" w:rsidP="00100EF9">
      <w:pPr>
        <w:ind w:left="284" w:hanging="284"/>
        <w:rPr>
          <w:bCs/>
          <w:iCs/>
          <w:lang w:val="en-GB"/>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8"/>
      </w:tblGrid>
      <w:tr w:rsidR="00532F99" w:rsidRPr="00532F99" w14:paraId="51FA2FFC" w14:textId="77777777" w:rsidTr="00D0608D">
        <w:tc>
          <w:tcPr>
            <w:tcW w:w="1526" w:type="dxa"/>
          </w:tcPr>
          <w:p w14:paraId="549BED47" w14:textId="77777777" w:rsidR="00532F99" w:rsidRPr="00532F99" w:rsidRDefault="00532F99" w:rsidP="00D0608D">
            <w:pPr>
              <w:overflowPunct w:val="0"/>
              <w:autoSpaceDE w:val="0"/>
              <w:autoSpaceDN w:val="0"/>
              <w:adjustRightInd w:val="0"/>
              <w:ind w:right="-77"/>
              <w:textAlignment w:val="baseline"/>
              <w:rPr>
                <w:i/>
              </w:rPr>
            </w:pPr>
            <w:r w:rsidRPr="00532F99">
              <w:rPr>
                <w:b/>
                <w:i/>
              </w:rPr>
              <w:t>Contact</w:t>
            </w:r>
          </w:p>
        </w:tc>
        <w:tc>
          <w:tcPr>
            <w:tcW w:w="7688" w:type="dxa"/>
          </w:tcPr>
          <w:p w14:paraId="7CEAACF5" w14:textId="0581C1FF" w:rsidR="00532F99" w:rsidRPr="00532F99" w:rsidRDefault="00532F99" w:rsidP="00100EF9">
            <w:pPr>
              <w:overflowPunct w:val="0"/>
              <w:autoSpaceDE w:val="0"/>
              <w:autoSpaceDN w:val="0"/>
              <w:adjustRightInd w:val="0"/>
              <w:textAlignment w:val="baseline"/>
              <w:rPr>
                <w:i/>
              </w:rPr>
            </w:pPr>
            <w:r w:rsidRPr="00532F99">
              <w:rPr>
                <w:i/>
              </w:rPr>
              <w:t>Georgios M</w:t>
            </w:r>
            <w:r w:rsidR="0037319B" w:rsidRPr="00532F99">
              <w:rPr>
                <w:i/>
              </w:rPr>
              <w:t>eleas</w:t>
            </w:r>
          </w:p>
        </w:tc>
      </w:tr>
      <w:tr w:rsidR="00532F99" w:rsidRPr="00532F99" w14:paraId="0AEF2AEB" w14:textId="77777777" w:rsidTr="00D0608D">
        <w:tc>
          <w:tcPr>
            <w:tcW w:w="1526" w:type="dxa"/>
          </w:tcPr>
          <w:p w14:paraId="060FAF7E" w14:textId="77777777" w:rsidR="00532F99" w:rsidRPr="00532F99" w:rsidRDefault="00532F99" w:rsidP="00100EF9">
            <w:pPr>
              <w:overflowPunct w:val="0"/>
              <w:autoSpaceDE w:val="0"/>
              <w:autoSpaceDN w:val="0"/>
              <w:adjustRightInd w:val="0"/>
              <w:textAlignment w:val="baseline"/>
              <w:rPr>
                <w:i/>
              </w:rPr>
            </w:pPr>
            <w:r w:rsidRPr="00532F99">
              <w:rPr>
                <w:i/>
              </w:rPr>
              <w:t>Tel.</w:t>
            </w:r>
          </w:p>
        </w:tc>
        <w:tc>
          <w:tcPr>
            <w:tcW w:w="7688" w:type="dxa"/>
          </w:tcPr>
          <w:p w14:paraId="22CC1931" w14:textId="49FE5AFE" w:rsidR="00532F99" w:rsidRPr="00532F99" w:rsidRDefault="00532F99" w:rsidP="00100EF9">
            <w:pPr>
              <w:overflowPunct w:val="0"/>
              <w:autoSpaceDE w:val="0"/>
              <w:autoSpaceDN w:val="0"/>
              <w:adjustRightInd w:val="0"/>
              <w:textAlignment w:val="baseline"/>
              <w:rPr>
                <w:i/>
              </w:rPr>
            </w:pPr>
            <w:r w:rsidRPr="00532F99">
              <w:rPr>
                <w:i/>
                <w:lang w:val="fr-BE"/>
              </w:rPr>
              <w:t>+32 25469795</w:t>
            </w:r>
          </w:p>
        </w:tc>
      </w:tr>
      <w:tr w:rsidR="00532F99" w:rsidRPr="00532F99" w14:paraId="20E9D1C8" w14:textId="77777777" w:rsidTr="00D0608D">
        <w:tc>
          <w:tcPr>
            <w:tcW w:w="1526" w:type="dxa"/>
          </w:tcPr>
          <w:p w14:paraId="144E431B" w14:textId="728FD980" w:rsidR="00532F99" w:rsidRPr="00532F99" w:rsidRDefault="0037319B" w:rsidP="00100EF9">
            <w:pPr>
              <w:overflowPunct w:val="0"/>
              <w:autoSpaceDE w:val="0"/>
              <w:autoSpaceDN w:val="0"/>
              <w:adjustRightInd w:val="0"/>
              <w:textAlignment w:val="baseline"/>
              <w:rPr>
                <w:i/>
              </w:rPr>
            </w:pPr>
            <w:r>
              <w:rPr>
                <w:i/>
              </w:rPr>
              <w:t>E</w:t>
            </w:r>
            <w:r w:rsidR="00532F99" w:rsidRPr="00532F99">
              <w:rPr>
                <w:i/>
              </w:rPr>
              <w:t>mail</w:t>
            </w:r>
          </w:p>
        </w:tc>
        <w:tc>
          <w:tcPr>
            <w:tcW w:w="7688" w:type="dxa"/>
          </w:tcPr>
          <w:p w14:paraId="19710C19" w14:textId="1ECFC656" w:rsidR="00532F99" w:rsidRPr="00532F99" w:rsidRDefault="00DA095D" w:rsidP="00100EF9">
            <w:pPr>
              <w:overflowPunct w:val="0"/>
              <w:autoSpaceDE w:val="0"/>
              <w:autoSpaceDN w:val="0"/>
              <w:adjustRightInd w:val="0"/>
              <w:textAlignment w:val="baseline"/>
              <w:rPr>
                <w:i/>
                <w:iCs/>
              </w:rPr>
            </w:pPr>
            <w:hyperlink r:id="rId26" w:history="1">
              <w:r w:rsidR="00532F99" w:rsidRPr="00532F99">
                <w:rPr>
                  <w:i/>
                  <w:iCs/>
                  <w:color w:val="0000FF"/>
                  <w:u w:val="single"/>
                  <w:lang w:val="en-GB"/>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4937A91F" w:rsidR="007652C3" w:rsidRPr="007652C3" w:rsidRDefault="00DA095D" w:rsidP="00100EF9">
      <w:pPr>
        <w:widowControl w:val="0"/>
        <w:numPr>
          <w:ilvl w:val="0"/>
          <w:numId w:val="6"/>
        </w:numPr>
        <w:overflowPunct w:val="0"/>
        <w:autoSpaceDE w:val="0"/>
        <w:autoSpaceDN w:val="0"/>
        <w:adjustRightInd w:val="0"/>
        <w:ind w:hanging="567"/>
        <w:textAlignment w:val="baseline"/>
        <w:rPr>
          <w:b/>
          <w:i/>
          <w:iCs/>
          <w:sz w:val="28"/>
          <w:szCs w:val="28"/>
          <w:lang w:val="en-GB"/>
        </w:rPr>
      </w:pPr>
      <w:hyperlink r:id="rId27" w:history="1">
        <w:r w:rsidR="007652C3" w:rsidRPr="007652C3">
          <w:rPr>
            <w:b/>
            <w:bCs/>
            <w:i/>
            <w:iCs/>
            <w:color w:val="0000FF"/>
            <w:sz w:val="28"/>
            <w:szCs w:val="28"/>
            <w:u w:val="single"/>
            <w:lang w:val="en-GB"/>
          </w:rPr>
          <w:t>Revision of the Tobacco Taxation Directive</w:t>
        </w:r>
      </w:hyperlink>
    </w:p>
    <w:p w14:paraId="14832C64"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7"/>
      </w:tblGrid>
      <w:tr w:rsidR="007652C3" w:rsidRPr="007652C3" w14:paraId="4B4C09EE" w14:textId="77777777" w:rsidTr="00D0608D">
        <w:tc>
          <w:tcPr>
            <w:tcW w:w="1526" w:type="dxa"/>
          </w:tcPr>
          <w:p w14:paraId="074AAFB4"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sidRPr="007652C3">
              <w:rPr>
                <w:b/>
              </w:rPr>
              <w:t>Rapporteur</w:t>
            </w:r>
          </w:p>
        </w:tc>
        <w:tc>
          <w:tcPr>
            <w:tcW w:w="7547" w:type="dxa"/>
          </w:tcPr>
          <w:p w14:paraId="574348C8" w14:textId="775FE2F9" w:rsidR="00FC4D6F" w:rsidRPr="007652C3" w:rsidRDefault="007652C3" w:rsidP="00100EF9">
            <w:pPr>
              <w:tabs>
                <w:tab w:val="center" w:pos="284"/>
              </w:tabs>
              <w:overflowPunct w:val="0"/>
              <w:autoSpaceDE w:val="0"/>
              <w:autoSpaceDN w:val="0"/>
              <w:adjustRightInd w:val="0"/>
              <w:ind w:left="266" w:hanging="266"/>
              <w:textAlignment w:val="baseline"/>
            </w:pPr>
            <w:r w:rsidRPr="007652C3">
              <w:rPr>
                <w:bCs/>
              </w:rPr>
              <w:t xml:space="preserve">Matteo Carlo BORSANI (Employers' Group </w:t>
            </w:r>
            <w:r w:rsidR="00FC4D6F">
              <w:rPr>
                <w:b/>
                <w:bCs/>
                <w:i/>
                <w:iCs/>
              </w:rPr>
              <w:t>-</w:t>
            </w:r>
            <w:r w:rsidRPr="007652C3">
              <w:rPr>
                <w:b/>
                <w:bCs/>
                <w:i/>
                <w:iCs/>
              </w:rPr>
              <w:t xml:space="preserve"> </w:t>
            </w:r>
            <w:r w:rsidRPr="007652C3">
              <w:t>IT)</w:t>
            </w:r>
          </w:p>
        </w:tc>
      </w:tr>
      <w:tr w:rsidR="00205469" w:rsidRPr="007652C3" w14:paraId="6586AC35" w14:textId="77777777" w:rsidTr="00D0608D">
        <w:tc>
          <w:tcPr>
            <w:tcW w:w="1526" w:type="dxa"/>
          </w:tcPr>
          <w:p w14:paraId="6C41B8BD" w14:textId="77777777" w:rsidR="00205469" w:rsidRPr="007652C3" w:rsidRDefault="00205469" w:rsidP="00100EF9">
            <w:pPr>
              <w:tabs>
                <w:tab w:val="center" w:pos="284"/>
              </w:tabs>
              <w:overflowPunct w:val="0"/>
              <w:autoSpaceDE w:val="0"/>
              <w:autoSpaceDN w:val="0"/>
              <w:adjustRightInd w:val="0"/>
              <w:ind w:left="266" w:hanging="266"/>
              <w:textAlignment w:val="baseline"/>
              <w:rPr>
                <w:b/>
              </w:rPr>
            </w:pPr>
          </w:p>
        </w:tc>
        <w:tc>
          <w:tcPr>
            <w:tcW w:w="7547" w:type="dxa"/>
          </w:tcPr>
          <w:p w14:paraId="30591BA7" w14:textId="77777777" w:rsidR="00205469" w:rsidRPr="007652C3" w:rsidRDefault="00205469" w:rsidP="00100EF9">
            <w:pPr>
              <w:tabs>
                <w:tab w:val="center" w:pos="284"/>
              </w:tabs>
              <w:overflowPunct w:val="0"/>
              <w:autoSpaceDE w:val="0"/>
              <w:autoSpaceDN w:val="0"/>
              <w:adjustRightInd w:val="0"/>
              <w:ind w:left="266" w:hanging="266"/>
              <w:textAlignment w:val="baseline"/>
              <w:rPr>
                <w:bCs/>
              </w:rPr>
            </w:pPr>
          </w:p>
        </w:tc>
      </w:tr>
      <w:tr w:rsidR="007652C3" w:rsidRPr="00100EF9" w14:paraId="2243F74F" w14:textId="77777777" w:rsidTr="00D0608D">
        <w:tc>
          <w:tcPr>
            <w:tcW w:w="1526" w:type="dxa"/>
          </w:tcPr>
          <w:p w14:paraId="3F25D12B"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sidRPr="007652C3">
              <w:rPr>
                <w:b/>
              </w:rPr>
              <w:t>References</w:t>
            </w:r>
          </w:p>
        </w:tc>
        <w:tc>
          <w:tcPr>
            <w:tcW w:w="7547" w:type="dxa"/>
          </w:tcPr>
          <w:p w14:paraId="28D63311" w14:textId="34936D0F" w:rsidR="007652C3" w:rsidRPr="007652C3" w:rsidRDefault="007652C3" w:rsidP="00100EF9">
            <w:pPr>
              <w:tabs>
                <w:tab w:val="center" w:pos="284"/>
              </w:tabs>
              <w:overflowPunct w:val="0"/>
              <w:autoSpaceDE w:val="0"/>
              <w:autoSpaceDN w:val="0"/>
              <w:adjustRightInd w:val="0"/>
              <w:ind w:left="266" w:hanging="266"/>
              <w:textAlignment w:val="baseline"/>
              <w:rPr>
                <w:lang w:val="pt-PT"/>
              </w:rPr>
            </w:pPr>
            <w:r w:rsidRPr="007652C3">
              <w:rPr>
                <w:lang w:val="pt-PT"/>
              </w:rPr>
              <w:t>COM(2025) 580 final</w:t>
            </w:r>
          </w:p>
          <w:p w14:paraId="3C71E1DA" w14:textId="16CBA301" w:rsidR="007652C3" w:rsidRPr="007652C3" w:rsidRDefault="007652C3" w:rsidP="00100EF9">
            <w:pPr>
              <w:tabs>
                <w:tab w:val="center" w:pos="284"/>
              </w:tabs>
              <w:overflowPunct w:val="0"/>
              <w:autoSpaceDE w:val="0"/>
              <w:autoSpaceDN w:val="0"/>
              <w:adjustRightInd w:val="0"/>
              <w:ind w:left="266" w:hanging="266"/>
              <w:textAlignment w:val="baseline"/>
              <w:rPr>
                <w:lang w:val="pt-PT"/>
              </w:rPr>
            </w:pPr>
            <w:r w:rsidRPr="007652C3">
              <w:rPr>
                <w:lang w:val="pt-PT"/>
              </w:rPr>
              <w:t>COM(2025) 581 final</w:t>
            </w:r>
          </w:p>
          <w:p w14:paraId="77F23764" w14:textId="1D392CF1" w:rsidR="007652C3" w:rsidRPr="007652C3" w:rsidRDefault="007652C3" w:rsidP="00100EF9">
            <w:pPr>
              <w:tabs>
                <w:tab w:val="center" w:pos="284"/>
              </w:tabs>
              <w:overflowPunct w:val="0"/>
              <w:autoSpaceDE w:val="0"/>
              <w:autoSpaceDN w:val="0"/>
              <w:adjustRightInd w:val="0"/>
              <w:ind w:left="266" w:hanging="266"/>
              <w:textAlignment w:val="baseline"/>
              <w:rPr>
                <w:lang w:val="pt-PT"/>
              </w:rPr>
            </w:pPr>
            <w:r w:rsidRPr="007652C3">
              <w:rPr>
                <w:lang w:val="pt-PT"/>
              </w:rPr>
              <w:t>EESC-2025-02514-00-00-AC</w:t>
            </w:r>
          </w:p>
        </w:tc>
      </w:tr>
    </w:tbl>
    <w:p w14:paraId="24734E78" w14:textId="77777777" w:rsidR="007652C3" w:rsidRPr="00153E09" w:rsidRDefault="007652C3" w:rsidP="00100EF9">
      <w:pPr>
        <w:tabs>
          <w:tab w:val="center" w:pos="284"/>
        </w:tabs>
        <w:overflowPunct w:val="0"/>
        <w:autoSpaceDE w:val="0"/>
        <w:autoSpaceDN w:val="0"/>
        <w:adjustRightInd w:val="0"/>
        <w:ind w:left="266" w:hanging="266"/>
        <w:textAlignment w:val="baseline"/>
        <w:rPr>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lang w:val="en-GB"/>
        </w:rPr>
      </w:pPr>
      <w:r w:rsidRPr="007652C3">
        <w:rPr>
          <w:b/>
          <w:lang w:val="en-GB"/>
        </w:rPr>
        <w:t>Key points</w:t>
      </w:r>
    </w:p>
    <w:p w14:paraId="761660A5"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lang w:val="en-GB"/>
        </w:rPr>
      </w:pPr>
      <w:r w:rsidRPr="007652C3">
        <w:rPr>
          <w:bCs/>
          <w:iCs/>
          <w:lang w:val="en-GB"/>
        </w:rPr>
        <w:t>The EESC:</w:t>
      </w:r>
    </w:p>
    <w:p w14:paraId="3447BDD3" w14:textId="77777777" w:rsidR="007652C3" w:rsidRPr="00205469" w:rsidRDefault="007652C3" w:rsidP="00E54618">
      <w:pPr>
        <w:pStyle w:val="ListParagraph"/>
        <w:numPr>
          <w:ilvl w:val="0"/>
          <w:numId w:val="30"/>
        </w:numPr>
        <w:ind w:left="567" w:hanging="567"/>
        <w:rPr>
          <w:lang w:val="en-GB"/>
        </w:rPr>
      </w:pPr>
      <w:r w:rsidRPr="00205469">
        <w:rPr>
          <w:b/>
          <w:bCs/>
          <w:lang w:val="en-GB"/>
        </w:rPr>
        <w:t>supports</w:t>
      </w:r>
      <w:r w:rsidRPr="00205469">
        <w:rPr>
          <w:lang w:val="en-GB"/>
        </w:rPr>
        <w:t xml:space="preserve"> the revision of the </w:t>
      </w:r>
      <w:r w:rsidRPr="00205469">
        <w:rPr>
          <w:bCs/>
          <w:lang w:val="en-GB"/>
        </w:rPr>
        <w:t>Tobacco</w:t>
      </w:r>
      <w:r w:rsidRPr="00205469">
        <w:rPr>
          <w:lang w:val="en-GB"/>
        </w:rPr>
        <w:t xml:space="preserve"> Taxation Directive, recognising the need to adapt the excise framework to market developments, new products and public health objectives, while stressing that the reform must remain proportionate, predictable and economically sustainable;</w:t>
      </w:r>
    </w:p>
    <w:p w14:paraId="3F4A26E3" w14:textId="77777777" w:rsidR="007652C3" w:rsidRPr="00205469" w:rsidRDefault="007652C3" w:rsidP="00E54618">
      <w:pPr>
        <w:pStyle w:val="ListParagraph"/>
        <w:numPr>
          <w:ilvl w:val="0"/>
          <w:numId w:val="30"/>
        </w:numPr>
        <w:ind w:left="567" w:hanging="567"/>
        <w:rPr>
          <w:lang w:val="en-GB"/>
        </w:rPr>
      </w:pPr>
      <w:bookmarkStart w:id="15" w:name="_Toc222825827"/>
      <w:r w:rsidRPr="00205469">
        <w:rPr>
          <w:b/>
          <w:bCs/>
          <w:lang w:val="en-GB"/>
        </w:rPr>
        <w:t>warns</w:t>
      </w:r>
      <w:r w:rsidRPr="00205469">
        <w:rPr>
          <w:lang w:val="en-GB"/>
        </w:rPr>
        <w:t xml:space="preserve"> against abrupt or excessive increases in excise duties, which risk fuelling illicit trade, undermining fiscal revenues and weakening public health outcomes; therefore </w:t>
      </w:r>
      <w:r w:rsidRPr="00205469">
        <w:rPr>
          <w:b/>
          <w:bCs/>
          <w:lang w:val="en-GB"/>
        </w:rPr>
        <w:t>recommends</w:t>
      </w:r>
      <w:r w:rsidRPr="00205469">
        <w:rPr>
          <w:lang w:val="en-GB"/>
        </w:rPr>
        <w:t xml:space="preserve"> that excise adjustments be gradual and accompanied by strengthened enforcement, customs cooperation and cross-border anti-smuggling measures;</w:t>
      </w:r>
      <w:bookmarkEnd w:id="15"/>
    </w:p>
    <w:p w14:paraId="1AC2A723" w14:textId="77777777" w:rsidR="007652C3" w:rsidRPr="00205469" w:rsidRDefault="007652C3" w:rsidP="00E54618">
      <w:pPr>
        <w:pStyle w:val="ListParagraph"/>
        <w:numPr>
          <w:ilvl w:val="0"/>
          <w:numId w:val="30"/>
        </w:numPr>
        <w:ind w:left="567" w:hanging="567"/>
        <w:rPr>
          <w:lang w:val="en-GB"/>
        </w:rPr>
      </w:pPr>
      <w:bookmarkStart w:id="16" w:name="_Toc222825828"/>
      <w:r w:rsidRPr="00205469">
        <w:rPr>
          <w:b/>
          <w:bCs/>
          <w:lang w:val="en-GB"/>
        </w:rPr>
        <w:t>calls</w:t>
      </w:r>
      <w:r w:rsidRPr="00205469">
        <w:rPr>
          <w:lang w:val="en-GB"/>
        </w:rPr>
        <w:t xml:space="preserve"> for the consistent application of risk-proportionate taxation, ensuring that non-combustible and reduced-risk products are not taxed the same as combustible tobacco products, in line with the principle of ‘less harm, less tax’ and the objectives of the Europe’s Beating Cancer Plan;</w:t>
      </w:r>
      <w:bookmarkEnd w:id="16"/>
    </w:p>
    <w:p w14:paraId="3892A6EF" w14:textId="77777777" w:rsidR="007652C3" w:rsidRPr="00205469" w:rsidRDefault="007652C3" w:rsidP="00E54618">
      <w:pPr>
        <w:pStyle w:val="ListParagraph"/>
        <w:numPr>
          <w:ilvl w:val="0"/>
          <w:numId w:val="30"/>
        </w:numPr>
        <w:ind w:left="567" w:hanging="567"/>
        <w:rPr>
          <w:lang w:val="en-GB"/>
        </w:rPr>
      </w:pPr>
      <w:bookmarkStart w:id="17" w:name="_Toc222825829"/>
      <w:r w:rsidRPr="00205469">
        <w:rPr>
          <w:b/>
          <w:bCs/>
          <w:lang w:val="en-GB"/>
        </w:rPr>
        <w:t>recommends</w:t>
      </w:r>
      <w:r w:rsidRPr="00205469">
        <w:rPr>
          <w:lang w:val="en-GB"/>
        </w:rPr>
        <w:t xml:space="preserve"> improving legal clarity and the harmonisation of product definitions, in particular by explicitly defining heated tobacco products, clearly distinguishing them from combustible products;</w:t>
      </w:r>
      <w:bookmarkEnd w:id="17"/>
    </w:p>
    <w:p w14:paraId="6D1AE1A8" w14:textId="77777777" w:rsidR="007652C3" w:rsidRPr="00205469" w:rsidRDefault="007652C3" w:rsidP="00E54618">
      <w:pPr>
        <w:pStyle w:val="ListParagraph"/>
        <w:numPr>
          <w:ilvl w:val="0"/>
          <w:numId w:val="30"/>
        </w:numPr>
        <w:ind w:left="567" w:hanging="567"/>
        <w:rPr>
          <w:lang w:val="en-GB"/>
        </w:rPr>
      </w:pPr>
      <w:bookmarkStart w:id="18" w:name="_Toc222825830"/>
      <w:r w:rsidRPr="00205469">
        <w:rPr>
          <w:b/>
          <w:bCs/>
          <w:lang w:val="en-GB"/>
        </w:rPr>
        <w:t>asks</w:t>
      </w:r>
      <w:r w:rsidRPr="00205469">
        <w:rPr>
          <w:lang w:val="en-GB"/>
        </w:rPr>
        <w:t xml:space="preserve"> the Commission to enhance coherence between excise definitions and the Combined Nomenclature (CN) by maintaining updated correlation tables and providing interpretative guidance whenever changes to customs classifications affect excise categorisation;</w:t>
      </w:r>
      <w:bookmarkEnd w:id="18"/>
    </w:p>
    <w:p w14:paraId="3B4FEB22" w14:textId="77777777" w:rsidR="007652C3" w:rsidRPr="00205469" w:rsidRDefault="007652C3" w:rsidP="00E54618">
      <w:pPr>
        <w:pStyle w:val="ListParagraph"/>
        <w:numPr>
          <w:ilvl w:val="0"/>
          <w:numId w:val="30"/>
        </w:numPr>
        <w:ind w:left="567" w:hanging="567"/>
        <w:rPr>
          <w:lang w:val="en-GB"/>
        </w:rPr>
      </w:pPr>
      <w:bookmarkStart w:id="19" w:name="_Toc222825831"/>
      <w:r w:rsidRPr="00205469">
        <w:rPr>
          <w:b/>
          <w:bCs/>
          <w:lang w:val="en-GB"/>
        </w:rPr>
        <w:t>calls</w:t>
      </w:r>
      <w:r w:rsidRPr="00205469">
        <w:rPr>
          <w:lang w:val="en-GB"/>
        </w:rPr>
        <w:t xml:space="preserve"> for sufficient flexibility for Member States in excise structures, including the possibility to choose between unit-based or weight-based taxation for heated tobacco products, in order to reflect national market conditions while respecting EU-wide minimum levels;</w:t>
      </w:r>
      <w:bookmarkEnd w:id="19"/>
    </w:p>
    <w:p w14:paraId="03FC4FFF" w14:textId="77777777" w:rsidR="007652C3" w:rsidRPr="00205469" w:rsidRDefault="007652C3" w:rsidP="00E54618">
      <w:pPr>
        <w:pStyle w:val="ListParagraph"/>
        <w:numPr>
          <w:ilvl w:val="0"/>
          <w:numId w:val="30"/>
        </w:numPr>
        <w:ind w:left="567" w:hanging="567"/>
        <w:rPr>
          <w:lang w:val="en-GB"/>
        </w:rPr>
      </w:pPr>
      <w:bookmarkStart w:id="20" w:name="_Toc222825832"/>
      <w:r w:rsidRPr="00205469">
        <w:rPr>
          <w:b/>
          <w:bCs/>
          <w:lang w:val="en-GB"/>
        </w:rPr>
        <w:t>calls for</w:t>
      </w:r>
      <w:r w:rsidRPr="00205469">
        <w:rPr>
          <w:lang w:val="en-GB"/>
        </w:rPr>
        <w:t xml:space="preserve"> carrying out a comprehensive and granular mapping of existing jobs and skills in the sector, alongside an assessment of the medium- and long-term scenarios associated with the proposal and the development of clear forecasts on its impact on employment;</w:t>
      </w:r>
      <w:bookmarkEnd w:id="20"/>
    </w:p>
    <w:p w14:paraId="0195988C" w14:textId="77777777" w:rsidR="007652C3" w:rsidRPr="00205469" w:rsidRDefault="007652C3" w:rsidP="00E54618">
      <w:pPr>
        <w:pStyle w:val="ListParagraph"/>
        <w:numPr>
          <w:ilvl w:val="0"/>
          <w:numId w:val="30"/>
        </w:numPr>
        <w:ind w:left="567" w:hanging="567"/>
        <w:rPr>
          <w:lang w:val="en-GB"/>
        </w:rPr>
      </w:pPr>
      <w:bookmarkStart w:id="21" w:name="_Toc222825833"/>
      <w:r w:rsidRPr="00205469">
        <w:rPr>
          <w:b/>
          <w:bCs/>
          <w:lang w:val="en-GB"/>
        </w:rPr>
        <w:t>calls</w:t>
      </w:r>
      <w:r w:rsidRPr="00205469">
        <w:rPr>
          <w:lang w:val="en-GB"/>
        </w:rPr>
        <w:t xml:space="preserve"> for predictable and limited use of delegated acts, strictly confined to technical inflation adjustments in line with subsidiarity and Member States’ fiscal sovereignty.</w:t>
      </w:r>
      <w:bookmarkEnd w:id="21"/>
    </w:p>
    <w:p w14:paraId="6309DB18" w14:textId="77777777" w:rsidR="007652C3" w:rsidRPr="00B922EA" w:rsidRDefault="007652C3" w:rsidP="00100EF9">
      <w:pPr>
        <w:ind w:left="567" w:hanging="567"/>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6"/>
      </w:tblGrid>
      <w:tr w:rsidR="007652C3" w:rsidRPr="007652C3" w14:paraId="7534B913" w14:textId="77777777" w:rsidTr="00D0608D">
        <w:tc>
          <w:tcPr>
            <w:tcW w:w="1526" w:type="dxa"/>
          </w:tcPr>
          <w:p w14:paraId="0C271651" w14:textId="77777777" w:rsidR="007652C3" w:rsidRPr="007652C3" w:rsidRDefault="007652C3" w:rsidP="00100EF9">
            <w:pPr>
              <w:overflowPunct w:val="0"/>
              <w:autoSpaceDE w:val="0"/>
              <w:autoSpaceDN w:val="0"/>
              <w:adjustRightInd w:val="0"/>
              <w:textAlignment w:val="baseline"/>
              <w:rPr>
                <w:i/>
              </w:rPr>
            </w:pPr>
            <w:r w:rsidRPr="007652C3">
              <w:rPr>
                <w:b/>
                <w:i/>
              </w:rPr>
              <w:t>Contact</w:t>
            </w:r>
          </w:p>
        </w:tc>
        <w:tc>
          <w:tcPr>
            <w:tcW w:w="7546" w:type="dxa"/>
          </w:tcPr>
          <w:p w14:paraId="528FE443" w14:textId="5FF87165" w:rsidR="007652C3" w:rsidRPr="007652C3" w:rsidRDefault="007652C3" w:rsidP="00100EF9">
            <w:pPr>
              <w:overflowPunct w:val="0"/>
              <w:autoSpaceDE w:val="0"/>
              <w:autoSpaceDN w:val="0"/>
              <w:adjustRightInd w:val="0"/>
              <w:textAlignment w:val="baseline"/>
              <w:rPr>
                <w:i/>
              </w:rPr>
            </w:pPr>
            <w:proofErr w:type="spellStart"/>
            <w:r w:rsidRPr="007652C3">
              <w:rPr>
                <w:i/>
              </w:rPr>
              <w:t>Jüri</w:t>
            </w:r>
            <w:proofErr w:type="spellEnd"/>
            <w:r w:rsidRPr="007652C3">
              <w:rPr>
                <w:i/>
              </w:rPr>
              <w:t xml:space="preserve"> S</w:t>
            </w:r>
            <w:r w:rsidR="00FA7B95" w:rsidRPr="007652C3">
              <w:rPr>
                <w:i/>
              </w:rPr>
              <w:t>oosaar</w:t>
            </w:r>
          </w:p>
        </w:tc>
      </w:tr>
      <w:tr w:rsidR="007652C3" w:rsidRPr="007652C3" w14:paraId="6D9C46AC" w14:textId="77777777" w:rsidTr="00D0608D">
        <w:tc>
          <w:tcPr>
            <w:tcW w:w="1526" w:type="dxa"/>
          </w:tcPr>
          <w:p w14:paraId="02AD0CD6" w14:textId="77777777" w:rsidR="007652C3" w:rsidRPr="007652C3" w:rsidRDefault="007652C3" w:rsidP="00100EF9">
            <w:pPr>
              <w:overflowPunct w:val="0"/>
              <w:autoSpaceDE w:val="0"/>
              <w:autoSpaceDN w:val="0"/>
              <w:adjustRightInd w:val="0"/>
              <w:textAlignment w:val="baseline"/>
              <w:rPr>
                <w:i/>
              </w:rPr>
            </w:pPr>
            <w:r w:rsidRPr="007652C3">
              <w:rPr>
                <w:i/>
              </w:rPr>
              <w:t>Tel.</w:t>
            </w:r>
          </w:p>
        </w:tc>
        <w:tc>
          <w:tcPr>
            <w:tcW w:w="7546" w:type="dxa"/>
          </w:tcPr>
          <w:p w14:paraId="43D215D4" w14:textId="14B49C37" w:rsidR="007652C3" w:rsidRPr="007652C3" w:rsidRDefault="007652C3" w:rsidP="00100EF9">
            <w:pPr>
              <w:overflowPunct w:val="0"/>
              <w:autoSpaceDE w:val="0"/>
              <w:autoSpaceDN w:val="0"/>
              <w:adjustRightInd w:val="0"/>
              <w:textAlignment w:val="baseline"/>
              <w:rPr>
                <w:i/>
              </w:rPr>
            </w:pPr>
            <w:r w:rsidRPr="007652C3">
              <w:rPr>
                <w:i/>
                <w:lang w:val="fr-BE"/>
              </w:rPr>
              <w:t>+32 25469628</w:t>
            </w:r>
          </w:p>
        </w:tc>
      </w:tr>
      <w:tr w:rsidR="007652C3" w:rsidRPr="007652C3" w14:paraId="5C3011C3" w14:textId="77777777" w:rsidTr="00D0608D">
        <w:tc>
          <w:tcPr>
            <w:tcW w:w="1526" w:type="dxa"/>
          </w:tcPr>
          <w:p w14:paraId="1F503178" w14:textId="77777777" w:rsidR="007652C3" w:rsidRPr="007652C3" w:rsidRDefault="007652C3" w:rsidP="00100EF9">
            <w:pPr>
              <w:overflowPunct w:val="0"/>
              <w:autoSpaceDE w:val="0"/>
              <w:autoSpaceDN w:val="0"/>
              <w:adjustRightInd w:val="0"/>
              <w:textAlignment w:val="baseline"/>
              <w:rPr>
                <w:i/>
              </w:rPr>
            </w:pPr>
            <w:r w:rsidRPr="007652C3">
              <w:rPr>
                <w:i/>
              </w:rPr>
              <w:t>Email</w:t>
            </w:r>
          </w:p>
        </w:tc>
        <w:tc>
          <w:tcPr>
            <w:tcW w:w="7546" w:type="dxa"/>
          </w:tcPr>
          <w:p w14:paraId="62867B2B" w14:textId="5E2EB6F6" w:rsidR="007652C3" w:rsidRPr="007652C3" w:rsidRDefault="00DA095D" w:rsidP="00100EF9">
            <w:pPr>
              <w:overflowPunct w:val="0"/>
              <w:autoSpaceDE w:val="0"/>
              <w:autoSpaceDN w:val="0"/>
              <w:adjustRightInd w:val="0"/>
              <w:textAlignment w:val="baseline"/>
              <w:rPr>
                <w:i/>
                <w:iCs/>
              </w:rPr>
            </w:pPr>
            <w:hyperlink r:id="rId28" w:history="1">
              <w:r w:rsidR="007652C3" w:rsidRPr="007652C3">
                <w:rPr>
                  <w:i/>
                  <w:iCs/>
                  <w:color w:val="0000FF"/>
                  <w:u w:val="single"/>
                  <w:lang w:val="en-GB"/>
                </w:rPr>
                <w:t>Juri.Soosaar@eesc.europa.eu</w:t>
              </w:r>
            </w:hyperlink>
          </w:p>
        </w:tc>
      </w:tr>
    </w:tbl>
    <w:p w14:paraId="4982DD98" w14:textId="11429B92" w:rsidR="00302594" w:rsidRDefault="00302594" w:rsidP="00100EF9">
      <w:pPr>
        <w:jc w:val="left"/>
      </w:pPr>
    </w:p>
    <w:p w14:paraId="4356DB93" w14:textId="77777777" w:rsidR="00302594" w:rsidRDefault="00302594" w:rsidP="00100EF9">
      <w:pPr>
        <w:jc w:val="left"/>
      </w:pPr>
      <w:r>
        <w:br w:type="page"/>
      </w:r>
    </w:p>
    <w:p w14:paraId="4982DD99" w14:textId="77777777" w:rsidR="004D7AC0" w:rsidRDefault="004D7AC0" w:rsidP="00100EF9">
      <w:pPr>
        <w:pStyle w:val="Heading1"/>
        <w:rPr>
          <w:b/>
        </w:rPr>
      </w:pPr>
      <w:bookmarkStart w:id="22" w:name="_Toc75527081"/>
      <w:bookmarkStart w:id="23" w:name="_Toc222989385"/>
      <w:r w:rsidRPr="001C70A5">
        <w:rPr>
          <w:rFonts w:eastAsiaTheme="minorEastAsia"/>
          <w:b/>
        </w:rPr>
        <w:t>EMPLOYMENT, SOCIAL AFFAIRS AND CITIZENSHIP</w:t>
      </w:r>
      <w:bookmarkEnd w:id="22"/>
      <w:bookmarkEnd w:id="23"/>
    </w:p>
    <w:p w14:paraId="4982DD9A" w14:textId="77777777" w:rsidR="004D7AC0" w:rsidRPr="00153E09" w:rsidRDefault="004D7AC0" w:rsidP="00100EF9"/>
    <w:p w14:paraId="095440CA" w14:textId="7D387B12" w:rsidR="001653D7" w:rsidRPr="001653D7" w:rsidRDefault="00DA095D" w:rsidP="00100EF9">
      <w:pPr>
        <w:widowControl w:val="0"/>
        <w:numPr>
          <w:ilvl w:val="0"/>
          <w:numId w:val="6"/>
        </w:numPr>
        <w:ind w:hanging="567"/>
        <w:rPr>
          <w:sz w:val="24"/>
          <w:szCs w:val="24"/>
        </w:rPr>
      </w:pPr>
      <w:hyperlink r:id="rId29" w:history="1">
        <w:r w:rsidR="001653D7" w:rsidRPr="001653D7">
          <w:rPr>
            <w:b/>
            <w:bCs/>
            <w:i/>
            <w:iCs/>
            <w:color w:val="0000FF"/>
            <w:sz w:val="28"/>
            <w:szCs w:val="28"/>
            <w:u w:val="single"/>
          </w:rPr>
          <w:t>Union support for Asylum, Migration and Integration; Internal Security; and Integrated Border Management and Visa Policy</w:t>
        </w:r>
      </w:hyperlink>
    </w:p>
    <w:p w14:paraId="00463498" w14:textId="77777777" w:rsidR="001653D7" w:rsidRPr="001653D7" w:rsidRDefault="001653D7" w:rsidP="00100EF9">
      <w:pPr>
        <w:tabs>
          <w:tab w:val="center" w:pos="284"/>
        </w:tabs>
        <w:ind w:left="266" w:hanging="266"/>
        <w:rPr>
          <w:b/>
          <w:sz w:val="20"/>
          <w:szCs w:val="20"/>
        </w:rPr>
      </w:pPr>
    </w:p>
    <w:tbl>
      <w:tblPr>
        <w:tblStyle w:val="TableGrid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6"/>
      </w:tblGrid>
      <w:tr w:rsidR="001653D7" w:rsidRPr="00100EF9" w14:paraId="47B2AE04" w14:textId="77777777" w:rsidTr="00D0608D">
        <w:tc>
          <w:tcPr>
            <w:tcW w:w="1559" w:type="dxa"/>
          </w:tcPr>
          <w:p w14:paraId="0F6809D8" w14:textId="7AD66C9A" w:rsidR="001653D7" w:rsidRPr="001653D7" w:rsidRDefault="001653D7" w:rsidP="00E54618">
            <w:pPr>
              <w:tabs>
                <w:tab w:val="center" w:pos="284"/>
              </w:tabs>
              <w:ind w:left="266" w:right="206" w:hanging="374"/>
              <w:rPr>
                <w:b/>
              </w:rPr>
            </w:pPr>
            <w:r w:rsidRPr="001653D7">
              <w:rPr>
                <w:b/>
              </w:rPr>
              <w:t>Rapporteur</w:t>
            </w:r>
          </w:p>
        </w:tc>
        <w:tc>
          <w:tcPr>
            <w:tcW w:w="7479" w:type="dxa"/>
          </w:tcPr>
          <w:p w14:paraId="4C613172" w14:textId="0F1154F2" w:rsidR="001653D7" w:rsidRPr="001653D7" w:rsidRDefault="001653D7" w:rsidP="00E54618">
            <w:pPr>
              <w:tabs>
                <w:tab w:val="center" w:pos="284"/>
              </w:tabs>
              <w:ind w:left="266" w:hanging="374"/>
              <w:rPr>
                <w:lang w:val="es-ES"/>
              </w:rPr>
            </w:pPr>
            <w:r w:rsidRPr="001653D7">
              <w:rPr>
                <w:lang w:val="es-ES"/>
              </w:rPr>
              <w:t>José Antonio MORENO DÍAZ (</w:t>
            </w:r>
            <w:proofErr w:type="spellStart"/>
            <w:r w:rsidRPr="001653D7">
              <w:rPr>
                <w:lang w:val="es-ES"/>
              </w:rPr>
              <w:t>Workers</w:t>
            </w:r>
            <w:proofErr w:type="spellEnd"/>
            <w:r w:rsidRPr="001653D7">
              <w:rPr>
                <w:lang w:val="es-ES"/>
              </w:rPr>
              <w:t xml:space="preserve">' </w:t>
            </w:r>
            <w:proofErr w:type="spellStart"/>
            <w:r w:rsidRPr="001653D7">
              <w:rPr>
                <w:lang w:val="es-ES"/>
              </w:rPr>
              <w:t>Group</w:t>
            </w:r>
            <w:proofErr w:type="spellEnd"/>
            <w:r w:rsidRPr="001653D7">
              <w:rPr>
                <w:lang w:val="es-ES"/>
              </w:rPr>
              <w:t xml:space="preserve"> </w:t>
            </w:r>
            <w:r w:rsidR="003452F9">
              <w:rPr>
                <w:lang w:val="es-ES"/>
              </w:rPr>
              <w:t xml:space="preserve">- </w:t>
            </w:r>
            <w:r w:rsidRPr="001653D7">
              <w:rPr>
                <w:lang w:val="es-ES"/>
              </w:rPr>
              <w:t>ES)</w:t>
            </w:r>
          </w:p>
        </w:tc>
      </w:tr>
      <w:tr w:rsidR="00205469" w:rsidRPr="00100EF9" w14:paraId="60304579" w14:textId="77777777" w:rsidTr="00D0608D">
        <w:tc>
          <w:tcPr>
            <w:tcW w:w="1559" w:type="dxa"/>
          </w:tcPr>
          <w:p w14:paraId="2F580098" w14:textId="77777777" w:rsidR="00205469" w:rsidRPr="003F66F7" w:rsidRDefault="00205469" w:rsidP="00100EF9">
            <w:pPr>
              <w:tabs>
                <w:tab w:val="center" w:pos="284"/>
              </w:tabs>
              <w:ind w:left="266" w:hanging="374"/>
              <w:rPr>
                <w:b/>
                <w:lang w:val="es-ES"/>
              </w:rPr>
            </w:pPr>
          </w:p>
        </w:tc>
        <w:tc>
          <w:tcPr>
            <w:tcW w:w="7479" w:type="dxa"/>
          </w:tcPr>
          <w:p w14:paraId="5E1B80FD" w14:textId="77777777" w:rsidR="00205469" w:rsidRPr="001653D7" w:rsidRDefault="00205469" w:rsidP="00100EF9">
            <w:pPr>
              <w:tabs>
                <w:tab w:val="center" w:pos="284"/>
              </w:tabs>
              <w:ind w:left="266" w:hanging="374"/>
              <w:rPr>
                <w:lang w:val="es-ES"/>
              </w:rPr>
            </w:pPr>
          </w:p>
        </w:tc>
      </w:tr>
      <w:tr w:rsidR="001653D7" w:rsidRPr="00153E09" w14:paraId="396210B3" w14:textId="77777777" w:rsidTr="00D0608D">
        <w:tc>
          <w:tcPr>
            <w:tcW w:w="1559" w:type="dxa"/>
          </w:tcPr>
          <w:p w14:paraId="2CCAB3DC" w14:textId="26F48B47" w:rsidR="001653D7" w:rsidRPr="001653D7" w:rsidRDefault="001653D7" w:rsidP="00E54618">
            <w:pPr>
              <w:tabs>
                <w:tab w:val="center" w:pos="284"/>
              </w:tabs>
              <w:ind w:left="266" w:hanging="374"/>
              <w:rPr>
                <w:b/>
              </w:rPr>
            </w:pPr>
            <w:r w:rsidRPr="001653D7">
              <w:rPr>
                <w:b/>
              </w:rPr>
              <w:t>Reference</w:t>
            </w:r>
            <w:r w:rsidR="00153E09">
              <w:rPr>
                <w:b/>
              </w:rPr>
              <w:t>s</w:t>
            </w:r>
          </w:p>
        </w:tc>
        <w:tc>
          <w:tcPr>
            <w:tcW w:w="7479" w:type="dxa"/>
          </w:tcPr>
          <w:p w14:paraId="7762C1AE" w14:textId="40CDF336" w:rsidR="001653D7" w:rsidRPr="001653D7" w:rsidRDefault="001653D7" w:rsidP="00E54618">
            <w:pPr>
              <w:tabs>
                <w:tab w:val="center" w:pos="284"/>
              </w:tabs>
              <w:ind w:left="266" w:hanging="374"/>
              <w:rPr>
                <w:lang w:val="pt-PT"/>
              </w:rPr>
            </w:pPr>
            <w:r w:rsidRPr="001653D7">
              <w:rPr>
                <w:lang w:val="pt-PT"/>
              </w:rPr>
              <w:t>COM(2025) 540 final</w:t>
            </w:r>
          </w:p>
          <w:p w14:paraId="22AD2A59" w14:textId="4744A191" w:rsidR="001653D7" w:rsidRPr="001653D7" w:rsidRDefault="001653D7" w:rsidP="00E54618">
            <w:pPr>
              <w:tabs>
                <w:tab w:val="center" w:pos="284"/>
              </w:tabs>
              <w:ind w:left="266" w:hanging="374"/>
              <w:rPr>
                <w:lang w:val="pt-PT"/>
              </w:rPr>
            </w:pPr>
            <w:r w:rsidRPr="001653D7">
              <w:rPr>
                <w:lang w:val="pt-PT"/>
              </w:rPr>
              <w:t>COM(2025) 541 final</w:t>
            </w:r>
          </w:p>
          <w:p w14:paraId="63B53E3C" w14:textId="561775C1" w:rsidR="001653D7" w:rsidRDefault="001653D7" w:rsidP="00100EF9">
            <w:pPr>
              <w:tabs>
                <w:tab w:val="center" w:pos="284"/>
              </w:tabs>
              <w:ind w:left="266" w:hanging="374"/>
              <w:rPr>
                <w:lang w:val="pt-PT"/>
              </w:rPr>
            </w:pPr>
            <w:r w:rsidRPr="001653D7">
              <w:rPr>
                <w:lang w:val="pt-PT"/>
              </w:rPr>
              <w:t>COM(2025) 542 final</w:t>
            </w:r>
          </w:p>
          <w:p w14:paraId="683E4ECE" w14:textId="10942A06" w:rsidR="00205469" w:rsidRPr="001653D7" w:rsidRDefault="00205469" w:rsidP="00100EF9">
            <w:pPr>
              <w:tabs>
                <w:tab w:val="center" w:pos="284"/>
              </w:tabs>
              <w:ind w:left="266" w:hanging="374"/>
              <w:rPr>
                <w:lang w:val="pt-PT"/>
              </w:rPr>
            </w:pPr>
            <w:r w:rsidRPr="001653D7">
              <w:t>EESC-2025-03434-00-00-AC</w:t>
            </w:r>
          </w:p>
        </w:tc>
      </w:tr>
    </w:tbl>
    <w:p w14:paraId="0460B2E8" w14:textId="77777777" w:rsidR="001653D7" w:rsidRPr="001653D7" w:rsidRDefault="001653D7" w:rsidP="00100EF9">
      <w:pPr>
        <w:tabs>
          <w:tab w:val="center" w:pos="284"/>
        </w:tabs>
        <w:ind w:left="266" w:hanging="266"/>
        <w:rPr>
          <w:sz w:val="20"/>
          <w:szCs w:val="20"/>
        </w:rPr>
      </w:pPr>
    </w:p>
    <w:p w14:paraId="0CBC1DF0" w14:textId="77777777" w:rsidR="001653D7" w:rsidRPr="001653D7" w:rsidRDefault="001653D7" w:rsidP="00100EF9">
      <w:pPr>
        <w:keepNext/>
        <w:keepLines/>
        <w:tabs>
          <w:tab w:val="center" w:pos="284"/>
        </w:tabs>
        <w:ind w:left="266" w:hanging="266"/>
        <w:rPr>
          <w:b/>
        </w:rPr>
      </w:pPr>
      <w:r w:rsidRPr="001653D7">
        <w:rPr>
          <w:b/>
        </w:rPr>
        <w:t>Key points</w:t>
      </w:r>
    </w:p>
    <w:p w14:paraId="27D547BF" w14:textId="77777777" w:rsidR="001653D7" w:rsidRPr="001653D7" w:rsidRDefault="001653D7" w:rsidP="00100EF9">
      <w:pPr>
        <w:keepNext/>
        <w:keepLines/>
        <w:tabs>
          <w:tab w:val="center" w:pos="284"/>
        </w:tabs>
        <w:ind w:left="266" w:hanging="266"/>
        <w:rPr>
          <w:bCs/>
          <w:sz w:val="20"/>
          <w:szCs w:val="20"/>
        </w:rPr>
      </w:pPr>
    </w:p>
    <w:p w14:paraId="3C2E2FC5" w14:textId="77777777" w:rsidR="001653D7" w:rsidRPr="001653D7" w:rsidRDefault="001653D7" w:rsidP="00100EF9">
      <w:pPr>
        <w:rPr>
          <w:bCs/>
          <w:iCs/>
        </w:rPr>
      </w:pPr>
      <w:r w:rsidRPr="001653D7">
        <w:rPr>
          <w:bCs/>
          <w:iCs/>
        </w:rPr>
        <w:t>The EESC:</w:t>
      </w:r>
    </w:p>
    <w:p w14:paraId="2EB60443" w14:textId="77777777" w:rsidR="001653D7" w:rsidRPr="001653D7" w:rsidRDefault="001653D7" w:rsidP="00E54618">
      <w:pPr>
        <w:numPr>
          <w:ilvl w:val="0"/>
          <w:numId w:val="19"/>
        </w:numPr>
        <w:ind w:left="567" w:hanging="567"/>
        <w:contextualSpacing/>
        <w:rPr>
          <w:bCs/>
          <w:iCs/>
        </w:rPr>
      </w:pPr>
      <w:r w:rsidRPr="001653D7">
        <w:rPr>
          <w:bCs/>
          <w:iCs/>
        </w:rPr>
        <w:t>stresses the urgent need to establish an immigration policy that provides legal, safe and effective channels for access to the EU. This stance aligns with its previous opinions, in which the EESC underlined the importance of ensuring legal pathways into the EU, protecting the fundamental rights of migrants and improving the management of mobility within the EU;</w:t>
      </w:r>
    </w:p>
    <w:p w14:paraId="17CE5961" w14:textId="77777777" w:rsidR="001653D7" w:rsidRPr="001653D7" w:rsidRDefault="001653D7" w:rsidP="00E54618">
      <w:pPr>
        <w:numPr>
          <w:ilvl w:val="0"/>
          <w:numId w:val="19"/>
        </w:numPr>
        <w:ind w:left="567" w:hanging="567"/>
        <w:contextualSpacing/>
        <w:rPr>
          <w:bCs/>
          <w:iCs/>
        </w:rPr>
      </w:pPr>
      <w:r w:rsidRPr="001653D7">
        <w:rPr>
          <w:bCs/>
          <w:iCs/>
        </w:rPr>
        <w:t xml:space="preserve">notes that the three regulations taken together reveal a structural reorientation of the EU’s priorities, with a marked shift towards control and security. The strong focus on security, both internal and external, tends to overlook support measures on integration and inclusion. The EESC </w:t>
      </w:r>
      <w:proofErr w:type="spellStart"/>
      <w:r w:rsidRPr="001653D7">
        <w:rPr>
          <w:bCs/>
          <w:iCs/>
        </w:rPr>
        <w:t>emphasises</w:t>
      </w:r>
      <w:proofErr w:type="spellEnd"/>
      <w:r w:rsidRPr="001653D7">
        <w:rPr>
          <w:bCs/>
          <w:iCs/>
        </w:rPr>
        <w:t xml:space="preserve"> that migration policy cannot be reduced to a security-driven approach;</w:t>
      </w:r>
    </w:p>
    <w:p w14:paraId="6247AC50" w14:textId="77777777" w:rsidR="001653D7" w:rsidRPr="001653D7" w:rsidRDefault="001653D7" w:rsidP="00E54618">
      <w:pPr>
        <w:numPr>
          <w:ilvl w:val="0"/>
          <w:numId w:val="19"/>
        </w:numPr>
        <w:ind w:left="567" w:hanging="567"/>
        <w:contextualSpacing/>
        <w:rPr>
          <w:bCs/>
          <w:iCs/>
        </w:rPr>
      </w:pPr>
      <w:r w:rsidRPr="001653D7">
        <w:rPr>
          <w:bCs/>
          <w:iCs/>
        </w:rPr>
        <w:t>notes that a full set of tools and instruments to manage regular migration and avoid irregularity are important elements of a well-functioning migration system, including return when applicable and in full compliance with EU and international law. However, their implementation must be carefully balanced, with respect for fundamental rights, in particular the right to individual protection;</w:t>
      </w:r>
    </w:p>
    <w:p w14:paraId="72AA5D3D" w14:textId="77777777" w:rsidR="001653D7" w:rsidRPr="001653D7" w:rsidRDefault="001653D7" w:rsidP="00E54618">
      <w:pPr>
        <w:numPr>
          <w:ilvl w:val="0"/>
          <w:numId w:val="19"/>
        </w:numPr>
        <w:ind w:left="567" w:hanging="567"/>
        <w:contextualSpacing/>
        <w:rPr>
          <w:bCs/>
          <w:iCs/>
        </w:rPr>
      </w:pPr>
      <w:r w:rsidRPr="001653D7">
        <w:rPr>
          <w:bCs/>
          <w:iCs/>
        </w:rPr>
        <w:t>considers it essential to improve the mechanisms for independent monitoring of fundamental rights and humanitarian conditions at borders, with transparent reporting mechanisms;</w:t>
      </w:r>
    </w:p>
    <w:p w14:paraId="0CC7E7BF" w14:textId="77777777" w:rsidR="001653D7" w:rsidRPr="001653D7" w:rsidRDefault="001653D7" w:rsidP="00E54618">
      <w:pPr>
        <w:numPr>
          <w:ilvl w:val="0"/>
          <w:numId w:val="19"/>
        </w:numPr>
        <w:ind w:left="567" w:hanging="567"/>
        <w:contextualSpacing/>
        <w:rPr>
          <w:bCs/>
          <w:iCs/>
        </w:rPr>
      </w:pPr>
      <w:r w:rsidRPr="001653D7">
        <w:rPr>
          <w:bCs/>
          <w:iCs/>
        </w:rPr>
        <w:t>believes that the three regulations adopted together for 2028-2034 place strong emphasis on security measures and the outsourcing of border control and raise concerns about potential risks to fundamental rights. It is essential to ensure that fundamental human rights are protected at the same time.</w:t>
      </w:r>
    </w:p>
    <w:p w14:paraId="6C124427" w14:textId="77777777" w:rsidR="001653D7" w:rsidRPr="001653D7" w:rsidRDefault="001653D7" w:rsidP="00100EF9">
      <w:pPr>
        <w:widowControl w:val="0"/>
        <w:ind w:left="709"/>
        <w:rPr>
          <w:sz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7585"/>
      </w:tblGrid>
      <w:tr w:rsidR="001653D7" w:rsidRPr="001653D7" w14:paraId="211429B1" w14:textId="77777777" w:rsidTr="00D0608D">
        <w:tc>
          <w:tcPr>
            <w:tcW w:w="821" w:type="pct"/>
          </w:tcPr>
          <w:p w14:paraId="13CD8E19" w14:textId="77777777" w:rsidR="001653D7" w:rsidRPr="001653D7" w:rsidRDefault="001653D7" w:rsidP="00100EF9">
            <w:pPr>
              <w:rPr>
                <w:i/>
              </w:rPr>
            </w:pPr>
            <w:r w:rsidRPr="001653D7">
              <w:rPr>
                <w:b/>
                <w:i/>
              </w:rPr>
              <w:t>Contact</w:t>
            </w:r>
          </w:p>
        </w:tc>
        <w:tc>
          <w:tcPr>
            <w:tcW w:w="4179" w:type="pct"/>
          </w:tcPr>
          <w:p w14:paraId="4FD1075C" w14:textId="32E95F9F" w:rsidR="001653D7" w:rsidRPr="00D05167" w:rsidRDefault="001653D7" w:rsidP="00100EF9">
            <w:pPr>
              <w:rPr>
                <w:i/>
              </w:rPr>
            </w:pPr>
            <w:r w:rsidRPr="00D05167">
              <w:rPr>
                <w:i/>
              </w:rPr>
              <w:t>Gemma A</w:t>
            </w:r>
            <w:r w:rsidR="009348BC" w:rsidRPr="00D05167">
              <w:rPr>
                <w:i/>
              </w:rPr>
              <w:t>mran</w:t>
            </w:r>
          </w:p>
        </w:tc>
      </w:tr>
      <w:tr w:rsidR="001653D7" w:rsidRPr="001653D7" w14:paraId="3BC05E8A" w14:textId="77777777" w:rsidTr="00D0608D">
        <w:tc>
          <w:tcPr>
            <w:tcW w:w="821" w:type="pct"/>
          </w:tcPr>
          <w:p w14:paraId="1D9039E7" w14:textId="77777777" w:rsidR="001653D7" w:rsidRPr="001653D7" w:rsidRDefault="001653D7" w:rsidP="00100EF9">
            <w:pPr>
              <w:rPr>
                <w:i/>
              </w:rPr>
            </w:pPr>
            <w:r w:rsidRPr="001653D7">
              <w:rPr>
                <w:i/>
              </w:rPr>
              <w:t>Tel.</w:t>
            </w:r>
          </w:p>
        </w:tc>
        <w:tc>
          <w:tcPr>
            <w:tcW w:w="4179" w:type="pct"/>
          </w:tcPr>
          <w:p w14:paraId="410A1B26" w14:textId="0CC1E8ED" w:rsidR="001653D7" w:rsidRPr="00D05167" w:rsidRDefault="001653D7" w:rsidP="00100EF9">
            <w:pPr>
              <w:rPr>
                <w:i/>
              </w:rPr>
            </w:pPr>
            <w:r w:rsidRPr="00D05167">
              <w:rPr>
                <w:i/>
              </w:rPr>
              <w:t>+32 25469415</w:t>
            </w:r>
          </w:p>
        </w:tc>
      </w:tr>
      <w:tr w:rsidR="001653D7" w:rsidRPr="001653D7" w14:paraId="653F335D" w14:textId="77777777" w:rsidTr="00D0608D">
        <w:tc>
          <w:tcPr>
            <w:tcW w:w="821" w:type="pct"/>
          </w:tcPr>
          <w:p w14:paraId="5DF7B6E3" w14:textId="77777777" w:rsidR="001653D7" w:rsidRPr="001653D7" w:rsidRDefault="001653D7" w:rsidP="00100EF9">
            <w:pPr>
              <w:rPr>
                <w:i/>
              </w:rPr>
            </w:pPr>
            <w:r w:rsidRPr="001653D7">
              <w:rPr>
                <w:i/>
              </w:rPr>
              <w:t>Email</w:t>
            </w:r>
          </w:p>
        </w:tc>
        <w:tc>
          <w:tcPr>
            <w:tcW w:w="4179" w:type="pct"/>
          </w:tcPr>
          <w:p w14:paraId="03300BBE" w14:textId="77777777" w:rsidR="001653D7" w:rsidRPr="001653D7" w:rsidRDefault="00DA095D" w:rsidP="00100EF9">
            <w:pPr>
              <w:rPr>
                <w:i/>
              </w:rPr>
            </w:pPr>
            <w:hyperlink r:id="rId30" w:history="1">
              <w:r w:rsidR="001653D7" w:rsidRPr="001653D7">
                <w:rPr>
                  <w:i/>
                  <w:color w:val="0000FF"/>
                  <w:u w:val="single"/>
                </w:rPr>
                <w:t>Gemma.Amran@eesc.europa.eu</w:t>
              </w:r>
            </w:hyperlink>
          </w:p>
        </w:tc>
      </w:tr>
    </w:tbl>
    <w:p w14:paraId="4982DDC4" w14:textId="77777777" w:rsidR="004D7AC0" w:rsidRPr="00803CA6" w:rsidRDefault="004D7AC0" w:rsidP="00100EF9">
      <w:pPr>
        <w:pStyle w:val="ListParagraph"/>
        <w:ind w:left="0"/>
      </w:pPr>
    </w:p>
    <w:p w14:paraId="4982DDC5" w14:textId="77777777" w:rsidR="004D7AC0" w:rsidRDefault="004D7AC0" w:rsidP="00100EF9">
      <w:pPr>
        <w:jc w:val="left"/>
      </w:pPr>
      <w:r>
        <w:br w:type="page"/>
      </w:r>
    </w:p>
    <w:p w14:paraId="4982DDC6" w14:textId="77777777" w:rsidR="004D7AC0" w:rsidRDefault="004D7AC0" w:rsidP="00100EF9">
      <w:pPr>
        <w:pStyle w:val="Heading1"/>
        <w:rPr>
          <w:b/>
        </w:rPr>
      </w:pPr>
      <w:bookmarkStart w:id="24" w:name="_Toc24617160"/>
      <w:bookmarkStart w:id="25" w:name="_Toc75527082"/>
      <w:bookmarkStart w:id="26" w:name="_Toc222989386"/>
      <w:r w:rsidRPr="008F0C17">
        <w:rPr>
          <w:b/>
        </w:rPr>
        <w:t>TRANSPORT, ENERGY, INFRASTRUCTURE AND INFORMATION SOCIETY</w:t>
      </w:r>
      <w:bookmarkEnd w:id="24"/>
      <w:bookmarkEnd w:id="25"/>
      <w:bookmarkEnd w:id="26"/>
    </w:p>
    <w:p w14:paraId="4982DDC7" w14:textId="77777777" w:rsidR="004D7AC0" w:rsidRDefault="004D7AC0" w:rsidP="00100EF9"/>
    <w:p w14:paraId="33F22FD2" w14:textId="5D0D5C4E" w:rsidR="00B55C6C" w:rsidRPr="00B55C6C" w:rsidRDefault="00DA095D" w:rsidP="00100EF9">
      <w:pPr>
        <w:widowControl w:val="0"/>
        <w:numPr>
          <w:ilvl w:val="0"/>
          <w:numId w:val="6"/>
        </w:numPr>
        <w:ind w:hanging="567"/>
        <w:rPr>
          <w:sz w:val="24"/>
          <w:szCs w:val="24"/>
        </w:rPr>
      </w:pPr>
      <w:hyperlink r:id="rId31" w:history="1">
        <w:r w:rsidR="00B55C6C" w:rsidRPr="00B55C6C">
          <w:rPr>
            <w:b/>
            <w:bCs/>
            <w:i/>
            <w:iCs/>
            <w:color w:val="0000FF"/>
            <w:sz w:val="24"/>
            <w:szCs w:val="24"/>
            <w:u w:val="single"/>
          </w:rPr>
          <w:t>The European Life Science Strategy along with the Strategy on Research and Technology infrastructures with focus on the treatment of rare diseases</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400"/>
      </w:tblGrid>
      <w:tr w:rsidR="00B55C6C" w:rsidRPr="00B55C6C" w14:paraId="2B64E1A2" w14:textId="77777777" w:rsidTr="00D0608D">
        <w:tc>
          <w:tcPr>
            <w:tcW w:w="1673" w:type="dxa"/>
          </w:tcPr>
          <w:p w14:paraId="31E45AAF" w14:textId="77777777" w:rsidR="00B55C6C" w:rsidRPr="00B55C6C" w:rsidRDefault="00B55C6C" w:rsidP="00100EF9">
            <w:pPr>
              <w:tabs>
                <w:tab w:val="center" w:pos="284"/>
              </w:tabs>
              <w:ind w:left="266" w:hanging="266"/>
              <w:rPr>
                <w:b/>
              </w:rPr>
            </w:pPr>
            <w:r w:rsidRPr="00B55C6C">
              <w:rPr>
                <w:b/>
              </w:rPr>
              <w:t>Rapporteur</w:t>
            </w:r>
          </w:p>
        </w:tc>
        <w:tc>
          <w:tcPr>
            <w:tcW w:w="7400" w:type="dxa"/>
          </w:tcPr>
          <w:p w14:paraId="2077B4EE" w14:textId="649B0B74" w:rsidR="0027149A" w:rsidRPr="00B55C6C" w:rsidRDefault="00B55C6C" w:rsidP="00100EF9">
            <w:pPr>
              <w:tabs>
                <w:tab w:val="center" w:pos="284"/>
              </w:tabs>
              <w:ind w:left="266" w:hanging="266"/>
            </w:pPr>
            <w:r w:rsidRPr="00B55C6C">
              <w:t xml:space="preserve">Milena ANGELOVA (Employers' Group </w:t>
            </w:r>
            <w:r w:rsidR="00BA6AA9">
              <w:t xml:space="preserve">- </w:t>
            </w:r>
            <w:r w:rsidRPr="00B55C6C">
              <w:t>BG)</w:t>
            </w:r>
          </w:p>
        </w:tc>
      </w:tr>
      <w:tr w:rsidR="00205469" w:rsidRPr="00B55C6C" w14:paraId="035AE27D" w14:textId="77777777" w:rsidTr="00D0608D">
        <w:tc>
          <w:tcPr>
            <w:tcW w:w="1673" w:type="dxa"/>
          </w:tcPr>
          <w:p w14:paraId="582588EB" w14:textId="77777777" w:rsidR="00205469" w:rsidRPr="00B55C6C" w:rsidRDefault="00205469" w:rsidP="00100EF9">
            <w:pPr>
              <w:tabs>
                <w:tab w:val="center" w:pos="284"/>
              </w:tabs>
              <w:ind w:left="266" w:hanging="266"/>
              <w:rPr>
                <w:b/>
              </w:rPr>
            </w:pPr>
          </w:p>
        </w:tc>
        <w:tc>
          <w:tcPr>
            <w:tcW w:w="7400" w:type="dxa"/>
          </w:tcPr>
          <w:p w14:paraId="33028952" w14:textId="77777777" w:rsidR="00205469" w:rsidRPr="00B55C6C" w:rsidRDefault="00205469" w:rsidP="00100EF9">
            <w:pPr>
              <w:tabs>
                <w:tab w:val="center" w:pos="284"/>
              </w:tabs>
              <w:ind w:left="266" w:hanging="266"/>
            </w:pPr>
          </w:p>
        </w:tc>
      </w:tr>
      <w:tr w:rsidR="00B55C6C" w:rsidRPr="00B55C6C" w14:paraId="416210B9" w14:textId="77777777" w:rsidTr="00D0608D">
        <w:tc>
          <w:tcPr>
            <w:tcW w:w="1673" w:type="dxa"/>
          </w:tcPr>
          <w:p w14:paraId="5830CF27" w14:textId="77777777" w:rsidR="00B55C6C" w:rsidRPr="00B55C6C" w:rsidRDefault="00B55C6C" w:rsidP="00100EF9">
            <w:pPr>
              <w:tabs>
                <w:tab w:val="center" w:pos="284"/>
              </w:tabs>
              <w:ind w:left="266" w:hanging="266"/>
              <w:rPr>
                <w:b/>
              </w:rPr>
            </w:pPr>
            <w:r w:rsidRPr="00B55C6C">
              <w:rPr>
                <w:b/>
              </w:rPr>
              <w:t>Reference</w:t>
            </w:r>
          </w:p>
        </w:tc>
        <w:tc>
          <w:tcPr>
            <w:tcW w:w="7400" w:type="dxa"/>
          </w:tcPr>
          <w:p w14:paraId="6387FA0F" w14:textId="29179DE5" w:rsidR="00B55C6C" w:rsidRPr="00B55C6C" w:rsidRDefault="00B55C6C" w:rsidP="00100EF9">
            <w:pPr>
              <w:tabs>
                <w:tab w:val="center" w:pos="284"/>
              </w:tabs>
              <w:ind w:left="266" w:right="-108" w:hanging="266"/>
              <w:jc w:val="left"/>
            </w:pPr>
            <w:r w:rsidRPr="00B55C6C">
              <w:t xml:space="preserve">Exploratory </w:t>
            </w:r>
            <w:r w:rsidR="00205469">
              <w:t>o</w:t>
            </w:r>
            <w:r w:rsidRPr="00B55C6C">
              <w:t xml:space="preserve">pinion requested by the Cypriot Presidency of the </w:t>
            </w:r>
            <w:r w:rsidR="0027149A">
              <w:t xml:space="preserve">Council of the </w:t>
            </w:r>
            <w:r w:rsidRPr="00B55C6C">
              <w:t>EU</w:t>
            </w:r>
          </w:p>
          <w:p w14:paraId="72910B0E" w14:textId="77777777" w:rsidR="00B55C6C" w:rsidRPr="00B55C6C" w:rsidRDefault="00B55C6C" w:rsidP="00100EF9">
            <w:pPr>
              <w:tabs>
                <w:tab w:val="center" w:pos="284"/>
              </w:tabs>
              <w:ind w:left="266" w:hanging="266"/>
              <w:rPr>
                <w:lang w:val="pt-PT"/>
              </w:rPr>
            </w:pPr>
            <w:r w:rsidRPr="00B55C6C">
              <w:rPr>
                <w:lang w:val="pt-PT"/>
              </w:rP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sidRPr="00B55C6C">
        <w:rPr>
          <w:b/>
          <w:bCs/>
        </w:rPr>
        <w:t>Key points</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rsidRPr="00B55C6C">
        <w:t>The EESC:</w:t>
      </w:r>
    </w:p>
    <w:p w14:paraId="383812B3" w14:textId="77777777" w:rsidR="00B55C6C" w:rsidRPr="00B55C6C" w:rsidRDefault="00B55C6C" w:rsidP="00E54618">
      <w:pPr>
        <w:numPr>
          <w:ilvl w:val="0"/>
          <w:numId w:val="20"/>
        </w:numPr>
        <w:shd w:val="clear" w:color="auto" w:fill="FFFFFF" w:themeFill="background1"/>
        <w:ind w:left="567" w:hanging="567"/>
        <w:contextualSpacing/>
        <w:rPr>
          <w:rFonts w:ascii="Calibri" w:hAnsi="Calibri"/>
          <w:color w:val="242424"/>
          <w:u w:val="single"/>
          <w:lang w:eastAsia="zh-CN"/>
        </w:rPr>
      </w:pPr>
      <w:r w:rsidRPr="00B55C6C">
        <w:rPr>
          <w:color w:val="242424"/>
          <w:lang w:eastAsia="zh-CN"/>
        </w:rPr>
        <w:t xml:space="preserve">welcomes Strategy for European Life Sciences, and stresses that ensuring a </w:t>
      </w:r>
      <w:r w:rsidRPr="00B55C6C">
        <w:rPr>
          <w:b/>
          <w:bCs/>
          <w:color w:val="242424"/>
          <w:lang w:eastAsia="zh-CN"/>
        </w:rPr>
        <w:t>holistic approach</w:t>
      </w:r>
      <w:r w:rsidRPr="00B55C6C">
        <w:rPr>
          <w:color w:val="242424"/>
          <w:lang w:eastAsia="zh-CN"/>
        </w:rPr>
        <w:t xml:space="preserve"> and nourishing environment can make Europe a </w:t>
      </w:r>
      <w:r w:rsidRPr="00B55C6C">
        <w:rPr>
          <w:b/>
          <w:bCs/>
          <w:color w:val="242424"/>
          <w:lang w:eastAsia="zh-CN"/>
        </w:rPr>
        <w:t>global leader in the life science</w:t>
      </w:r>
      <w:r w:rsidRPr="00B55C6C">
        <w:rPr>
          <w:color w:val="242424"/>
          <w:lang w:eastAsia="zh-CN"/>
        </w:rPr>
        <w:t xml:space="preserve"> (especially for rare diseases and genomics).</w:t>
      </w:r>
      <w:r w:rsidRPr="00B55C6C">
        <w:rPr>
          <w:color w:val="242424"/>
          <w:u w:val="single"/>
          <w:lang w:eastAsia="zh-CN"/>
        </w:rPr>
        <w:t xml:space="preserve"> Such</w:t>
      </w:r>
      <w:r w:rsidRPr="00B55C6C">
        <w:rPr>
          <w:b/>
          <w:bCs/>
          <w:color w:val="242424"/>
          <w:u w:val="single"/>
          <w:lang w:eastAsia="zh-CN"/>
        </w:rPr>
        <w:t xml:space="preserve"> an approach</w:t>
      </w:r>
      <w:r w:rsidRPr="00B55C6C">
        <w:rPr>
          <w:color w:val="242424"/>
          <w:u w:val="single"/>
          <w:lang w:eastAsia="zh-CN"/>
        </w:rPr>
        <w:t xml:space="preserve"> involves:</w:t>
      </w:r>
    </w:p>
    <w:p w14:paraId="5A323DAF" w14:textId="746DCEF3" w:rsidR="00B55C6C" w:rsidRPr="00B55C6C" w:rsidRDefault="00B55C6C" w:rsidP="00E54618">
      <w:pPr>
        <w:numPr>
          <w:ilvl w:val="1"/>
          <w:numId w:val="26"/>
        </w:numPr>
        <w:shd w:val="clear" w:color="auto" w:fill="FFFFFF" w:themeFill="background1"/>
        <w:ind w:left="851" w:hanging="284"/>
        <w:contextualSpacing/>
        <w:rPr>
          <w:rFonts w:ascii="Calibri" w:hAnsi="Calibri"/>
          <w:color w:val="242424"/>
          <w:u w:val="single"/>
          <w:lang w:eastAsia="zh-CN"/>
        </w:rPr>
      </w:pPr>
      <w:r w:rsidRPr="00B55C6C">
        <w:rPr>
          <w:color w:val="242424"/>
          <w:u w:val="single"/>
          <w:lang w:eastAsia="zh-CN"/>
        </w:rPr>
        <w:t>comprehensive scientific and data-based methods to diagnose and understand the causes of diseases (e.g. genetics, unhealthy habits and lifestyles, pollution, stress, etc.)</w:t>
      </w:r>
      <w:r w:rsidR="00A3284F">
        <w:rPr>
          <w:color w:val="242424"/>
          <w:u w:val="single"/>
          <w:lang w:eastAsia="zh-CN"/>
        </w:rPr>
        <w:t>;</w:t>
      </w:r>
    </w:p>
    <w:p w14:paraId="54755404" w14:textId="5C9C4720" w:rsidR="00B55C6C" w:rsidRPr="00B55C6C" w:rsidRDefault="00B55C6C" w:rsidP="00E54618">
      <w:pPr>
        <w:numPr>
          <w:ilvl w:val="1"/>
          <w:numId w:val="26"/>
        </w:numPr>
        <w:shd w:val="clear" w:color="auto" w:fill="FFFFFF" w:themeFill="background1"/>
        <w:ind w:left="851" w:hanging="284"/>
        <w:contextualSpacing/>
        <w:rPr>
          <w:rFonts w:ascii="Calibri" w:hAnsi="Calibri"/>
          <w:color w:val="242424"/>
          <w:u w:val="single"/>
          <w:lang w:eastAsia="zh-CN"/>
        </w:rPr>
      </w:pPr>
      <w:r w:rsidRPr="00B55C6C">
        <w:rPr>
          <w:color w:val="242424"/>
          <w:u w:val="single"/>
          <w:lang w:eastAsia="zh-CN"/>
        </w:rPr>
        <w:t>disseminating information on prevention and early diagnosis</w:t>
      </w:r>
      <w:r w:rsidR="00A3284F">
        <w:rPr>
          <w:color w:val="242424"/>
          <w:u w:val="single"/>
          <w:lang w:eastAsia="zh-CN"/>
        </w:rPr>
        <w:t>;</w:t>
      </w:r>
    </w:p>
    <w:p w14:paraId="3424F771" w14:textId="30D8CD98" w:rsidR="00B55C6C" w:rsidRPr="00B55C6C" w:rsidRDefault="00B55C6C" w:rsidP="00E54618">
      <w:pPr>
        <w:numPr>
          <w:ilvl w:val="1"/>
          <w:numId w:val="26"/>
        </w:numPr>
        <w:shd w:val="clear" w:color="auto" w:fill="FFFFFF" w:themeFill="background1"/>
        <w:ind w:left="851" w:hanging="284"/>
        <w:contextualSpacing/>
        <w:rPr>
          <w:color w:val="242424"/>
          <w:u w:val="single"/>
          <w:lang w:eastAsia="zh-CN"/>
        </w:rPr>
      </w:pPr>
      <w:r w:rsidRPr="00B55C6C">
        <w:rPr>
          <w:color w:val="242424"/>
          <w:u w:val="single"/>
          <w:lang w:eastAsia="zh-CN"/>
        </w:rPr>
        <w:t>screening, effective and accessible treatment</w:t>
      </w:r>
      <w:r w:rsidR="00A3284F">
        <w:rPr>
          <w:color w:val="242424"/>
          <w:u w:val="single"/>
          <w:lang w:eastAsia="zh-CN"/>
        </w:rPr>
        <w:t>;</w:t>
      </w:r>
    </w:p>
    <w:p w14:paraId="093589AA" w14:textId="77777777" w:rsidR="00B55C6C" w:rsidRPr="00B55C6C" w:rsidRDefault="00B55C6C" w:rsidP="00E54618">
      <w:pPr>
        <w:numPr>
          <w:ilvl w:val="1"/>
          <w:numId w:val="26"/>
        </w:numPr>
        <w:shd w:val="clear" w:color="auto" w:fill="FFFFFF" w:themeFill="background1"/>
        <w:ind w:left="851" w:hanging="284"/>
        <w:contextualSpacing/>
        <w:rPr>
          <w:color w:val="242424"/>
          <w:u w:val="single"/>
          <w:lang w:eastAsia="zh-CN"/>
        </w:rPr>
      </w:pPr>
      <w:r w:rsidRPr="00B55C6C">
        <w:rPr>
          <w:color w:val="242424"/>
          <w:u w:val="single"/>
          <w:lang w:eastAsia="zh-CN"/>
        </w:rPr>
        <w:t>high-quality care and accessible support infrastructure for patients and their families.</w:t>
      </w:r>
    </w:p>
    <w:p w14:paraId="65EEE98A" w14:textId="2B13494B" w:rsidR="00B55C6C" w:rsidRPr="00B55C6C" w:rsidRDefault="00B55C6C" w:rsidP="00E54618">
      <w:pPr>
        <w:numPr>
          <w:ilvl w:val="0"/>
          <w:numId w:val="20"/>
        </w:numPr>
        <w:shd w:val="clear" w:color="auto" w:fill="FFFFFF" w:themeFill="background1"/>
        <w:ind w:left="567" w:hanging="567"/>
        <w:contextualSpacing/>
        <w:rPr>
          <w:color w:val="242424"/>
          <w:u w:val="single"/>
          <w:lang w:eastAsia="zh-CN"/>
        </w:rPr>
      </w:pPr>
      <w:r w:rsidRPr="00B55C6C">
        <w:rPr>
          <w:color w:val="242424"/>
          <w:lang w:eastAsia="zh-CN"/>
        </w:rPr>
        <w:t xml:space="preserve">supports the call of the European Parliament for an </w:t>
      </w:r>
      <w:hyperlink r:id="rId32">
        <w:r w:rsidRPr="00B55C6C">
          <w:rPr>
            <w:b/>
            <w:bCs/>
            <w:color w:val="242424"/>
            <w:u w:val="single"/>
            <w:lang w:eastAsia="zh-CN"/>
          </w:rPr>
          <w:t>EU Action Plan for Rare Diseases</w:t>
        </w:r>
      </w:hyperlink>
      <w:r w:rsidRPr="00B55C6C">
        <w:rPr>
          <w:color w:val="242424"/>
          <w:lang w:eastAsia="zh-CN"/>
        </w:rPr>
        <w:t xml:space="preserve"> to be swiftly adopted, including by reviving and further developing the </w:t>
      </w:r>
      <w:hyperlink r:id="rId33">
        <w:r w:rsidRPr="00B55C6C">
          <w:rPr>
            <w:b/>
            <w:bCs/>
            <w:color w:val="242424"/>
            <w:u w:val="single"/>
            <w:lang w:eastAsia="zh-CN"/>
          </w:rPr>
          <w:t>Tartu call for a healthy lifestyle</w:t>
        </w:r>
      </w:hyperlink>
      <w:r w:rsidRPr="00B55C6C">
        <w:rPr>
          <w:color w:val="242424"/>
          <w:lang w:eastAsia="zh-CN"/>
        </w:rPr>
        <w:t xml:space="preserve"> and embracing the </w:t>
      </w:r>
      <w:hyperlink r:id="rId34">
        <w:r w:rsidRPr="00B55C6C">
          <w:rPr>
            <w:b/>
            <w:bCs/>
            <w:color w:val="242424"/>
            <w:u w:val="single"/>
            <w:lang w:eastAsia="zh-CN"/>
          </w:rPr>
          <w:t>‘One Health’ approach</w:t>
        </w:r>
      </w:hyperlink>
      <w:r w:rsidR="00A3284F">
        <w:rPr>
          <w:rFonts w:ascii="Calibri" w:hAnsi="Calibri"/>
          <w:lang w:eastAsia="zh-CN"/>
        </w:rPr>
        <w:t>;</w:t>
      </w:r>
    </w:p>
    <w:p w14:paraId="19824879" w14:textId="1DEF8828" w:rsidR="00B55C6C" w:rsidRPr="00B55C6C" w:rsidRDefault="00B55C6C" w:rsidP="00E54618">
      <w:pPr>
        <w:numPr>
          <w:ilvl w:val="0"/>
          <w:numId w:val="22"/>
        </w:numPr>
        <w:shd w:val="clear" w:color="auto" w:fill="FFFFFF" w:themeFill="background1"/>
        <w:ind w:left="567" w:hanging="567"/>
        <w:contextualSpacing/>
        <w:rPr>
          <w:b/>
          <w:bCs/>
          <w:color w:val="242424"/>
          <w:lang w:eastAsia="zh-CN"/>
        </w:rPr>
      </w:pPr>
      <w:r w:rsidRPr="00B55C6C">
        <w:rPr>
          <w:color w:val="242424"/>
          <w:lang w:eastAsia="zh-CN"/>
        </w:rPr>
        <w:t xml:space="preserve">considers that research and technology infrastructure (including that focused on rare diseases) is a key enabler for the development of the life sciences and the longevity economy and that it should include the </w:t>
      </w:r>
      <w:r w:rsidRPr="00B55C6C">
        <w:rPr>
          <w:b/>
          <w:bCs/>
          <w:color w:val="242424"/>
          <w:lang w:eastAsia="zh-CN"/>
        </w:rPr>
        <w:t>whole longevity culture</w:t>
      </w:r>
      <w:r w:rsidRPr="00B55C6C">
        <w:rPr>
          <w:color w:val="242424"/>
          <w:lang w:eastAsia="zh-CN"/>
        </w:rPr>
        <w:t xml:space="preserve"> (including prevention, healthy food, lifestyle, </w:t>
      </w:r>
      <w:proofErr w:type="spellStart"/>
      <w:r w:rsidRPr="00B55C6C">
        <w:rPr>
          <w:color w:val="242424"/>
          <w:lang w:eastAsia="zh-CN"/>
        </w:rPr>
        <w:t>balneo</w:t>
      </w:r>
      <w:proofErr w:type="spellEnd"/>
      <w:r w:rsidRPr="00B55C6C">
        <w:rPr>
          <w:color w:val="242424"/>
          <w:lang w:eastAsia="zh-CN"/>
        </w:rPr>
        <w:t xml:space="preserve"> treatment and recreation, physical and mental health, and many other elements) beyond the diagnosis and treatment of diseases</w:t>
      </w:r>
      <w:r w:rsidR="00A3284F">
        <w:rPr>
          <w:color w:val="242424"/>
          <w:lang w:eastAsia="zh-CN"/>
        </w:rPr>
        <w:t>;</w:t>
      </w:r>
    </w:p>
    <w:p w14:paraId="36230EAB" w14:textId="09472C12" w:rsidR="00B55C6C" w:rsidRPr="00B55C6C" w:rsidRDefault="00B55C6C" w:rsidP="00E54618">
      <w:pPr>
        <w:numPr>
          <w:ilvl w:val="0"/>
          <w:numId w:val="22"/>
        </w:numPr>
        <w:shd w:val="clear" w:color="auto" w:fill="FFFFFF" w:themeFill="background1"/>
        <w:ind w:left="567" w:hanging="567"/>
        <w:contextualSpacing/>
        <w:rPr>
          <w:color w:val="242424"/>
          <w:lang w:eastAsia="zh-CN"/>
        </w:rPr>
      </w:pPr>
      <w:r w:rsidRPr="00B55C6C">
        <w:rPr>
          <w:color w:val="242424"/>
          <w:lang w:eastAsia="zh-CN"/>
        </w:rPr>
        <w:t xml:space="preserve">recommends establishing </w:t>
      </w:r>
      <w:r w:rsidRPr="00B55C6C">
        <w:rPr>
          <w:b/>
          <w:bCs/>
          <w:color w:val="242424"/>
          <w:lang w:eastAsia="zh-CN"/>
        </w:rPr>
        <w:t xml:space="preserve">translational </w:t>
      </w:r>
      <w:proofErr w:type="spellStart"/>
      <w:r w:rsidRPr="00B55C6C">
        <w:rPr>
          <w:b/>
          <w:bCs/>
          <w:color w:val="242424"/>
          <w:lang w:eastAsia="zh-CN"/>
        </w:rPr>
        <w:t>centres</w:t>
      </w:r>
      <w:proofErr w:type="spellEnd"/>
      <w:r w:rsidRPr="00B55C6C">
        <w:rPr>
          <w:b/>
          <w:bCs/>
          <w:color w:val="242424"/>
          <w:lang w:eastAsia="zh-CN"/>
        </w:rPr>
        <w:t xml:space="preserve"> for rare diseases in each Member State</w:t>
      </w:r>
      <w:r w:rsidRPr="00B55C6C">
        <w:rPr>
          <w:color w:val="242424"/>
          <w:lang w:eastAsia="zh-CN"/>
        </w:rPr>
        <w:t xml:space="preserve"> coordinated at EU level for consistency</w:t>
      </w:r>
      <w:r w:rsidR="00A3284F">
        <w:rPr>
          <w:color w:val="242424"/>
          <w:lang w:eastAsia="zh-CN"/>
        </w:rPr>
        <w:t>;</w:t>
      </w:r>
    </w:p>
    <w:p w14:paraId="79F67F3F" w14:textId="0A72513C" w:rsidR="00B55C6C" w:rsidRPr="00B55C6C" w:rsidRDefault="00B55C6C" w:rsidP="00E54618">
      <w:pPr>
        <w:numPr>
          <w:ilvl w:val="0"/>
          <w:numId w:val="22"/>
        </w:numPr>
        <w:shd w:val="clear" w:color="auto" w:fill="FFFFFF" w:themeFill="background1"/>
        <w:ind w:left="567" w:hanging="567"/>
        <w:contextualSpacing/>
        <w:rPr>
          <w:color w:val="242424"/>
          <w:lang w:eastAsia="zh-CN"/>
        </w:rPr>
      </w:pPr>
      <w:r w:rsidRPr="00B55C6C">
        <w:rPr>
          <w:color w:val="242424"/>
          <w:lang w:eastAsia="zh-CN"/>
        </w:rPr>
        <w:t xml:space="preserve">underlines that European partnerships are vital in fostering the meaningful and structured engagement of the full spectrum of stakeholders and asks for </w:t>
      </w:r>
      <w:proofErr w:type="spellStart"/>
      <w:r w:rsidRPr="00B55C6C">
        <w:rPr>
          <w:color w:val="242424"/>
          <w:lang w:eastAsia="zh-CN"/>
        </w:rPr>
        <w:t>formalised</w:t>
      </w:r>
      <w:proofErr w:type="spellEnd"/>
      <w:r w:rsidRPr="00B55C6C">
        <w:rPr>
          <w:color w:val="242424"/>
          <w:lang w:eastAsia="zh-CN"/>
        </w:rPr>
        <w:t xml:space="preserve"> mechanisms for their participation</w:t>
      </w:r>
      <w:r w:rsidR="00A3284F">
        <w:rPr>
          <w:color w:val="242424"/>
          <w:lang w:eastAsia="zh-CN"/>
        </w:rPr>
        <w:t>;</w:t>
      </w:r>
    </w:p>
    <w:p w14:paraId="007C9EE2" w14:textId="77777777" w:rsidR="00B55C6C" w:rsidRPr="00B55C6C" w:rsidRDefault="00B55C6C" w:rsidP="00E54618">
      <w:pPr>
        <w:numPr>
          <w:ilvl w:val="0"/>
          <w:numId w:val="22"/>
        </w:numPr>
        <w:shd w:val="clear" w:color="auto" w:fill="FFFFFF" w:themeFill="background1"/>
        <w:ind w:left="567" w:hanging="567"/>
        <w:contextualSpacing/>
        <w:rPr>
          <w:color w:val="242424"/>
          <w:lang w:eastAsia="zh-CN"/>
        </w:rPr>
      </w:pPr>
      <w:r w:rsidRPr="00B55C6C">
        <w:rPr>
          <w:color w:val="242424"/>
          <w:lang w:eastAsia="zh-CN"/>
        </w:rPr>
        <w:t xml:space="preserve">advocates </w:t>
      </w:r>
      <w:r w:rsidRPr="00B55C6C">
        <w:rPr>
          <w:b/>
          <w:bCs/>
          <w:color w:val="242424"/>
          <w:lang w:eastAsia="zh-CN"/>
        </w:rPr>
        <w:t>mandatory representation of patient organizations</w:t>
      </w:r>
      <w:r w:rsidRPr="00B55C6C">
        <w:rPr>
          <w:color w:val="242424"/>
          <w:lang w:eastAsia="zh-CN"/>
        </w:rPr>
        <w:t xml:space="preserve">, </w:t>
      </w:r>
      <w:r w:rsidRPr="00B55C6C">
        <w:rPr>
          <w:b/>
          <w:bCs/>
          <w:color w:val="242424"/>
          <w:lang w:eastAsia="zh-CN"/>
        </w:rPr>
        <w:t>social partners, and civil society in governance bodies</w:t>
      </w:r>
      <w:r w:rsidRPr="00B55C6C">
        <w:rPr>
          <w:color w:val="242424"/>
          <w:lang w:eastAsia="zh-CN"/>
        </w:rPr>
        <w:t>, that through structured, transparent and systematic involvement will enable defining priorities and data protocols, transparency requirements on decisions and data use, and a mechanism ensuring that their contributions are effectively integrated.</w:t>
      </w:r>
    </w:p>
    <w:p w14:paraId="47E7F57B" w14:textId="77777777" w:rsidR="00B55C6C" w:rsidRPr="00B55C6C" w:rsidRDefault="00B55C6C" w:rsidP="00100EF9">
      <w:pPr>
        <w:ind w:left="720"/>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B55C6C" w:rsidRPr="00B55C6C" w14:paraId="1B7BB807" w14:textId="77777777" w:rsidTr="00D0608D">
        <w:tc>
          <w:tcPr>
            <w:tcW w:w="1668" w:type="dxa"/>
          </w:tcPr>
          <w:p w14:paraId="28C13E10" w14:textId="77777777" w:rsidR="00B55C6C" w:rsidRPr="00B55C6C" w:rsidRDefault="00B55C6C" w:rsidP="00100EF9">
            <w:pPr>
              <w:rPr>
                <w:i/>
              </w:rPr>
            </w:pPr>
            <w:r w:rsidRPr="00B55C6C">
              <w:rPr>
                <w:b/>
                <w:i/>
              </w:rPr>
              <w:t>Contact</w:t>
            </w:r>
          </w:p>
        </w:tc>
        <w:tc>
          <w:tcPr>
            <w:tcW w:w="7404" w:type="dxa"/>
          </w:tcPr>
          <w:p w14:paraId="1876AA9B" w14:textId="77777777" w:rsidR="00B55C6C" w:rsidRPr="00B55C6C" w:rsidRDefault="00B55C6C" w:rsidP="00100EF9">
            <w:pPr>
              <w:rPr>
                <w:i/>
              </w:rPr>
            </w:pPr>
            <w:r w:rsidRPr="00B55C6C">
              <w:rPr>
                <w:i/>
              </w:rPr>
              <w:t xml:space="preserve">Konstantina </w:t>
            </w:r>
            <w:proofErr w:type="spellStart"/>
            <w:r w:rsidRPr="00B55C6C">
              <w:rPr>
                <w:i/>
              </w:rPr>
              <w:t>Angelopoulou</w:t>
            </w:r>
            <w:proofErr w:type="spellEnd"/>
          </w:p>
        </w:tc>
      </w:tr>
      <w:tr w:rsidR="00B55C6C" w:rsidRPr="00B55C6C" w14:paraId="3A6228E8" w14:textId="77777777" w:rsidTr="00D0608D">
        <w:tc>
          <w:tcPr>
            <w:tcW w:w="1668" w:type="dxa"/>
          </w:tcPr>
          <w:p w14:paraId="744FB576" w14:textId="77777777" w:rsidR="00B55C6C" w:rsidRPr="00B55C6C" w:rsidRDefault="00B55C6C" w:rsidP="00100EF9">
            <w:pPr>
              <w:rPr>
                <w:i/>
              </w:rPr>
            </w:pPr>
            <w:r w:rsidRPr="00B55C6C">
              <w:rPr>
                <w:i/>
              </w:rPr>
              <w:t>Tel.</w:t>
            </w:r>
          </w:p>
        </w:tc>
        <w:tc>
          <w:tcPr>
            <w:tcW w:w="7404" w:type="dxa"/>
          </w:tcPr>
          <w:p w14:paraId="30F176AA" w14:textId="69662FEA" w:rsidR="00B55C6C" w:rsidRPr="00B55C6C" w:rsidRDefault="00B55C6C" w:rsidP="00100EF9">
            <w:pPr>
              <w:rPr>
                <w:i/>
              </w:rPr>
            </w:pPr>
            <w:r w:rsidRPr="00B55C6C">
              <w:rPr>
                <w:i/>
              </w:rPr>
              <w:t>+32 25469747</w:t>
            </w:r>
          </w:p>
        </w:tc>
      </w:tr>
      <w:tr w:rsidR="00B55C6C" w:rsidRPr="00B55C6C" w14:paraId="3F5E6411" w14:textId="77777777" w:rsidTr="00D0608D">
        <w:tc>
          <w:tcPr>
            <w:tcW w:w="1668" w:type="dxa"/>
          </w:tcPr>
          <w:p w14:paraId="62C81B41" w14:textId="5EA32218" w:rsidR="00B55C6C" w:rsidRPr="00B55C6C" w:rsidRDefault="00256B74" w:rsidP="00100EF9">
            <w:pPr>
              <w:rPr>
                <w:i/>
              </w:rPr>
            </w:pPr>
            <w:r>
              <w:rPr>
                <w:i/>
              </w:rPr>
              <w:t>E</w:t>
            </w:r>
            <w:r w:rsidR="00B55C6C" w:rsidRPr="00B55C6C">
              <w:rPr>
                <w:i/>
              </w:rPr>
              <w:t>mail</w:t>
            </w:r>
          </w:p>
        </w:tc>
        <w:tc>
          <w:tcPr>
            <w:tcW w:w="7404" w:type="dxa"/>
          </w:tcPr>
          <w:p w14:paraId="31CA77B0" w14:textId="77777777" w:rsidR="00B55C6C" w:rsidRPr="00B55C6C" w:rsidRDefault="00DA095D" w:rsidP="00100EF9">
            <w:pPr>
              <w:rPr>
                <w:i/>
                <w:iCs/>
              </w:rPr>
            </w:pPr>
            <w:hyperlink r:id="rId35" w:history="1">
              <w:r w:rsidR="00B55C6C" w:rsidRPr="00B55C6C">
                <w:rPr>
                  <w:i/>
                  <w:iCs/>
                  <w:color w:val="0000FF"/>
                  <w:u w:val="single"/>
                </w:rPr>
                <w:t>Konstantina.Angelopoulou@eesc.europa.eu</w:t>
              </w:r>
            </w:hyperlink>
          </w:p>
        </w:tc>
      </w:tr>
    </w:tbl>
    <w:p w14:paraId="4982DDF1" w14:textId="3CAFEF7D" w:rsidR="00EE1B31" w:rsidRDefault="00EE1B31" w:rsidP="00100EF9">
      <w:pPr>
        <w:pStyle w:val="ListParagraph"/>
        <w:ind w:left="0"/>
      </w:pPr>
    </w:p>
    <w:p w14:paraId="4483536B" w14:textId="77777777" w:rsidR="00EE1B31" w:rsidRDefault="00EE1B31" w:rsidP="00100EF9">
      <w:pPr>
        <w:jc w:val="left"/>
      </w:pPr>
      <w:r>
        <w:br w:type="page"/>
      </w:r>
    </w:p>
    <w:p w14:paraId="20E4C813" w14:textId="335FCE82" w:rsidR="00594237" w:rsidRPr="00594237" w:rsidRDefault="00DA095D" w:rsidP="00100EF9">
      <w:pPr>
        <w:widowControl w:val="0"/>
        <w:numPr>
          <w:ilvl w:val="0"/>
          <w:numId w:val="6"/>
        </w:numPr>
        <w:overflowPunct w:val="0"/>
        <w:autoSpaceDE w:val="0"/>
        <w:autoSpaceDN w:val="0"/>
        <w:adjustRightInd w:val="0"/>
        <w:ind w:hanging="567"/>
        <w:textAlignment w:val="baseline"/>
        <w:rPr>
          <w:sz w:val="20"/>
          <w:szCs w:val="20"/>
          <w:lang w:val="en-GB"/>
        </w:rPr>
      </w:pPr>
      <w:hyperlink r:id="rId36" w:history="1">
        <w:r w:rsidR="00594237" w:rsidRPr="00594237">
          <w:rPr>
            <w:b/>
            <w:bCs/>
            <w:i/>
            <w:iCs/>
            <w:color w:val="0000FF"/>
            <w:sz w:val="28"/>
            <w:szCs w:val="28"/>
            <w:u w:val="single"/>
            <w:lang w:val="en-GB"/>
          </w:rPr>
          <w:t>Energy connectivity, electricity grids</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5"/>
      </w:tblGrid>
      <w:tr w:rsidR="00594237" w:rsidRPr="00594237" w14:paraId="0B3E8F32" w14:textId="77777777" w:rsidTr="00D0608D">
        <w:tc>
          <w:tcPr>
            <w:tcW w:w="1668" w:type="dxa"/>
          </w:tcPr>
          <w:p w14:paraId="3305D113" w14:textId="77777777" w:rsidR="00594237" w:rsidRPr="00594237" w:rsidRDefault="00594237" w:rsidP="00100EF9">
            <w:pPr>
              <w:tabs>
                <w:tab w:val="center" w:pos="284"/>
              </w:tabs>
              <w:overflowPunct w:val="0"/>
              <w:autoSpaceDE w:val="0"/>
              <w:autoSpaceDN w:val="0"/>
              <w:adjustRightInd w:val="0"/>
              <w:ind w:left="266" w:hanging="266"/>
              <w:textAlignment w:val="baseline"/>
              <w:rPr>
                <w:b/>
              </w:rPr>
            </w:pPr>
            <w:r w:rsidRPr="00594237">
              <w:rPr>
                <w:b/>
              </w:rPr>
              <w:t>Rapporteur</w:t>
            </w:r>
          </w:p>
        </w:tc>
        <w:tc>
          <w:tcPr>
            <w:tcW w:w="7405" w:type="dxa"/>
          </w:tcPr>
          <w:p w14:paraId="01328C57" w14:textId="7D821841" w:rsidR="00F172E5" w:rsidRPr="00594237" w:rsidRDefault="00594237" w:rsidP="00100EF9">
            <w:pPr>
              <w:tabs>
                <w:tab w:val="center" w:pos="284"/>
              </w:tabs>
              <w:overflowPunct w:val="0"/>
              <w:autoSpaceDE w:val="0"/>
              <w:autoSpaceDN w:val="0"/>
              <w:adjustRightInd w:val="0"/>
              <w:ind w:left="266" w:hanging="266"/>
              <w:textAlignment w:val="baseline"/>
            </w:pPr>
            <w:r w:rsidRPr="00594237">
              <w:t xml:space="preserve">Christophe BÉGUINET (Workers' Group </w:t>
            </w:r>
            <w:r w:rsidR="00F172E5">
              <w:t>-</w:t>
            </w:r>
            <w:r w:rsidRPr="00594237">
              <w:t xml:space="preserve"> FR)</w:t>
            </w:r>
          </w:p>
        </w:tc>
      </w:tr>
      <w:tr w:rsidR="00205469" w:rsidRPr="00594237" w14:paraId="4D1871B6" w14:textId="77777777" w:rsidTr="00D0608D">
        <w:tc>
          <w:tcPr>
            <w:tcW w:w="1668" w:type="dxa"/>
          </w:tcPr>
          <w:p w14:paraId="589D2486" w14:textId="77777777" w:rsidR="00205469" w:rsidRPr="00594237" w:rsidRDefault="00205469" w:rsidP="00100EF9">
            <w:pPr>
              <w:tabs>
                <w:tab w:val="center" w:pos="284"/>
              </w:tabs>
              <w:overflowPunct w:val="0"/>
              <w:autoSpaceDE w:val="0"/>
              <w:autoSpaceDN w:val="0"/>
              <w:adjustRightInd w:val="0"/>
              <w:ind w:left="266" w:hanging="266"/>
              <w:textAlignment w:val="baseline"/>
              <w:rPr>
                <w:b/>
              </w:rPr>
            </w:pPr>
          </w:p>
        </w:tc>
        <w:tc>
          <w:tcPr>
            <w:tcW w:w="7405" w:type="dxa"/>
          </w:tcPr>
          <w:p w14:paraId="1F8F0751" w14:textId="77777777" w:rsidR="00205469" w:rsidRPr="00594237" w:rsidRDefault="00205469" w:rsidP="00100EF9">
            <w:pPr>
              <w:tabs>
                <w:tab w:val="center" w:pos="284"/>
              </w:tabs>
              <w:overflowPunct w:val="0"/>
              <w:autoSpaceDE w:val="0"/>
              <w:autoSpaceDN w:val="0"/>
              <w:adjustRightInd w:val="0"/>
              <w:ind w:left="266" w:hanging="266"/>
              <w:textAlignment w:val="baseline"/>
            </w:pPr>
          </w:p>
        </w:tc>
      </w:tr>
      <w:tr w:rsidR="00594237" w:rsidRPr="00594237" w14:paraId="57747D28" w14:textId="77777777" w:rsidTr="00D0608D">
        <w:tc>
          <w:tcPr>
            <w:tcW w:w="1668" w:type="dxa"/>
          </w:tcPr>
          <w:p w14:paraId="7A081D5F" w14:textId="1DA4EDF6" w:rsidR="00594237" w:rsidRPr="00594237" w:rsidRDefault="00594237" w:rsidP="00100EF9">
            <w:pPr>
              <w:tabs>
                <w:tab w:val="center" w:pos="284"/>
              </w:tabs>
              <w:overflowPunct w:val="0"/>
              <w:autoSpaceDE w:val="0"/>
              <w:autoSpaceDN w:val="0"/>
              <w:adjustRightInd w:val="0"/>
              <w:ind w:left="266" w:hanging="266"/>
              <w:textAlignment w:val="baseline"/>
              <w:rPr>
                <w:b/>
              </w:rPr>
            </w:pPr>
            <w:r w:rsidRPr="00594237">
              <w:rPr>
                <w:b/>
              </w:rPr>
              <w:t>Reference</w:t>
            </w:r>
          </w:p>
        </w:tc>
        <w:tc>
          <w:tcPr>
            <w:tcW w:w="7405" w:type="dxa"/>
          </w:tcPr>
          <w:p w14:paraId="245BB14C" w14:textId="0A43048D" w:rsidR="00594237" w:rsidRPr="00594237" w:rsidRDefault="00594237" w:rsidP="00100EF9">
            <w:pPr>
              <w:tabs>
                <w:tab w:val="center" w:pos="284"/>
              </w:tabs>
              <w:overflowPunct w:val="0"/>
              <w:autoSpaceDE w:val="0"/>
              <w:autoSpaceDN w:val="0"/>
              <w:adjustRightInd w:val="0"/>
              <w:ind w:left="266" w:hanging="266"/>
              <w:textAlignment w:val="baseline"/>
            </w:pPr>
            <w:r w:rsidRPr="00594237">
              <w:t>Exploratory opinion</w:t>
            </w:r>
            <w:r w:rsidR="00EF5581">
              <w:t xml:space="preserve"> requested by the Cyprus</w:t>
            </w:r>
            <w:r w:rsidRPr="00594237">
              <w:t xml:space="preserve"> Presidency</w:t>
            </w:r>
            <w:r w:rsidR="00EF5581">
              <w:t xml:space="preserve"> of the Council of the EU</w:t>
            </w:r>
          </w:p>
          <w:p w14:paraId="6CAD8281" w14:textId="77777777" w:rsidR="00594237" w:rsidRPr="00594237" w:rsidRDefault="00594237" w:rsidP="00100EF9">
            <w:pPr>
              <w:tabs>
                <w:tab w:val="center" w:pos="284"/>
              </w:tabs>
              <w:overflowPunct w:val="0"/>
              <w:autoSpaceDE w:val="0"/>
              <w:autoSpaceDN w:val="0"/>
              <w:adjustRightInd w:val="0"/>
              <w:ind w:left="266" w:hanging="266"/>
              <w:textAlignment w:val="baseline"/>
            </w:pPr>
            <w:r w:rsidRPr="00594237">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r w:rsidRPr="00594237">
        <w:rPr>
          <w:b/>
          <w:lang w:val="en-GB"/>
        </w:rPr>
        <w:t>Key points</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lang w:val="en-GB"/>
        </w:rPr>
      </w:pPr>
      <w:r w:rsidRPr="00594237">
        <w:rPr>
          <w:bCs/>
          <w:iCs/>
          <w:lang w:val="en-GB"/>
        </w:rPr>
        <w:t>The EESC:</w:t>
      </w:r>
    </w:p>
    <w:p w14:paraId="646A6D1A" w14:textId="77777777" w:rsidR="00594237" w:rsidRPr="00594237" w:rsidRDefault="00594237" w:rsidP="00E54618">
      <w:pPr>
        <w:widowControl w:val="0"/>
        <w:numPr>
          <w:ilvl w:val="0"/>
          <w:numId w:val="25"/>
        </w:numPr>
        <w:overflowPunct w:val="0"/>
        <w:autoSpaceDE w:val="0"/>
        <w:autoSpaceDN w:val="0"/>
        <w:adjustRightInd w:val="0"/>
        <w:ind w:left="567" w:hanging="567"/>
        <w:textAlignment w:val="baseline"/>
        <w:rPr>
          <w:bCs/>
          <w:iCs/>
          <w:lang w:val="en-GB"/>
        </w:rPr>
      </w:pPr>
      <w:r w:rsidRPr="00594237">
        <w:rPr>
          <w:bCs/>
          <w:iCs/>
          <w:lang w:val="en-GB"/>
        </w:rPr>
        <w:t>stresses that the European electricity sector must have the capacity to plan the needs of the electricity system at EU level and in partner countries, based on a common energy scenario set out by the Commission and national system operators;</w:t>
      </w:r>
    </w:p>
    <w:p w14:paraId="61E86BFD" w14:textId="77777777" w:rsidR="00594237" w:rsidRPr="00594237" w:rsidRDefault="00594237" w:rsidP="00E54618">
      <w:pPr>
        <w:widowControl w:val="0"/>
        <w:numPr>
          <w:ilvl w:val="0"/>
          <w:numId w:val="25"/>
        </w:numPr>
        <w:overflowPunct w:val="0"/>
        <w:autoSpaceDE w:val="0"/>
        <w:autoSpaceDN w:val="0"/>
        <w:adjustRightInd w:val="0"/>
        <w:ind w:left="567" w:hanging="567"/>
        <w:textAlignment w:val="baseline"/>
        <w:rPr>
          <w:bCs/>
          <w:iCs/>
          <w:lang w:val="en-GB"/>
        </w:rPr>
      </w:pPr>
      <w:r w:rsidRPr="00594237">
        <w:rPr>
          <w:bCs/>
          <w:iCs/>
          <w:lang w:val="en-GB"/>
        </w:rPr>
        <w:t>notes that the value of interconnections should be viewed either from the perspective of a benefit shared between two countries, in a bilateral approach, or in terms of seeking an overall benefit for the system, beyond the two countries hosting the interconnection. For this second case, new economic models must emerge as the result of collaboration between ACER, national regulators and grid operators;</w:t>
      </w:r>
    </w:p>
    <w:p w14:paraId="2C83B82E" w14:textId="77777777" w:rsidR="00594237" w:rsidRPr="00594237" w:rsidRDefault="00594237" w:rsidP="00E54618">
      <w:pPr>
        <w:widowControl w:val="0"/>
        <w:numPr>
          <w:ilvl w:val="0"/>
          <w:numId w:val="25"/>
        </w:numPr>
        <w:overflowPunct w:val="0"/>
        <w:autoSpaceDE w:val="0"/>
        <w:autoSpaceDN w:val="0"/>
        <w:adjustRightInd w:val="0"/>
        <w:ind w:left="567" w:hanging="567"/>
        <w:textAlignment w:val="baseline"/>
        <w:rPr>
          <w:bCs/>
          <w:iCs/>
          <w:lang w:val="en-GB"/>
        </w:rPr>
      </w:pPr>
      <w:r w:rsidRPr="00594237">
        <w:rPr>
          <w:bCs/>
          <w:iCs/>
          <w:lang w:val="en-GB"/>
        </w:rPr>
        <w:t>underlines that for interconnections to be effective, their development must be accompanied by the development of the relevant national infrastructures, especially at TSO and DSO levels. The creation of interconnection capacity must be an opportunity to foster European solidarity regarding electricity networks;</w:t>
      </w:r>
    </w:p>
    <w:p w14:paraId="543D8C6F" w14:textId="77777777" w:rsidR="00594237" w:rsidRPr="00594237" w:rsidRDefault="00594237" w:rsidP="00E54618">
      <w:pPr>
        <w:widowControl w:val="0"/>
        <w:numPr>
          <w:ilvl w:val="0"/>
          <w:numId w:val="25"/>
        </w:numPr>
        <w:overflowPunct w:val="0"/>
        <w:autoSpaceDE w:val="0"/>
        <w:autoSpaceDN w:val="0"/>
        <w:adjustRightInd w:val="0"/>
        <w:ind w:left="567" w:hanging="567"/>
        <w:textAlignment w:val="baseline"/>
        <w:rPr>
          <w:bCs/>
          <w:iCs/>
          <w:lang w:val="en-GB"/>
        </w:rPr>
      </w:pPr>
      <w:r w:rsidRPr="00594237">
        <w:rPr>
          <w:bCs/>
          <w:iCs/>
          <w:lang w:val="en-GB"/>
        </w:rPr>
        <w:t>points out that the economic optimisation of the European electricity system requires widespread smart meter installation, further additional investments in transmission and distribution networks, and making energy flow data accessible;</w:t>
      </w:r>
    </w:p>
    <w:p w14:paraId="5841625A" w14:textId="77777777" w:rsidR="00594237" w:rsidRPr="00594237" w:rsidRDefault="00594237" w:rsidP="00E54618">
      <w:pPr>
        <w:widowControl w:val="0"/>
        <w:numPr>
          <w:ilvl w:val="0"/>
          <w:numId w:val="25"/>
        </w:numPr>
        <w:overflowPunct w:val="0"/>
        <w:autoSpaceDE w:val="0"/>
        <w:autoSpaceDN w:val="0"/>
        <w:adjustRightInd w:val="0"/>
        <w:ind w:left="567" w:hanging="567"/>
        <w:textAlignment w:val="baseline"/>
        <w:rPr>
          <w:bCs/>
          <w:iCs/>
          <w:lang w:val="en-GB"/>
        </w:rPr>
      </w:pPr>
      <w:r w:rsidRPr="00594237">
        <w:rPr>
          <w:bCs/>
          <w:iCs/>
          <w:lang w:val="en-GB"/>
        </w:rPr>
        <w:t>prioritises the security of the electricity system, concerning climate change impacts, physical attacks, acts of sabotage, cyber risks and system balancing risk;</w:t>
      </w:r>
    </w:p>
    <w:p w14:paraId="5F670357" w14:textId="77777777" w:rsidR="00594237" w:rsidRPr="00594237" w:rsidRDefault="00594237" w:rsidP="00E54618">
      <w:pPr>
        <w:widowControl w:val="0"/>
        <w:numPr>
          <w:ilvl w:val="0"/>
          <w:numId w:val="25"/>
        </w:numPr>
        <w:overflowPunct w:val="0"/>
        <w:autoSpaceDE w:val="0"/>
        <w:autoSpaceDN w:val="0"/>
        <w:adjustRightInd w:val="0"/>
        <w:ind w:left="567" w:hanging="567"/>
        <w:textAlignment w:val="baseline"/>
        <w:rPr>
          <w:bCs/>
          <w:iCs/>
          <w:lang w:val="en-GB"/>
        </w:rPr>
      </w:pPr>
      <w:r w:rsidRPr="00594237">
        <w:rPr>
          <w:bCs/>
          <w:iCs/>
          <w:lang w:val="en-GB"/>
        </w:rPr>
        <w:t>calls for the optimisation of existing infrastructure must be considered as a priority before contemplating the development of new infrastructure.</w:t>
      </w:r>
    </w:p>
    <w:p w14:paraId="7F7D5FFE" w14:textId="77777777" w:rsidR="00594237" w:rsidRPr="00594237" w:rsidRDefault="00594237" w:rsidP="00100EF9">
      <w:pPr>
        <w:widowControl w:val="0"/>
        <w:overflowPunct w:val="0"/>
        <w:autoSpaceDE w:val="0"/>
        <w:autoSpaceDN w:val="0"/>
        <w:adjustRightInd w:val="0"/>
        <w:ind w:left="709"/>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7424"/>
      </w:tblGrid>
      <w:tr w:rsidR="00594237" w:rsidRPr="00594237" w14:paraId="0AB1B93A" w14:textId="77777777" w:rsidTr="00D0608D">
        <w:tc>
          <w:tcPr>
            <w:tcW w:w="1668" w:type="dxa"/>
          </w:tcPr>
          <w:p w14:paraId="07D8992D" w14:textId="77777777" w:rsidR="00594237" w:rsidRPr="00594237" w:rsidRDefault="00594237" w:rsidP="00100EF9">
            <w:pPr>
              <w:overflowPunct w:val="0"/>
              <w:autoSpaceDE w:val="0"/>
              <w:autoSpaceDN w:val="0"/>
              <w:adjustRightInd w:val="0"/>
              <w:textAlignment w:val="baseline"/>
              <w:rPr>
                <w:i/>
              </w:rPr>
            </w:pPr>
            <w:r w:rsidRPr="00594237">
              <w:rPr>
                <w:b/>
                <w:i/>
              </w:rPr>
              <w:t>Contact</w:t>
            </w:r>
          </w:p>
        </w:tc>
        <w:tc>
          <w:tcPr>
            <w:tcW w:w="7512" w:type="dxa"/>
          </w:tcPr>
          <w:p w14:paraId="1B78F73E" w14:textId="78914975" w:rsidR="00594237" w:rsidRPr="00594237" w:rsidRDefault="00594237" w:rsidP="00100EF9">
            <w:pPr>
              <w:overflowPunct w:val="0"/>
              <w:autoSpaceDE w:val="0"/>
              <w:autoSpaceDN w:val="0"/>
              <w:adjustRightInd w:val="0"/>
              <w:textAlignment w:val="baseline"/>
              <w:rPr>
                <w:i/>
              </w:rPr>
            </w:pPr>
            <w:r w:rsidRPr="00594237">
              <w:rPr>
                <w:i/>
              </w:rPr>
              <w:t>Giorgia B</w:t>
            </w:r>
            <w:r w:rsidR="00DF7590" w:rsidRPr="00594237">
              <w:rPr>
                <w:i/>
              </w:rPr>
              <w:t>ordignon</w:t>
            </w:r>
          </w:p>
        </w:tc>
      </w:tr>
      <w:tr w:rsidR="00594237" w:rsidRPr="00594237" w14:paraId="6912C935" w14:textId="77777777" w:rsidTr="00D0608D">
        <w:tc>
          <w:tcPr>
            <w:tcW w:w="1668" w:type="dxa"/>
          </w:tcPr>
          <w:p w14:paraId="5F1BA648" w14:textId="77777777" w:rsidR="00594237" w:rsidRPr="00594237" w:rsidRDefault="00594237" w:rsidP="00100EF9">
            <w:pPr>
              <w:overflowPunct w:val="0"/>
              <w:autoSpaceDE w:val="0"/>
              <w:autoSpaceDN w:val="0"/>
              <w:adjustRightInd w:val="0"/>
              <w:textAlignment w:val="baseline"/>
              <w:rPr>
                <w:i/>
              </w:rPr>
            </w:pPr>
            <w:r w:rsidRPr="00594237">
              <w:rPr>
                <w:i/>
              </w:rPr>
              <w:t>Tel.</w:t>
            </w:r>
          </w:p>
        </w:tc>
        <w:tc>
          <w:tcPr>
            <w:tcW w:w="7512" w:type="dxa"/>
          </w:tcPr>
          <w:p w14:paraId="42C70B8C" w14:textId="527917BD" w:rsidR="00594237" w:rsidRPr="00594237" w:rsidRDefault="00594237" w:rsidP="00100EF9">
            <w:pPr>
              <w:overflowPunct w:val="0"/>
              <w:autoSpaceDE w:val="0"/>
              <w:autoSpaceDN w:val="0"/>
              <w:adjustRightInd w:val="0"/>
              <w:textAlignment w:val="baseline"/>
              <w:rPr>
                <w:i/>
              </w:rPr>
            </w:pPr>
            <w:r w:rsidRPr="00594237">
              <w:rPr>
                <w:i/>
              </w:rPr>
              <w:t>+32 25468535</w:t>
            </w:r>
          </w:p>
        </w:tc>
      </w:tr>
      <w:tr w:rsidR="00594237" w:rsidRPr="00594237" w14:paraId="2BBC59B6" w14:textId="77777777" w:rsidTr="00D0608D">
        <w:tc>
          <w:tcPr>
            <w:tcW w:w="1668" w:type="dxa"/>
          </w:tcPr>
          <w:p w14:paraId="10BDDDCF" w14:textId="77777777" w:rsidR="00594237" w:rsidRPr="00594237" w:rsidRDefault="00594237" w:rsidP="00100EF9">
            <w:pPr>
              <w:overflowPunct w:val="0"/>
              <w:autoSpaceDE w:val="0"/>
              <w:autoSpaceDN w:val="0"/>
              <w:adjustRightInd w:val="0"/>
              <w:textAlignment w:val="baseline"/>
              <w:rPr>
                <w:i/>
              </w:rPr>
            </w:pPr>
            <w:r w:rsidRPr="00594237">
              <w:rPr>
                <w:i/>
              </w:rPr>
              <w:t>Email</w:t>
            </w:r>
          </w:p>
        </w:tc>
        <w:tc>
          <w:tcPr>
            <w:tcW w:w="7512" w:type="dxa"/>
          </w:tcPr>
          <w:p w14:paraId="5EF302B9" w14:textId="77777777" w:rsidR="00594237" w:rsidRPr="00594237" w:rsidRDefault="00DA095D" w:rsidP="00100EF9">
            <w:pPr>
              <w:overflowPunct w:val="0"/>
              <w:autoSpaceDE w:val="0"/>
              <w:autoSpaceDN w:val="0"/>
              <w:adjustRightInd w:val="0"/>
              <w:textAlignment w:val="baseline"/>
              <w:rPr>
                <w:i/>
              </w:rPr>
            </w:pPr>
            <w:hyperlink r:id="rId37" w:history="1">
              <w:r w:rsidR="00594237" w:rsidRPr="00594237">
                <w:rPr>
                  <w:i/>
                  <w:color w:val="0000FF"/>
                  <w:u w:val="single"/>
                </w:rPr>
                <w:t>G</w:t>
              </w:r>
              <w:r w:rsidR="00594237" w:rsidRPr="00594237">
                <w:rPr>
                  <w:i/>
                  <w:color w:val="0000FF"/>
                  <w:u w:val="single"/>
                  <w:lang w:val="en-GB"/>
                </w:rPr>
                <w:t>iorgiaAndrea</w:t>
              </w:r>
              <w:r w:rsidR="00594237" w:rsidRPr="00594237">
                <w:rPr>
                  <w:i/>
                  <w:color w:val="0000FF"/>
                  <w:u w:val="single"/>
                </w:rPr>
                <w:t>.Bordignon@eesc.europa.eu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2989387"/>
      <w:r>
        <w:rPr>
          <w:b/>
        </w:rPr>
        <w:t>AGRICULTURE, RURAL DEVELOPMENT AND THE ENVIRONMENT</w:t>
      </w:r>
      <w:bookmarkEnd w:id="27"/>
      <w:bookmarkEnd w:id="28"/>
      <w:bookmarkEnd w:id="29"/>
    </w:p>
    <w:p w14:paraId="4982DE20" w14:textId="77777777" w:rsidR="004D7AC0" w:rsidRDefault="004D7AC0" w:rsidP="00100EF9"/>
    <w:p w14:paraId="2C76C141" w14:textId="0A9097EA" w:rsidR="00621347" w:rsidRPr="00621347" w:rsidRDefault="00DA095D" w:rsidP="00100EF9">
      <w:pPr>
        <w:widowControl w:val="0"/>
        <w:numPr>
          <w:ilvl w:val="0"/>
          <w:numId w:val="6"/>
        </w:numPr>
        <w:overflowPunct w:val="0"/>
        <w:autoSpaceDE w:val="0"/>
        <w:autoSpaceDN w:val="0"/>
        <w:adjustRightInd w:val="0"/>
        <w:ind w:hanging="567"/>
        <w:textAlignment w:val="baseline"/>
        <w:rPr>
          <w:i/>
          <w:iCs/>
          <w:sz w:val="28"/>
          <w:szCs w:val="28"/>
          <w:lang w:val="en-GB"/>
        </w:rPr>
      </w:pPr>
      <w:hyperlink r:id="rId38" w:history="1">
        <w:r w:rsidR="00621347" w:rsidRPr="00621347">
          <w:rPr>
            <w:b/>
            <w:bCs/>
            <w:i/>
            <w:iCs/>
            <w:color w:val="0000FF"/>
            <w:sz w:val="28"/>
            <w:szCs w:val="28"/>
            <w:u w:val="single"/>
            <w:lang w:val="en-GB"/>
          </w:rPr>
          <w:t>Roadmap towards Nature Credits</w:t>
        </w:r>
      </w:hyperlink>
    </w:p>
    <w:p w14:paraId="62E0B68C"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7443"/>
      </w:tblGrid>
      <w:tr w:rsidR="00621347" w:rsidRPr="00621347" w14:paraId="5980278B" w14:textId="77777777" w:rsidTr="00D0608D">
        <w:tc>
          <w:tcPr>
            <w:tcW w:w="898" w:type="pct"/>
          </w:tcPr>
          <w:p w14:paraId="61C81431"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sidRPr="00621347">
              <w:rPr>
                <w:b/>
              </w:rPr>
              <w:t>Rapporteur</w:t>
            </w:r>
          </w:p>
        </w:tc>
        <w:tc>
          <w:tcPr>
            <w:tcW w:w="4102" w:type="pct"/>
          </w:tcPr>
          <w:p w14:paraId="53BB74E4" w14:textId="19992D32" w:rsidR="00621347" w:rsidRPr="00621347" w:rsidRDefault="00621347" w:rsidP="00100EF9">
            <w:pPr>
              <w:tabs>
                <w:tab w:val="center" w:pos="284"/>
              </w:tabs>
              <w:overflowPunct w:val="0"/>
              <w:autoSpaceDE w:val="0"/>
              <w:autoSpaceDN w:val="0"/>
              <w:adjustRightInd w:val="0"/>
              <w:ind w:left="266" w:right="-3091" w:hanging="266"/>
              <w:textAlignment w:val="baseline"/>
            </w:pPr>
            <w:r w:rsidRPr="00621347">
              <w:t>Arnaud SCHWARTZ</w:t>
            </w:r>
            <w:r w:rsidR="00AF2146">
              <w:t xml:space="preserve"> </w:t>
            </w:r>
            <w:r w:rsidR="00DF7590" w:rsidRPr="00DF7590">
              <w:t xml:space="preserve">(Civil Society </w:t>
            </w:r>
            <w:proofErr w:type="spellStart"/>
            <w:r w:rsidR="00DF7590" w:rsidRPr="00DF7590">
              <w:t>Organisations'</w:t>
            </w:r>
            <w:proofErr w:type="spellEnd"/>
            <w:r w:rsidR="00DF7590" w:rsidRPr="00DF7590">
              <w:t xml:space="preserve"> Group </w:t>
            </w:r>
            <w:r w:rsidR="00630779">
              <w:t>-</w:t>
            </w:r>
            <w:r w:rsidR="00DF7590" w:rsidRPr="00DF7590">
              <w:t xml:space="preserve"> </w:t>
            </w:r>
            <w:r w:rsidR="00630779">
              <w:t>FR</w:t>
            </w:r>
            <w:r w:rsidR="00DF7590" w:rsidRPr="00DF7590">
              <w:t>)</w:t>
            </w:r>
          </w:p>
        </w:tc>
      </w:tr>
      <w:tr w:rsidR="00621347" w:rsidRPr="00621347" w14:paraId="0CEBEBE7" w14:textId="77777777" w:rsidTr="00D0608D">
        <w:tc>
          <w:tcPr>
            <w:tcW w:w="898" w:type="pct"/>
          </w:tcPr>
          <w:p w14:paraId="2479DBBC"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proofErr w:type="spellStart"/>
            <w:r w:rsidRPr="00621347">
              <w:rPr>
                <w:b/>
                <w:lang w:val="fr-FR"/>
              </w:rPr>
              <w:t>Co-rapporteur</w:t>
            </w:r>
            <w:proofErr w:type="spellEnd"/>
          </w:p>
        </w:tc>
        <w:tc>
          <w:tcPr>
            <w:tcW w:w="4102" w:type="pct"/>
          </w:tcPr>
          <w:p w14:paraId="71EF85C6" w14:textId="36F8549C" w:rsidR="00630779" w:rsidRPr="00621347" w:rsidRDefault="00621347" w:rsidP="00100EF9">
            <w:pPr>
              <w:tabs>
                <w:tab w:val="center" w:pos="284"/>
              </w:tabs>
              <w:overflowPunct w:val="0"/>
              <w:autoSpaceDE w:val="0"/>
              <w:autoSpaceDN w:val="0"/>
              <w:adjustRightInd w:val="0"/>
              <w:ind w:left="266" w:right="-3091" w:hanging="266"/>
              <w:textAlignment w:val="baseline"/>
            </w:pPr>
            <w:r w:rsidRPr="00621347">
              <w:t>Teppo SÄKKINEN</w:t>
            </w:r>
            <w:r w:rsidR="00630779">
              <w:t xml:space="preserve"> (Employers' Group </w:t>
            </w:r>
            <w:r w:rsidR="00CC7D10">
              <w:t xml:space="preserve">- </w:t>
            </w:r>
            <w:r w:rsidR="008072FE">
              <w:t>FI)</w:t>
            </w:r>
          </w:p>
        </w:tc>
      </w:tr>
      <w:tr w:rsidR="00205469" w:rsidRPr="00621347" w14:paraId="778CD321" w14:textId="77777777" w:rsidTr="00D0608D">
        <w:tc>
          <w:tcPr>
            <w:tcW w:w="898" w:type="pct"/>
          </w:tcPr>
          <w:p w14:paraId="7759C9B9" w14:textId="77777777" w:rsidR="00205469" w:rsidRPr="003F66F7" w:rsidRDefault="00205469" w:rsidP="00100EF9">
            <w:pPr>
              <w:tabs>
                <w:tab w:val="center" w:pos="284"/>
              </w:tabs>
              <w:overflowPunct w:val="0"/>
              <w:autoSpaceDE w:val="0"/>
              <w:autoSpaceDN w:val="0"/>
              <w:adjustRightInd w:val="0"/>
              <w:ind w:left="266" w:hanging="266"/>
              <w:textAlignment w:val="baseline"/>
              <w:rPr>
                <w:b/>
                <w:lang w:val="en-GB"/>
              </w:rPr>
            </w:pPr>
          </w:p>
        </w:tc>
        <w:tc>
          <w:tcPr>
            <w:tcW w:w="4102" w:type="pct"/>
          </w:tcPr>
          <w:p w14:paraId="4A9CAC5A" w14:textId="77777777" w:rsidR="00205469" w:rsidRPr="00621347" w:rsidRDefault="00205469" w:rsidP="00100EF9">
            <w:pPr>
              <w:tabs>
                <w:tab w:val="center" w:pos="284"/>
              </w:tabs>
              <w:overflowPunct w:val="0"/>
              <w:autoSpaceDE w:val="0"/>
              <w:autoSpaceDN w:val="0"/>
              <w:adjustRightInd w:val="0"/>
              <w:ind w:left="266" w:right="-3091" w:hanging="266"/>
              <w:textAlignment w:val="baseline"/>
            </w:pPr>
          </w:p>
        </w:tc>
      </w:tr>
      <w:tr w:rsidR="00621347" w:rsidRPr="00621347" w14:paraId="27481885" w14:textId="77777777" w:rsidTr="00D0608D">
        <w:tc>
          <w:tcPr>
            <w:tcW w:w="898" w:type="pct"/>
          </w:tcPr>
          <w:p w14:paraId="51C5B0D8"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sidRPr="00621347">
              <w:rPr>
                <w:b/>
              </w:rPr>
              <w:t>References</w:t>
            </w:r>
          </w:p>
        </w:tc>
        <w:tc>
          <w:tcPr>
            <w:tcW w:w="4102" w:type="pct"/>
          </w:tcPr>
          <w:p w14:paraId="72CD413C" w14:textId="352FF01B" w:rsidR="00CC7D10" w:rsidRDefault="00124E6A" w:rsidP="00100EF9">
            <w:pPr>
              <w:tabs>
                <w:tab w:val="center" w:pos="284"/>
              </w:tabs>
              <w:overflowPunct w:val="0"/>
              <w:autoSpaceDE w:val="0"/>
              <w:autoSpaceDN w:val="0"/>
              <w:adjustRightInd w:val="0"/>
              <w:ind w:left="266" w:right="-3091" w:hanging="266"/>
              <w:textAlignment w:val="baseline"/>
              <w:rPr>
                <w:lang w:val="en-GB"/>
              </w:rPr>
            </w:pPr>
            <w:r w:rsidRPr="00124E6A">
              <w:rPr>
                <w:lang w:val="en-GB"/>
              </w:rPr>
              <w:t>COM(2025) 374 final</w:t>
            </w:r>
          </w:p>
          <w:p w14:paraId="281E2397" w14:textId="6410C7C8" w:rsidR="00621347" w:rsidRPr="00621347" w:rsidRDefault="00621347" w:rsidP="00100EF9">
            <w:pPr>
              <w:tabs>
                <w:tab w:val="center" w:pos="284"/>
              </w:tabs>
              <w:overflowPunct w:val="0"/>
              <w:autoSpaceDE w:val="0"/>
              <w:autoSpaceDN w:val="0"/>
              <w:adjustRightInd w:val="0"/>
              <w:ind w:left="266" w:right="-3091" w:hanging="266"/>
              <w:textAlignment w:val="baseline"/>
            </w:pPr>
            <w:r w:rsidRPr="00621347">
              <w:rPr>
                <w:lang w:val="en-GB"/>
              </w:rP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r w:rsidRPr="00621347">
        <w:rPr>
          <w:b/>
          <w:lang w:val="en-GB"/>
        </w:rPr>
        <w:t>Key points</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lang w:val="en-GB"/>
        </w:rPr>
      </w:pPr>
      <w:r w:rsidRPr="00621347">
        <w:rPr>
          <w:bCs/>
          <w:iCs/>
          <w:lang w:val="en-GB"/>
        </w:rPr>
        <w:t xml:space="preserve">The </w:t>
      </w:r>
      <w:r w:rsidRPr="00621347">
        <w:rPr>
          <w:szCs w:val="20"/>
          <w:lang w:val="en-GB"/>
        </w:rPr>
        <w:t>EESC calls on the European Commission to:</w:t>
      </w:r>
    </w:p>
    <w:p w14:paraId="3274DE4E" w14:textId="24EAE1DA" w:rsidR="00621347" w:rsidRPr="00621347" w:rsidRDefault="00621347" w:rsidP="00E54618">
      <w:pPr>
        <w:pStyle w:val="ListParagraph"/>
        <w:numPr>
          <w:ilvl w:val="0"/>
          <w:numId w:val="29"/>
        </w:numPr>
        <w:ind w:left="567" w:hanging="578"/>
        <w:rPr>
          <w:szCs w:val="20"/>
          <w:lang w:val="en-GB"/>
        </w:rPr>
      </w:pPr>
      <w:bookmarkStart w:id="30" w:name="_Toc222988740"/>
      <w:bookmarkStart w:id="31" w:name="_Toc222989237"/>
      <w:bookmarkStart w:id="32" w:name="_Toc222989275"/>
      <w:bookmarkStart w:id="33" w:name="_Toc222825837"/>
      <w:bookmarkEnd w:id="30"/>
      <w:bookmarkEnd w:id="31"/>
      <w:bookmarkEnd w:id="32"/>
      <w:r w:rsidRPr="00F43315">
        <w:rPr>
          <w:szCs w:val="20"/>
          <w:lang w:val="en-GB"/>
        </w:rPr>
        <w:t>ensure</w:t>
      </w:r>
      <w:r w:rsidRPr="00621347">
        <w:rPr>
          <w:szCs w:val="20"/>
          <w:lang w:val="en-GB"/>
        </w:rPr>
        <w:t xml:space="preserve"> that the biodiversity funding goals established by the GBF are met. This requires sufficient, stable and timely public funding, including from the EU budget, and the phasing-out of environmentally harmful subsidies, such as fossil fuel subsidies. Nature credits can be a tool to help close the funding gap and mobilise private finance, complementing but not replacing public funds</w:t>
      </w:r>
      <w:r w:rsidR="009A66B9">
        <w:rPr>
          <w:szCs w:val="20"/>
          <w:lang w:val="en-GB"/>
        </w:rPr>
        <w:t>;</w:t>
      </w:r>
      <w:bookmarkEnd w:id="33"/>
    </w:p>
    <w:p w14:paraId="48812E9A" w14:textId="77777777" w:rsidR="00621347" w:rsidRPr="00F43315" w:rsidRDefault="00621347" w:rsidP="00E54618">
      <w:pPr>
        <w:pStyle w:val="ListParagraph"/>
        <w:numPr>
          <w:ilvl w:val="0"/>
          <w:numId w:val="29"/>
        </w:numPr>
        <w:ind w:left="567" w:hanging="578"/>
        <w:rPr>
          <w:szCs w:val="20"/>
          <w:lang w:val="en-GB"/>
        </w:rPr>
      </w:pPr>
      <w:bookmarkStart w:id="34" w:name="_Toc222825838"/>
      <w:r w:rsidRPr="00F43315">
        <w:rPr>
          <w:szCs w:val="20"/>
          <w:lang w:val="en-GB"/>
        </w:rPr>
        <w:t>enforce environmental legislation and fundamental principles, as an efficient tool to ensure the achievement of biodiversity targets, the funding gap, and a trustworthy nature credits framework;</w:t>
      </w:r>
      <w:bookmarkEnd w:id="34"/>
    </w:p>
    <w:p w14:paraId="1EE5A2BD" w14:textId="70331C96" w:rsidR="00621347" w:rsidRPr="00F43315" w:rsidRDefault="00621347" w:rsidP="00E54618">
      <w:pPr>
        <w:pStyle w:val="ListParagraph"/>
        <w:numPr>
          <w:ilvl w:val="0"/>
          <w:numId w:val="29"/>
        </w:numPr>
        <w:ind w:left="567" w:hanging="578"/>
        <w:rPr>
          <w:szCs w:val="20"/>
          <w:lang w:val="en-GB"/>
        </w:rPr>
      </w:pPr>
      <w:bookmarkStart w:id="35" w:name="_Toc222825839"/>
      <w:r w:rsidRPr="00F43315">
        <w:rPr>
          <w:szCs w:val="20"/>
          <w:lang w:val="en-GB"/>
        </w:rPr>
        <w:t>ensure that the framework for nature credits is based on strict high-integrity principles along with the mitigation hierarchy and other environmental, climate and social safeguards, and systematically assesses projects’ compliance with those. The methodologies used should be holistic and scientific, and they should be based on an ecologically integrated, outcome-based approach</w:t>
      </w:r>
      <w:r w:rsidR="009A66B9" w:rsidRPr="00F43315">
        <w:rPr>
          <w:szCs w:val="20"/>
          <w:lang w:val="en-GB"/>
        </w:rPr>
        <w:t>;</w:t>
      </w:r>
      <w:bookmarkEnd w:id="35"/>
    </w:p>
    <w:p w14:paraId="6AA0E980" w14:textId="47555A80" w:rsidR="00621347" w:rsidRPr="00F43315" w:rsidRDefault="00621347" w:rsidP="00E54618">
      <w:pPr>
        <w:pStyle w:val="ListParagraph"/>
        <w:numPr>
          <w:ilvl w:val="0"/>
          <w:numId w:val="29"/>
        </w:numPr>
        <w:ind w:left="567" w:hanging="578"/>
        <w:rPr>
          <w:szCs w:val="20"/>
          <w:lang w:val="en-GB"/>
        </w:rPr>
      </w:pPr>
      <w:bookmarkStart w:id="36" w:name="_Toc222825840"/>
      <w:r w:rsidRPr="00F43315">
        <w:rPr>
          <w:szCs w:val="20"/>
          <w:lang w:val="en-GB"/>
        </w:rPr>
        <w:t>ensure that the governance framework for the nature credits market is science-based, inclusive, transparent and participatory, with a strong focus on actors with the potential to restore and conserve nature, as well as vulnerable and marginalised groups such as youth, women, rural communities and indigenous peoples. Transparent and fair data management and ownership should be ensured</w:t>
      </w:r>
      <w:r w:rsidR="009A66B9" w:rsidRPr="00F43315">
        <w:rPr>
          <w:szCs w:val="20"/>
          <w:lang w:val="en-GB"/>
        </w:rPr>
        <w:t>;</w:t>
      </w:r>
      <w:bookmarkEnd w:id="36"/>
    </w:p>
    <w:p w14:paraId="3A2AC039" w14:textId="18619310" w:rsidR="00621347" w:rsidRPr="00F43315" w:rsidRDefault="00621347" w:rsidP="00E54618">
      <w:pPr>
        <w:pStyle w:val="ListParagraph"/>
        <w:numPr>
          <w:ilvl w:val="0"/>
          <w:numId w:val="29"/>
        </w:numPr>
        <w:ind w:left="567" w:hanging="578"/>
        <w:rPr>
          <w:szCs w:val="20"/>
          <w:lang w:val="en-GB"/>
        </w:rPr>
      </w:pPr>
      <w:bookmarkStart w:id="37" w:name="_Toc222825841"/>
      <w:r w:rsidRPr="00F43315">
        <w:rPr>
          <w:szCs w:val="20"/>
          <w:lang w:val="en-GB"/>
        </w:rPr>
        <w:t>approach with caution the need for a Directive or a Regulation, as the establishment of nature credits should remain voluntary while complying with strict rules and criteria. The framework should focus chiefly on positive contributions, while the use of offsetting should be left to the decision of the Member States, so as to not undermine existing ambitious initiatives at national level</w:t>
      </w:r>
      <w:r w:rsidR="009A66B9" w:rsidRPr="00F43315">
        <w:rPr>
          <w:szCs w:val="20"/>
          <w:lang w:val="en-GB"/>
        </w:rPr>
        <w:t>;</w:t>
      </w:r>
      <w:bookmarkEnd w:id="37"/>
    </w:p>
    <w:p w14:paraId="151D13B1" w14:textId="35DD6F42" w:rsidR="00621347" w:rsidRPr="00F43315" w:rsidRDefault="00621347" w:rsidP="00E54618">
      <w:pPr>
        <w:pStyle w:val="ListParagraph"/>
        <w:numPr>
          <w:ilvl w:val="0"/>
          <w:numId w:val="29"/>
        </w:numPr>
        <w:ind w:left="567" w:hanging="578"/>
        <w:rPr>
          <w:szCs w:val="20"/>
          <w:lang w:val="en-GB"/>
        </w:rPr>
      </w:pPr>
      <w:bookmarkStart w:id="38" w:name="_Toc222825842"/>
      <w:r w:rsidRPr="00F43315">
        <w:rPr>
          <w:szCs w:val="20"/>
          <w:lang w:val="en-GB"/>
        </w:rPr>
        <w:t>clarify the alignment of nature credits with other policies, such as the CAP. Nature credits must be built in a way that allows the bioeconomy, circular economy, sustainable food production and forestry to thrive in the EU. The framework should avoid adding unnecessary administrative burden on practitioners, particularly small ones, while ensuring high integrity and a science-based approach</w:t>
      </w:r>
      <w:r w:rsidR="009A66B9" w:rsidRPr="00F43315">
        <w:rPr>
          <w:szCs w:val="20"/>
          <w:lang w:val="en-GB"/>
        </w:rPr>
        <w:t>;</w:t>
      </w:r>
      <w:bookmarkEnd w:id="38"/>
    </w:p>
    <w:p w14:paraId="17891DA2" w14:textId="602FB194" w:rsidR="00621347" w:rsidRPr="00F43315" w:rsidRDefault="00621347" w:rsidP="00E54618">
      <w:pPr>
        <w:pStyle w:val="ListParagraph"/>
        <w:numPr>
          <w:ilvl w:val="0"/>
          <w:numId w:val="29"/>
        </w:numPr>
        <w:ind w:left="567" w:hanging="578"/>
        <w:rPr>
          <w:szCs w:val="20"/>
          <w:lang w:val="en-GB"/>
        </w:rPr>
      </w:pPr>
      <w:bookmarkStart w:id="39" w:name="_Toc222825843"/>
      <w:r w:rsidRPr="00F43315">
        <w:rPr>
          <w:szCs w:val="20"/>
          <w:lang w:val="en-GB"/>
        </w:rPr>
        <w:t>ensure that nature credits do not lead to the commodification nature. Land grabbing and speculation should be prevented at all costs. Nature credits should always prioritise integrity over short-term profitability, as well as the fair distribution of benefits and</w:t>
      </w:r>
      <w:r w:rsidRPr="00F43315">
        <w:rPr>
          <w:lang w:val="en-GB"/>
        </w:rPr>
        <w:t xml:space="preserve"> help to reduce inequalities</w:t>
      </w:r>
      <w:r w:rsidR="009A66B9" w:rsidRPr="00F43315">
        <w:rPr>
          <w:lang w:val="en-GB"/>
        </w:rPr>
        <w:t>;</w:t>
      </w:r>
      <w:bookmarkEnd w:id="39"/>
    </w:p>
    <w:p w14:paraId="02428967" w14:textId="77777777" w:rsidR="00621347" w:rsidRPr="00F43315" w:rsidRDefault="00621347" w:rsidP="00E54618">
      <w:pPr>
        <w:pStyle w:val="ListParagraph"/>
        <w:numPr>
          <w:ilvl w:val="0"/>
          <w:numId w:val="29"/>
        </w:numPr>
        <w:ind w:left="567" w:hanging="578"/>
        <w:rPr>
          <w:szCs w:val="20"/>
          <w:lang w:val="en-GB"/>
        </w:rPr>
      </w:pPr>
      <w:bookmarkStart w:id="40" w:name="_Toc222825844"/>
      <w:r w:rsidRPr="00F43315">
        <w:rPr>
          <w:szCs w:val="20"/>
          <w:lang w:val="en-GB"/>
        </w:rPr>
        <w:t>engage cautiously with projects outside the EU, bearing in mind that methodologies and governance frameworks developed in Europe might not fit social, cultural, legal, political and ecological contexts abroad, while generating nature-positive impacts in their value chains outside the EU.</w:t>
      </w:r>
      <w:bookmarkEnd w:id="40"/>
    </w:p>
    <w:p w14:paraId="4D9DD4B6" w14:textId="77777777" w:rsidR="00621347" w:rsidRPr="00621347" w:rsidRDefault="00621347" w:rsidP="00100EF9">
      <w:pPr>
        <w:widowControl w:val="0"/>
        <w:overflowPunct w:val="0"/>
        <w:autoSpaceDE w:val="0"/>
        <w:autoSpaceDN w:val="0"/>
        <w:adjustRightInd w:val="0"/>
        <w:ind w:left="709"/>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7443"/>
      </w:tblGrid>
      <w:tr w:rsidR="00621347" w:rsidRPr="00621347" w14:paraId="4C4EEF76" w14:textId="77777777" w:rsidTr="00D0608D">
        <w:tc>
          <w:tcPr>
            <w:tcW w:w="898" w:type="pct"/>
          </w:tcPr>
          <w:p w14:paraId="3AF62EF9" w14:textId="77777777" w:rsidR="00621347" w:rsidRPr="00621347" w:rsidRDefault="00621347" w:rsidP="00100EF9">
            <w:pPr>
              <w:overflowPunct w:val="0"/>
              <w:autoSpaceDE w:val="0"/>
              <w:autoSpaceDN w:val="0"/>
              <w:adjustRightInd w:val="0"/>
              <w:textAlignment w:val="baseline"/>
              <w:rPr>
                <w:i/>
              </w:rPr>
            </w:pPr>
            <w:r w:rsidRPr="00621347">
              <w:rPr>
                <w:b/>
                <w:i/>
              </w:rPr>
              <w:t>Contact</w:t>
            </w:r>
          </w:p>
        </w:tc>
        <w:tc>
          <w:tcPr>
            <w:tcW w:w="4102" w:type="pct"/>
          </w:tcPr>
          <w:p w14:paraId="1174E3AC" w14:textId="582EC194" w:rsidR="00621347" w:rsidRPr="00621347" w:rsidRDefault="00621347" w:rsidP="00100EF9">
            <w:pPr>
              <w:overflowPunct w:val="0"/>
              <w:autoSpaceDE w:val="0"/>
              <w:autoSpaceDN w:val="0"/>
              <w:adjustRightInd w:val="0"/>
              <w:textAlignment w:val="baseline"/>
              <w:rPr>
                <w:i/>
              </w:rPr>
            </w:pPr>
            <w:r w:rsidRPr="00621347">
              <w:rPr>
                <w:i/>
              </w:rPr>
              <w:t xml:space="preserve">Gaia </w:t>
            </w:r>
            <w:proofErr w:type="spellStart"/>
            <w:r w:rsidRPr="00621347">
              <w:rPr>
                <w:i/>
              </w:rPr>
              <w:t>B</w:t>
            </w:r>
            <w:r w:rsidR="009A66B9" w:rsidRPr="00621347">
              <w:rPr>
                <w:i/>
              </w:rPr>
              <w:t>ottoni</w:t>
            </w:r>
            <w:proofErr w:type="spellEnd"/>
          </w:p>
        </w:tc>
      </w:tr>
      <w:tr w:rsidR="00621347" w:rsidRPr="00621347" w14:paraId="60C3DC59" w14:textId="77777777" w:rsidTr="00D0608D">
        <w:tc>
          <w:tcPr>
            <w:tcW w:w="898" w:type="pct"/>
          </w:tcPr>
          <w:p w14:paraId="0B4561A1" w14:textId="77777777" w:rsidR="00621347" w:rsidRPr="00621347" w:rsidRDefault="00621347" w:rsidP="00100EF9">
            <w:pPr>
              <w:overflowPunct w:val="0"/>
              <w:autoSpaceDE w:val="0"/>
              <w:autoSpaceDN w:val="0"/>
              <w:adjustRightInd w:val="0"/>
              <w:textAlignment w:val="baseline"/>
              <w:rPr>
                <w:i/>
              </w:rPr>
            </w:pPr>
            <w:r w:rsidRPr="00621347">
              <w:rPr>
                <w:i/>
              </w:rPr>
              <w:t>Tel.</w:t>
            </w:r>
          </w:p>
        </w:tc>
        <w:tc>
          <w:tcPr>
            <w:tcW w:w="4102" w:type="pct"/>
          </w:tcPr>
          <w:p w14:paraId="7FBF1635" w14:textId="73B5954C" w:rsidR="00621347" w:rsidRPr="00621347" w:rsidRDefault="00621347" w:rsidP="00100EF9">
            <w:pPr>
              <w:overflowPunct w:val="0"/>
              <w:autoSpaceDE w:val="0"/>
              <w:autoSpaceDN w:val="0"/>
              <w:adjustRightInd w:val="0"/>
              <w:textAlignment w:val="baseline"/>
              <w:rPr>
                <w:i/>
              </w:rPr>
            </w:pPr>
            <w:r w:rsidRPr="00621347">
              <w:rPr>
                <w:i/>
              </w:rPr>
              <w:t>+32 25469447</w:t>
            </w:r>
          </w:p>
        </w:tc>
      </w:tr>
      <w:tr w:rsidR="00621347" w:rsidRPr="00621347" w14:paraId="5D7F6D2E" w14:textId="77777777" w:rsidTr="00D0608D">
        <w:tc>
          <w:tcPr>
            <w:tcW w:w="898" w:type="pct"/>
          </w:tcPr>
          <w:p w14:paraId="54E92E27" w14:textId="77777777" w:rsidR="00621347" w:rsidRPr="00621347" w:rsidRDefault="00621347" w:rsidP="00100EF9">
            <w:pPr>
              <w:overflowPunct w:val="0"/>
              <w:autoSpaceDE w:val="0"/>
              <w:autoSpaceDN w:val="0"/>
              <w:adjustRightInd w:val="0"/>
              <w:textAlignment w:val="baseline"/>
              <w:rPr>
                <w:i/>
              </w:rPr>
            </w:pPr>
            <w:r w:rsidRPr="00621347">
              <w:rPr>
                <w:i/>
              </w:rPr>
              <w:t>Email</w:t>
            </w:r>
          </w:p>
        </w:tc>
        <w:tc>
          <w:tcPr>
            <w:tcW w:w="4102" w:type="pct"/>
          </w:tcPr>
          <w:p w14:paraId="109C769F" w14:textId="6021F70A" w:rsidR="00621347" w:rsidRPr="00621347" w:rsidRDefault="00DA095D" w:rsidP="00100EF9">
            <w:pPr>
              <w:overflowPunct w:val="0"/>
              <w:autoSpaceDE w:val="0"/>
              <w:autoSpaceDN w:val="0"/>
              <w:adjustRightInd w:val="0"/>
              <w:textAlignment w:val="baseline"/>
              <w:rPr>
                <w:i/>
              </w:rPr>
            </w:pPr>
            <w:hyperlink r:id="rId39" w:history="1">
              <w:r w:rsidR="00621347" w:rsidRPr="00621347">
                <w:rPr>
                  <w:i/>
                  <w:color w:val="0000FF"/>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2989388"/>
      <w:r w:rsidRPr="006D2C8A">
        <w:rPr>
          <w:b/>
          <w:color w:val="222A35" w:themeColor="text2" w:themeShade="80"/>
          <w:lang w:val="en-GB"/>
        </w:rPr>
        <w:t>CONSULTATIVE COMMISSION ON INDUSTRIAL CHANGE</w:t>
      </w:r>
      <w:bookmarkEnd w:id="41"/>
    </w:p>
    <w:p w14:paraId="713E272F" w14:textId="77777777" w:rsidR="006D2C8A" w:rsidRDefault="006D2C8A" w:rsidP="00100EF9"/>
    <w:p w14:paraId="3CC91A48" w14:textId="0FED4337" w:rsidR="003534E0" w:rsidRPr="00153E09" w:rsidRDefault="003534E0" w:rsidP="00100EF9">
      <w:pPr>
        <w:widowControl w:val="0"/>
        <w:numPr>
          <w:ilvl w:val="0"/>
          <w:numId w:val="6"/>
        </w:numPr>
        <w:overflowPunct w:val="0"/>
        <w:autoSpaceDE w:val="0"/>
        <w:autoSpaceDN w:val="0"/>
        <w:adjustRightInd w:val="0"/>
        <w:ind w:hanging="567"/>
        <w:textAlignment w:val="baseline"/>
        <w:rPr>
          <w:sz w:val="20"/>
          <w:szCs w:val="20"/>
          <w:lang w:val="en-GB"/>
        </w:rPr>
      </w:pPr>
      <w:hyperlink r:id="rId40" w:history="1">
        <w:r w:rsidR="00274F1A" w:rsidRPr="00153E09">
          <w:rPr>
            <w:b/>
            <w:bCs/>
            <w:i/>
            <w:iCs/>
            <w:color w:val="0000FF"/>
            <w:sz w:val="28"/>
            <w:szCs w:val="28"/>
            <w:u w:val="single"/>
            <w:lang w:val="en-GB"/>
          </w:rPr>
          <w:t>Amending Regulation (EU) 2024/1252 (Critical Raw Materia</w:t>
        </w:r>
        <w:r w:rsidRPr="00153E09">
          <w:rPr>
            <w:b/>
            <w:bCs/>
            <w:i/>
            <w:iCs/>
            <w:color w:val="0000FF"/>
            <w:sz w:val="28"/>
            <w:szCs w:val="28"/>
            <w:u w:val="single"/>
            <w:lang w:val="en-GB"/>
          </w:rPr>
          <w:t>l</w:t>
        </w:r>
        <w:r w:rsidR="005D3E1C" w:rsidRPr="00153E09">
          <w:rPr>
            <w:b/>
            <w:bCs/>
            <w:i/>
            <w:iCs/>
            <w:color w:val="0000FF"/>
            <w:sz w:val="28"/>
            <w:szCs w:val="28"/>
            <w:u w:val="single"/>
            <w:lang w:val="en-GB"/>
          </w:rPr>
          <w:t>s</w:t>
        </w:r>
        <w:r w:rsidR="00DF78D0" w:rsidRPr="00153E09">
          <w:rPr>
            <w:b/>
            <w:bCs/>
            <w:i/>
            <w:iCs/>
            <w:color w:val="0000FF"/>
            <w:sz w:val="28"/>
            <w:szCs w:val="28"/>
            <w:u w:val="single"/>
            <w:lang w:val="en-GB"/>
          </w:rPr>
          <w:t xml:space="preserve"> Act)</w:t>
        </w:r>
      </w:hyperlink>
    </w:p>
    <w:p w14:paraId="4BAFD485" w14:textId="77777777" w:rsidR="009277D3" w:rsidRDefault="009277D3" w:rsidP="00100EF9">
      <w:pPr>
        <w:tabs>
          <w:tab w:val="center" w:pos="284"/>
        </w:tabs>
        <w:overflowPunct w:val="0"/>
        <w:autoSpaceDE w:val="0"/>
        <w:autoSpaceDN w:val="0"/>
        <w:adjustRightInd w:val="0"/>
        <w:ind w:left="266" w:hanging="266"/>
        <w:textAlignment w:val="baseline"/>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2"/>
      </w:tblGrid>
      <w:tr w:rsidR="00153E09" w14:paraId="65A34AAF" w14:textId="77777777" w:rsidTr="00205469">
        <w:tc>
          <w:tcPr>
            <w:tcW w:w="1701" w:type="dxa"/>
          </w:tcPr>
          <w:p w14:paraId="111B4B02" w14:textId="6AC41F6C" w:rsidR="00153E09" w:rsidRDefault="00153E09" w:rsidP="00100EF9">
            <w:pPr>
              <w:overflowPunct w:val="0"/>
              <w:autoSpaceDE w:val="0"/>
              <w:autoSpaceDN w:val="0"/>
              <w:adjustRightInd w:val="0"/>
              <w:textAlignment w:val="baseline"/>
              <w:rPr>
                <w:b/>
                <w:lang w:val="en-GB"/>
              </w:rPr>
            </w:pPr>
            <w:r w:rsidRPr="00E54618">
              <w:rPr>
                <w:b/>
                <w:sz w:val="20"/>
                <w:szCs w:val="20"/>
                <w:lang w:val="en-GB"/>
              </w:rPr>
              <w:t>References</w:t>
            </w:r>
          </w:p>
        </w:tc>
        <w:tc>
          <w:tcPr>
            <w:tcW w:w="7372" w:type="dxa"/>
          </w:tcPr>
          <w:p w14:paraId="0221ADAC" w14:textId="77777777" w:rsidR="00153E09" w:rsidRDefault="00153E09" w:rsidP="00100EF9">
            <w:pPr>
              <w:tabs>
                <w:tab w:val="center" w:pos="284"/>
              </w:tabs>
              <w:overflowPunct w:val="0"/>
              <w:autoSpaceDE w:val="0"/>
              <w:autoSpaceDN w:val="0"/>
              <w:adjustRightInd w:val="0"/>
              <w:textAlignment w:val="baseline"/>
              <w:rPr>
                <w:bCs/>
                <w:sz w:val="20"/>
                <w:szCs w:val="20"/>
                <w:lang w:val="en-GB"/>
              </w:rPr>
            </w:pPr>
            <w:r w:rsidRPr="00E54618">
              <w:rPr>
                <w:bCs/>
                <w:sz w:val="20"/>
                <w:szCs w:val="20"/>
                <w:lang w:val="en-GB"/>
              </w:rPr>
              <w:t>COM(2025) 946 final</w:t>
            </w:r>
          </w:p>
          <w:p w14:paraId="5F1938C2" w14:textId="40D8E2D3" w:rsidR="00153E09" w:rsidRDefault="00153E09" w:rsidP="00100EF9">
            <w:pPr>
              <w:tabs>
                <w:tab w:val="center" w:pos="284"/>
              </w:tabs>
              <w:overflowPunct w:val="0"/>
              <w:autoSpaceDE w:val="0"/>
              <w:autoSpaceDN w:val="0"/>
              <w:adjustRightInd w:val="0"/>
              <w:textAlignment w:val="baseline"/>
              <w:rPr>
                <w:b/>
                <w:lang w:val="en-GB"/>
              </w:rPr>
            </w:pPr>
            <w:r w:rsidRPr="00E54618">
              <w:rPr>
                <w:bCs/>
                <w:sz w:val="20"/>
                <w:szCs w:val="20"/>
                <w:lang w:val="en-GB"/>
              </w:rPr>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lang w:val="en-GB"/>
        </w:rPr>
      </w:pPr>
      <w:r w:rsidRPr="003534E0">
        <w:rPr>
          <w:b/>
          <w:lang w:val="en-GB"/>
        </w:rPr>
        <w:t>Key points</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77777777" w:rsidR="003534E0" w:rsidRPr="003534E0" w:rsidRDefault="003534E0" w:rsidP="00100EF9">
      <w:pPr>
        <w:widowControl w:val="0"/>
        <w:overflowPunct w:val="0"/>
        <w:autoSpaceDE w:val="0"/>
        <w:autoSpaceDN w:val="0"/>
        <w:adjustRightInd w:val="0"/>
        <w:textAlignment w:val="baseline"/>
        <w:rPr>
          <w:bCs/>
          <w:iCs/>
          <w:lang w:val="en-GB"/>
        </w:rPr>
      </w:pPr>
      <w:r w:rsidRPr="003534E0">
        <w:rPr>
          <w:bCs/>
          <w:iCs/>
          <w:lang w:val="en-GB"/>
        </w:rPr>
        <w:t xml:space="preserve">Since the Committee unreservedly endorses the contents of the proposal and has already set out its views on the subject in its </w:t>
      </w:r>
      <w:hyperlink r:id="rId41" w:history="1">
        <w:r w:rsidRPr="003534E0">
          <w:rPr>
            <w:bCs/>
            <w:iCs/>
            <w:color w:val="0000FF"/>
            <w:u w:val="single"/>
            <w:lang w:val="en-GB"/>
          </w:rPr>
          <w:t>earlier opinion on the Critical Raw Materials Act</w:t>
        </w:r>
      </w:hyperlink>
      <w:r w:rsidRPr="003534E0">
        <w:rPr>
          <w:bCs/>
          <w:iCs/>
          <w:lang w:val="en-GB"/>
        </w:rPr>
        <w:t>, adopted on 12/07/2023, it decided to issue an opinion endorsing the proposed text and to refer to the position it had taken in the above-mentioned document.</w:t>
      </w:r>
    </w:p>
    <w:p w14:paraId="2B63EAC7" w14:textId="3C6C9A7D" w:rsidR="00950272" w:rsidRDefault="00950272" w:rsidP="00100EF9">
      <w:pPr>
        <w:widowControl w:val="0"/>
        <w:overflowPunct w:val="0"/>
        <w:autoSpaceDE w:val="0"/>
        <w:autoSpaceDN w:val="0"/>
        <w:adjustRightInd w:val="0"/>
        <w:ind w:left="709" w:hanging="709"/>
        <w:textAlignment w:val="baseline"/>
        <w:rPr>
          <w:szCs w:val="20"/>
          <w:lang w:val="en-GB"/>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7408"/>
      </w:tblGrid>
      <w:tr w:rsidR="003534E0" w:rsidRPr="003534E0" w14:paraId="1ABE88A2" w14:textId="77777777" w:rsidTr="00E54618">
        <w:tc>
          <w:tcPr>
            <w:tcW w:w="804" w:type="pct"/>
          </w:tcPr>
          <w:p w14:paraId="148D5606" w14:textId="77777777" w:rsidR="003534E0" w:rsidRPr="003534E0" w:rsidRDefault="003534E0" w:rsidP="00E54618">
            <w:pPr>
              <w:overflowPunct w:val="0"/>
              <w:autoSpaceDE w:val="0"/>
              <w:autoSpaceDN w:val="0"/>
              <w:adjustRightInd w:val="0"/>
              <w:ind w:hanging="110"/>
              <w:textAlignment w:val="baseline"/>
              <w:rPr>
                <w:i/>
              </w:rPr>
            </w:pPr>
            <w:r w:rsidRPr="003534E0">
              <w:rPr>
                <w:b/>
                <w:i/>
              </w:rPr>
              <w:t>Contact</w:t>
            </w:r>
          </w:p>
        </w:tc>
        <w:tc>
          <w:tcPr>
            <w:tcW w:w="4196" w:type="pct"/>
          </w:tcPr>
          <w:p w14:paraId="0D29E18D" w14:textId="5491D9AB" w:rsidR="003534E0" w:rsidRPr="003534E0" w:rsidRDefault="003534E0" w:rsidP="00E54618">
            <w:pPr>
              <w:overflowPunct w:val="0"/>
              <w:autoSpaceDE w:val="0"/>
              <w:autoSpaceDN w:val="0"/>
              <w:adjustRightInd w:val="0"/>
              <w:ind w:hanging="110"/>
              <w:textAlignment w:val="baseline"/>
              <w:rPr>
                <w:i/>
              </w:rPr>
            </w:pPr>
            <w:r w:rsidRPr="003534E0">
              <w:rPr>
                <w:i/>
              </w:rPr>
              <w:t>Adam D</w:t>
            </w:r>
            <w:r w:rsidR="00974BD0" w:rsidRPr="003534E0">
              <w:rPr>
                <w:i/>
              </w:rPr>
              <w:t>orywalski</w:t>
            </w:r>
          </w:p>
        </w:tc>
      </w:tr>
      <w:tr w:rsidR="003534E0" w:rsidRPr="003534E0" w14:paraId="29310390" w14:textId="77777777" w:rsidTr="00E54618">
        <w:tc>
          <w:tcPr>
            <w:tcW w:w="804" w:type="pct"/>
          </w:tcPr>
          <w:p w14:paraId="1A8C815A" w14:textId="77777777" w:rsidR="003534E0" w:rsidRPr="003534E0" w:rsidRDefault="003534E0" w:rsidP="00E54618">
            <w:pPr>
              <w:overflowPunct w:val="0"/>
              <w:autoSpaceDE w:val="0"/>
              <w:autoSpaceDN w:val="0"/>
              <w:adjustRightInd w:val="0"/>
              <w:ind w:hanging="110"/>
              <w:textAlignment w:val="baseline"/>
              <w:rPr>
                <w:i/>
              </w:rPr>
            </w:pPr>
            <w:r w:rsidRPr="003534E0">
              <w:rPr>
                <w:i/>
              </w:rPr>
              <w:t>Tel.</w:t>
            </w:r>
          </w:p>
        </w:tc>
        <w:tc>
          <w:tcPr>
            <w:tcW w:w="4196" w:type="pct"/>
          </w:tcPr>
          <w:p w14:paraId="1B4B0CA6" w14:textId="23FF8050" w:rsidR="003534E0" w:rsidRPr="003534E0" w:rsidRDefault="003534E0" w:rsidP="00E54618">
            <w:pPr>
              <w:overflowPunct w:val="0"/>
              <w:autoSpaceDE w:val="0"/>
              <w:autoSpaceDN w:val="0"/>
              <w:adjustRightInd w:val="0"/>
              <w:ind w:hanging="110"/>
              <w:textAlignment w:val="baseline"/>
              <w:rPr>
                <w:i/>
              </w:rPr>
            </w:pPr>
            <w:r w:rsidRPr="003534E0">
              <w:rPr>
                <w:i/>
              </w:rPr>
              <w:t>+32 25469397</w:t>
            </w:r>
          </w:p>
        </w:tc>
      </w:tr>
      <w:tr w:rsidR="003534E0" w:rsidRPr="003534E0" w14:paraId="4800E009" w14:textId="77777777" w:rsidTr="00E54618">
        <w:tc>
          <w:tcPr>
            <w:tcW w:w="804" w:type="pct"/>
          </w:tcPr>
          <w:p w14:paraId="58627B2F" w14:textId="77777777" w:rsidR="003534E0" w:rsidRPr="003534E0" w:rsidRDefault="003534E0" w:rsidP="00E54618">
            <w:pPr>
              <w:overflowPunct w:val="0"/>
              <w:autoSpaceDE w:val="0"/>
              <w:autoSpaceDN w:val="0"/>
              <w:adjustRightInd w:val="0"/>
              <w:ind w:hanging="110"/>
              <w:textAlignment w:val="baseline"/>
              <w:rPr>
                <w:i/>
              </w:rPr>
            </w:pPr>
            <w:r w:rsidRPr="003534E0">
              <w:rPr>
                <w:i/>
              </w:rPr>
              <w:t>Email</w:t>
            </w:r>
          </w:p>
        </w:tc>
        <w:tc>
          <w:tcPr>
            <w:tcW w:w="4196" w:type="pct"/>
          </w:tcPr>
          <w:p w14:paraId="551CAC0A" w14:textId="548021BC" w:rsidR="00E25EB4" w:rsidRPr="00153E09" w:rsidRDefault="003534E0" w:rsidP="00E54618">
            <w:pPr>
              <w:overflowPunct w:val="0"/>
              <w:autoSpaceDE w:val="0"/>
              <w:autoSpaceDN w:val="0"/>
              <w:adjustRightInd w:val="0"/>
              <w:ind w:hanging="110"/>
              <w:textAlignment w:val="baseline"/>
              <w:rPr>
                <w:lang w:val="en-GB"/>
              </w:rPr>
            </w:pPr>
            <w:hyperlink r:id="rId42" w:history="1">
              <w:r w:rsidRPr="003534E0">
                <w:rPr>
                  <w:i/>
                  <w:color w:val="0000FF"/>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rPr>
          <w:b/>
          <w:bCs/>
          <w:i/>
          <w:iCs/>
          <w:sz w:val="28"/>
          <w:szCs w:val="28"/>
          <w:lang w:val="en-GB" w:eastAsia="zh-CN"/>
        </w:rPr>
        <w:br w:type="page"/>
      </w:r>
    </w:p>
    <w:p w14:paraId="4E1C48EE" w14:textId="3568EBE0" w:rsidR="00E25EB4" w:rsidRPr="00E25EB4" w:rsidRDefault="00DA095D" w:rsidP="00100EF9">
      <w:pPr>
        <w:widowControl w:val="0"/>
        <w:numPr>
          <w:ilvl w:val="0"/>
          <w:numId w:val="12"/>
        </w:numPr>
        <w:overflowPunct w:val="0"/>
        <w:autoSpaceDE w:val="0"/>
        <w:autoSpaceDN w:val="0"/>
        <w:adjustRightInd w:val="0"/>
        <w:ind w:left="567" w:hanging="567"/>
        <w:contextualSpacing/>
        <w:jc w:val="left"/>
        <w:textAlignment w:val="baseline"/>
        <w:rPr>
          <w:rFonts w:ascii="Calibri" w:hAnsi="Calibri"/>
          <w:b/>
          <w:bCs/>
          <w:lang w:val="en-GB" w:eastAsia="zh-CN"/>
        </w:rPr>
      </w:pPr>
      <w:hyperlink r:id="rId43" w:tooltip="Enhancing EU strategic autonomy and developing a greener and bluer economy: the potential of the sodium battery manufacturing sector" w:history="1">
        <w:r w:rsidR="00E25EB4" w:rsidRPr="00E25EB4">
          <w:rPr>
            <w:b/>
            <w:bCs/>
            <w:i/>
            <w:iCs/>
            <w:color w:val="0000FF"/>
            <w:sz w:val="28"/>
            <w:szCs w:val="28"/>
            <w:u w:val="single"/>
            <w:lang w:val="en-GB" w:eastAsia="zh-CN"/>
          </w:rPr>
          <w:t>Enhancing EU strategic autonomy and developing a greener and bluer economy: the potential of the sodium battery manufacturing sector</w:t>
        </w:r>
      </w:hyperlink>
    </w:p>
    <w:p w14:paraId="2E26A662" w14:textId="77777777" w:rsidR="00E25EB4" w:rsidRPr="00205469" w:rsidRDefault="00E25EB4" w:rsidP="00100EF9">
      <w:pPr>
        <w:widowControl w:val="0"/>
        <w:ind w:left="567"/>
        <w:contextualSpacing/>
        <w:jc w:val="lef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25EB4" w:rsidRPr="00E25EB4" w14:paraId="0E750117" w14:textId="77777777" w:rsidTr="00153E09">
        <w:tc>
          <w:tcPr>
            <w:tcW w:w="1701" w:type="dxa"/>
          </w:tcPr>
          <w:p w14:paraId="1BC9C1DD"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sidRPr="00E25EB4">
              <w:rPr>
                <w:b/>
              </w:rPr>
              <w:t>Rapporteur</w:t>
            </w:r>
          </w:p>
        </w:tc>
        <w:tc>
          <w:tcPr>
            <w:tcW w:w="7371" w:type="dxa"/>
          </w:tcPr>
          <w:p w14:paraId="261F00F8" w14:textId="77777777" w:rsidR="00E25EB4" w:rsidRPr="00E25EB4" w:rsidRDefault="00E25EB4" w:rsidP="00100EF9">
            <w:pPr>
              <w:tabs>
                <w:tab w:val="center" w:pos="284"/>
              </w:tabs>
              <w:overflowPunct w:val="0"/>
              <w:autoSpaceDE w:val="0"/>
              <w:autoSpaceDN w:val="0"/>
              <w:adjustRightInd w:val="0"/>
              <w:ind w:left="266" w:hanging="266"/>
              <w:textAlignment w:val="baseline"/>
            </w:pPr>
            <w:r w:rsidRPr="00E25EB4">
              <w:t>Paul RÜBIC (Employers' Group - AT)</w:t>
            </w:r>
          </w:p>
        </w:tc>
      </w:tr>
      <w:tr w:rsidR="00E25EB4" w:rsidRPr="00E25EB4" w14:paraId="7E321F8F" w14:textId="77777777" w:rsidTr="00153E09">
        <w:tc>
          <w:tcPr>
            <w:tcW w:w="1701" w:type="dxa"/>
          </w:tcPr>
          <w:p w14:paraId="39B77E69"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proofErr w:type="spellStart"/>
            <w:r w:rsidRPr="00E25EB4">
              <w:rPr>
                <w:b/>
                <w:lang w:val="fr-FR"/>
              </w:rPr>
              <w:t>Co-rapporteur</w:t>
            </w:r>
            <w:proofErr w:type="spellEnd"/>
          </w:p>
        </w:tc>
        <w:tc>
          <w:tcPr>
            <w:tcW w:w="7371" w:type="dxa"/>
          </w:tcPr>
          <w:p w14:paraId="4F795EAE" w14:textId="152DCBF1" w:rsidR="00E25EB4" w:rsidRPr="00E25EB4" w:rsidRDefault="00E25EB4" w:rsidP="00100EF9">
            <w:pPr>
              <w:tabs>
                <w:tab w:val="center" w:pos="284"/>
              </w:tabs>
              <w:overflowPunct w:val="0"/>
              <w:autoSpaceDE w:val="0"/>
              <w:autoSpaceDN w:val="0"/>
              <w:adjustRightInd w:val="0"/>
              <w:ind w:left="266" w:hanging="266"/>
              <w:textAlignment w:val="baseline"/>
            </w:pPr>
            <w:proofErr w:type="spellStart"/>
            <w:r w:rsidRPr="00E25EB4">
              <w:t>Hervé</w:t>
            </w:r>
            <w:proofErr w:type="spellEnd"/>
            <w:r w:rsidRPr="00E25EB4">
              <w:t xml:space="preserve"> JEANNIN (</w:t>
            </w:r>
            <w:r w:rsidR="00D33B4E">
              <w:rPr>
                <w:lang w:val="en-GB"/>
              </w:rPr>
              <w:t>Cat. 2</w:t>
            </w:r>
            <w:r w:rsidR="00167743">
              <w:rPr>
                <w:lang w:val="en-GB"/>
              </w:rPr>
              <w:t xml:space="preserve"> </w:t>
            </w:r>
            <w:r w:rsidRPr="00E25EB4">
              <w:t>- FR)</w:t>
            </w:r>
          </w:p>
        </w:tc>
      </w:tr>
      <w:tr w:rsidR="00E25EB4" w:rsidRPr="00E25EB4" w14:paraId="4AD82EE5" w14:textId="77777777" w:rsidTr="00153E09">
        <w:tc>
          <w:tcPr>
            <w:tcW w:w="9072" w:type="dxa"/>
            <w:gridSpan w:val="2"/>
          </w:tcPr>
          <w:p w14:paraId="63F1B5CC" w14:textId="77777777" w:rsidR="00E25EB4" w:rsidRPr="00E25EB4" w:rsidRDefault="00E25EB4" w:rsidP="00100EF9">
            <w:pPr>
              <w:tabs>
                <w:tab w:val="center" w:pos="284"/>
              </w:tabs>
              <w:overflowPunct w:val="0"/>
              <w:autoSpaceDE w:val="0"/>
              <w:autoSpaceDN w:val="0"/>
              <w:adjustRightInd w:val="0"/>
              <w:ind w:left="266" w:hanging="266"/>
              <w:textAlignment w:val="baseline"/>
            </w:pPr>
          </w:p>
        </w:tc>
      </w:tr>
      <w:tr w:rsidR="00E25EB4" w:rsidRPr="00E25EB4" w14:paraId="758D199D" w14:textId="77777777" w:rsidTr="00153E09">
        <w:tc>
          <w:tcPr>
            <w:tcW w:w="1701" w:type="dxa"/>
          </w:tcPr>
          <w:p w14:paraId="628BF496" w14:textId="1BBD7898" w:rsidR="00E25EB4" w:rsidRPr="00E25EB4" w:rsidRDefault="00E25EB4" w:rsidP="00100EF9">
            <w:pPr>
              <w:tabs>
                <w:tab w:val="center" w:pos="284"/>
              </w:tabs>
              <w:overflowPunct w:val="0"/>
              <w:autoSpaceDE w:val="0"/>
              <w:autoSpaceDN w:val="0"/>
              <w:adjustRightInd w:val="0"/>
              <w:ind w:left="266" w:hanging="266"/>
              <w:textAlignment w:val="baseline"/>
              <w:rPr>
                <w:b/>
              </w:rPr>
            </w:pPr>
            <w:r w:rsidRPr="00E25EB4">
              <w:rPr>
                <w:b/>
              </w:rPr>
              <w:t>Reference</w:t>
            </w:r>
          </w:p>
        </w:tc>
        <w:tc>
          <w:tcPr>
            <w:tcW w:w="7371" w:type="dxa"/>
          </w:tcPr>
          <w:p w14:paraId="1AC738BE" w14:textId="11F7A673" w:rsidR="001A58BD" w:rsidRDefault="00043E7B" w:rsidP="00100EF9">
            <w:pPr>
              <w:tabs>
                <w:tab w:val="center" w:pos="284"/>
              </w:tabs>
              <w:overflowPunct w:val="0"/>
              <w:autoSpaceDE w:val="0"/>
              <w:autoSpaceDN w:val="0"/>
              <w:adjustRightInd w:val="0"/>
              <w:ind w:left="266" w:hanging="266"/>
              <w:textAlignment w:val="baseline"/>
              <w:rPr>
                <w:lang w:val="en-GB"/>
              </w:rPr>
            </w:pPr>
            <w:r>
              <w:rPr>
                <w:lang w:val="en-GB"/>
              </w:rPr>
              <w:t>Explorat</w:t>
            </w:r>
            <w:r w:rsidR="0027678C">
              <w:rPr>
                <w:lang w:val="en-GB"/>
              </w:rPr>
              <w:t>or</w:t>
            </w:r>
            <w:r>
              <w:rPr>
                <w:lang w:val="en-GB"/>
              </w:rPr>
              <w:t>y opinion requested by the European Commission</w:t>
            </w:r>
          </w:p>
          <w:p w14:paraId="2E32FFD3" w14:textId="1F51A8D8" w:rsidR="00E25EB4" w:rsidRPr="00E25EB4" w:rsidRDefault="00E25EB4" w:rsidP="00100EF9">
            <w:pPr>
              <w:tabs>
                <w:tab w:val="center" w:pos="284"/>
              </w:tabs>
              <w:overflowPunct w:val="0"/>
              <w:autoSpaceDE w:val="0"/>
              <w:autoSpaceDN w:val="0"/>
              <w:adjustRightInd w:val="0"/>
              <w:ind w:left="266" w:hanging="266"/>
              <w:textAlignment w:val="baseline"/>
            </w:pPr>
            <w:r w:rsidRPr="00E25EB4">
              <w:rPr>
                <w:lang w:val="en-GB"/>
              </w:rPr>
              <w:t>EESC-2025-02464-00-00-AC</w:t>
            </w:r>
          </w:p>
        </w:tc>
      </w:tr>
    </w:tbl>
    <w:p w14:paraId="270F2408" w14:textId="77777777" w:rsidR="00153E09" w:rsidRPr="00D0608D" w:rsidRDefault="00153E09" w:rsidP="00100EF9">
      <w:pPr>
        <w:keepNext/>
        <w:keepLines/>
        <w:tabs>
          <w:tab w:val="center" w:pos="284"/>
        </w:tabs>
        <w:overflowPunct w:val="0"/>
        <w:autoSpaceDE w:val="0"/>
        <w:autoSpaceDN w:val="0"/>
        <w:adjustRightInd w:val="0"/>
        <w:ind w:left="266" w:hanging="266"/>
        <w:textAlignment w:val="baseline"/>
        <w:rPr>
          <w:bCs/>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lang w:val="en-GB"/>
        </w:rPr>
      </w:pPr>
      <w:r w:rsidRPr="00E25EB4">
        <w:rPr>
          <w:b/>
          <w:lang w:val="en-GB"/>
        </w:rPr>
        <w:t>Key points</w:t>
      </w:r>
    </w:p>
    <w:p w14:paraId="7022CF32" w14:textId="77777777" w:rsidR="00E25EB4" w:rsidRPr="00D0608D" w:rsidRDefault="00E25EB4" w:rsidP="00100EF9">
      <w:pPr>
        <w:keepNext/>
        <w:keepLines/>
        <w:tabs>
          <w:tab w:val="center" w:pos="284"/>
        </w:tabs>
        <w:overflowPunct w:val="0"/>
        <w:autoSpaceDE w:val="0"/>
        <w:autoSpaceDN w:val="0"/>
        <w:adjustRightInd w:val="0"/>
        <w:ind w:left="266" w:hanging="266"/>
        <w:textAlignment w:val="baseline"/>
        <w:rPr>
          <w:bCs/>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lang w:val="en-GB"/>
        </w:rPr>
      </w:pPr>
      <w:r w:rsidRPr="00E25EB4">
        <w:rPr>
          <w:bCs/>
          <w:lang w:val="en-GB"/>
        </w:rPr>
        <w:t>The EESC:</w:t>
      </w:r>
    </w:p>
    <w:p w14:paraId="4A4FDC20"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considers sodium batteries a strategic technology and sees strong potential for Europe to take a technological lead in sodium–saltwater battery systems;</w:t>
      </w:r>
    </w:p>
    <w:p w14:paraId="74BCA385"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 xml:space="preserve">stresses the potential of sodium batteries as enablers for EU's industrial policy objectives: they support the goals of the EU Green Deal and the EU Blue Deal, they can be critical tools to achieve strategic autonomy, and the establishment of sodium battery </w:t>
      </w:r>
      <w:proofErr w:type="spellStart"/>
      <w:r w:rsidRPr="00E54618">
        <w:rPr>
          <w:lang w:val="en-GB" w:eastAsia="zh-CN"/>
        </w:rPr>
        <w:t>gigafactories</w:t>
      </w:r>
      <w:proofErr w:type="spellEnd"/>
      <w:r w:rsidRPr="00E54618">
        <w:rPr>
          <w:lang w:val="en-GB" w:eastAsia="zh-CN"/>
        </w:rPr>
        <w:t xml:space="preserve"> would boost competitiveness and create jobs across the value chain;</w:t>
      </w:r>
    </w:p>
    <w:p w14:paraId="03DA14BD"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underlines that sodium batteries can be produced entirely from European raw materials, as sodium is abundantly available in the continent and there is a growing potential for a European desalinisation industry, and it can therefore reduce the use of critical raw materials;</w:t>
      </w:r>
    </w:p>
    <w:p w14:paraId="605A4E08"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calls for decisive and coordinated EU action to establish a competitive sodium battery manufacturing industry, as sodium batteries advance globally and Europe risks widening the gap;</w:t>
      </w:r>
    </w:p>
    <w:p w14:paraId="03706BAA"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recommends an update on the industrial pathway for batteries – covering both lithium and sodium, which should include a roadmap addressing workforce and social needs, with an investment in skills, workforce mobility and strategic SME involvement;</w:t>
      </w:r>
    </w:p>
    <w:p w14:paraId="0ADF1BAC"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 xml:space="preserve">insists on the importance of breaking policy silos and to align key EU strategies (Competitiveness Compass, Preparedness Union Strategy, Circular Economy Action Plan and Water Resilience Strategy) to develop a European sodium battery value chain that serves Europe's strategic goals; </w:t>
      </w:r>
    </w:p>
    <w:p w14:paraId="2C3550D4"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color w:val="333333"/>
          <w:lang w:val="en-GB" w:eastAsia="fr-BE"/>
        </w:rPr>
      </w:pPr>
      <w:r w:rsidRPr="00E54618">
        <w:rPr>
          <w:lang w:val="en-GB" w:eastAsia="zh-CN"/>
        </w:rPr>
        <w:t>recommends investment subsidies, production tax credits, targeted project calls, investment vouchers for industry cooperation with Research and Technology Organisations;</w:t>
      </w:r>
    </w:p>
    <w:p w14:paraId="146AA976"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lang w:val="en-GB" w:eastAsia="zh-CN"/>
        </w:rPr>
      </w:pPr>
      <w:r w:rsidRPr="00E54618">
        <w:rPr>
          <w:lang w:val="en-GB" w:eastAsia="zh-CN"/>
        </w:rPr>
        <w:t>calls for flexible public support that avoids premature lock-ins and for stronger collaborative R&amp;D co-funded by governments and industry;</w:t>
      </w:r>
    </w:p>
    <w:p w14:paraId="5AF3E28A" w14:textId="77777777" w:rsidR="00E25EB4" w:rsidRPr="00E54618"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lang w:val="en-GB" w:eastAsia="zh-CN"/>
        </w:rPr>
      </w:pPr>
      <w:r w:rsidRPr="00E54618">
        <w:rPr>
          <w:lang w:val="en-GB" w:eastAsia="zh-CN"/>
        </w:rPr>
        <w:t xml:space="preserve">recognizes the potential of the reconversion of industrial sites currently idle or closing into sodium battery </w:t>
      </w:r>
      <w:proofErr w:type="spellStart"/>
      <w:r w:rsidRPr="00E54618">
        <w:rPr>
          <w:lang w:val="en-GB" w:eastAsia="zh-CN"/>
        </w:rPr>
        <w:t>gigafactories</w:t>
      </w:r>
      <w:proofErr w:type="spellEnd"/>
      <w:r w:rsidRPr="00E54618">
        <w:rPr>
          <w:lang w:val="en-GB" w:eastAsia="zh-CN"/>
        </w:rPr>
        <w:t>, as an efficient and environmentally responsible use of existing infrastructure;</w:t>
      </w:r>
    </w:p>
    <w:p w14:paraId="5946BDB2" w14:textId="77777777" w:rsidR="00E25EB4" w:rsidRPr="00713CC2" w:rsidRDefault="00E25EB4" w:rsidP="00E54618">
      <w:pPr>
        <w:numPr>
          <w:ilvl w:val="0"/>
          <w:numId w:val="24"/>
        </w:numPr>
        <w:shd w:val="clear" w:color="auto" w:fill="FEFEFE"/>
        <w:overflowPunct w:val="0"/>
        <w:autoSpaceDE w:val="0"/>
        <w:autoSpaceDN w:val="0"/>
        <w:adjustRightInd w:val="0"/>
        <w:ind w:left="567" w:hanging="567"/>
        <w:contextualSpacing/>
        <w:textAlignment w:val="baseline"/>
        <w:rPr>
          <w:lang w:val="en-GB" w:eastAsia="zh-CN"/>
        </w:rPr>
      </w:pPr>
      <w:r w:rsidRPr="00E54618">
        <w:rPr>
          <w:lang w:val="en-GB" w:eastAsia="zh-CN"/>
        </w:rPr>
        <w:t>recognizes the importance of integrating eco-design and recycling in this manufacturing industry, fostering a circular sodium battery value chain.</w:t>
      </w:r>
    </w:p>
    <w:p w14:paraId="339FD87D" w14:textId="77777777" w:rsidR="00E25EB4" w:rsidRPr="00E25EB4" w:rsidRDefault="00E25EB4" w:rsidP="00100EF9">
      <w:pPr>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7422"/>
      </w:tblGrid>
      <w:tr w:rsidR="00E25EB4" w:rsidRPr="00E25EB4" w14:paraId="3DADE2B6" w14:textId="77777777" w:rsidTr="00D0608D">
        <w:tc>
          <w:tcPr>
            <w:tcW w:w="1668" w:type="dxa"/>
          </w:tcPr>
          <w:p w14:paraId="16410084" w14:textId="77777777" w:rsidR="00E25EB4" w:rsidRPr="00E25EB4" w:rsidRDefault="00E25EB4" w:rsidP="00100EF9">
            <w:pPr>
              <w:overflowPunct w:val="0"/>
              <w:autoSpaceDE w:val="0"/>
              <w:autoSpaceDN w:val="0"/>
              <w:adjustRightInd w:val="0"/>
              <w:textAlignment w:val="baseline"/>
              <w:rPr>
                <w:i/>
              </w:rPr>
            </w:pPr>
            <w:r w:rsidRPr="00E25EB4">
              <w:rPr>
                <w:b/>
                <w:i/>
              </w:rPr>
              <w:t>Contact</w:t>
            </w:r>
          </w:p>
        </w:tc>
        <w:tc>
          <w:tcPr>
            <w:tcW w:w="7512" w:type="dxa"/>
          </w:tcPr>
          <w:p w14:paraId="56BD77E8" w14:textId="18F58EAE" w:rsidR="00E25EB4" w:rsidRPr="00153E09" w:rsidRDefault="00E25EB4" w:rsidP="00100EF9">
            <w:pPr>
              <w:overflowPunct w:val="0"/>
              <w:autoSpaceDE w:val="0"/>
              <w:autoSpaceDN w:val="0"/>
              <w:adjustRightInd w:val="0"/>
              <w:textAlignment w:val="baseline"/>
              <w:rPr>
                <w:bCs/>
                <w:i/>
              </w:rPr>
            </w:pPr>
            <w:r w:rsidRPr="00153E09">
              <w:rPr>
                <w:bCs/>
                <w:i/>
              </w:rPr>
              <w:t>Luís B</w:t>
            </w:r>
            <w:r w:rsidR="00187E31" w:rsidRPr="00153E09">
              <w:rPr>
                <w:bCs/>
                <w:i/>
              </w:rPr>
              <w:t>arbosa</w:t>
            </w:r>
            <w:r w:rsidRPr="00153E09">
              <w:rPr>
                <w:bCs/>
                <w:i/>
              </w:rPr>
              <w:t xml:space="preserve"> </w:t>
            </w:r>
            <w:r w:rsidR="00713CC2" w:rsidRPr="00153E09">
              <w:rPr>
                <w:bCs/>
                <w:i/>
              </w:rPr>
              <w:t>E</w:t>
            </w:r>
            <w:r w:rsidRPr="00153E09">
              <w:rPr>
                <w:bCs/>
                <w:i/>
              </w:rPr>
              <w:t xml:space="preserve"> S</w:t>
            </w:r>
            <w:r w:rsidR="00187E31" w:rsidRPr="00153E09">
              <w:rPr>
                <w:bCs/>
                <w:i/>
              </w:rPr>
              <w:t>ilva</w:t>
            </w:r>
          </w:p>
        </w:tc>
      </w:tr>
      <w:tr w:rsidR="00E25EB4" w:rsidRPr="00E25EB4" w14:paraId="6AE7CB28" w14:textId="77777777" w:rsidTr="00D0608D">
        <w:tc>
          <w:tcPr>
            <w:tcW w:w="1668" w:type="dxa"/>
          </w:tcPr>
          <w:p w14:paraId="52DF3B61" w14:textId="77777777" w:rsidR="00E25EB4" w:rsidRPr="00E25EB4" w:rsidRDefault="00E25EB4" w:rsidP="00100EF9">
            <w:pPr>
              <w:overflowPunct w:val="0"/>
              <w:autoSpaceDE w:val="0"/>
              <w:autoSpaceDN w:val="0"/>
              <w:adjustRightInd w:val="0"/>
              <w:textAlignment w:val="baseline"/>
              <w:rPr>
                <w:i/>
              </w:rPr>
            </w:pPr>
            <w:r w:rsidRPr="00E25EB4">
              <w:rPr>
                <w:i/>
              </w:rPr>
              <w:t>Tel.</w:t>
            </w:r>
          </w:p>
        </w:tc>
        <w:tc>
          <w:tcPr>
            <w:tcW w:w="7512" w:type="dxa"/>
          </w:tcPr>
          <w:p w14:paraId="58F5DB38" w14:textId="05F56609" w:rsidR="00E25EB4" w:rsidRPr="00E25EB4" w:rsidRDefault="00E25EB4" w:rsidP="00100EF9">
            <w:pPr>
              <w:overflowPunct w:val="0"/>
              <w:autoSpaceDE w:val="0"/>
              <w:autoSpaceDN w:val="0"/>
              <w:adjustRightInd w:val="0"/>
              <w:textAlignment w:val="baseline"/>
              <w:rPr>
                <w:i/>
              </w:rPr>
            </w:pPr>
            <w:r w:rsidRPr="00E25EB4">
              <w:rPr>
                <w:i/>
                <w:lang w:val="en-GB"/>
              </w:rPr>
              <w:t>+32 25468846</w:t>
            </w:r>
          </w:p>
        </w:tc>
      </w:tr>
      <w:tr w:rsidR="00E25EB4" w:rsidRPr="00E25EB4" w14:paraId="7DB45FE9" w14:textId="77777777" w:rsidTr="00D0608D">
        <w:trPr>
          <w:trHeight w:val="244"/>
        </w:trPr>
        <w:tc>
          <w:tcPr>
            <w:tcW w:w="1668" w:type="dxa"/>
          </w:tcPr>
          <w:p w14:paraId="5969B93D" w14:textId="77777777" w:rsidR="00E25EB4" w:rsidRPr="00E25EB4" w:rsidRDefault="00E25EB4" w:rsidP="00100EF9">
            <w:pPr>
              <w:overflowPunct w:val="0"/>
              <w:autoSpaceDE w:val="0"/>
              <w:autoSpaceDN w:val="0"/>
              <w:adjustRightInd w:val="0"/>
              <w:textAlignment w:val="baseline"/>
              <w:rPr>
                <w:i/>
              </w:rPr>
            </w:pPr>
            <w:r w:rsidRPr="00E25EB4">
              <w:rPr>
                <w:i/>
              </w:rPr>
              <w:t>Email</w:t>
            </w:r>
          </w:p>
        </w:tc>
        <w:tc>
          <w:tcPr>
            <w:tcW w:w="7512" w:type="dxa"/>
          </w:tcPr>
          <w:p w14:paraId="47F42ECE" w14:textId="789F877A" w:rsidR="00187E31" w:rsidRPr="00153E09" w:rsidRDefault="00DA095D" w:rsidP="00100EF9">
            <w:pPr>
              <w:overflowPunct w:val="0"/>
              <w:autoSpaceDE w:val="0"/>
              <w:autoSpaceDN w:val="0"/>
              <w:adjustRightInd w:val="0"/>
              <w:textAlignment w:val="baseline"/>
              <w:rPr>
                <w:i/>
                <w:iCs/>
                <w:lang w:val="en-GB"/>
              </w:rPr>
            </w:pPr>
            <w:hyperlink r:id="rId44" w:history="1">
              <w:r w:rsidR="00E25EB4" w:rsidRPr="00153E09">
                <w:rPr>
                  <w:i/>
                  <w:iCs/>
                  <w:color w:val="0000FF"/>
                  <w:u w:val="single"/>
                </w:rPr>
                <w:t>Luis.BarbosaESilva@eesc.europa.eu</w:t>
              </w:r>
            </w:hyperlink>
          </w:p>
        </w:tc>
      </w:tr>
    </w:tbl>
    <w:p w14:paraId="2E28EF19" w14:textId="299918AB" w:rsidR="000D394D" w:rsidRPr="00205469" w:rsidRDefault="00E25EB4" w:rsidP="00100EF9">
      <w:pPr>
        <w:overflowPunct w:val="0"/>
        <w:autoSpaceDE w:val="0"/>
        <w:autoSpaceDN w:val="0"/>
        <w:adjustRightInd w:val="0"/>
        <w:jc w:val="center"/>
        <w:textAlignment w:val="baseline"/>
        <w:rPr>
          <w:szCs w:val="20"/>
          <w:lang w:val="nl-BE"/>
        </w:rPr>
      </w:pPr>
      <w:r w:rsidRPr="003534E0">
        <w:rPr>
          <w:szCs w:val="20"/>
          <w:lang w:val="nl-BE"/>
        </w:rPr>
        <w:t>_____________</w:t>
      </w:r>
    </w:p>
    <w:sectPr w:rsidR="000D394D" w:rsidRPr="00205469" w:rsidSect="00153E09">
      <w:headerReference w:type="even" r:id="rId45"/>
      <w:headerReference w:type="default" r:id="rId46"/>
      <w:footerReference w:type="even" r:id="rId47"/>
      <w:footerReference w:type="default" r:id="rId48"/>
      <w:headerReference w:type="first" r:id="rId49"/>
      <w:footerReference w:type="first" r:id="rId5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344" w14:textId="77777777" w:rsidR="00153E09" w:rsidRPr="00153E09" w:rsidRDefault="00153E09" w:rsidP="0015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6224A1A"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Pr>
        <w:noProof/>
      </w:rPr>
      <w:t>1</w:t>
    </w:r>
    <w:r>
      <w:fldChar w:fldCharType="end"/>
    </w:r>
    <w:r>
      <w:t>/</w:t>
    </w:r>
    <w:r w:rsidR="00DA095D">
      <w:fldChar w:fldCharType="begin"/>
    </w:r>
    <w:r w:rsidR="00DA095D">
      <w:instrText xml:space="preserve"> NUMPAGES </w:instrText>
    </w:r>
    <w:r w:rsidR="00DA095D">
      <w:fldChar w:fldCharType="separate"/>
    </w:r>
    <w:r>
      <w:rPr>
        <w:noProof/>
      </w:rPr>
      <w:t>16</w:t>
    </w:r>
    <w:r w:rsidR="00DA09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42C2" w14:textId="77777777" w:rsidR="00153E09" w:rsidRPr="00153E09" w:rsidRDefault="00153E09" w:rsidP="00153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3577A02D"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Pr>
        <w:noProof/>
      </w:rPr>
      <w:t>1</w:t>
    </w:r>
    <w:r>
      <w:fldChar w:fldCharType="end"/>
    </w:r>
    <w:r>
      <w:t>/</w:t>
    </w:r>
    <w:r w:rsidR="00DA095D">
      <w:fldChar w:fldCharType="begin"/>
    </w:r>
    <w:r w:rsidR="00DA095D">
      <w:instrText xml:space="preserve"> NUMPAGES </w:instrText>
    </w:r>
    <w:r w:rsidR="00DA095D">
      <w:fldChar w:fldCharType="separate"/>
    </w:r>
    <w:r>
      <w:rPr>
        <w:noProof/>
      </w:rPr>
      <w:t>16</w:t>
    </w:r>
    <w:r w:rsidR="00DA095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055B"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852" w14:textId="3FAF7247"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48A" w14:textId="77777777" w:rsidR="00153E09" w:rsidRPr="00153E09" w:rsidRDefault="00153E09" w:rsidP="0015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18"/>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1"/>
  </w:num>
  <w:num w:numId="8">
    <w:abstractNumId w:val="8"/>
  </w:num>
  <w:num w:numId="9">
    <w:abstractNumId w:val="19"/>
  </w:num>
  <w:num w:numId="10">
    <w:abstractNumId w:val="16"/>
  </w:num>
  <w:num w:numId="11">
    <w:abstractNumId w:val="20"/>
  </w:num>
  <w:num w:numId="12">
    <w:abstractNumId w:val="4"/>
  </w:num>
  <w:num w:numId="13">
    <w:abstractNumId w:val="7"/>
  </w:num>
  <w:num w:numId="14">
    <w:abstractNumId w:val="14"/>
  </w:num>
  <w:num w:numId="15">
    <w:abstractNumId w:val="17"/>
  </w:num>
  <w:num w:numId="16">
    <w:abstractNumId w:val="26"/>
  </w:num>
  <w:num w:numId="17">
    <w:abstractNumId w:val="3"/>
  </w:num>
  <w:num w:numId="18">
    <w:abstractNumId w:val="25"/>
  </w:num>
  <w:num w:numId="19">
    <w:abstractNumId w:val="28"/>
  </w:num>
  <w:num w:numId="20">
    <w:abstractNumId w:val="23"/>
  </w:num>
  <w:num w:numId="21">
    <w:abstractNumId w:val="9"/>
  </w:num>
  <w:num w:numId="22">
    <w:abstractNumId w:val="15"/>
  </w:num>
  <w:num w:numId="23">
    <w:abstractNumId w:val="2"/>
  </w:num>
  <w:num w:numId="24">
    <w:abstractNumId w:val="6"/>
  </w:num>
  <w:num w:numId="25">
    <w:abstractNumId w:val="22"/>
  </w:num>
  <w:num w:numId="26">
    <w:abstractNumId w:val="5"/>
  </w:num>
  <w:num w:numId="27">
    <w:abstractNumId w:val="12"/>
  </w:num>
  <w:num w:numId="28">
    <w:abstractNumId w:val="10"/>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4364"/>
    <w:rsid w:val="00010A4D"/>
    <w:rsid w:val="00043E7B"/>
    <w:rsid w:val="000638B5"/>
    <w:rsid w:val="00063DFF"/>
    <w:rsid w:val="000D394D"/>
    <w:rsid w:val="00100EF9"/>
    <w:rsid w:val="00120A45"/>
    <w:rsid w:val="00124E6A"/>
    <w:rsid w:val="001313E0"/>
    <w:rsid w:val="00153E09"/>
    <w:rsid w:val="001653D7"/>
    <w:rsid w:val="00167743"/>
    <w:rsid w:val="00187E31"/>
    <w:rsid w:val="001A1F1F"/>
    <w:rsid w:val="001A58BD"/>
    <w:rsid w:val="001A7538"/>
    <w:rsid w:val="001E391D"/>
    <w:rsid w:val="00205469"/>
    <w:rsid w:val="00210CBF"/>
    <w:rsid w:val="00250B70"/>
    <w:rsid w:val="00256B74"/>
    <w:rsid w:val="0027149A"/>
    <w:rsid w:val="00274F1A"/>
    <w:rsid w:val="0027678C"/>
    <w:rsid w:val="002A5636"/>
    <w:rsid w:val="002B7981"/>
    <w:rsid w:val="002D77C8"/>
    <w:rsid w:val="002F4AD1"/>
    <w:rsid w:val="00302594"/>
    <w:rsid w:val="003066BE"/>
    <w:rsid w:val="003066E2"/>
    <w:rsid w:val="003227CC"/>
    <w:rsid w:val="00326237"/>
    <w:rsid w:val="00340FA5"/>
    <w:rsid w:val="003452F9"/>
    <w:rsid w:val="003534E0"/>
    <w:rsid w:val="0037319B"/>
    <w:rsid w:val="0037722B"/>
    <w:rsid w:val="003B6923"/>
    <w:rsid w:val="003E1B8B"/>
    <w:rsid w:val="003F326D"/>
    <w:rsid w:val="003F4F92"/>
    <w:rsid w:val="003F66F7"/>
    <w:rsid w:val="003F79EF"/>
    <w:rsid w:val="00416286"/>
    <w:rsid w:val="00426372"/>
    <w:rsid w:val="0043191A"/>
    <w:rsid w:val="00462F24"/>
    <w:rsid w:val="004A5CD7"/>
    <w:rsid w:val="004B5B9E"/>
    <w:rsid w:val="004C4CDB"/>
    <w:rsid w:val="004C6DA8"/>
    <w:rsid w:val="004D1319"/>
    <w:rsid w:val="004D7AC0"/>
    <w:rsid w:val="00527B47"/>
    <w:rsid w:val="00532089"/>
    <w:rsid w:val="00532F99"/>
    <w:rsid w:val="00557848"/>
    <w:rsid w:val="00586B4B"/>
    <w:rsid w:val="00594237"/>
    <w:rsid w:val="005A0BDA"/>
    <w:rsid w:val="005C2B2F"/>
    <w:rsid w:val="005C357F"/>
    <w:rsid w:val="005C6D36"/>
    <w:rsid w:val="005D3E1C"/>
    <w:rsid w:val="005E7651"/>
    <w:rsid w:val="00621347"/>
    <w:rsid w:val="00625CA3"/>
    <w:rsid w:val="00627FDF"/>
    <w:rsid w:val="00630779"/>
    <w:rsid w:val="00632B12"/>
    <w:rsid w:val="00641262"/>
    <w:rsid w:val="006553ED"/>
    <w:rsid w:val="00660482"/>
    <w:rsid w:val="006B2C49"/>
    <w:rsid w:val="006D2C8A"/>
    <w:rsid w:val="006D2D64"/>
    <w:rsid w:val="006E7051"/>
    <w:rsid w:val="00705489"/>
    <w:rsid w:val="00711298"/>
    <w:rsid w:val="00713CC2"/>
    <w:rsid w:val="00753B41"/>
    <w:rsid w:val="00754027"/>
    <w:rsid w:val="007652C3"/>
    <w:rsid w:val="00766B1A"/>
    <w:rsid w:val="007E284A"/>
    <w:rsid w:val="007F0468"/>
    <w:rsid w:val="007F5784"/>
    <w:rsid w:val="008072FE"/>
    <w:rsid w:val="008402C8"/>
    <w:rsid w:val="00845F24"/>
    <w:rsid w:val="00846483"/>
    <w:rsid w:val="00881A01"/>
    <w:rsid w:val="0088219D"/>
    <w:rsid w:val="00892105"/>
    <w:rsid w:val="008B1A24"/>
    <w:rsid w:val="008B4127"/>
    <w:rsid w:val="008D7FAC"/>
    <w:rsid w:val="009277D3"/>
    <w:rsid w:val="00933300"/>
    <w:rsid w:val="009338FC"/>
    <w:rsid w:val="009348BC"/>
    <w:rsid w:val="00940A7B"/>
    <w:rsid w:val="00950272"/>
    <w:rsid w:val="00974BD0"/>
    <w:rsid w:val="009858F5"/>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8B2"/>
    <w:rsid w:val="00B518C9"/>
    <w:rsid w:val="00B55C6C"/>
    <w:rsid w:val="00B922EA"/>
    <w:rsid w:val="00BA0232"/>
    <w:rsid w:val="00BA6AA9"/>
    <w:rsid w:val="00BC7ED2"/>
    <w:rsid w:val="00BD64BD"/>
    <w:rsid w:val="00BE54B3"/>
    <w:rsid w:val="00BE5CBC"/>
    <w:rsid w:val="00BF79AB"/>
    <w:rsid w:val="00C008B4"/>
    <w:rsid w:val="00C17ABD"/>
    <w:rsid w:val="00C26C67"/>
    <w:rsid w:val="00C821A5"/>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5EB4"/>
    <w:rsid w:val="00E54618"/>
    <w:rsid w:val="00E77899"/>
    <w:rsid w:val="00EE1B31"/>
    <w:rsid w:val="00EF5581"/>
    <w:rsid w:val="00F15673"/>
    <w:rsid w:val="00F172E5"/>
    <w:rsid w:val="00F253CA"/>
    <w:rsid w:val="00F25B2E"/>
    <w:rsid w:val="00F43315"/>
    <w:rsid w:val="00F55F11"/>
    <w:rsid w:val="00F604AD"/>
    <w:rsid w:val="00F83C17"/>
    <w:rsid w:val="00F870E5"/>
    <w:rsid w:val="00F96D7F"/>
    <w:rsid w:val="00FA7B95"/>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orgios.Meleas@eesc.europa.eu" TargetMode="External"/><Relationship Id="rId39" Type="http://schemas.openxmlformats.org/officeDocument/2006/relationships/hyperlink" Target="mailto:Gaia.Bottoni@eesc.europa.eu" TargetMode="External"/><Relationship Id="rId3" Type="http://schemas.openxmlformats.org/officeDocument/2006/relationships/customXml" Target="../customXml/item3.xml"/><Relationship Id="rId21" Type="http://schemas.openxmlformats.org/officeDocument/2006/relationships/hyperlink" Target="https://www.eesc.europa.eu/en/our-work/opinions-information-reports/opinions/eppo-and-olaf-access-vat-information-union-level" TargetMode="External"/><Relationship Id="rId34" Type="http://schemas.openxmlformats.org/officeDocument/2006/relationships/hyperlink" Target="https://health.ec.europa.eu/one-health/overview_en" TargetMode="External"/><Relationship Id="rId42" Type="http://schemas.openxmlformats.org/officeDocument/2006/relationships/hyperlink" Target="mailto:Adam.Dorywalski@eesc.europa.e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island-dimension-european-cohesion-competitiveness-and-sustainable-development-policies" TargetMode="External"/><Relationship Id="rId33" Type="http://schemas.openxmlformats.org/officeDocument/2006/relationships/hyperlink" Target="https://health.ec.europa.eu/publications/tartu-call-healthy-lifestyle-joint-actions-promote-healthy-lifestyles_en" TargetMode="External"/><Relationship Id="rId38" Type="http://schemas.openxmlformats.org/officeDocument/2006/relationships/hyperlink" Target="https://www.eesc.europa.eu/en/our-work/opinions-information-reports/opinions/roadmap-towards-nature-credits"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esc.europa.eu/en/our-work/opinions-information-reports/opinions/union-support-asylum-migration-and-integration-internal-security-and-integrated-border-management-and-visa-policy" TargetMode="External"/><Relationship Id="rId41" Type="http://schemas.openxmlformats.org/officeDocument/2006/relationships/hyperlink" Target="https://eur-lex.europa.eu/legal-content/EN/TXT/?uri=CELEX%3A52023AE1573&amp;qid=177066864909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uroparl.europa.eu/RegData/etudes/ATAG/2025/779215/EPRS_ATA(2025)779215_EN.pdf" TargetMode="External"/><Relationship Id="rId37" Type="http://schemas.openxmlformats.org/officeDocument/2006/relationships/hyperlink" Target="mailto:GiorgiaAndrea.Bordignon@eesc.europa.eu" TargetMode="External"/><Relationship Id="rId40" Type="http://schemas.openxmlformats.org/officeDocument/2006/relationships/hyperlink" Target="https://www.eesc.europa.eu/our-work/opinions-information-reports/opinions/amending-regulation-eu-20241252-critical-raw-materials-ac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esc.europa.eu/en/our-work/opinions-information-reports/opinions/2026-european-semester-autumn-package" TargetMode="External"/><Relationship Id="rId28" Type="http://schemas.openxmlformats.org/officeDocument/2006/relationships/hyperlink" Target="mailto:Juri.Soosaar@eesc.europa.eu" TargetMode="External"/><Relationship Id="rId36" Type="http://schemas.openxmlformats.org/officeDocument/2006/relationships/hyperlink" Target="https://www.eesc.europa.eu/en/our-work/opinions-information-reports/opinions/energy-connectivity-electricity-grids" TargetMode="External"/><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en/our-work/opinions-information-reports/opinions/european-life-science-strategy-along-strategy-research-and-technology-infrastructures-focus-treatment-rare-diseases" TargetMode="External"/><Relationship Id="rId44" Type="http://schemas.openxmlformats.org/officeDocument/2006/relationships/hyperlink" Target="mailto:Luis.BarbosaESilva@eesc.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https://www.eesc.europa.eu/en/our-work/opinions-information-reports/opinions/revision-tobacco-taxation-directive" TargetMode="External"/><Relationship Id="rId30" Type="http://schemas.openxmlformats.org/officeDocument/2006/relationships/hyperlink" Target="mailto:gemma.amran@eesc.europa.eu" TargetMode="External"/><Relationship Id="rId35" Type="http://schemas.openxmlformats.org/officeDocument/2006/relationships/hyperlink" Target="mailto:Konstantina.Angelopoulou@eesc.europa.eu" TargetMode="External"/><Relationship Id="rId43" Type="http://schemas.openxmlformats.org/officeDocument/2006/relationships/hyperlink" Target="https://www.eesc.europa.eu/en/our-work/opinions-information-reports/opinions/enhancing-eu-strategic-autonomy-and-developing-greener-and-bluer-economy-potential-sodium-battery-manufacturing-sector" TargetMode="External"/><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VP3JK3XSEPRV-2087481956-3316</_dlc_DocId>
    <_dlc_DocIdUrl xmlns="7d640e6d-779c-472f-a269-6b546787f1c9">
      <Url>http://dm/eesc/2026/_layouts/15/DocIdRedir.aspx?ID=VP3JK3XSEPRV-2087481956-3316</Url>
      <Description>VP3JK3XSEPRV-2087481956-3316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Tudor Anca</DisplayName>
        <AccountId>49</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B8DB30-802E-44AC-9491-433CB68BCF2A}"/>
</file>

<file path=customXml/itemProps2.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3.xml><?xml version="1.0" encoding="utf-8"?>
<ds:datastoreItem xmlns:ds="http://schemas.openxmlformats.org/officeDocument/2006/customXml" ds:itemID="{79C14458-5C63-4C6D-81DA-3CBD49E26585}">
  <ds:schemaRefs>
    <ds:schemaRef ds:uri="http://schemas.openxmlformats.org/officeDocument/2006/bibliography"/>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- 603rd plenary session - February 2026</dc:title>
  <dc:subject>ADMIN</dc:subject>
  <dc:creator/>
  <cp:keywords>COR-EESC-2022-02583-00-00-ADMIN-TRA-EN</cp:keywords>
  <dc:description>Rapporteur:  - Original language: EN - Date of document: 20/05/2022 - Date of meeting:  - External documents:  - Administrator:  SUCIU Serban</dc:description>
  <cp:lastModifiedBy/>
  <cp:revision>6</cp:revision>
  <dcterms:created xsi:type="dcterms:W3CDTF">2026-03-04T08:05:00Z</dcterms:created>
  <dcterms:modified xsi:type="dcterms:W3CDTF">2026-03-04T08:07:00Z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2de94c2b-5d74-4faf-92c7-671b57af959f</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18;#TCD|cd9d6eb6-3f4f-424a-b2d1-57c9d450eaaf;#9;#TRA|150d2a88-1431-44e6-a8ca-0bb753ab8672;#59;#SPL-CES|32d8cb1f-c9ec-4365-95c7-8385a18618ac;#7;#Final|ea5e6674-7b27-4bac-b091-73adbb394efe;#4;#EN|f2175f21-25d7-44a3-96da-d6a61b075e1b;#19;#Unrestricted|826e22d7-d029-4ec0-a450-0c28ff673572;#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4;#EN|f2175f21-25d7-44a3-96da-d6a61b075e1b</vt:lpwstr>
  </property>
  <property fmtid="{D5CDD505-2E9C-101B-9397-08002B2CF9AE}" pid="33" name="AvailableTranslations_0">
    <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604</vt:i4>
  </property>
  <property fmtid="{D5CDD505-2E9C-101B-9397-08002B2CF9AE}" pid="40" name="MeetingDate">
    <vt:filetime>2026-03-18T12:00:00Z</vt:filetime>
  </property>
</Properties>
</file>