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7E74642D" w:rsidR="004D7AC0" w:rsidRDefault="00B455B3" w:rsidP="00100EF9">
      <w:pPr>
        <w:jc w:val="center"/>
      </w:pPr>
      <w:r>
        <w:rPr>
          <w:noProof/>
        </w:rPr>
        <w:drawing>
          <wp:inline distT="0" distB="0" distL="0" distR="0" wp14:anchorId="18F6811B" wp14:editId="219C2642">
            <wp:extent cx="1792605" cy="1239520"/>
            <wp:effectExtent l="0" t="0" r="0" b="0"/>
            <wp:docPr id="1" name="Picture 1" title="EESCLogo_EL"/>
            <wp:cNvGraphicFramePr/>
            <a:graphic xmlns:a="http://schemas.openxmlformats.org/drawingml/2006/main">
              <a:graphicData uri="http://schemas.openxmlformats.org/drawingml/2006/picture">
                <pic:pic xmlns:pic="http://schemas.openxmlformats.org/drawingml/2006/picture">
                  <pic:nvPicPr>
                    <pic:cNvPr id="1" name="Picture 1" title="EESCLogo_E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5234070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EL</w:t>
                      </w:r>
                    </w:p>
                  </w:txbxContent>
                </v:textbox>
                <w10:wrap anchorx="page" anchory="page"/>
              </v:shape>
            </w:pict>
          </mc:Fallback>
        </mc:AlternateContent>
      </w:r>
    </w:p>
    <w:p w14:paraId="4982DD4E" w14:textId="77777777" w:rsidR="004D7AC0" w:rsidRDefault="004D7AC0" w:rsidP="00100EF9"/>
    <w:p w14:paraId="4982DD4F" w14:textId="7AA8E975" w:rsidR="004D7AC0" w:rsidRDefault="004D7AC0" w:rsidP="00100EF9">
      <w:pPr>
        <w:jc w:val="right"/>
      </w:pPr>
      <w:r>
        <w:t>Βρυξέλλες, 4 Μαρτίου 2026</w:t>
      </w:r>
    </w:p>
    <w:p w14:paraId="4982DD50" w14:textId="77777777" w:rsidR="004D7AC0" w:rsidRDefault="004D7AC0" w:rsidP="00100EF9"/>
    <w:p w14:paraId="4982DD51" w14:textId="77777777" w:rsidR="004D7AC0" w:rsidRDefault="004D7AC0" w:rsidP="00100EF9"/>
    <w:p w14:paraId="4982DD52" w14:textId="77777777" w:rsidR="004D7AC0" w:rsidRDefault="004D7AC0" w:rsidP="00100EF9"/>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5E869ADC" w:rsidR="003066BE" w:rsidRDefault="004C4CDB" w:rsidP="00100EF9">
            <w:pPr>
              <w:snapToGrid w:val="0"/>
              <w:jc w:val="center"/>
              <w:rPr>
                <w:b/>
                <w:sz w:val="32"/>
                <w:szCs w:val="32"/>
              </w:rPr>
            </w:pPr>
            <w:r>
              <w:rPr>
                <w:b/>
                <w:sz w:val="32"/>
              </w:rPr>
              <w:t>603η ΣΥΝΟΔΟΣ ΟΛΟΜΕΛΕΙΑΣ</w:t>
            </w:r>
          </w:p>
          <w:p w14:paraId="4982DD54" w14:textId="77777777" w:rsidR="003066BE" w:rsidRDefault="003066BE" w:rsidP="00100EF9">
            <w:pPr>
              <w:snapToGrid w:val="0"/>
              <w:jc w:val="center"/>
              <w:rPr>
                <w:b/>
                <w:sz w:val="32"/>
                <w:szCs w:val="32"/>
              </w:rPr>
            </w:pPr>
          </w:p>
          <w:p w14:paraId="4982DD55" w14:textId="6CEFC9D4" w:rsidR="003066BE" w:rsidRDefault="003066E2" w:rsidP="00100EF9">
            <w:pPr>
              <w:snapToGrid w:val="0"/>
              <w:jc w:val="center"/>
              <w:rPr>
                <w:b/>
                <w:sz w:val="32"/>
                <w:szCs w:val="32"/>
              </w:rPr>
            </w:pPr>
            <w:r>
              <w:rPr>
                <w:b/>
                <w:sz w:val="32"/>
              </w:rPr>
              <w:t>18 και 19 Φεβρουαρίου 2026</w:t>
            </w:r>
          </w:p>
          <w:p w14:paraId="4982DD56" w14:textId="77777777" w:rsidR="003066BE" w:rsidRDefault="003066BE" w:rsidP="00100EF9">
            <w:pPr>
              <w:snapToGrid w:val="0"/>
              <w:jc w:val="center"/>
              <w:rPr>
                <w:b/>
                <w:sz w:val="32"/>
                <w:szCs w:val="32"/>
              </w:rPr>
            </w:pPr>
          </w:p>
          <w:p w14:paraId="4982DD57" w14:textId="5A35E792" w:rsidR="004D7AC0" w:rsidRPr="0081153B" w:rsidRDefault="00754027" w:rsidP="00100EF9">
            <w:pPr>
              <w:snapToGrid w:val="0"/>
              <w:jc w:val="center"/>
              <w:rPr>
                <w:rFonts w:eastAsia="MS Mincho"/>
                <w:b/>
                <w:sz w:val="32"/>
                <w:szCs w:val="32"/>
              </w:rPr>
            </w:pPr>
            <w:r>
              <w:rPr>
                <w:b/>
                <w:sz w:val="32"/>
              </w:rPr>
              <w:t>ΣΥΝΟΨΗ ΤΩΝ ΓΝΩΜΟΔΟΤΗΣΕΩΝ, ΨΗΦΙΣΜΑΤΩΝ ΚΑΙ ΕΝΗΜΕΡΩΤΙΚΩΝ ΕΚΘΕΣΕΩΝ / ΕΚΘΕΣΕΩΝ ΑΞΙΟΛΟΓΗΣΗΣ ΠΟΥ ΕΓΚΡΙΘΗΚΑΝ</w:t>
            </w:r>
          </w:p>
          <w:p w14:paraId="4982DD58" w14:textId="77777777" w:rsidR="004D7AC0" w:rsidRDefault="004D7AC0" w:rsidP="00100EF9">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100EF9">
            <w:pPr>
              <w:snapToGrid w:val="0"/>
              <w:jc w:val="center"/>
            </w:pPr>
            <w:r>
              <w:t xml:space="preserve">Το παρόν έγγραφο είναι διαθέσιμο στον </w:t>
            </w:r>
            <w:proofErr w:type="spellStart"/>
            <w:r>
              <w:t>ιστότοπο</w:t>
            </w:r>
            <w:proofErr w:type="spellEnd"/>
            <w:r>
              <w:t xml:space="preserve"> της ΕΟΚΕ, σε όλες τις επίσημες γλώσσες της Ευρωπαϊκής Ένωσης, στην ακόλουθη ηλεκτρονική διεύθυνση:</w:t>
            </w:r>
            <w:r>
              <w:br/>
            </w:r>
            <w:r>
              <w:br/>
            </w:r>
            <w:hyperlink r:id="rId13" w:history="1">
              <w:r>
                <w:rPr>
                  <w:rStyle w:val="Hyperlink"/>
                </w:rPr>
                <w:t>https://www.eesc.europa.eu/el/our-work/opinions-information-reports/plenary-session-summaries</w:t>
              </w:r>
            </w:hyperlink>
          </w:p>
          <w:p w14:paraId="4982DD5B" w14:textId="77777777" w:rsidR="004D7AC0" w:rsidRPr="0081153B" w:rsidRDefault="004D7AC0" w:rsidP="00100EF9">
            <w:pPr>
              <w:snapToGrid w:val="0"/>
              <w:jc w:val="center"/>
            </w:pPr>
          </w:p>
          <w:p w14:paraId="4982DD5C" w14:textId="77777777" w:rsidR="004D7AC0" w:rsidRPr="0081153B" w:rsidRDefault="004D7AC0" w:rsidP="00100EF9">
            <w:pPr>
              <w:snapToGrid w:val="0"/>
              <w:jc w:val="center"/>
              <w:rPr>
                <w:rFonts w:eastAsia="SimSun"/>
              </w:rPr>
            </w:pPr>
          </w:p>
          <w:p w14:paraId="4982DD5D" w14:textId="77777777" w:rsidR="004D7AC0" w:rsidRPr="00044561" w:rsidRDefault="004D7AC0" w:rsidP="00100EF9">
            <w:pPr>
              <w:snapToGrid w:val="0"/>
              <w:jc w:val="center"/>
            </w:pPr>
            <w:r>
              <w:t>Μπορείτε να συμβουλευτείτε τις εν λόγω γνωμοδοτήσεις μέσω της μηχανής αναζήτησης</w:t>
            </w:r>
            <w:r>
              <w:br/>
              <w:t>της ΕΟΚΕ:</w:t>
            </w:r>
            <w:r>
              <w:br/>
            </w:r>
            <w:r>
              <w:br/>
            </w:r>
            <w:hyperlink r:id="rId14" w:history="1">
              <w:r>
                <w:rPr>
                  <w:rStyle w:val="Hyperlink"/>
                </w:rPr>
                <w:t>https://dmsearch.eesc.europa.eu/search/opinion</w:t>
              </w:r>
            </w:hyperlink>
          </w:p>
          <w:p w14:paraId="4982DD5E" w14:textId="77777777" w:rsidR="004D7AC0" w:rsidRPr="00044561" w:rsidRDefault="004D7AC0" w:rsidP="00100EF9">
            <w:pPr>
              <w:snapToGrid w:val="0"/>
              <w:jc w:val="center"/>
            </w:pPr>
          </w:p>
        </w:tc>
      </w:tr>
    </w:tbl>
    <w:p w14:paraId="4982DD60" w14:textId="77777777" w:rsidR="004D7AC0" w:rsidRDefault="004D7AC0" w:rsidP="00100EF9"/>
    <w:p w14:paraId="4982DD61" w14:textId="77777777" w:rsidR="004D7AC0" w:rsidRDefault="004D7AC0" w:rsidP="00100EF9"/>
    <w:p w14:paraId="4982DD62" w14:textId="77777777" w:rsidR="004D7AC0" w:rsidRDefault="004D7AC0" w:rsidP="00100EF9">
      <w:pPr>
        <w:sectPr w:rsidR="004D7AC0" w:rsidSect="00153E09">
          <w:footerReference w:type="default" r:id="rId15"/>
          <w:pgSz w:w="11907" w:h="16839"/>
          <w:pgMar w:top="1417" w:right="1417" w:bottom="1417" w:left="1417" w:header="709" w:footer="709" w:gutter="0"/>
          <w:pgNumType w:start="1"/>
          <w:cols w:space="708"/>
          <w:docGrid w:linePitch="360"/>
        </w:sectPr>
      </w:pPr>
    </w:p>
    <w:p w14:paraId="4982DD63" w14:textId="77777777" w:rsidR="004D7AC0" w:rsidRPr="00A81AFE" w:rsidRDefault="004D7AC0" w:rsidP="00100EF9">
      <w:pPr>
        <w:rPr>
          <w:b/>
        </w:rPr>
      </w:pPr>
      <w:r>
        <w:rPr>
          <w:b/>
        </w:rPr>
        <w:lastRenderedPageBreak/>
        <w:t>Περιεχόμενα:</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100EF9">
          <w:pPr>
            <w:pStyle w:val="TOCHeading"/>
            <w:spacing w:before="0" w:line="288" w:lineRule="auto"/>
            <w:rPr>
              <w:rFonts w:ascii="Times New Roman" w:hAnsi="Times New Roman" w:cs="Times New Roman"/>
              <w:color w:val="auto"/>
              <w:sz w:val="22"/>
              <w:szCs w:val="22"/>
            </w:rPr>
          </w:pPr>
        </w:p>
        <w:p w14:paraId="1277AB2B" w14:textId="0245DCEE" w:rsidR="0005365A" w:rsidRDefault="004D7AC0">
          <w:pPr>
            <w:pStyle w:val="TOC1"/>
            <w:tabs>
              <w:tab w:val="left" w:pos="440"/>
              <w:tab w:val="right" w:leader="dot" w:pos="9063"/>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223534712" w:history="1">
            <w:r w:rsidR="0005365A" w:rsidRPr="00D42CB8">
              <w:rPr>
                <w:rStyle w:val="Hyperlink"/>
                <w:bCs/>
                <w:noProof/>
              </w:rPr>
              <w:t>1.</w:t>
            </w:r>
            <w:r w:rsidR="0005365A">
              <w:rPr>
                <w:rFonts w:asciiTheme="minorHAnsi" w:eastAsiaTheme="minorEastAsia" w:hAnsiTheme="minorHAnsi" w:cstheme="minorBidi"/>
                <w:noProof/>
                <w:lang w:val="en-US"/>
              </w:rPr>
              <w:tab/>
            </w:r>
            <w:r w:rsidR="0005365A" w:rsidRPr="00D42CB8">
              <w:rPr>
                <w:rStyle w:val="Hyperlink"/>
                <w:b/>
                <w:noProof/>
              </w:rPr>
              <w:t>ΟΙΚΟΝΟΜΙΚΗ ΚΑΙ ΝΟΜΙΣΜΑΤΙΚΗ ΕΝΩΣΗ, ΟΙΚΟΝΟΜΙΚΗ ΚΑΙ ΚΟΙΝΩΝΙΚΗ ΣΥΝΟΧΗ</w:t>
            </w:r>
            <w:r w:rsidR="0005365A">
              <w:rPr>
                <w:noProof/>
                <w:webHidden/>
              </w:rPr>
              <w:tab/>
            </w:r>
            <w:r w:rsidR="0005365A">
              <w:rPr>
                <w:noProof/>
                <w:webHidden/>
              </w:rPr>
              <w:fldChar w:fldCharType="begin"/>
            </w:r>
            <w:r w:rsidR="0005365A">
              <w:rPr>
                <w:noProof/>
                <w:webHidden/>
              </w:rPr>
              <w:instrText xml:space="preserve"> PAGEREF _Toc223534712 \h </w:instrText>
            </w:r>
            <w:r w:rsidR="0005365A">
              <w:rPr>
                <w:noProof/>
                <w:webHidden/>
              </w:rPr>
            </w:r>
            <w:r w:rsidR="0005365A">
              <w:rPr>
                <w:noProof/>
                <w:webHidden/>
              </w:rPr>
              <w:fldChar w:fldCharType="separate"/>
            </w:r>
            <w:r w:rsidR="0005365A">
              <w:rPr>
                <w:noProof/>
                <w:webHidden/>
              </w:rPr>
              <w:t>3</w:t>
            </w:r>
            <w:r w:rsidR="0005365A">
              <w:rPr>
                <w:noProof/>
                <w:webHidden/>
              </w:rPr>
              <w:fldChar w:fldCharType="end"/>
            </w:r>
          </w:hyperlink>
        </w:p>
        <w:p w14:paraId="13EE5988" w14:textId="0DC53BD1" w:rsidR="0005365A" w:rsidRDefault="0005365A">
          <w:pPr>
            <w:pStyle w:val="TOC1"/>
            <w:tabs>
              <w:tab w:val="left" w:pos="440"/>
              <w:tab w:val="right" w:leader="dot" w:pos="9063"/>
            </w:tabs>
            <w:rPr>
              <w:rFonts w:asciiTheme="minorHAnsi" w:eastAsiaTheme="minorEastAsia" w:hAnsiTheme="minorHAnsi" w:cstheme="minorBidi"/>
              <w:noProof/>
              <w:lang w:val="en-US"/>
            </w:rPr>
          </w:pPr>
          <w:hyperlink w:anchor="_Toc223534713" w:history="1">
            <w:r w:rsidRPr="00D42CB8">
              <w:rPr>
                <w:rStyle w:val="Hyperlink"/>
                <w:bCs/>
                <w:noProof/>
              </w:rPr>
              <w:t>2.</w:t>
            </w:r>
            <w:r>
              <w:rPr>
                <w:rFonts w:asciiTheme="minorHAnsi" w:eastAsiaTheme="minorEastAsia" w:hAnsiTheme="minorHAnsi" w:cstheme="minorBidi"/>
                <w:noProof/>
                <w:lang w:val="en-US"/>
              </w:rPr>
              <w:tab/>
            </w:r>
            <w:r w:rsidRPr="00D42CB8">
              <w:rPr>
                <w:rStyle w:val="Hyperlink"/>
                <w:b/>
                <w:noProof/>
              </w:rPr>
              <w:t>ΑΠΑΣΧΟΛΗΣΗ, ΚΟΙΝΩΝΙΚΕΣ ΥΠΟΘΕΣΕΙΣ, ΔΙΚΑΙΩΜΑΤΑ ΤΟΥ ΠΟΛΙΤΗ</w:t>
            </w:r>
            <w:r>
              <w:rPr>
                <w:noProof/>
                <w:webHidden/>
              </w:rPr>
              <w:tab/>
            </w:r>
            <w:r>
              <w:rPr>
                <w:noProof/>
                <w:webHidden/>
              </w:rPr>
              <w:fldChar w:fldCharType="begin"/>
            </w:r>
            <w:r>
              <w:rPr>
                <w:noProof/>
                <w:webHidden/>
              </w:rPr>
              <w:instrText xml:space="preserve"> PAGEREF _Toc223534713 \h </w:instrText>
            </w:r>
            <w:r>
              <w:rPr>
                <w:noProof/>
                <w:webHidden/>
              </w:rPr>
            </w:r>
            <w:r>
              <w:rPr>
                <w:noProof/>
                <w:webHidden/>
              </w:rPr>
              <w:fldChar w:fldCharType="separate"/>
            </w:r>
            <w:r>
              <w:rPr>
                <w:noProof/>
                <w:webHidden/>
              </w:rPr>
              <w:t>10</w:t>
            </w:r>
            <w:r>
              <w:rPr>
                <w:noProof/>
                <w:webHidden/>
              </w:rPr>
              <w:fldChar w:fldCharType="end"/>
            </w:r>
          </w:hyperlink>
        </w:p>
        <w:p w14:paraId="39ED5FC4" w14:textId="7FB5AF24" w:rsidR="0005365A" w:rsidRDefault="0005365A">
          <w:pPr>
            <w:pStyle w:val="TOC1"/>
            <w:tabs>
              <w:tab w:val="left" w:pos="440"/>
              <w:tab w:val="right" w:leader="dot" w:pos="9063"/>
            </w:tabs>
            <w:rPr>
              <w:rFonts w:asciiTheme="minorHAnsi" w:eastAsiaTheme="minorEastAsia" w:hAnsiTheme="minorHAnsi" w:cstheme="minorBidi"/>
              <w:noProof/>
              <w:lang w:val="en-US"/>
            </w:rPr>
          </w:pPr>
          <w:hyperlink w:anchor="_Toc223534714" w:history="1">
            <w:r w:rsidRPr="00D42CB8">
              <w:rPr>
                <w:rStyle w:val="Hyperlink"/>
                <w:bCs/>
                <w:noProof/>
              </w:rPr>
              <w:t>3.</w:t>
            </w:r>
            <w:r>
              <w:rPr>
                <w:rFonts w:asciiTheme="minorHAnsi" w:eastAsiaTheme="minorEastAsia" w:hAnsiTheme="minorHAnsi" w:cstheme="minorBidi"/>
                <w:noProof/>
                <w:lang w:val="en-US"/>
              </w:rPr>
              <w:tab/>
            </w:r>
            <w:r w:rsidRPr="00D42CB8">
              <w:rPr>
                <w:rStyle w:val="Hyperlink"/>
                <w:b/>
                <w:noProof/>
              </w:rPr>
              <w:t>ΜΕΤΑΦΟΡΕΣ, ΕΝΕΡΓΕΙΑ, ΥΠΟΔΟΜΕΣ, ΚΟΙΝΩΝΙΑ ΤΩΝ ΠΛΗΡΟΦΟΡΙΩΝ</w:t>
            </w:r>
            <w:r>
              <w:rPr>
                <w:noProof/>
                <w:webHidden/>
              </w:rPr>
              <w:tab/>
            </w:r>
            <w:r>
              <w:rPr>
                <w:noProof/>
                <w:webHidden/>
              </w:rPr>
              <w:fldChar w:fldCharType="begin"/>
            </w:r>
            <w:r>
              <w:rPr>
                <w:noProof/>
                <w:webHidden/>
              </w:rPr>
              <w:instrText xml:space="preserve"> PAGEREF _Toc223534714 \h </w:instrText>
            </w:r>
            <w:r>
              <w:rPr>
                <w:noProof/>
                <w:webHidden/>
              </w:rPr>
            </w:r>
            <w:r>
              <w:rPr>
                <w:noProof/>
                <w:webHidden/>
              </w:rPr>
              <w:fldChar w:fldCharType="separate"/>
            </w:r>
            <w:r>
              <w:rPr>
                <w:noProof/>
                <w:webHidden/>
              </w:rPr>
              <w:t>11</w:t>
            </w:r>
            <w:r>
              <w:rPr>
                <w:noProof/>
                <w:webHidden/>
              </w:rPr>
              <w:fldChar w:fldCharType="end"/>
            </w:r>
          </w:hyperlink>
        </w:p>
        <w:p w14:paraId="627FC63B" w14:textId="263DCF40" w:rsidR="0005365A" w:rsidRDefault="0005365A">
          <w:pPr>
            <w:pStyle w:val="TOC1"/>
            <w:tabs>
              <w:tab w:val="left" w:pos="440"/>
              <w:tab w:val="right" w:leader="dot" w:pos="9063"/>
            </w:tabs>
            <w:rPr>
              <w:rFonts w:asciiTheme="minorHAnsi" w:eastAsiaTheme="minorEastAsia" w:hAnsiTheme="minorHAnsi" w:cstheme="minorBidi"/>
              <w:noProof/>
              <w:lang w:val="en-US"/>
            </w:rPr>
          </w:pPr>
          <w:hyperlink w:anchor="_Toc223534715" w:history="1">
            <w:r w:rsidRPr="00D42CB8">
              <w:rPr>
                <w:rStyle w:val="Hyperlink"/>
                <w:bCs/>
                <w:noProof/>
              </w:rPr>
              <w:t>4.</w:t>
            </w:r>
            <w:r>
              <w:rPr>
                <w:rFonts w:asciiTheme="minorHAnsi" w:eastAsiaTheme="minorEastAsia" w:hAnsiTheme="minorHAnsi" w:cstheme="minorBidi"/>
                <w:noProof/>
                <w:lang w:val="en-US"/>
              </w:rPr>
              <w:tab/>
            </w:r>
            <w:r w:rsidRPr="00D42CB8">
              <w:rPr>
                <w:rStyle w:val="Hyperlink"/>
                <w:b/>
                <w:noProof/>
              </w:rPr>
              <w:t>ΓΕΩΡΓΙΑ, ΑΓΡΟΤΙΚΗ ΑΝΑΠΤΥΞΗ, ΠΕΡΙΒΑΛΛΟΝ</w:t>
            </w:r>
            <w:r>
              <w:rPr>
                <w:noProof/>
                <w:webHidden/>
              </w:rPr>
              <w:tab/>
            </w:r>
            <w:r>
              <w:rPr>
                <w:noProof/>
                <w:webHidden/>
              </w:rPr>
              <w:fldChar w:fldCharType="begin"/>
            </w:r>
            <w:r>
              <w:rPr>
                <w:noProof/>
                <w:webHidden/>
              </w:rPr>
              <w:instrText xml:space="preserve"> PAGEREF _Toc223534715 \h </w:instrText>
            </w:r>
            <w:r>
              <w:rPr>
                <w:noProof/>
                <w:webHidden/>
              </w:rPr>
            </w:r>
            <w:r>
              <w:rPr>
                <w:noProof/>
                <w:webHidden/>
              </w:rPr>
              <w:fldChar w:fldCharType="separate"/>
            </w:r>
            <w:r>
              <w:rPr>
                <w:noProof/>
                <w:webHidden/>
              </w:rPr>
              <w:t>14</w:t>
            </w:r>
            <w:r>
              <w:rPr>
                <w:noProof/>
                <w:webHidden/>
              </w:rPr>
              <w:fldChar w:fldCharType="end"/>
            </w:r>
          </w:hyperlink>
        </w:p>
        <w:p w14:paraId="5AE4B214" w14:textId="581A555F" w:rsidR="0005365A" w:rsidRDefault="0005365A">
          <w:pPr>
            <w:pStyle w:val="TOC1"/>
            <w:tabs>
              <w:tab w:val="left" w:pos="440"/>
              <w:tab w:val="right" w:leader="dot" w:pos="9063"/>
            </w:tabs>
            <w:rPr>
              <w:rFonts w:asciiTheme="minorHAnsi" w:eastAsiaTheme="minorEastAsia" w:hAnsiTheme="minorHAnsi" w:cstheme="minorBidi"/>
              <w:noProof/>
              <w:lang w:val="en-US"/>
            </w:rPr>
          </w:pPr>
          <w:hyperlink w:anchor="_Toc223534716" w:history="1">
            <w:r w:rsidRPr="00D42CB8">
              <w:rPr>
                <w:rStyle w:val="Hyperlink"/>
                <w:bCs/>
                <w:noProof/>
              </w:rPr>
              <w:t>5.</w:t>
            </w:r>
            <w:r>
              <w:rPr>
                <w:rFonts w:asciiTheme="minorHAnsi" w:eastAsiaTheme="minorEastAsia" w:hAnsiTheme="minorHAnsi" w:cstheme="minorBidi"/>
                <w:noProof/>
                <w:lang w:val="en-US"/>
              </w:rPr>
              <w:tab/>
            </w:r>
            <w:r w:rsidRPr="00D42CB8">
              <w:rPr>
                <w:rStyle w:val="Hyperlink"/>
                <w:b/>
                <w:noProof/>
              </w:rPr>
              <w:t>ΣΥΜΒΟΥΛΕΥΤΙΚΗ ΕΠΙΤΡΟΠΗ ΒΙΟΜΗΧΑΝΙΚΩΝ ΜΕΤΑΛΛΑΓΩΝ</w:t>
            </w:r>
            <w:r>
              <w:rPr>
                <w:noProof/>
                <w:webHidden/>
              </w:rPr>
              <w:tab/>
            </w:r>
            <w:r>
              <w:rPr>
                <w:noProof/>
                <w:webHidden/>
              </w:rPr>
              <w:fldChar w:fldCharType="begin"/>
            </w:r>
            <w:r>
              <w:rPr>
                <w:noProof/>
                <w:webHidden/>
              </w:rPr>
              <w:instrText xml:space="preserve"> PAGEREF _Toc223534716 \h </w:instrText>
            </w:r>
            <w:r>
              <w:rPr>
                <w:noProof/>
                <w:webHidden/>
              </w:rPr>
            </w:r>
            <w:r>
              <w:rPr>
                <w:noProof/>
                <w:webHidden/>
              </w:rPr>
              <w:fldChar w:fldCharType="separate"/>
            </w:r>
            <w:r>
              <w:rPr>
                <w:noProof/>
                <w:webHidden/>
              </w:rPr>
              <w:t>16</w:t>
            </w:r>
            <w:r>
              <w:rPr>
                <w:noProof/>
                <w:webHidden/>
              </w:rPr>
              <w:fldChar w:fldCharType="end"/>
            </w:r>
          </w:hyperlink>
        </w:p>
        <w:p w14:paraId="4982DD6A" w14:textId="129091A5" w:rsidR="004D7AC0" w:rsidRDefault="004D7AC0" w:rsidP="00100EF9">
          <w:r>
            <w:rPr>
              <w:b/>
            </w:rPr>
            <w:fldChar w:fldCharType="end"/>
          </w:r>
        </w:p>
      </w:sdtContent>
    </w:sdt>
    <w:p w14:paraId="4982DD6B" w14:textId="77777777" w:rsidR="004D7AC0" w:rsidRDefault="004D7AC0" w:rsidP="00100EF9"/>
    <w:p w14:paraId="4982DD6C" w14:textId="77777777" w:rsidR="004D7AC0" w:rsidRDefault="004D7AC0" w:rsidP="00100EF9">
      <w:pPr>
        <w:jc w:val="left"/>
      </w:pPr>
      <w:r>
        <w:br w:type="page"/>
      </w:r>
    </w:p>
    <w:p w14:paraId="4982DD6D" w14:textId="77777777" w:rsidR="004D7AC0" w:rsidRDefault="004D7AC0" w:rsidP="00100EF9">
      <w:pPr>
        <w:pStyle w:val="Heading1"/>
        <w:rPr>
          <w:b/>
        </w:rPr>
      </w:pPr>
      <w:bookmarkStart w:id="0" w:name="_Toc223534712"/>
      <w:r>
        <w:rPr>
          <w:b/>
        </w:rPr>
        <w:lastRenderedPageBreak/>
        <w:t>ΟΙΚΟΝΟΜΙΚΗ ΚΑΙ ΝΟΜΙΣΜΑΤΙΚΗ ΕΝΩΣΗ, ΟΙΚΟΝΟΜΙΚΗ ΚΑΙ ΚΟΙΝΩΝΙΚΗ ΣΥΝΟΧΗ</w:t>
      </w:r>
      <w:bookmarkEnd w:id="0"/>
    </w:p>
    <w:p w14:paraId="4982DD97" w14:textId="77777777" w:rsidR="004D7AC0" w:rsidRDefault="004D7AC0" w:rsidP="00100EF9">
      <w:pPr>
        <w:pStyle w:val="ListParagraph"/>
        <w:ind w:left="0"/>
      </w:pPr>
    </w:p>
    <w:p w14:paraId="14BFA1D1" w14:textId="1A45DFD8" w:rsidR="001A1F1F" w:rsidRPr="001A1F1F" w:rsidRDefault="0005365A" w:rsidP="00100EF9">
      <w:pPr>
        <w:widowControl w:val="0"/>
        <w:numPr>
          <w:ilvl w:val="0"/>
          <w:numId w:val="4"/>
        </w:numPr>
        <w:overflowPunct w:val="0"/>
        <w:autoSpaceDE w:val="0"/>
        <w:autoSpaceDN w:val="0"/>
        <w:adjustRightInd w:val="0"/>
        <w:ind w:hanging="567"/>
        <w:textAlignment w:val="baseline"/>
        <w:rPr>
          <w:b/>
          <w:i/>
          <w:iCs/>
          <w:sz w:val="28"/>
          <w:szCs w:val="28"/>
        </w:rPr>
      </w:pPr>
      <w:hyperlink r:id="rId16" w:history="1">
        <w:r w:rsidR="00E235D3">
          <w:rPr>
            <w:b/>
            <w:i/>
            <w:color w:val="0000FF"/>
            <w:sz w:val="28"/>
            <w:u w:val="single"/>
          </w:rPr>
          <w:t>Πρόσβαση της Ευρωπαϊκής Εισαγγελίας και της OLAF σε πληροφορίες που συνδέονται με τον ΦΠΑ σε επίπεδο Ένωσης</w:t>
        </w:r>
      </w:hyperlink>
    </w:p>
    <w:p w14:paraId="16AF8D1E" w14:textId="77777777" w:rsidR="001A1F1F" w:rsidRPr="001A1F1F" w:rsidRDefault="001A1F1F" w:rsidP="00100EF9">
      <w:pPr>
        <w:widowControl w:val="0"/>
        <w:overflowPunct w:val="0"/>
        <w:autoSpaceDE w:val="0"/>
        <w:autoSpaceDN w:val="0"/>
        <w:adjustRightInd w:val="0"/>
        <w:ind w:left="284"/>
        <w:textAlignment w:val="baseline"/>
        <w:rPr>
          <w:b/>
          <w:i/>
          <w:iCs/>
          <w:sz w:val="20"/>
          <w:szCs w:val="20"/>
          <w:lang w:val="en-GB"/>
        </w:rPr>
      </w:pPr>
    </w:p>
    <w:tbl>
      <w:tblPr>
        <w:tblStyle w:val="TableGrid1"/>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479"/>
      </w:tblGrid>
      <w:tr w:rsidR="001A1F1F" w:rsidRPr="001A1F1F" w14:paraId="0C010C9C" w14:textId="77777777" w:rsidTr="00601D8A">
        <w:tc>
          <w:tcPr>
            <w:tcW w:w="1701" w:type="dxa"/>
          </w:tcPr>
          <w:p w14:paraId="67C58898" w14:textId="77777777" w:rsidR="001A1F1F" w:rsidRPr="001A1F1F" w:rsidRDefault="001A1F1F" w:rsidP="00100EF9">
            <w:pPr>
              <w:tabs>
                <w:tab w:val="center" w:pos="284"/>
              </w:tabs>
              <w:overflowPunct w:val="0"/>
              <w:autoSpaceDE w:val="0"/>
              <w:autoSpaceDN w:val="0"/>
              <w:adjustRightInd w:val="0"/>
              <w:ind w:left="266" w:hanging="266"/>
              <w:textAlignment w:val="baseline"/>
              <w:rPr>
                <w:b/>
              </w:rPr>
            </w:pPr>
            <w:r>
              <w:rPr>
                <w:b/>
              </w:rPr>
              <w:t>Εισηγήτρια</w:t>
            </w:r>
          </w:p>
        </w:tc>
        <w:tc>
          <w:tcPr>
            <w:tcW w:w="7479" w:type="dxa"/>
          </w:tcPr>
          <w:p w14:paraId="2016211D" w14:textId="05A91267" w:rsidR="001A1F1F" w:rsidRPr="001A1F1F" w:rsidRDefault="001A1F1F" w:rsidP="00100EF9">
            <w:pPr>
              <w:tabs>
                <w:tab w:val="center" w:pos="284"/>
              </w:tabs>
              <w:overflowPunct w:val="0"/>
              <w:autoSpaceDE w:val="0"/>
              <w:autoSpaceDN w:val="0"/>
              <w:adjustRightInd w:val="0"/>
              <w:ind w:left="266" w:hanging="266"/>
              <w:textAlignment w:val="baseline"/>
            </w:pPr>
            <w:proofErr w:type="spellStart"/>
            <w:r>
              <w:t>Justyna</w:t>
            </w:r>
            <w:proofErr w:type="spellEnd"/>
            <w:r>
              <w:t xml:space="preserve"> </w:t>
            </w:r>
            <w:proofErr w:type="spellStart"/>
            <w:r>
              <w:t>Kalina</w:t>
            </w:r>
            <w:proofErr w:type="spellEnd"/>
            <w:r>
              <w:t xml:space="preserve"> OCHĘDZAN (Ομάδα των Οργανώσεων της Κοινωνίας των Πολιτών – ΙΙΙ)</w:t>
            </w:r>
          </w:p>
        </w:tc>
      </w:tr>
      <w:tr w:rsidR="00205469" w:rsidRPr="001A1F1F" w14:paraId="2E27DAF9" w14:textId="77777777" w:rsidTr="00601D8A">
        <w:tc>
          <w:tcPr>
            <w:tcW w:w="1701" w:type="dxa"/>
          </w:tcPr>
          <w:p w14:paraId="2C056183" w14:textId="77777777" w:rsidR="00205469" w:rsidRPr="001A1F1F" w:rsidRDefault="00205469" w:rsidP="00100EF9">
            <w:pPr>
              <w:tabs>
                <w:tab w:val="center" w:pos="284"/>
              </w:tabs>
              <w:overflowPunct w:val="0"/>
              <w:autoSpaceDE w:val="0"/>
              <w:autoSpaceDN w:val="0"/>
              <w:adjustRightInd w:val="0"/>
              <w:ind w:left="266" w:hanging="266"/>
              <w:textAlignment w:val="baseline"/>
              <w:rPr>
                <w:b/>
              </w:rPr>
            </w:pPr>
          </w:p>
        </w:tc>
        <w:tc>
          <w:tcPr>
            <w:tcW w:w="7479" w:type="dxa"/>
          </w:tcPr>
          <w:p w14:paraId="657AAC10" w14:textId="77777777" w:rsidR="00205469" w:rsidRPr="001A1F1F" w:rsidRDefault="00205469" w:rsidP="00100EF9">
            <w:pPr>
              <w:tabs>
                <w:tab w:val="center" w:pos="284"/>
              </w:tabs>
              <w:overflowPunct w:val="0"/>
              <w:autoSpaceDE w:val="0"/>
              <w:autoSpaceDN w:val="0"/>
              <w:adjustRightInd w:val="0"/>
              <w:ind w:left="266" w:hanging="266"/>
              <w:textAlignment w:val="baseline"/>
              <w:rPr>
                <w:bCs/>
              </w:rPr>
            </w:pPr>
          </w:p>
        </w:tc>
      </w:tr>
      <w:tr w:rsidR="001A1F1F" w:rsidRPr="001A1F1F" w14:paraId="7FD540DB" w14:textId="77777777" w:rsidTr="00601D8A">
        <w:tc>
          <w:tcPr>
            <w:tcW w:w="1701" w:type="dxa"/>
          </w:tcPr>
          <w:p w14:paraId="1F4D838E" w14:textId="0EE217C2" w:rsidR="001A1F1F" w:rsidRPr="001A1F1F" w:rsidRDefault="001A1F1F" w:rsidP="00100EF9">
            <w:pPr>
              <w:tabs>
                <w:tab w:val="center" w:pos="284"/>
              </w:tabs>
              <w:overflowPunct w:val="0"/>
              <w:autoSpaceDE w:val="0"/>
              <w:autoSpaceDN w:val="0"/>
              <w:adjustRightInd w:val="0"/>
              <w:ind w:left="266" w:hanging="266"/>
              <w:textAlignment w:val="baseline"/>
              <w:rPr>
                <w:b/>
              </w:rPr>
            </w:pPr>
            <w:r>
              <w:rPr>
                <w:b/>
              </w:rPr>
              <w:t>Έγγραφα αναφοράς</w:t>
            </w:r>
          </w:p>
        </w:tc>
        <w:tc>
          <w:tcPr>
            <w:tcW w:w="7479" w:type="dxa"/>
          </w:tcPr>
          <w:p w14:paraId="7BBCB1FA" w14:textId="42339DFC" w:rsidR="001A1F1F" w:rsidRPr="001A1F1F" w:rsidRDefault="001A1F1F" w:rsidP="00100EF9">
            <w:pPr>
              <w:tabs>
                <w:tab w:val="center" w:pos="321"/>
              </w:tabs>
              <w:overflowPunct w:val="0"/>
              <w:autoSpaceDE w:val="0"/>
              <w:autoSpaceDN w:val="0"/>
              <w:adjustRightInd w:val="0"/>
              <w:textAlignment w:val="baseline"/>
            </w:pPr>
            <w:r>
              <w:t xml:space="preserve">COM(2025) 685 </w:t>
            </w:r>
            <w:proofErr w:type="spellStart"/>
            <w:r>
              <w:t>final</w:t>
            </w:r>
            <w:proofErr w:type="spellEnd"/>
          </w:p>
          <w:p w14:paraId="1104CA65" w14:textId="51409899" w:rsidR="001A1F1F" w:rsidRPr="001A1F1F" w:rsidRDefault="001A1F1F" w:rsidP="00100EF9">
            <w:pPr>
              <w:tabs>
                <w:tab w:val="center" w:pos="284"/>
              </w:tabs>
              <w:overflowPunct w:val="0"/>
              <w:autoSpaceDE w:val="0"/>
              <w:autoSpaceDN w:val="0"/>
              <w:adjustRightInd w:val="0"/>
              <w:ind w:left="266" w:hanging="266"/>
              <w:textAlignment w:val="baseline"/>
            </w:pPr>
            <w:r>
              <w:t>EESC-2025-04282-00-00-AC</w:t>
            </w:r>
          </w:p>
        </w:tc>
      </w:tr>
    </w:tbl>
    <w:p w14:paraId="33260C4B" w14:textId="77777777" w:rsidR="001A1F1F" w:rsidRPr="001A1F1F" w:rsidRDefault="001A1F1F" w:rsidP="00100EF9">
      <w:pPr>
        <w:tabs>
          <w:tab w:val="center" w:pos="284"/>
        </w:tabs>
        <w:overflowPunct w:val="0"/>
        <w:autoSpaceDE w:val="0"/>
        <w:autoSpaceDN w:val="0"/>
        <w:adjustRightInd w:val="0"/>
        <w:ind w:left="266" w:hanging="266"/>
        <w:textAlignment w:val="baseline"/>
        <w:rPr>
          <w:b/>
          <w:lang w:val="pt-PT"/>
        </w:rPr>
      </w:pPr>
    </w:p>
    <w:p w14:paraId="55B2611A" w14:textId="77777777" w:rsidR="001A1F1F" w:rsidRPr="001A1F1F" w:rsidRDefault="001A1F1F" w:rsidP="00100EF9">
      <w:pPr>
        <w:keepNext/>
        <w:keepLines/>
        <w:tabs>
          <w:tab w:val="center" w:pos="284"/>
        </w:tabs>
        <w:overflowPunct w:val="0"/>
        <w:autoSpaceDE w:val="0"/>
        <w:autoSpaceDN w:val="0"/>
        <w:adjustRightInd w:val="0"/>
        <w:ind w:left="266" w:hanging="266"/>
        <w:textAlignment w:val="baseline"/>
        <w:rPr>
          <w:b/>
        </w:rPr>
      </w:pPr>
      <w:r>
        <w:rPr>
          <w:b/>
        </w:rPr>
        <w:t>Κύρια σημεία</w:t>
      </w:r>
    </w:p>
    <w:p w14:paraId="374403B4" w14:textId="77777777" w:rsidR="001A1F1F" w:rsidRPr="001A1F1F" w:rsidRDefault="001A1F1F" w:rsidP="00100EF9">
      <w:pPr>
        <w:keepNext/>
        <w:keepLines/>
        <w:tabs>
          <w:tab w:val="center" w:pos="284"/>
        </w:tabs>
        <w:overflowPunct w:val="0"/>
        <w:autoSpaceDE w:val="0"/>
        <w:autoSpaceDN w:val="0"/>
        <w:adjustRightInd w:val="0"/>
        <w:ind w:left="266" w:hanging="266"/>
        <w:textAlignment w:val="baseline"/>
        <w:rPr>
          <w:b/>
          <w:lang w:val="en-GB"/>
        </w:rPr>
      </w:pPr>
    </w:p>
    <w:p w14:paraId="474EE163" w14:textId="77777777" w:rsidR="001A1F1F" w:rsidRPr="001A1F1F" w:rsidRDefault="001A1F1F" w:rsidP="00100EF9">
      <w:pPr>
        <w:overflowPunct w:val="0"/>
        <w:autoSpaceDE w:val="0"/>
        <w:autoSpaceDN w:val="0"/>
        <w:adjustRightInd w:val="0"/>
        <w:textAlignment w:val="baseline"/>
        <w:rPr>
          <w:bCs/>
          <w:iCs/>
        </w:rPr>
      </w:pPr>
      <w:r>
        <w:t>Η ΕΟΚΕ:</w:t>
      </w:r>
    </w:p>
    <w:p w14:paraId="2A48351A" w14:textId="77777777" w:rsidR="001A1F1F" w:rsidRPr="00153E09" w:rsidRDefault="001A1F1F" w:rsidP="007526DA">
      <w:pPr>
        <w:pStyle w:val="ListParagraph"/>
        <w:numPr>
          <w:ilvl w:val="0"/>
          <w:numId w:val="27"/>
        </w:numPr>
        <w:ind w:left="567" w:hanging="567"/>
      </w:pPr>
      <w:bookmarkStart w:id="1" w:name="_Toc222825813"/>
      <w:r>
        <w:rPr>
          <w:b/>
        </w:rPr>
        <w:t>Υποστηρίζει</w:t>
      </w:r>
      <w:r>
        <w:t xml:space="preserve"> πλήρως τις προσπάθειες της Ευρωπαϊκής Επιτροπής να προωθήσει μια πιο ολοκληρωμένη και ολιστική προσέγγιση για την αντιμετώπιση της απάτης στον τομέα του ΦΠΑ, δίνοντας τη δυνατότητα στην Ευρωπαϊκή Εισαγγελία (EPPO) και στην Ευρωπαϊκή Υπηρεσία Καταπολέμησης της Απάτης (OLAF) για πρόσβαση σε δεδομένα σχετικά με τον φόρο προστιθέμενης αξίας (ΦΠΑ) δυνάμει του κανονισμού (ΕΕ) αριθ. 904/2010 του Συμβουλίου.</w:t>
      </w:r>
      <w:bookmarkEnd w:id="1"/>
    </w:p>
    <w:p w14:paraId="2F29EED4" w14:textId="77777777" w:rsidR="001A1F1F" w:rsidRPr="00153E09" w:rsidRDefault="001A1F1F" w:rsidP="007526DA">
      <w:pPr>
        <w:pStyle w:val="ListParagraph"/>
        <w:numPr>
          <w:ilvl w:val="0"/>
          <w:numId w:val="27"/>
        </w:numPr>
        <w:ind w:left="567" w:hanging="567"/>
      </w:pPr>
      <w:bookmarkStart w:id="2" w:name="_Toc222825814"/>
      <w:r>
        <w:rPr>
          <w:b/>
        </w:rPr>
        <w:t>Αναγνωρίζει</w:t>
      </w:r>
      <w:r>
        <w:t xml:space="preserve"> ότι, προκειμένου να καταπολεμηθούν οι σημαντικότερες μορφές απάτης στον τομέα του ΦΠΑ, είναι αναγκαίο να δοθεί η δυνατότητα στις αρμόδιες αρχές να συλλέγουν, να χρησιμοποιούν και να διασταυρώνουν ταχέως πληροφορίες σχετικές με τον ΦΠΑ σε πολλά κράτη μέλη ταυτόχρονα, ώστε, κατ’ αυτόν τον τρόπο, να μειωθούν οι καθυστερήσεις στην αντίδραση των αρμόδιων φορολογικών αρχών σε δόλιες δραστηριότητες.</w:t>
      </w:r>
      <w:bookmarkEnd w:id="2"/>
    </w:p>
    <w:p w14:paraId="76BC0052" w14:textId="77777777" w:rsidR="001A1F1F" w:rsidRPr="00153E09" w:rsidRDefault="001A1F1F" w:rsidP="007526DA">
      <w:pPr>
        <w:pStyle w:val="ListParagraph"/>
        <w:numPr>
          <w:ilvl w:val="0"/>
          <w:numId w:val="27"/>
        </w:numPr>
        <w:ind w:left="567" w:hanging="567"/>
      </w:pPr>
      <w:bookmarkStart w:id="3" w:name="_Toc222825815"/>
      <w:r>
        <w:rPr>
          <w:b/>
        </w:rPr>
        <w:t>Εκφράζει την ικανοποίησή της</w:t>
      </w:r>
      <w:r>
        <w:t xml:space="preserve"> για το γεγονός ότι η πρόταση της Ευρωπαϊκής Επιτροπής έρχεται ως συνέχεια μίας εκ των υστέρων αξιολόγησης των κανόνων που εφαρμόζονται δυνάμει του κανονισμού (ΕΕ) αριθ. 904/2010 του Συμβουλίου, λαμβάνοντας υπόψη τις παρατηρήσεις που υπέβαλαν τα κράτη μέλη. Η ΕΟΚΕ </w:t>
      </w:r>
      <w:r>
        <w:rPr>
          <w:b/>
        </w:rPr>
        <w:t>επισημαίνει</w:t>
      </w:r>
      <w:r>
        <w:t xml:space="preserve"> ότι δεν διενεργήθηκε εκτίμηση αντικτύπου σε σχέση με την παρούσα πρόταση, αν και αναγνωρίζει ότι η απουσία εκτίμησης αντικτύπου οφειλόταν σε επείγον αίτημα των κρατών μελών.</w:t>
      </w:r>
      <w:bookmarkEnd w:id="3"/>
    </w:p>
    <w:p w14:paraId="25654AAB" w14:textId="77777777" w:rsidR="001A1F1F" w:rsidRPr="00153E09" w:rsidRDefault="001A1F1F" w:rsidP="007526DA">
      <w:pPr>
        <w:pStyle w:val="ListParagraph"/>
        <w:numPr>
          <w:ilvl w:val="0"/>
          <w:numId w:val="27"/>
        </w:numPr>
        <w:ind w:left="567" w:hanging="567"/>
      </w:pPr>
      <w:bookmarkStart w:id="4" w:name="_Toc222825816"/>
      <w:r>
        <w:rPr>
          <w:b/>
        </w:rPr>
        <w:t>Εκφράζει την ικανοποίησή της</w:t>
      </w:r>
      <w:r>
        <w:t xml:space="preserve"> για την πρόθεση της Ευρωπαϊκής Επιτροπής να ενισχύσει τη συνεργασία μεταξύ των αρμόδιων αρχών για την καταπολέμηση της απάτης στον τομέα του ΦΠΑ, συμπεριλαμβανομένης της δυνατότητας ενίσχυσης της συνεργασίας μεταξύ της </w:t>
      </w:r>
      <w:proofErr w:type="spellStart"/>
      <w:r>
        <w:t>Ευρωπόλ</w:t>
      </w:r>
      <w:proofErr w:type="spellEnd"/>
      <w:r>
        <w:t xml:space="preserve"> και του </w:t>
      </w:r>
      <w:proofErr w:type="spellStart"/>
      <w:r>
        <w:t>Eurofisc</w:t>
      </w:r>
      <w:proofErr w:type="spellEnd"/>
      <w:r>
        <w:t xml:space="preserve"> στο πλαίσιο του κανονισμού (ΕΕ) αριθ. 904/2010 του Συμβουλίου, και ζητεί την περαιτέρω ενίσχυση της διαρθρωμένης συνεργασίας μεταξύ όλων των αρμόδιων αρχών των κρατών μελών.</w:t>
      </w:r>
      <w:bookmarkEnd w:id="4"/>
    </w:p>
    <w:p w14:paraId="39EE45C8" w14:textId="77777777" w:rsidR="001A1F1F" w:rsidRPr="001A1F1F" w:rsidRDefault="001A1F1F" w:rsidP="00100EF9">
      <w:pPr>
        <w:overflowPunct w:val="0"/>
        <w:autoSpaceDE w:val="0"/>
        <w:autoSpaceDN w:val="0"/>
        <w:adjustRightInd w:val="0"/>
        <w:textAlignment w:val="baseline"/>
        <w:rPr>
          <w:bCs/>
          <w:iCs/>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62"/>
      </w:tblGrid>
      <w:tr w:rsidR="001A1F1F" w:rsidRPr="001A1F1F" w14:paraId="33327B63" w14:textId="77777777" w:rsidTr="00D0608D">
        <w:tc>
          <w:tcPr>
            <w:tcW w:w="1418" w:type="dxa"/>
          </w:tcPr>
          <w:p w14:paraId="04F7E453" w14:textId="77777777" w:rsidR="001A1F1F" w:rsidRPr="001A1F1F" w:rsidRDefault="001A1F1F" w:rsidP="00100EF9">
            <w:pPr>
              <w:overflowPunct w:val="0"/>
              <w:autoSpaceDE w:val="0"/>
              <w:autoSpaceDN w:val="0"/>
              <w:adjustRightInd w:val="0"/>
              <w:textAlignment w:val="baseline"/>
              <w:rPr>
                <w:i/>
              </w:rPr>
            </w:pPr>
            <w:r>
              <w:rPr>
                <w:b/>
                <w:i/>
              </w:rPr>
              <w:t>Επικοινωνία</w:t>
            </w:r>
          </w:p>
        </w:tc>
        <w:tc>
          <w:tcPr>
            <w:tcW w:w="7762" w:type="dxa"/>
          </w:tcPr>
          <w:p w14:paraId="34FEEF63" w14:textId="62F84E0C" w:rsidR="001A1F1F" w:rsidRPr="001A1F1F" w:rsidRDefault="001A1F1F" w:rsidP="00100EF9">
            <w:pPr>
              <w:overflowPunct w:val="0"/>
              <w:autoSpaceDE w:val="0"/>
              <w:autoSpaceDN w:val="0"/>
              <w:adjustRightInd w:val="0"/>
              <w:textAlignment w:val="baseline"/>
              <w:rPr>
                <w:i/>
              </w:rPr>
            </w:pPr>
            <w:proofErr w:type="spellStart"/>
            <w:r>
              <w:rPr>
                <w:i/>
              </w:rPr>
              <w:t>Jüri</w:t>
            </w:r>
            <w:proofErr w:type="spellEnd"/>
            <w:r>
              <w:rPr>
                <w:i/>
              </w:rPr>
              <w:t xml:space="preserve"> </w:t>
            </w:r>
            <w:proofErr w:type="spellStart"/>
            <w:r>
              <w:rPr>
                <w:i/>
              </w:rPr>
              <w:t>Soosaar</w:t>
            </w:r>
            <w:proofErr w:type="spellEnd"/>
          </w:p>
        </w:tc>
      </w:tr>
      <w:tr w:rsidR="001A1F1F" w:rsidRPr="001A1F1F" w14:paraId="7DA1B58C" w14:textId="77777777" w:rsidTr="00D0608D">
        <w:tc>
          <w:tcPr>
            <w:tcW w:w="1418" w:type="dxa"/>
          </w:tcPr>
          <w:p w14:paraId="32B45750" w14:textId="77777777" w:rsidR="001A1F1F" w:rsidRPr="001A1F1F" w:rsidRDefault="001A1F1F" w:rsidP="00100EF9">
            <w:pPr>
              <w:overflowPunct w:val="0"/>
              <w:autoSpaceDE w:val="0"/>
              <w:autoSpaceDN w:val="0"/>
              <w:adjustRightInd w:val="0"/>
              <w:textAlignment w:val="baseline"/>
              <w:rPr>
                <w:i/>
              </w:rPr>
            </w:pPr>
            <w:proofErr w:type="spellStart"/>
            <w:r>
              <w:rPr>
                <w:i/>
              </w:rPr>
              <w:t>Τηλ</w:t>
            </w:r>
            <w:proofErr w:type="spellEnd"/>
            <w:r>
              <w:rPr>
                <w:i/>
              </w:rPr>
              <w:t>.</w:t>
            </w:r>
          </w:p>
        </w:tc>
        <w:tc>
          <w:tcPr>
            <w:tcW w:w="7762" w:type="dxa"/>
          </w:tcPr>
          <w:p w14:paraId="4B866371" w14:textId="51149591" w:rsidR="001A1F1F" w:rsidRPr="001A1F1F" w:rsidRDefault="001A1F1F" w:rsidP="00100EF9">
            <w:pPr>
              <w:overflowPunct w:val="0"/>
              <w:autoSpaceDE w:val="0"/>
              <w:autoSpaceDN w:val="0"/>
              <w:adjustRightInd w:val="0"/>
              <w:textAlignment w:val="baseline"/>
              <w:rPr>
                <w:i/>
              </w:rPr>
            </w:pPr>
            <w:r>
              <w:rPr>
                <w:i/>
              </w:rPr>
              <w:t>+32 25469628</w:t>
            </w:r>
          </w:p>
        </w:tc>
      </w:tr>
      <w:tr w:rsidR="001A1F1F" w:rsidRPr="001A1F1F" w14:paraId="3A08DF12" w14:textId="77777777" w:rsidTr="00D0608D">
        <w:tc>
          <w:tcPr>
            <w:tcW w:w="1418" w:type="dxa"/>
          </w:tcPr>
          <w:p w14:paraId="3FBEB159" w14:textId="77777777" w:rsidR="001A1F1F" w:rsidRPr="001A1F1F" w:rsidRDefault="001A1F1F" w:rsidP="00100EF9">
            <w:pPr>
              <w:overflowPunct w:val="0"/>
              <w:autoSpaceDE w:val="0"/>
              <w:autoSpaceDN w:val="0"/>
              <w:adjustRightInd w:val="0"/>
              <w:textAlignment w:val="baseline"/>
              <w:rPr>
                <w:i/>
              </w:rPr>
            </w:pPr>
            <w:proofErr w:type="spellStart"/>
            <w:r>
              <w:rPr>
                <w:i/>
              </w:rPr>
              <w:t>Ηλ</w:t>
            </w:r>
            <w:proofErr w:type="spellEnd"/>
            <w:r>
              <w:rPr>
                <w:i/>
              </w:rPr>
              <w:t>. δ/</w:t>
            </w:r>
            <w:proofErr w:type="spellStart"/>
            <w:r>
              <w:rPr>
                <w:i/>
              </w:rPr>
              <w:t>νση</w:t>
            </w:r>
            <w:proofErr w:type="spellEnd"/>
          </w:p>
        </w:tc>
        <w:tc>
          <w:tcPr>
            <w:tcW w:w="7762" w:type="dxa"/>
          </w:tcPr>
          <w:p w14:paraId="11A675FB" w14:textId="4E851F41" w:rsidR="001A1F1F" w:rsidRPr="001A1F1F" w:rsidRDefault="0005365A" w:rsidP="00100EF9">
            <w:pPr>
              <w:overflowPunct w:val="0"/>
              <w:autoSpaceDE w:val="0"/>
              <w:autoSpaceDN w:val="0"/>
              <w:adjustRightInd w:val="0"/>
              <w:textAlignment w:val="baseline"/>
              <w:rPr>
                <w:i/>
                <w:iCs/>
              </w:rPr>
            </w:pPr>
            <w:hyperlink r:id="rId17" w:history="1">
              <w:r w:rsidR="00E235D3">
                <w:rPr>
                  <w:i/>
                  <w:color w:val="0000FF"/>
                  <w:u w:val="single"/>
                </w:rPr>
                <w:t>Juri.Soosaar@eesc.europa.eu</w:t>
              </w:r>
            </w:hyperlink>
          </w:p>
        </w:tc>
      </w:tr>
    </w:tbl>
    <w:p w14:paraId="78F085C8" w14:textId="47013726" w:rsidR="00627FDF" w:rsidRDefault="00627FDF" w:rsidP="00100EF9">
      <w:pPr>
        <w:pStyle w:val="ListParagraph"/>
        <w:ind w:left="0"/>
      </w:pPr>
    </w:p>
    <w:p w14:paraId="14AD7ACF" w14:textId="77777777" w:rsidR="00627FDF" w:rsidRDefault="00627FDF" w:rsidP="00100EF9">
      <w:pPr>
        <w:jc w:val="left"/>
      </w:pPr>
      <w:r>
        <w:br w:type="page"/>
      </w:r>
    </w:p>
    <w:p w14:paraId="5B5A0FF1" w14:textId="00D67F94" w:rsidR="00627FDF" w:rsidRPr="00627FDF" w:rsidRDefault="0005365A" w:rsidP="00100EF9">
      <w:pPr>
        <w:widowControl w:val="0"/>
        <w:numPr>
          <w:ilvl w:val="0"/>
          <w:numId w:val="4"/>
        </w:numPr>
        <w:overflowPunct w:val="0"/>
        <w:autoSpaceDE w:val="0"/>
        <w:autoSpaceDN w:val="0"/>
        <w:adjustRightInd w:val="0"/>
        <w:ind w:hanging="567"/>
        <w:textAlignment w:val="baseline"/>
        <w:rPr>
          <w:i/>
          <w:iCs/>
          <w:sz w:val="20"/>
          <w:szCs w:val="20"/>
        </w:rPr>
      </w:pPr>
      <w:hyperlink r:id="rId18" w:history="1">
        <w:r w:rsidR="00E235D3">
          <w:rPr>
            <w:b/>
            <w:i/>
            <w:color w:val="0000FF"/>
            <w:sz w:val="28"/>
            <w:u w:val="single"/>
          </w:rPr>
          <w:t>Ευρωπαϊκό Εξάμηνο 2026 – Φθινοπωρινή δέσμη</w:t>
        </w:r>
      </w:hyperlink>
    </w:p>
    <w:p w14:paraId="2922872A" w14:textId="77777777" w:rsidR="00627FDF" w:rsidRPr="00100EF9" w:rsidRDefault="00627FDF" w:rsidP="00100EF9">
      <w:pPr>
        <w:tabs>
          <w:tab w:val="center" w:pos="284"/>
        </w:tabs>
        <w:overflowPunct w:val="0"/>
        <w:autoSpaceDE w:val="0"/>
        <w:autoSpaceDN w:val="0"/>
        <w:adjustRightInd w:val="0"/>
        <w:ind w:left="266" w:hanging="266"/>
        <w:textAlignment w:val="baseline"/>
        <w:rPr>
          <w:bCs/>
          <w:lang w:val="en-GB"/>
        </w:rPr>
      </w:pPr>
    </w:p>
    <w:tbl>
      <w:tblPr>
        <w:tblStyle w:val="TableGrid2"/>
        <w:tblW w:w="500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627FDF" w:rsidRPr="00627FDF" w14:paraId="59DBBD6A" w14:textId="77777777" w:rsidTr="00601D8A">
        <w:tc>
          <w:tcPr>
            <w:tcW w:w="1077" w:type="pct"/>
          </w:tcPr>
          <w:p w14:paraId="2CA81E57" w14:textId="77777777" w:rsidR="00627FDF" w:rsidRPr="00627FDF" w:rsidRDefault="00627FDF" w:rsidP="00100EF9">
            <w:pPr>
              <w:tabs>
                <w:tab w:val="center" w:pos="284"/>
              </w:tabs>
              <w:overflowPunct w:val="0"/>
              <w:autoSpaceDE w:val="0"/>
              <w:autoSpaceDN w:val="0"/>
              <w:adjustRightInd w:val="0"/>
              <w:ind w:left="266" w:hanging="266"/>
              <w:textAlignment w:val="baseline"/>
              <w:rPr>
                <w:b/>
              </w:rPr>
            </w:pPr>
            <w:r>
              <w:rPr>
                <w:b/>
              </w:rPr>
              <w:t>Εισηγητής</w:t>
            </w:r>
          </w:p>
        </w:tc>
        <w:tc>
          <w:tcPr>
            <w:tcW w:w="3923" w:type="pct"/>
          </w:tcPr>
          <w:p w14:paraId="48A0BF67" w14:textId="3FE90B23" w:rsidR="00627FDF" w:rsidRPr="00627FDF" w:rsidRDefault="00627FDF" w:rsidP="00100EF9">
            <w:pPr>
              <w:tabs>
                <w:tab w:val="center" w:pos="284"/>
              </w:tabs>
              <w:overflowPunct w:val="0"/>
              <w:autoSpaceDE w:val="0"/>
              <w:autoSpaceDN w:val="0"/>
              <w:adjustRightInd w:val="0"/>
              <w:ind w:left="266" w:right="-3091" w:hanging="266"/>
              <w:textAlignment w:val="baseline"/>
            </w:pPr>
            <w:proofErr w:type="spellStart"/>
            <w:r>
              <w:t>Luca</w:t>
            </w:r>
            <w:proofErr w:type="spellEnd"/>
            <w:r>
              <w:t xml:space="preserve"> JAHIER (Ομάδα των Οργανώσεων της Κοινωνίας των Πολιτών – IT)</w:t>
            </w:r>
          </w:p>
        </w:tc>
      </w:tr>
      <w:tr w:rsidR="00205469" w:rsidRPr="00627FDF" w14:paraId="6A4A7A00" w14:textId="77777777" w:rsidTr="00601D8A">
        <w:tc>
          <w:tcPr>
            <w:tcW w:w="1077" w:type="pct"/>
          </w:tcPr>
          <w:p w14:paraId="12EA3C9E" w14:textId="77777777" w:rsidR="00205469" w:rsidRPr="00627FDF" w:rsidRDefault="00205469" w:rsidP="00100EF9">
            <w:pPr>
              <w:tabs>
                <w:tab w:val="center" w:pos="284"/>
              </w:tabs>
              <w:overflowPunct w:val="0"/>
              <w:autoSpaceDE w:val="0"/>
              <w:autoSpaceDN w:val="0"/>
              <w:adjustRightInd w:val="0"/>
              <w:ind w:left="266" w:hanging="266"/>
              <w:textAlignment w:val="baseline"/>
              <w:rPr>
                <w:b/>
              </w:rPr>
            </w:pPr>
          </w:p>
        </w:tc>
        <w:tc>
          <w:tcPr>
            <w:tcW w:w="3923" w:type="pct"/>
          </w:tcPr>
          <w:p w14:paraId="3F242FCC" w14:textId="77777777" w:rsidR="00205469" w:rsidRPr="00627FDF" w:rsidRDefault="00205469" w:rsidP="00100EF9">
            <w:pPr>
              <w:tabs>
                <w:tab w:val="center" w:pos="284"/>
              </w:tabs>
              <w:overflowPunct w:val="0"/>
              <w:autoSpaceDE w:val="0"/>
              <w:autoSpaceDN w:val="0"/>
              <w:adjustRightInd w:val="0"/>
              <w:ind w:left="266" w:right="-3091" w:hanging="266"/>
              <w:textAlignment w:val="baseline"/>
              <w:rPr>
                <w:bCs/>
                <w:lang w:val="en-GB"/>
              </w:rPr>
            </w:pPr>
          </w:p>
        </w:tc>
      </w:tr>
      <w:tr w:rsidR="00627FDF" w:rsidRPr="00627FDF" w14:paraId="261B2615" w14:textId="77777777" w:rsidTr="00601D8A">
        <w:tc>
          <w:tcPr>
            <w:tcW w:w="1077" w:type="pct"/>
          </w:tcPr>
          <w:p w14:paraId="5DFE7408" w14:textId="6FA9C295" w:rsidR="00627FDF" w:rsidRPr="00627FDF" w:rsidRDefault="00627FDF" w:rsidP="00100EF9">
            <w:pPr>
              <w:tabs>
                <w:tab w:val="center" w:pos="284"/>
              </w:tabs>
              <w:overflowPunct w:val="0"/>
              <w:autoSpaceDE w:val="0"/>
              <w:autoSpaceDN w:val="0"/>
              <w:adjustRightInd w:val="0"/>
              <w:ind w:left="266" w:hanging="266"/>
              <w:textAlignment w:val="baseline"/>
              <w:rPr>
                <w:b/>
              </w:rPr>
            </w:pPr>
            <w:r>
              <w:rPr>
                <w:b/>
              </w:rPr>
              <w:t>Έγγραφα αναφοράς</w:t>
            </w:r>
          </w:p>
        </w:tc>
        <w:tc>
          <w:tcPr>
            <w:tcW w:w="3923" w:type="pct"/>
          </w:tcPr>
          <w:p w14:paraId="05B63FA9" w14:textId="3576FDD2" w:rsidR="00627FDF" w:rsidRPr="00627FDF" w:rsidRDefault="00627FDF" w:rsidP="00100EF9">
            <w:pPr>
              <w:tabs>
                <w:tab w:val="center" w:pos="284"/>
              </w:tabs>
              <w:overflowPunct w:val="0"/>
              <w:autoSpaceDE w:val="0"/>
              <w:autoSpaceDN w:val="0"/>
              <w:adjustRightInd w:val="0"/>
              <w:ind w:left="266" w:right="-3091" w:hanging="266"/>
              <w:textAlignment w:val="baseline"/>
            </w:pPr>
            <w:r>
              <w:t xml:space="preserve">COM(2025) 955 </w:t>
            </w:r>
            <w:proofErr w:type="spellStart"/>
            <w:r>
              <w:t>final</w:t>
            </w:r>
            <w:proofErr w:type="spellEnd"/>
          </w:p>
          <w:p w14:paraId="3BB4E753" w14:textId="77777777" w:rsidR="00627FDF" w:rsidRPr="00627FDF" w:rsidRDefault="00627FDF" w:rsidP="00100EF9">
            <w:pPr>
              <w:tabs>
                <w:tab w:val="center" w:pos="284"/>
              </w:tabs>
              <w:overflowPunct w:val="0"/>
              <w:autoSpaceDE w:val="0"/>
              <w:autoSpaceDN w:val="0"/>
              <w:adjustRightInd w:val="0"/>
              <w:ind w:left="266" w:right="-3091" w:hanging="266"/>
              <w:textAlignment w:val="baseline"/>
            </w:pPr>
            <w:r>
              <w:t>EESC-2025-03794-00-00-AC</w:t>
            </w:r>
          </w:p>
        </w:tc>
      </w:tr>
    </w:tbl>
    <w:p w14:paraId="7A90BFAE" w14:textId="77777777" w:rsidR="00627FDF" w:rsidRPr="00100EF9" w:rsidRDefault="00627FDF" w:rsidP="00100EF9">
      <w:pPr>
        <w:tabs>
          <w:tab w:val="center" w:pos="284"/>
        </w:tabs>
        <w:overflowPunct w:val="0"/>
        <w:autoSpaceDE w:val="0"/>
        <w:autoSpaceDN w:val="0"/>
        <w:adjustRightInd w:val="0"/>
        <w:ind w:left="266" w:hanging="266"/>
        <w:textAlignment w:val="baseline"/>
        <w:rPr>
          <w:bCs/>
          <w:lang w:val="pt-PT"/>
        </w:rPr>
      </w:pPr>
    </w:p>
    <w:p w14:paraId="1E165E10" w14:textId="77777777" w:rsidR="00627FDF" w:rsidRDefault="00627FDF" w:rsidP="00100EF9">
      <w:pPr>
        <w:overflowPunct w:val="0"/>
        <w:autoSpaceDE w:val="0"/>
        <w:autoSpaceDN w:val="0"/>
        <w:adjustRightInd w:val="0"/>
        <w:textAlignment w:val="baseline"/>
        <w:rPr>
          <w:b/>
        </w:rPr>
      </w:pPr>
      <w:r>
        <w:rPr>
          <w:b/>
        </w:rPr>
        <w:t>Κύρια σημεία</w:t>
      </w:r>
    </w:p>
    <w:p w14:paraId="6A1E467B" w14:textId="77777777" w:rsidR="002F4AD1" w:rsidRPr="00627FDF" w:rsidRDefault="002F4AD1" w:rsidP="00100EF9">
      <w:pPr>
        <w:overflowPunct w:val="0"/>
        <w:autoSpaceDE w:val="0"/>
        <w:autoSpaceDN w:val="0"/>
        <w:adjustRightInd w:val="0"/>
        <w:textAlignment w:val="baseline"/>
        <w:rPr>
          <w:bCs/>
          <w:iCs/>
          <w:lang w:val="en-GB"/>
        </w:rPr>
      </w:pPr>
    </w:p>
    <w:p w14:paraId="5B235C5C" w14:textId="77777777" w:rsidR="00627FDF" w:rsidRDefault="00627FDF" w:rsidP="00100EF9">
      <w:pPr>
        <w:overflowPunct w:val="0"/>
        <w:autoSpaceDE w:val="0"/>
        <w:autoSpaceDN w:val="0"/>
        <w:adjustRightInd w:val="0"/>
        <w:textAlignment w:val="baseline"/>
        <w:rPr>
          <w:bCs/>
          <w:iCs/>
        </w:rPr>
      </w:pPr>
      <w:r>
        <w:t>Η ΕΟΚΕ:</w:t>
      </w:r>
    </w:p>
    <w:p w14:paraId="769B1960"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Διαπιστώνει ότι η Επιτροπή δυστυχώς απέφυγε για ακόμη μια φορά να παρουσιάσει την </w:t>
      </w:r>
      <w:r>
        <w:rPr>
          <w:b/>
        </w:rPr>
        <w:t>ετήσια έρευνα για τη βιώσιμη ανάπτυξη (ΕΣΒΑ)</w:t>
      </w:r>
      <w:r>
        <w:t xml:space="preserve"> και τονίζει ότι η </w:t>
      </w:r>
      <w:r>
        <w:rPr>
          <w:b/>
        </w:rPr>
        <w:t>βιώσιμη οικονομική ανάπτυξη</w:t>
      </w:r>
      <w:r>
        <w:t xml:space="preserve"> αποτελεί απαραίτητη προϋπόθεση ώστε να εκπληρώσει η Ευρώπη τις πολλαπλές δεσμεύσεις της· επικροτεί την </w:t>
      </w:r>
      <w:r>
        <w:rPr>
          <w:b/>
        </w:rPr>
        <w:t>Ευρωπαϊκή Μακροοικονομική Έκθεση</w:t>
      </w:r>
      <w:r>
        <w:t xml:space="preserve">, η οποία παρέχει μια βαθιά ανάλυση των υποκείμενων διαρθρωτικών προκλήσεων που αντιμετωπίζει η ΕΕ, και τη </w:t>
      </w:r>
      <w:r>
        <w:rPr>
          <w:b/>
        </w:rPr>
        <w:t>νέα σύσταση για το ανθρώπινο κεφάλαιο</w:t>
      </w:r>
      <w:r>
        <w:t>, το οποίο αποτελεί κρίσιμο στοιχείο για την κάλυψη του τεχνολογικού χάσματος της ΕΕ, δεδομένης παράλληλα της δημογραφικής πρόκλησης που αντιμετωπίζει η Ένωση.</w:t>
      </w:r>
    </w:p>
    <w:p w14:paraId="37295D8E"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Επαναλαμβάνει την πρόσκλησή της για </w:t>
      </w:r>
      <w:r>
        <w:rPr>
          <w:b/>
        </w:rPr>
        <w:t>ισχυρότερη κοινή δημοσιονομική ικανότητα</w:t>
      </w:r>
      <w:r>
        <w:t xml:space="preserve">, υποστηριζόμενη από </w:t>
      </w:r>
      <w:proofErr w:type="spellStart"/>
      <w:r>
        <w:t>στοχευμένες</w:t>
      </w:r>
      <w:proofErr w:type="spellEnd"/>
      <w:r>
        <w:t xml:space="preserve"> εκδόσεις κοινού χρέους, που θα συμβάλει στην κάλυψη αυτού του αυξανόμενου κενού στις δημόσιες επενδύσεις, καθώς και για μόνιμα εργαλεία μακροοικονομικής σταθεροποίησης για την αντιμετώπιση κλυδωνισμών, με βάση την εμπειρία από το ευρωπαϊκό μέσο προσωρινής στήριξης για τον μετριασμό των κινδύνων ανεργίας σε κατάσταση έκτακτης ανάγκης (SURE), το οποίο θα πρέπει να καταστεί μόνιμο.</w:t>
      </w:r>
    </w:p>
    <w:p w14:paraId="48F6D6CB"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Παραμένει ανήσυχη ως προς τον </w:t>
      </w:r>
      <w:r>
        <w:rPr>
          <w:b/>
        </w:rPr>
        <w:t>κατακερματισμό των χρηματοπιστωτικών αγορών της ΕΕ</w:t>
      </w:r>
      <w:r>
        <w:t xml:space="preserve"> και καλεί την Επιτροπή να αξιολογήσει κατά πόσον </w:t>
      </w:r>
      <w:r>
        <w:rPr>
          <w:b/>
        </w:rPr>
        <w:t>ένα σύνολο μέσων σε επίπεδο ΕΕ, ισοδύναμο με τον νόμο των ΗΠΑ για τη βελτίωση των εθνικών αγορών κινητών αξιών (NSMIA)</w:t>
      </w:r>
      <w:r>
        <w:t>, θα μπορούσε να απλουστεύσει τη διασυνοριακή πρόσβαση στην αγορά, να μειώσει τον κατακερματισμό της συμμόρφωσης και να στηρίξει βαθύτερες, αποτελεσματικότερες και πιο ρευστές αγορές, διατηρώντας παράλληλα το αναγκαίο επίπεδο της τρέχουσας ασφάλειας.</w:t>
      </w:r>
    </w:p>
    <w:p w14:paraId="409B0B27"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Επαναλαμβάνει την πρόσκλησή της προς την Επιτροπή </w:t>
      </w:r>
      <w:r>
        <w:rPr>
          <w:b/>
        </w:rPr>
        <w:t>να αναθεωρήσει επειγόντως το σύνολο των προτεινόμενων δεικτών για την παρακολούθηση της διαδικασίας μακροοικονομικών ανισορροπιών (ΔΜΑ)</w:t>
      </w:r>
      <w:r>
        <w:t xml:space="preserve">. Η παρακολούθηση της εξέλιξης της συνδυασμένης </w:t>
      </w:r>
      <w:proofErr w:type="spellStart"/>
      <w:r>
        <w:t>μόχλευσης</w:t>
      </w:r>
      <w:proofErr w:type="spellEnd"/>
      <w:r>
        <w:t xml:space="preserve"> έναντι της διατήρησης στεγανών θα μπορούσε να αποτελέσει μέρος της λύσης για τη βελτίωση του ισχύοντος πίνακα αποτελεσμάτων της ΔΜΑ.</w:t>
      </w:r>
    </w:p>
    <w:p w14:paraId="1707B61B"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Θεωρεί αναγκαία την πιο αναγκαία την πιο </w:t>
      </w:r>
      <w:proofErr w:type="spellStart"/>
      <w:r>
        <w:rPr>
          <w:b/>
        </w:rPr>
        <w:t>εξορθολογισμένη</w:t>
      </w:r>
      <w:proofErr w:type="spellEnd"/>
      <w:r>
        <w:rPr>
          <w:b/>
        </w:rPr>
        <w:t xml:space="preserve"> χρήση του κοινωνικού πίνακα αποτελεσμάτων, ενός αναθεωρημένου πίνακα αποτελεσμάτων της ΔΜΑ και μιας αναθεωρημένης μεθοδολογίας ανάλυσης της βιωσιμότητας του χρέους, η οποία θα συμπληρώνεται από τους </w:t>
      </w:r>
      <w:r>
        <w:t xml:space="preserve">νέους </w:t>
      </w:r>
      <w:r>
        <w:rPr>
          <w:b/>
        </w:rPr>
        <w:t>δείκτες ευημερίας</w:t>
      </w:r>
      <w:r>
        <w:t xml:space="preserve"> που προτείνει το Κοινό Κέντρο Ερευνών (</w:t>
      </w:r>
      <w:proofErr w:type="spellStart"/>
      <w:r>
        <w:t>ΚΚΕρ</w:t>
      </w:r>
      <w:proofErr w:type="spellEnd"/>
      <w:r>
        <w:t>)·</w:t>
      </w:r>
    </w:p>
    <w:p w14:paraId="1DE1E29B"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Ζητεί από την Επιτροπή να αντιμετωπίζει το </w:t>
      </w:r>
      <w:r>
        <w:rPr>
          <w:b/>
        </w:rPr>
        <w:t>πλαίσιο κοινωνικής σύγκλισης ως ισότιμο με το δημοσιονομικό και να διατυπώσει αναλόγως σαφείς συστάσεις</w:t>
      </w:r>
      <w:r>
        <w:t xml:space="preserve"> προς κάθε κράτος μέλος στις επόμενες ειδικές ανά χώρα συστάσεις (ΣΑΧ)· καλεί δε την Επιτροπή να προτείνει συγκεκριμένα κίνητρα για τα κράτη μέλη ώστε να αυξήσουν τη χρήση της </w:t>
      </w:r>
      <w:r>
        <w:rPr>
          <w:b/>
        </w:rPr>
        <w:t>ρήτρας ευελιξίας για κοινωνικές επενδύσεις</w:t>
      </w:r>
      <w:r>
        <w:t>.</w:t>
      </w:r>
    </w:p>
    <w:p w14:paraId="7DBF2201"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lastRenderedPageBreak/>
        <w:t xml:space="preserve">Επαναλαμβάνει το κάλεσμά της για </w:t>
      </w:r>
      <w:r>
        <w:rPr>
          <w:b/>
        </w:rPr>
        <w:t>εις βάθος ανάλυση και αποσαφήνιση των εξαγγελθεισών διασυνδέσεων μεταξύ του Ευρωπαϊκού Εξαμήνου, του εργαλείου συντονισμού της ανταγωνιστικότητας και του προτεινόμενου μελλοντικού Πολυετούς Δημοσιονομικού Πλαισίου (ΠΔΠ)</w:t>
      </w:r>
      <w:r>
        <w:t xml:space="preserve">. </w:t>
      </w:r>
    </w:p>
    <w:p w14:paraId="28888E6E"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Καλεί το </w:t>
      </w:r>
      <w:r>
        <w:rPr>
          <w:b/>
        </w:rPr>
        <w:t xml:space="preserve">Ευρωπαϊκό Κοινοβούλιο να συγκροτήσει </w:t>
      </w:r>
      <w:r>
        <w:t>—όπως συμβαίνει με τον Μηχανισμό Ανάκαμψης και Ανθεκτικότητας (ΜΑΑ)—</w:t>
      </w:r>
      <w:r>
        <w:rPr>
          <w:b/>
        </w:rPr>
        <w:t xml:space="preserve"> μόνιμη επιτροπή παρακολούθησης και αξιολόγησης για το «νέο» Ευρωπαϊκό Εξάμηνο, την εφαρμογή και την ετήσια αξιολόγηση των μεσοπρόθεσμων δημοσιονομικών-διαρθρωτικών σχεδίων (ΜΠΔΣ), τις ΣΑΧ και τις συγκεκριμένες διασυνδέσεις τους με τα μελλοντικά σχέδια εθνικής και περιφερειακής εταιρικής σχέσης (ΕΠΕΣ)</w:t>
      </w:r>
      <w:r>
        <w:t>.</w:t>
      </w:r>
    </w:p>
    <w:p w14:paraId="19CCD46D"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 xml:space="preserve">Καλεί την Επιτροπή </w:t>
      </w:r>
      <w:r>
        <w:rPr>
          <w:b/>
        </w:rPr>
        <w:t>να πλαισιώσει τη ρήτρα διαφυγής ως προσωρινό εργαλείο έκτακτης ανάγκης</w:t>
      </w:r>
      <w:r>
        <w:t xml:space="preserve"> και όχι ως υποκατάστατο μιας συνεκτικής μακροπρόθεσμης δημοσιονομικής και αναπτυξιακής στρατηγικής. Καλεί επίσης την Επιτροπή να αξιολογήσει </w:t>
      </w:r>
      <w:r>
        <w:rPr>
          <w:b/>
        </w:rPr>
        <w:t>τον αυξανόμενο ρόλο των αμυντικών δαπανών στη βιώσιμη ανάπτυξη της ΕΕ</w:t>
      </w:r>
      <w:r>
        <w:t xml:space="preserve"> και τον αντίκτυπό τους στην απασχόληση και τη μελλοντική δημοσιονομική σταθερότητα.</w:t>
      </w:r>
    </w:p>
    <w:p w14:paraId="61FE117E" w14:textId="77777777" w:rsidR="00627FDF" w:rsidRPr="00627FDF" w:rsidRDefault="00627FDF" w:rsidP="007526DA">
      <w:pPr>
        <w:widowControl w:val="0"/>
        <w:numPr>
          <w:ilvl w:val="0"/>
          <w:numId w:val="15"/>
        </w:numPr>
        <w:overflowPunct w:val="0"/>
        <w:autoSpaceDE w:val="0"/>
        <w:autoSpaceDN w:val="0"/>
        <w:adjustRightInd w:val="0"/>
        <w:ind w:left="567" w:hanging="567"/>
        <w:textAlignment w:val="baseline"/>
        <w:rPr>
          <w:bCs/>
          <w:iCs/>
        </w:rPr>
      </w:pPr>
      <w:r>
        <w:t>Επαναλαμβάνει το κάλεσμά της για πιο</w:t>
      </w:r>
      <w:r>
        <w:rPr>
          <w:b/>
        </w:rPr>
        <w:t xml:space="preserve"> ισχυρή, διαρθρωμένη και ουσιαστική συμμετοχή των κοινωνικών εταίρων και των ΟΚΠ σε ευρωπαϊκό, εθνικό και τοπικό επίπεδο</w:t>
      </w:r>
      <w:r>
        <w:t xml:space="preserve"> στην εφαρμογή του κύκλου του Εξαμήνου.</w:t>
      </w:r>
    </w:p>
    <w:p w14:paraId="6AF1FBF1" w14:textId="77777777" w:rsidR="00627FDF" w:rsidRPr="00627FDF" w:rsidRDefault="00627FDF" w:rsidP="00100EF9">
      <w:pPr>
        <w:widowControl w:val="0"/>
        <w:overflowPunct w:val="0"/>
        <w:autoSpaceDE w:val="0"/>
        <w:autoSpaceDN w:val="0"/>
        <w:adjustRightInd w:val="0"/>
        <w:ind w:left="567"/>
        <w:textAlignment w:val="baseline"/>
        <w:rPr>
          <w:bCs/>
          <w:iCs/>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5"/>
        <w:gridCol w:w="8024"/>
      </w:tblGrid>
      <w:tr w:rsidR="00627FDF" w:rsidRPr="00627FDF" w14:paraId="52F142FB" w14:textId="77777777" w:rsidTr="00601D8A">
        <w:tc>
          <w:tcPr>
            <w:tcW w:w="625" w:type="pct"/>
          </w:tcPr>
          <w:p w14:paraId="605B3F57" w14:textId="77777777" w:rsidR="00627FDF" w:rsidRPr="00627FDF" w:rsidRDefault="00627FDF" w:rsidP="00100EF9">
            <w:pPr>
              <w:overflowPunct w:val="0"/>
              <w:autoSpaceDE w:val="0"/>
              <w:autoSpaceDN w:val="0"/>
              <w:adjustRightInd w:val="0"/>
              <w:textAlignment w:val="baseline"/>
              <w:rPr>
                <w:i/>
              </w:rPr>
            </w:pPr>
            <w:r>
              <w:rPr>
                <w:b/>
                <w:i/>
              </w:rPr>
              <w:t>Επικοινωνία</w:t>
            </w:r>
          </w:p>
        </w:tc>
        <w:tc>
          <w:tcPr>
            <w:tcW w:w="4375" w:type="pct"/>
          </w:tcPr>
          <w:p w14:paraId="2799D0F0" w14:textId="77777777" w:rsidR="00627FDF" w:rsidRPr="00627FDF" w:rsidRDefault="00627FDF" w:rsidP="00100EF9">
            <w:pPr>
              <w:overflowPunct w:val="0"/>
              <w:autoSpaceDE w:val="0"/>
              <w:autoSpaceDN w:val="0"/>
              <w:adjustRightInd w:val="0"/>
              <w:textAlignment w:val="baseline"/>
              <w:rPr>
                <w:i/>
              </w:rPr>
            </w:pPr>
            <w:r>
              <w:rPr>
                <w:i/>
              </w:rPr>
              <w:t>Άννα Πανταζή</w:t>
            </w:r>
          </w:p>
        </w:tc>
      </w:tr>
      <w:tr w:rsidR="00627FDF" w:rsidRPr="00627FDF" w14:paraId="2AECF76E" w14:textId="77777777" w:rsidTr="00601D8A">
        <w:tc>
          <w:tcPr>
            <w:tcW w:w="625" w:type="pct"/>
          </w:tcPr>
          <w:p w14:paraId="0CA36F14" w14:textId="77777777" w:rsidR="00627FDF" w:rsidRPr="00627FDF" w:rsidRDefault="00627FDF" w:rsidP="00100EF9">
            <w:pPr>
              <w:overflowPunct w:val="0"/>
              <w:autoSpaceDE w:val="0"/>
              <w:autoSpaceDN w:val="0"/>
              <w:adjustRightInd w:val="0"/>
              <w:textAlignment w:val="baseline"/>
              <w:rPr>
                <w:i/>
              </w:rPr>
            </w:pPr>
            <w:proofErr w:type="spellStart"/>
            <w:r>
              <w:rPr>
                <w:i/>
              </w:rPr>
              <w:t>Τηλ</w:t>
            </w:r>
            <w:proofErr w:type="spellEnd"/>
            <w:r>
              <w:rPr>
                <w:i/>
              </w:rPr>
              <w:t>.</w:t>
            </w:r>
          </w:p>
        </w:tc>
        <w:tc>
          <w:tcPr>
            <w:tcW w:w="4375" w:type="pct"/>
          </w:tcPr>
          <w:p w14:paraId="74E90836" w14:textId="1D42CC9B" w:rsidR="00627FDF" w:rsidRPr="00627FDF" w:rsidRDefault="00627FDF" w:rsidP="00100EF9">
            <w:pPr>
              <w:overflowPunct w:val="0"/>
              <w:autoSpaceDE w:val="0"/>
              <w:autoSpaceDN w:val="0"/>
              <w:adjustRightInd w:val="0"/>
              <w:textAlignment w:val="baseline"/>
              <w:rPr>
                <w:i/>
              </w:rPr>
            </w:pPr>
            <w:r>
              <w:rPr>
                <w:i/>
              </w:rPr>
              <w:t>+32 25469231</w:t>
            </w:r>
          </w:p>
        </w:tc>
      </w:tr>
      <w:tr w:rsidR="00627FDF" w:rsidRPr="00627FDF" w14:paraId="03A39DE3" w14:textId="77777777" w:rsidTr="00601D8A">
        <w:tc>
          <w:tcPr>
            <w:tcW w:w="625" w:type="pct"/>
          </w:tcPr>
          <w:p w14:paraId="5FDCFB85" w14:textId="77777777" w:rsidR="00627FDF" w:rsidRPr="00627FDF" w:rsidRDefault="00627FDF" w:rsidP="00100EF9">
            <w:pPr>
              <w:overflowPunct w:val="0"/>
              <w:autoSpaceDE w:val="0"/>
              <w:autoSpaceDN w:val="0"/>
              <w:adjustRightInd w:val="0"/>
              <w:textAlignment w:val="baseline"/>
              <w:rPr>
                <w:i/>
              </w:rPr>
            </w:pPr>
            <w:proofErr w:type="spellStart"/>
            <w:r>
              <w:rPr>
                <w:i/>
              </w:rPr>
              <w:t>Ηλ</w:t>
            </w:r>
            <w:proofErr w:type="spellEnd"/>
            <w:r>
              <w:rPr>
                <w:i/>
              </w:rPr>
              <w:t>. δ/</w:t>
            </w:r>
            <w:proofErr w:type="spellStart"/>
            <w:r>
              <w:rPr>
                <w:i/>
              </w:rPr>
              <w:t>νση</w:t>
            </w:r>
            <w:proofErr w:type="spellEnd"/>
          </w:p>
        </w:tc>
        <w:tc>
          <w:tcPr>
            <w:tcW w:w="4375" w:type="pct"/>
          </w:tcPr>
          <w:p w14:paraId="3BA9FEE0" w14:textId="77777777" w:rsidR="00627FDF" w:rsidRPr="00627FDF" w:rsidRDefault="0005365A" w:rsidP="00100EF9">
            <w:pPr>
              <w:overflowPunct w:val="0"/>
              <w:autoSpaceDE w:val="0"/>
              <w:autoSpaceDN w:val="0"/>
              <w:adjustRightInd w:val="0"/>
              <w:textAlignment w:val="baseline"/>
              <w:rPr>
                <w:i/>
              </w:rPr>
            </w:pPr>
            <w:hyperlink r:id="rId19" w:history="1">
              <w:r w:rsidR="00E235D3">
                <w:rPr>
                  <w:i/>
                  <w:color w:val="0000FF"/>
                  <w:u w:val="single"/>
                </w:rPr>
                <w:t>Anna.Pantazi@eesc.europa.eu</w:t>
              </w:r>
            </w:hyperlink>
          </w:p>
        </w:tc>
      </w:tr>
    </w:tbl>
    <w:p w14:paraId="69D261DC" w14:textId="6E0384BF" w:rsidR="00557848" w:rsidRDefault="00557848" w:rsidP="00100EF9">
      <w:pPr>
        <w:pStyle w:val="ListParagraph"/>
        <w:ind w:left="0"/>
      </w:pPr>
    </w:p>
    <w:p w14:paraId="18087D90" w14:textId="77777777" w:rsidR="00557848" w:rsidRDefault="00557848" w:rsidP="00100EF9">
      <w:pPr>
        <w:jc w:val="left"/>
      </w:pPr>
      <w:r>
        <w:br w:type="page"/>
      </w:r>
    </w:p>
    <w:p w14:paraId="1CFC3C7D" w14:textId="4EE86689" w:rsidR="00532F99" w:rsidRPr="00153E09" w:rsidRDefault="0005365A" w:rsidP="00100EF9">
      <w:pPr>
        <w:widowControl w:val="0"/>
        <w:numPr>
          <w:ilvl w:val="0"/>
          <w:numId w:val="6"/>
        </w:numPr>
        <w:overflowPunct w:val="0"/>
        <w:autoSpaceDE w:val="0"/>
        <w:autoSpaceDN w:val="0"/>
        <w:adjustRightInd w:val="0"/>
        <w:ind w:hanging="567"/>
        <w:textAlignment w:val="baseline"/>
        <w:rPr>
          <w:b/>
          <w:i/>
          <w:iCs/>
          <w:sz w:val="28"/>
          <w:szCs w:val="28"/>
        </w:rPr>
      </w:pPr>
      <w:hyperlink r:id="rId20" w:history="1">
        <w:r w:rsidR="00532F99">
          <w:rPr>
            <w:b/>
            <w:i/>
            <w:color w:val="0000FF"/>
            <w:sz w:val="28"/>
            <w:u w:val="single"/>
          </w:rPr>
          <w:t>Η νησιωτική διάσταση στις ευρωπαϊκές πολιτικές συνοχής, ανταγωνιστικότητας και βιώσιμης ανάπτυξης</w:t>
        </w:r>
      </w:hyperlink>
    </w:p>
    <w:p w14:paraId="6D45E35E" w14:textId="77777777" w:rsidR="00153E09" w:rsidRPr="00153E09" w:rsidRDefault="00153E09" w:rsidP="00100EF9">
      <w:pPr>
        <w:widowControl w:val="0"/>
        <w:overflowPunct w:val="0"/>
        <w:autoSpaceDE w:val="0"/>
        <w:autoSpaceDN w:val="0"/>
        <w:adjustRightInd w:val="0"/>
        <w:ind w:left="709"/>
        <w:textAlignment w:val="baseline"/>
      </w:pPr>
    </w:p>
    <w:tbl>
      <w:tblPr>
        <w:tblStyle w:val="TableGrid4"/>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479"/>
      </w:tblGrid>
      <w:tr w:rsidR="00532F99" w:rsidRPr="00532F99" w14:paraId="67745AC7" w14:textId="77777777" w:rsidTr="00D0608D">
        <w:tc>
          <w:tcPr>
            <w:tcW w:w="1701" w:type="dxa"/>
          </w:tcPr>
          <w:p w14:paraId="61C2DFEA" w14:textId="77777777" w:rsidR="00532F99" w:rsidRPr="00532F99" w:rsidRDefault="00532F99" w:rsidP="00100EF9">
            <w:pPr>
              <w:tabs>
                <w:tab w:val="center" w:pos="284"/>
              </w:tabs>
              <w:overflowPunct w:val="0"/>
              <w:autoSpaceDE w:val="0"/>
              <w:autoSpaceDN w:val="0"/>
              <w:adjustRightInd w:val="0"/>
              <w:ind w:left="266" w:hanging="266"/>
              <w:textAlignment w:val="baseline"/>
              <w:rPr>
                <w:b/>
              </w:rPr>
            </w:pPr>
            <w:r>
              <w:rPr>
                <w:b/>
              </w:rPr>
              <w:t>Εισηγητής</w:t>
            </w:r>
          </w:p>
        </w:tc>
        <w:tc>
          <w:tcPr>
            <w:tcW w:w="7479" w:type="dxa"/>
          </w:tcPr>
          <w:p w14:paraId="1D4B2919" w14:textId="013947C3" w:rsidR="00153E09" w:rsidRPr="00532F99" w:rsidRDefault="00532F99" w:rsidP="00100EF9">
            <w:pPr>
              <w:tabs>
                <w:tab w:val="center" w:pos="284"/>
              </w:tabs>
              <w:overflowPunct w:val="0"/>
              <w:autoSpaceDE w:val="0"/>
              <w:autoSpaceDN w:val="0"/>
              <w:adjustRightInd w:val="0"/>
              <w:ind w:left="266" w:hanging="266"/>
              <w:textAlignment w:val="baseline"/>
            </w:pPr>
            <w:r>
              <w:t>Ιωάννης ΒΑΡΔΑΚΑΣΤΑΝΗΣ (Ομάδα των Οργανώσεων της Κοινωνίας των Πολιτών – EL)</w:t>
            </w:r>
          </w:p>
        </w:tc>
      </w:tr>
      <w:tr w:rsidR="00205469" w:rsidRPr="00532F99" w14:paraId="1E28C030" w14:textId="77777777" w:rsidTr="00D0608D">
        <w:tc>
          <w:tcPr>
            <w:tcW w:w="1701" w:type="dxa"/>
          </w:tcPr>
          <w:p w14:paraId="6556B0F0" w14:textId="77777777" w:rsidR="00205469" w:rsidRPr="00532F99" w:rsidRDefault="00205469" w:rsidP="00100EF9">
            <w:pPr>
              <w:tabs>
                <w:tab w:val="center" w:pos="284"/>
              </w:tabs>
              <w:overflowPunct w:val="0"/>
              <w:autoSpaceDE w:val="0"/>
              <w:autoSpaceDN w:val="0"/>
              <w:adjustRightInd w:val="0"/>
              <w:ind w:left="266" w:hanging="266"/>
              <w:textAlignment w:val="baseline"/>
              <w:rPr>
                <w:b/>
              </w:rPr>
            </w:pPr>
          </w:p>
        </w:tc>
        <w:tc>
          <w:tcPr>
            <w:tcW w:w="7479" w:type="dxa"/>
          </w:tcPr>
          <w:p w14:paraId="49CED0B0" w14:textId="77777777" w:rsidR="00205469" w:rsidRPr="00532F99" w:rsidRDefault="00205469" w:rsidP="00100EF9">
            <w:pPr>
              <w:tabs>
                <w:tab w:val="center" w:pos="284"/>
              </w:tabs>
              <w:overflowPunct w:val="0"/>
              <w:autoSpaceDE w:val="0"/>
              <w:autoSpaceDN w:val="0"/>
              <w:adjustRightInd w:val="0"/>
              <w:ind w:left="266" w:hanging="266"/>
              <w:textAlignment w:val="baseline"/>
              <w:rPr>
                <w:bCs/>
              </w:rPr>
            </w:pPr>
          </w:p>
        </w:tc>
      </w:tr>
      <w:tr w:rsidR="00532F99" w:rsidRPr="00532F99" w14:paraId="6B1B0BDA" w14:textId="77777777" w:rsidTr="00D0608D">
        <w:tc>
          <w:tcPr>
            <w:tcW w:w="1701" w:type="dxa"/>
          </w:tcPr>
          <w:p w14:paraId="2C89221D" w14:textId="77777777" w:rsidR="00532F99" w:rsidRPr="00532F99" w:rsidRDefault="00532F99" w:rsidP="00100EF9">
            <w:pPr>
              <w:tabs>
                <w:tab w:val="center" w:pos="284"/>
              </w:tabs>
              <w:overflowPunct w:val="0"/>
              <w:autoSpaceDE w:val="0"/>
              <w:autoSpaceDN w:val="0"/>
              <w:adjustRightInd w:val="0"/>
              <w:ind w:left="266" w:hanging="266"/>
              <w:textAlignment w:val="baseline"/>
              <w:rPr>
                <w:b/>
              </w:rPr>
            </w:pPr>
            <w:r>
              <w:rPr>
                <w:b/>
              </w:rPr>
              <w:t>Έγγραφα αναφοράς</w:t>
            </w:r>
          </w:p>
        </w:tc>
        <w:tc>
          <w:tcPr>
            <w:tcW w:w="7479" w:type="dxa"/>
          </w:tcPr>
          <w:p w14:paraId="23EE8050" w14:textId="0AD297F8" w:rsidR="00532F99" w:rsidRPr="00532F99" w:rsidRDefault="00532F99" w:rsidP="00100EF9">
            <w:pPr>
              <w:tabs>
                <w:tab w:val="center" w:pos="321"/>
              </w:tabs>
              <w:overflowPunct w:val="0"/>
              <w:autoSpaceDE w:val="0"/>
              <w:autoSpaceDN w:val="0"/>
              <w:adjustRightInd w:val="0"/>
              <w:textAlignment w:val="baseline"/>
            </w:pPr>
            <w:r>
              <w:t>διερευνητική γνωμοδότηση κατόπιν αιτήματος της κυπριακής Προεδρίας του Συμβουλίου της ΕΕ</w:t>
            </w:r>
          </w:p>
          <w:p w14:paraId="0FBD455F" w14:textId="4C1CCA1A" w:rsidR="00532F99" w:rsidRPr="00532F99" w:rsidRDefault="00532F99" w:rsidP="00100EF9">
            <w:pPr>
              <w:tabs>
                <w:tab w:val="center" w:pos="284"/>
              </w:tabs>
              <w:overflowPunct w:val="0"/>
              <w:autoSpaceDE w:val="0"/>
              <w:autoSpaceDN w:val="0"/>
              <w:adjustRightInd w:val="0"/>
              <w:ind w:left="266" w:hanging="266"/>
              <w:textAlignment w:val="baseline"/>
            </w:pPr>
            <w:r>
              <w:t>EESC-2025-03598-00-00-AC</w:t>
            </w:r>
          </w:p>
        </w:tc>
      </w:tr>
    </w:tbl>
    <w:p w14:paraId="68AC2034" w14:textId="77777777" w:rsidR="00153E09" w:rsidRDefault="00153E09" w:rsidP="00100EF9">
      <w:pPr>
        <w:keepNext/>
        <w:keepLines/>
        <w:tabs>
          <w:tab w:val="center" w:pos="284"/>
        </w:tabs>
        <w:overflowPunct w:val="0"/>
        <w:autoSpaceDE w:val="0"/>
        <w:autoSpaceDN w:val="0"/>
        <w:adjustRightInd w:val="0"/>
        <w:ind w:left="266" w:hanging="266"/>
        <w:textAlignment w:val="baseline"/>
        <w:rPr>
          <w:b/>
          <w:lang w:val="en-GB"/>
        </w:rPr>
      </w:pPr>
    </w:p>
    <w:p w14:paraId="07A288D5" w14:textId="6C112457" w:rsidR="00532F99" w:rsidRPr="00532F99" w:rsidRDefault="00532F99" w:rsidP="00100EF9">
      <w:pPr>
        <w:keepNext/>
        <w:keepLines/>
        <w:tabs>
          <w:tab w:val="center" w:pos="284"/>
        </w:tabs>
        <w:overflowPunct w:val="0"/>
        <w:autoSpaceDE w:val="0"/>
        <w:autoSpaceDN w:val="0"/>
        <w:adjustRightInd w:val="0"/>
        <w:ind w:left="266" w:hanging="266"/>
        <w:textAlignment w:val="baseline"/>
        <w:rPr>
          <w:b/>
        </w:rPr>
      </w:pPr>
      <w:r>
        <w:rPr>
          <w:b/>
        </w:rPr>
        <w:t>Κύρια σημεία</w:t>
      </w:r>
    </w:p>
    <w:p w14:paraId="016816BE" w14:textId="77777777" w:rsidR="00532F99" w:rsidRPr="00532F99" w:rsidRDefault="00532F99" w:rsidP="00100EF9">
      <w:pPr>
        <w:keepNext/>
        <w:keepLines/>
        <w:tabs>
          <w:tab w:val="center" w:pos="284"/>
        </w:tabs>
        <w:overflowPunct w:val="0"/>
        <w:autoSpaceDE w:val="0"/>
        <w:autoSpaceDN w:val="0"/>
        <w:adjustRightInd w:val="0"/>
        <w:ind w:left="266" w:hanging="266"/>
        <w:textAlignment w:val="baseline"/>
        <w:rPr>
          <w:b/>
          <w:lang w:val="en-GB"/>
        </w:rPr>
      </w:pPr>
    </w:p>
    <w:p w14:paraId="113D35D1" w14:textId="77777777" w:rsidR="00532F99" w:rsidRPr="00532F99" w:rsidRDefault="00532F99" w:rsidP="00100EF9">
      <w:pPr>
        <w:overflowPunct w:val="0"/>
        <w:autoSpaceDE w:val="0"/>
        <w:autoSpaceDN w:val="0"/>
        <w:adjustRightInd w:val="0"/>
        <w:textAlignment w:val="baseline"/>
        <w:rPr>
          <w:bCs/>
          <w:iCs/>
        </w:rPr>
      </w:pPr>
      <w:r>
        <w:t>Η ΕΟΚΕ:</w:t>
      </w:r>
    </w:p>
    <w:p w14:paraId="4843EC5E" w14:textId="77777777" w:rsidR="00532F99" w:rsidRPr="00AD4D97" w:rsidRDefault="00532F99" w:rsidP="007526DA">
      <w:pPr>
        <w:pStyle w:val="ListParagraph"/>
        <w:numPr>
          <w:ilvl w:val="0"/>
          <w:numId w:val="28"/>
        </w:numPr>
        <w:ind w:left="567" w:hanging="567"/>
      </w:pPr>
      <w:bookmarkStart w:id="5" w:name="_Toc222825817"/>
      <w:r>
        <w:t xml:space="preserve">Πιστεύει ότι τα νησιά της ΕΕ αντιμετωπίζουν </w:t>
      </w:r>
      <w:r>
        <w:rPr>
          <w:u w:val="single"/>
        </w:rPr>
        <w:t>επίμονα διαρθρωτικά μειονεκτήματα</w:t>
      </w:r>
      <w:r>
        <w:t>, δηλαδή γεωγραφικούς, οικονομικούς, δημογραφικούς και κλιματικούς περιορισμούς, όπως η απομόνωση, η τήξη των πάγων, το υψηλό κόστος μεταφορών και ενέργειας, η στεγαστική πίεση, οι ελλείψεις εργατικού δυναμικού και η υπερβολική εξάρτηση από τον τουρισμό.</w:t>
      </w:r>
      <w:bookmarkEnd w:id="5"/>
    </w:p>
    <w:p w14:paraId="70CF9AE7" w14:textId="77777777" w:rsidR="00532F99" w:rsidRPr="00AD4D97" w:rsidRDefault="00532F99" w:rsidP="007526DA">
      <w:pPr>
        <w:pStyle w:val="ListParagraph"/>
        <w:numPr>
          <w:ilvl w:val="0"/>
          <w:numId w:val="28"/>
        </w:numPr>
        <w:ind w:left="567" w:hanging="567"/>
        <w:rPr>
          <w:u w:val="single"/>
        </w:rPr>
      </w:pPr>
      <w:bookmarkStart w:id="6" w:name="_Toc222825818"/>
      <w:r>
        <w:t>Είναι της άποψης ότι τα νησιά είναι απαραίτητα για τη γεωπολιτική θέση της ΕΕ, τη διαχείριση της μετανάστευσης, την ασφάλεια στη θάλασσα και την ενεργειακή μετάβαση. Τα θαλάσσια οικοσυστήματά τους και οι αντίστοιχες αποκλειστικές οικονομικές ζώνες (ΑΟΖ) στηρίζουν τους στόχους της γαλάζιας οικονομίας και της βιοποικιλότητας. Παρά την αναγνώριση στις Συνθήκες της ΕΕ και τις πολιτικές δηλώσεις, οι ιδιαίτερες προκλήσεις των νησιών δεν αντιμετωπίζονται επαρκώς από τις τομεακές πολιτικές της ΕΕ. Τα νησιά έχουν τη δυνατότητα να αποτελέσουν εργαστήρια καινοτομίας και βιωσιμότητας, επιδεικνύοντας λύσεις για την προσαρμογή στην κλιματική αλλαγή, τις ανανεώσιμες πηγές ενέργειας, τη διατήρηση του θαλάσσιου περιβάλλοντος και τον βιώσιμο τουρισμό.</w:t>
      </w:r>
      <w:bookmarkEnd w:id="6"/>
    </w:p>
    <w:p w14:paraId="67767811" w14:textId="77777777" w:rsidR="00532F99" w:rsidRPr="00AD4D97" w:rsidRDefault="00532F99" w:rsidP="007526DA">
      <w:pPr>
        <w:pStyle w:val="ListParagraph"/>
        <w:numPr>
          <w:ilvl w:val="0"/>
          <w:numId w:val="28"/>
        </w:numPr>
        <w:ind w:left="567" w:hanging="567"/>
      </w:pPr>
      <w:bookmarkStart w:id="7" w:name="_Toc222825819"/>
      <w:r>
        <w:rPr>
          <w:u w:val="single"/>
        </w:rPr>
        <w:t>Αναγνωρίζει ότι υπάρχει ανάγκη για μια συστημική προσέγγιση</w:t>
      </w:r>
      <w:r>
        <w:t xml:space="preserve">. Η αποτελεσματική πολιτική της ΕΕ για τα νησιά και τα νησιωτικά εδάφη εν γένει (συμπεριλαμβανομένων των εξόχως απόκεντρων περιοχών και των λιμναίων περιοχών) απαιτεί ολοκληρωμένες, </w:t>
      </w:r>
      <w:proofErr w:type="spellStart"/>
      <w:r>
        <w:t>διατομεακές</w:t>
      </w:r>
      <w:proofErr w:type="spellEnd"/>
      <w:r>
        <w:t xml:space="preserve"> στρατηγικές για τη συνδεσιμότητα, την οικονομική διαφοροποίηση, την κοινωνική συνοχή, την οικολογική, κοινωνική και οικονομική ανθεκτικότητα και τη γεωπολιτική ετοιμότητα.</w:t>
      </w:r>
      <w:bookmarkEnd w:id="7"/>
    </w:p>
    <w:p w14:paraId="46E91099" w14:textId="77777777" w:rsidR="00532F99" w:rsidRPr="00AD4D97" w:rsidRDefault="00532F99" w:rsidP="007526DA">
      <w:pPr>
        <w:pStyle w:val="ListParagraph"/>
        <w:numPr>
          <w:ilvl w:val="0"/>
          <w:numId w:val="28"/>
        </w:numPr>
        <w:ind w:left="567" w:hanging="567"/>
      </w:pPr>
      <w:bookmarkStart w:id="8" w:name="_Toc222825820"/>
      <w:r>
        <w:t>Ζητεί τη θέσπιση ειδικής στρατηγικής της Ένωσης για τα νησιά (</w:t>
      </w:r>
      <w:r>
        <w:rPr>
          <w:b/>
        </w:rPr>
        <w:t>σύμφωνο για τα νησιά</w:t>
      </w:r>
      <w:r>
        <w:t>), η οποία θα υποστηρίζεται από ειδικό νομοθετικό πλαίσιο (</w:t>
      </w:r>
      <w:r>
        <w:rPr>
          <w:b/>
        </w:rPr>
        <w:t>πράξη για τα νησιά</w:t>
      </w:r>
      <w:r>
        <w:t>). Το εν λόγω πλαίσιο θα πρέπει να συνοδεύεται από επίσημη στρατηγική και να προβλέπει την αποτελεσματική εφαρμογή μιας «</w:t>
      </w:r>
      <w:r>
        <w:rPr>
          <w:b/>
        </w:rPr>
        <w:t>ρήτρας νησιωτικού χαρακτήρα</w:t>
      </w:r>
      <w:r>
        <w:t>», με σκοπό τη συστηματική ενσωμάτωση των ειδικών αναγκών και περιορισμών των νησιών στις πολιτικές της Ένωσης για τη συνοχή, τις μεταφορές, την ενέργεια, τις κρατικές ενισχύσεις, το περιβάλλον και τη θάλασσα.</w:t>
      </w:r>
      <w:bookmarkEnd w:id="8"/>
    </w:p>
    <w:p w14:paraId="762E910D" w14:textId="77777777" w:rsidR="00532F99" w:rsidRPr="00AD4D97" w:rsidRDefault="00532F99" w:rsidP="007526DA">
      <w:pPr>
        <w:pStyle w:val="ListParagraph"/>
        <w:numPr>
          <w:ilvl w:val="0"/>
          <w:numId w:val="28"/>
        </w:numPr>
        <w:ind w:left="567" w:hanging="567"/>
      </w:pPr>
      <w:bookmarkStart w:id="9" w:name="_Toc222825821"/>
      <w:r>
        <w:t xml:space="preserve">Τονίζει ότι η βελτίωση της συνδεσιμότητας και των υποδομών στις νησιωτικές περιοχές είναι απαραίτητη για την εδαφική συνοχή και ζητεί βελτιωμένα συστήματα μεταφορών και δημόσιας κινητικότητας, ενισχυμένη ψηφιακή συνδεσιμότητα και ανθεκτικότερα ενεργειακά δίκτυα, με σαφή έμφαση στην </w:t>
      </w:r>
      <w:proofErr w:type="spellStart"/>
      <w:r>
        <w:t>απανθρακοποίηση</w:t>
      </w:r>
      <w:proofErr w:type="spellEnd"/>
      <w:r>
        <w:t xml:space="preserve"> και στην ενεργειακή αυτονομία.</w:t>
      </w:r>
      <w:bookmarkEnd w:id="9"/>
    </w:p>
    <w:p w14:paraId="737F86E5" w14:textId="77777777" w:rsidR="00532F99" w:rsidRPr="00AD4D97" w:rsidRDefault="00532F99" w:rsidP="007526DA">
      <w:pPr>
        <w:pStyle w:val="ListParagraph"/>
        <w:numPr>
          <w:ilvl w:val="0"/>
          <w:numId w:val="28"/>
        </w:numPr>
        <w:ind w:left="567" w:hanging="567"/>
      </w:pPr>
      <w:bookmarkStart w:id="10" w:name="_Toc222825822"/>
      <w:r>
        <w:t xml:space="preserve">Τονίζει ότι οι νησιωτικές περιοχές θα πρέπει να διαφοροποιήσουν τις οικονομίες τους μέσω της ανάπτυξης μιας βιώσιμης και ανταγωνιστικής γαλάζιας οικονομίας που θα βασίζεται στα </w:t>
      </w:r>
      <w:r>
        <w:lastRenderedPageBreak/>
        <w:t>ιδιαίτερα πλεονεκτήματά τους, όπως οι θαλάσσιοι πόροι, το δυναμικό ανανεώσιμων πηγών ενέργειας, ο τουρισμός, η πολιτιστική κληρονομιά και οι κλάδοι της δημιουργίας.</w:t>
      </w:r>
      <w:bookmarkEnd w:id="10"/>
    </w:p>
    <w:p w14:paraId="7E670409" w14:textId="77777777" w:rsidR="00532F99" w:rsidRPr="00AD4D97" w:rsidRDefault="00532F99" w:rsidP="007526DA">
      <w:pPr>
        <w:pStyle w:val="ListParagraph"/>
        <w:numPr>
          <w:ilvl w:val="0"/>
          <w:numId w:val="28"/>
        </w:numPr>
        <w:ind w:left="567" w:hanging="567"/>
      </w:pPr>
      <w:bookmarkStart w:id="11" w:name="_Toc222825823"/>
      <w:r>
        <w:t xml:space="preserve">Τονίζει ότι η κοινωνική συνοχή και η ανάπτυξη του ανθρώπινου κεφαλαίου έχουν καίρια σημασία για τη μακροπρόθεσμη βιωσιμότητα των νησιωτικών κοινοτήτων. Ζητεί </w:t>
      </w:r>
      <w:proofErr w:type="spellStart"/>
      <w:r>
        <w:t>στοχευμένες</w:t>
      </w:r>
      <w:proofErr w:type="spellEnd"/>
      <w:r>
        <w:t xml:space="preserve"> πολιτικές για την αντιμετώπιση των ελλείψεων στέγασης, των αναντιστοιχιών στην αγορά εργασίας, των κενών δεξιοτήτων και της μετανάστευσης των νέων, με ενσωμάτωση συστημάτων εκπαίδευσης χωρίς αποκλεισμούς, ευκαιριών ποιοτικής απασχόλησης και λύσεων οικονομικά προσιτής στέγασης, προσαρμοσμένων στα ειδικά χαρακτηριστικά των νησιών·</w:t>
      </w:r>
      <w:bookmarkEnd w:id="11"/>
    </w:p>
    <w:p w14:paraId="5112CF6B" w14:textId="77777777" w:rsidR="00532F99" w:rsidRPr="00AD4D97" w:rsidRDefault="00532F99" w:rsidP="007526DA">
      <w:pPr>
        <w:pStyle w:val="ListParagraph"/>
        <w:numPr>
          <w:ilvl w:val="0"/>
          <w:numId w:val="28"/>
        </w:numPr>
        <w:ind w:left="567" w:hanging="567"/>
        <w:rPr>
          <w:sz w:val="24"/>
          <w:szCs w:val="24"/>
        </w:rPr>
      </w:pPr>
      <w:bookmarkStart w:id="12" w:name="_Toc222825824"/>
      <w:r>
        <w:t>Τονίζει ότι είναι επείγον να σημειωθεί πρόοδος όσον αφορά την προστασία του περιβάλλοντος και την ανθεκτικότητα στην κλιματική αλλαγή στις νησιωτικές περιοχές, οι οποίες είναι δυσανάλογα εκτεθειμένες στην κλιματική αλλαγή.</w:t>
      </w:r>
      <w:bookmarkEnd w:id="12"/>
    </w:p>
    <w:p w14:paraId="59AC2957" w14:textId="77777777" w:rsidR="00532F99" w:rsidRPr="00AD4D97" w:rsidRDefault="00532F99" w:rsidP="007526DA">
      <w:pPr>
        <w:pStyle w:val="ListParagraph"/>
        <w:numPr>
          <w:ilvl w:val="0"/>
          <w:numId w:val="28"/>
        </w:numPr>
        <w:ind w:left="567" w:hanging="567"/>
      </w:pPr>
      <w:bookmarkStart w:id="13" w:name="_Toc222825825"/>
      <w:r>
        <w:t xml:space="preserve">Ζητεί την επίσημη ενσωμάτωση της παρακολούθησης, της ανάλυσης προοπτικών και της συμμετοχικής διακυβέρνησης στις νησιωτικές πολιτικές, προτείνοντας την κατάρτιση </w:t>
      </w:r>
      <w:r>
        <w:rPr>
          <w:b/>
        </w:rPr>
        <w:t>τακτικής έκθεσης εφαρμογής για τα νησιά</w:t>
      </w:r>
      <w:r>
        <w:t xml:space="preserve"> με σκοπό την παρακολούθηση βασικών δημογραφικών, οικονομικών, κοινωνικών και περιβαλλοντικών δεικτών.</w:t>
      </w:r>
      <w:bookmarkEnd w:id="13"/>
      <w:r>
        <w:t xml:space="preserve"> </w:t>
      </w:r>
    </w:p>
    <w:p w14:paraId="3CBAD6E8" w14:textId="77777777" w:rsidR="00532F99" w:rsidRPr="00AD4D97" w:rsidRDefault="00532F99" w:rsidP="007526DA">
      <w:pPr>
        <w:pStyle w:val="ListParagraph"/>
        <w:numPr>
          <w:ilvl w:val="0"/>
          <w:numId w:val="28"/>
        </w:numPr>
        <w:ind w:left="567" w:hanging="567"/>
      </w:pPr>
      <w:bookmarkStart w:id="14" w:name="_Toc222825826"/>
      <w:r>
        <w:t xml:space="preserve">Εκτιμά ότι τα νησιά της ΕΕ δεν πρέπει πλέον να αντιμετωπίζονται ως περιφερειακές περιοχές. Είναι περιοχές πρώτης γραμμής για την κυριαρχία, την ανθεκτικότητα και την ικανότητα καινοτομίας της Ευρώπης. Θα ήταν απαραίτητη μια </w:t>
      </w:r>
      <w:proofErr w:type="spellStart"/>
      <w:r>
        <w:t>στοχευμένη</w:t>
      </w:r>
      <w:proofErr w:type="spellEnd"/>
      <w:r>
        <w:t>, συστημική και νομικά εδραιωμένη στρατηγική της ΕΕ για τα νησιά (</w:t>
      </w:r>
      <w:r>
        <w:rPr>
          <w:b/>
        </w:rPr>
        <w:t>σύμφωνο για τα νησιά</w:t>
      </w:r>
      <w:r>
        <w:t>) ώστε τα τελευταία να μετατραπούν σε κινητήριες δυνάμεις βιώσιμης ανάπτυξης, ανθεκτικότητας στην κλιματική αλλαγή και γεωπολιτικής ασφάλειας, στρατηγική η οποία θα διασφαλίσει ότι οι νησιωτικές κοινότητες είναι σε θέση να ευημερήσουν και θα ενισχύσει παράλληλα τη στρατηγική αυτονομία και συνοχή της Ευρώπης. Αυτό αναδείχθηκε πρόσφατα από τον γεωπολιτικά καίριο ρόλο τον οποίο διαδραματίζει η Γροιλανδία στις ισορροπίες ασφαλείας της Αρκτικής, στις διατλαντικές σχέσεις και στον ανταγωνισμό των μεγάλων δυνάμεων, καθώς και από τη σημασία της χώρας αυτής για τη στρατηγική αυτονομία της Ευρώπης στον τομέα της άμυνας.</w:t>
      </w:r>
      <w:bookmarkEnd w:id="14"/>
    </w:p>
    <w:p w14:paraId="66D35620" w14:textId="77777777" w:rsidR="00532F99" w:rsidRPr="00532F99" w:rsidRDefault="00532F99" w:rsidP="00100EF9">
      <w:pPr>
        <w:ind w:left="284" w:hanging="284"/>
        <w:rPr>
          <w:bCs/>
          <w:iCs/>
          <w:lang w:val="en-GB"/>
        </w:rPr>
      </w:pPr>
    </w:p>
    <w:tbl>
      <w:tblPr>
        <w:tblStyle w:val="TableGrid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688"/>
      </w:tblGrid>
      <w:tr w:rsidR="00532F99" w:rsidRPr="00532F99" w14:paraId="51FA2FFC" w14:textId="77777777" w:rsidTr="00D0608D">
        <w:tc>
          <w:tcPr>
            <w:tcW w:w="1526" w:type="dxa"/>
          </w:tcPr>
          <w:p w14:paraId="549BED47" w14:textId="77777777" w:rsidR="00532F99" w:rsidRPr="00532F99" w:rsidRDefault="00532F99" w:rsidP="00D0608D">
            <w:pPr>
              <w:overflowPunct w:val="0"/>
              <w:autoSpaceDE w:val="0"/>
              <w:autoSpaceDN w:val="0"/>
              <w:adjustRightInd w:val="0"/>
              <w:ind w:right="-77"/>
              <w:textAlignment w:val="baseline"/>
              <w:rPr>
                <w:i/>
              </w:rPr>
            </w:pPr>
            <w:r>
              <w:rPr>
                <w:b/>
                <w:i/>
              </w:rPr>
              <w:t>Επικοινωνία</w:t>
            </w:r>
          </w:p>
        </w:tc>
        <w:tc>
          <w:tcPr>
            <w:tcW w:w="7688" w:type="dxa"/>
          </w:tcPr>
          <w:p w14:paraId="7CEAACF5" w14:textId="0581C1FF" w:rsidR="00532F99" w:rsidRPr="00532F99" w:rsidRDefault="00532F99" w:rsidP="00100EF9">
            <w:pPr>
              <w:overflowPunct w:val="0"/>
              <w:autoSpaceDE w:val="0"/>
              <w:autoSpaceDN w:val="0"/>
              <w:adjustRightInd w:val="0"/>
              <w:textAlignment w:val="baseline"/>
              <w:rPr>
                <w:i/>
              </w:rPr>
            </w:pPr>
            <w:r>
              <w:rPr>
                <w:i/>
              </w:rPr>
              <w:t xml:space="preserve">Γεώργιος </w:t>
            </w:r>
            <w:proofErr w:type="spellStart"/>
            <w:r>
              <w:rPr>
                <w:i/>
              </w:rPr>
              <w:t>Μελέας</w:t>
            </w:r>
            <w:proofErr w:type="spellEnd"/>
          </w:p>
        </w:tc>
      </w:tr>
      <w:tr w:rsidR="00532F99" w:rsidRPr="00532F99" w14:paraId="0AEF2AEB" w14:textId="77777777" w:rsidTr="00D0608D">
        <w:tc>
          <w:tcPr>
            <w:tcW w:w="1526" w:type="dxa"/>
          </w:tcPr>
          <w:p w14:paraId="060FAF7E" w14:textId="77777777" w:rsidR="00532F99" w:rsidRPr="00532F99" w:rsidRDefault="00532F99" w:rsidP="00100EF9">
            <w:pPr>
              <w:overflowPunct w:val="0"/>
              <w:autoSpaceDE w:val="0"/>
              <w:autoSpaceDN w:val="0"/>
              <w:adjustRightInd w:val="0"/>
              <w:textAlignment w:val="baseline"/>
              <w:rPr>
                <w:i/>
              </w:rPr>
            </w:pPr>
            <w:proofErr w:type="spellStart"/>
            <w:r>
              <w:rPr>
                <w:i/>
              </w:rPr>
              <w:t>Τηλ</w:t>
            </w:r>
            <w:proofErr w:type="spellEnd"/>
            <w:r>
              <w:rPr>
                <w:i/>
              </w:rPr>
              <w:t>.</w:t>
            </w:r>
          </w:p>
        </w:tc>
        <w:tc>
          <w:tcPr>
            <w:tcW w:w="7688" w:type="dxa"/>
          </w:tcPr>
          <w:p w14:paraId="22CC1931" w14:textId="49FE5AFE" w:rsidR="00532F99" w:rsidRPr="00532F99" w:rsidRDefault="00532F99" w:rsidP="00100EF9">
            <w:pPr>
              <w:overflowPunct w:val="0"/>
              <w:autoSpaceDE w:val="0"/>
              <w:autoSpaceDN w:val="0"/>
              <w:adjustRightInd w:val="0"/>
              <w:textAlignment w:val="baseline"/>
              <w:rPr>
                <w:i/>
              </w:rPr>
            </w:pPr>
            <w:r>
              <w:rPr>
                <w:i/>
              </w:rPr>
              <w:t>+32 25469795</w:t>
            </w:r>
          </w:p>
        </w:tc>
      </w:tr>
      <w:tr w:rsidR="00532F99" w:rsidRPr="00532F99" w14:paraId="20E9D1C8" w14:textId="77777777" w:rsidTr="00D0608D">
        <w:tc>
          <w:tcPr>
            <w:tcW w:w="1526" w:type="dxa"/>
          </w:tcPr>
          <w:p w14:paraId="144E431B" w14:textId="64663E9D" w:rsidR="00532F99" w:rsidRPr="00532F99" w:rsidRDefault="0037319B" w:rsidP="00100EF9">
            <w:pPr>
              <w:overflowPunct w:val="0"/>
              <w:autoSpaceDE w:val="0"/>
              <w:autoSpaceDN w:val="0"/>
              <w:adjustRightInd w:val="0"/>
              <w:textAlignment w:val="baseline"/>
              <w:rPr>
                <w:i/>
              </w:rPr>
            </w:pPr>
            <w:proofErr w:type="spellStart"/>
            <w:r>
              <w:rPr>
                <w:i/>
              </w:rPr>
              <w:t>Ηλ</w:t>
            </w:r>
            <w:proofErr w:type="spellEnd"/>
            <w:r>
              <w:rPr>
                <w:i/>
              </w:rPr>
              <w:t>. δ/</w:t>
            </w:r>
            <w:proofErr w:type="spellStart"/>
            <w:r>
              <w:rPr>
                <w:i/>
              </w:rPr>
              <w:t>νση</w:t>
            </w:r>
            <w:proofErr w:type="spellEnd"/>
          </w:p>
        </w:tc>
        <w:tc>
          <w:tcPr>
            <w:tcW w:w="7688" w:type="dxa"/>
          </w:tcPr>
          <w:p w14:paraId="19710C19" w14:textId="1ECFC656" w:rsidR="00532F99" w:rsidRPr="00532F99" w:rsidRDefault="0005365A" w:rsidP="00100EF9">
            <w:pPr>
              <w:overflowPunct w:val="0"/>
              <w:autoSpaceDE w:val="0"/>
              <w:autoSpaceDN w:val="0"/>
              <w:adjustRightInd w:val="0"/>
              <w:textAlignment w:val="baseline"/>
              <w:rPr>
                <w:i/>
                <w:iCs/>
              </w:rPr>
            </w:pPr>
            <w:hyperlink r:id="rId21" w:history="1">
              <w:r w:rsidR="00E235D3">
                <w:rPr>
                  <w:i/>
                  <w:color w:val="0000FF"/>
                  <w:u w:val="single"/>
                </w:rPr>
                <w:t>Georgios.Meleas@eesc.europa.eu</w:t>
              </w:r>
            </w:hyperlink>
          </w:p>
        </w:tc>
      </w:tr>
    </w:tbl>
    <w:p w14:paraId="3016994A" w14:textId="77777777" w:rsidR="007652C3" w:rsidRDefault="007652C3" w:rsidP="00100EF9">
      <w:pPr>
        <w:pStyle w:val="ListParagraph"/>
        <w:ind w:left="0"/>
      </w:pPr>
    </w:p>
    <w:p w14:paraId="28F747AB" w14:textId="77777777" w:rsidR="007652C3" w:rsidRDefault="007652C3" w:rsidP="00100EF9">
      <w:pPr>
        <w:jc w:val="left"/>
      </w:pPr>
      <w:r>
        <w:br w:type="page"/>
      </w:r>
    </w:p>
    <w:p w14:paraId="71EC6247" w14:textId="718F1B93" w:rsidR="007652C3" w:rsidRPr="007652C3" w:rsidRDefault="0005365A" w:rsidP="00100EF9">
      <w:pPr>
        <w:widowControl w:val="0"/>
        <w:numPr>
          <w:ilvl w:val="0"/>
          <w:numId w:val="6"/>
        </w:numPr>
        <w:overflowPunct w:val="0"/>
        <w:autoSpaceDE w:val="0"/>
        <w:autoSpaceDN w:val="0"/>
        <w:adjustRightInd w:val="0"/>
        <w:ind w:hanging="567"/>
        <w:textAlignment w:val="baseline"/>
        <w:rPr>
          <w:b/>
          <w:i/>
          <w:iCs/>
          <w:sz w:val="28"/>
          <w:szCs w:val="28"/>
        </w:rPr>
      </w:pPr>
      <w:hyperlink r:id="rId22" w:history="1">
        <w:r w:rsidR="00E235D3">
          <w:rPr>
            <w:b/>
            <w:i/>
            <w:color w:val="0000FF"/>
            <w:sz w:val="28"/>
            <w:u w:val="single"/>
          </w:rPr>
          <w:t>Αναθεώρηση της οδηγίας για τη φορολόγηση των προϊόντων καπνού</w:t>
        </w:r>
      </w:hyperlink>
    </w:p>
    <w:p w14:paraId="14832C64" w14:textId="77777777" w:rsidR="007652C3" w:rsidRPr="007652C3" w:rsidRDefault="007652C3" w:rsidP="00100EF9">
      <w:pPr>
        <w:tabs>
          <w:tab w:val="center" w:pos="284"/>
        </w:tabs>
        <w:overflowPunct w:val="0"/>
        <w:autoSpaceDE w:val="0"/>
        <w:autoSpaceDN w:val="0"/>
        <w:adjustRightInd w:val="0"/>
        <w:ind w:left="266" w:hanging="266"/>
        <w:textAlignment w:val="baseline"/>
        <w:rPr>
          <w:bCs/>
          <w:sz w:val="16"/>
          <w:szCs w:val="16"/>
          <w:lang w:val="en-GB"/>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547"/>
      </w:tblGrid>
      <w:tr w:rsidR="007652C3" w:rsidRPr="007652C3" w14:paraId="4B4C09EE" w14:textId="77777777" w:rsidTr="00D0608D">
        <w:tc>
          <w:tcPr>
            <w:tcW w:w="1526" w:type="dxa"/>
          </w:tcPr>
          <w:p w14:paraId="074AAFB4" w14:textId="77777777" w:rsidR="007652C3" w:rsidRPr="007652C3" w:rsidRDefault="007652C3" w:rsidP="00100EF9">
            <w:pPr>
              <w:tabs>
                <w:tab w:val="center" w:pos="284"/>
              </w:tabs>
              <w:overflowPunct w:val="0"/>
              <w:autoSpaceDE w:val="0"/>
              <w:autoSpaceDN w:val="0"/>
              <w:adjustRightInd w:val="0"/>
              <w:ind w:left="266" w:hanging="266"/>
              <w:textAlignment w:val="baseline"/>
              <w:rPr>
                <w:b/>
              </w:rPr>
            </w:pPr>
            <w:r>
              <w:rPr>
                <w:b/>
              </w:rPr>
              <w:t>Εισηγητής</w:t>
            </w:r>
          </w:p>
        </w:tc>
        <w:tc>
          <w:tcPr>
            <w:tcW w:w="7547" w:type="dxa"/>
          </w:tcPr>
          <w:p w14:paraId="574348C8" w14:textId="1A21DC9A" w:rsidR="00FC4D6F" w:rsidRPr="007652C3" w:rsidRDefault="007652C3" w:rsidP="00100EF9">
            <w:pPr>
              <w:tabs>
                <w:tab w:val="center" w:pos="284"/>
              </w:tabs>
              <w:overflowPunct w:val="0"/>
              <w:autoSpaceDE w:val="0"/>
              <w:autoSpaceDN w:val="0"/>
              <w:adjustRightInd w:val="0"/>
              <w:ind w:left="266" w:hanging="266"/>
              <w:textAlignment w:val="baseline"/>
            </w:pPr>
            <w:proofErr w:type="spellStart"/>
            <w:r>
              <w:t>Matteo</w:t>
            </w:r>
            <w:proofErr w:type="spellEnd"/>
            <w:r>
              <w:t xml:space="preserve"> </w:t>
            </w:r>
            <w:proofErr w:type="spellStart"/>
            <w:r>
              <w:t>Carlo</w:t>
            </w:r>
            <w:proofErr w:type="spellEnd"/>
            <w:r>
              <w:t xml:space="preserve"> BORSANI (Ομάδα των Εργοδοτών – IT)</w:t>
            </w:r>
          </w:p>
        </w:tc>
      </w:tr>
      <w:tr w:rsidR="00205469" w:rsidRPr="007652C3" w14:paraId="6586AC35" w14:textId="77777777" w:rsidTr="00D0608D">
        <w:tc>
          <w:tcPr>
            <w:tcW w:w="1526" w:type="dxa"/>
          </w:tcPr>
          <w:p w14:paraId="6C41B8BD" w14:textId="77777777" w:rsidR="00205469" w:rsidRPr="007652C3" w:rsidRDefault="00205469" w:rsidP="00100EF9">
            <w:pPr>
              <w:tabs>
                <w:tab w:val="center" w:pos="284"/>
              </w:tabs>
              <w:overflowPunct w:val="0"/>
              <w:autoSpaceDE w:val="0"/>
              <w:autoSpaceDN w:val="0"/>
              <w:adjustRightInd w:val="0"/>
              <w:ind w:left="266" w:hanging="266"/>
              <w:textAlignment w:val="baseline"/>
              <w:rPr>
                <w:b/>
              </w:rPr>
            </w:pPr>
          </w:p>
        </w:tc>
        <w:tc>
          <w:tcPr>
            <w:tcW w:w="7547" w:type="dxa"/>
          </w:tcPr>
          <w:p w14:paraId="30591BA7" w14:textId="77777777" w:rsidR="00205469" w:rsidRPr="007652C3" w:rsidRDefault="00205469" w:rsidP="00100EF9">
            <w:pPr>
              <w:tabs>
                <w:tab w:val="center" w:pos="284"/>
              </w:tabs>
              <w:overflowPunct w:val="0"/>
              <w:autoSpaceDE w:val="0"/>
              <w:autoSpaceDN w:val="0"/>
              <w:adjustRightInd w:val="0"/>
              <w:ind w:left="266" w:hanging="266"/>
              <w:textAlignment w:val="baseline"/>
              <w:rPr>
                <w:bCs/>
              </w:rPr>
            </w:pPr>
          </w:p>
        </w:tc>
      </w:tr>
      <w:tr w:rsidR="007652C3" w:rsidRPr="00100EF9" w14:paraId="2243F74F" w14:textId="77777777" w:rsidTr="00D0608D">
        <w:tc>
          <w:tcPr>
            <w:tcW w:w="1526" w:type="dxa"/>
          </w:tcPr>
          <w:p w14:paraId="3F25D12B" w14:textId="77777777" w:rsidR="007652C3" w:rsidRPr="007652C3" w:rsidRDefault="007652C3" w:rsidP="00100EF9">
            <w:pPr>
              <w:tabs>
                <w:tab w:val="center" w:pos="284"/>
              </w:tabs>
              <w:overflowPunct w:val="0"/>
              <w:autoSpaceDE w:val="0"/>
              <w:autoSpaceDN w:val="0"/>
              <w:adjustRightInd w:val="0"/>
              <w:ind w:left="266" w:hanging="266"/>
              <w:textAlignment w:val="baseline"/>
              <w:rPr>
                <w:b/>
              </w:rPr>
            </w:pPr>
            <w:r>
              <w:rPr>
                <w:b/>
              </w:rPr>
              <w:t>Έγγραφα αναφοράς</w:t>
            </w:r>
          </w:p>
        </w:tc>
        <w:tc>
          <w:tcPr>
            <w:tcW w:w="7547" w:type="dxa"/>
          </w:tcPr>
          <w:p w14:paraId="28D63311" w14:textId="2018BFB6" w:rsidR="007652C3" w:rsidRPr="007652C3" w:rsidRDefault="007652C3" w:rsidP="00100EF9">
            <w:pPr>
              <w:tabs>
                <w:tab w:val="center" w:pos="284"/>
              </w:tabs>
              <w:overflowPunct w:val="0"/>
              <w:autoSpaceDE w:val="0"/>
              <w:autoSpaceDN w:val="0"/>
              <w:adjustRightInd w:val="0"/>
              <w:ind w:left="266" w:hanging="266"/>
              <w:textAlignment w:val="baseline"/>
            </w:pPr>
            <w:r>
              <w:t xml:space="preserve">COM(2025) 580 </w:t>
            </w:r>
            <w:proofErr w:type="spellStart"/>
            <w:r>
              <w:t>final</w:t>
            </w:r>
            <w:proofErr w:type="spellEnd"/>
          </w:p>
          <w:p w14:paraId="3C71E1DA" w14:textId="707F72B2" w:rsidR="007652C3" w:rsidRPr="007652C3" w:rsidRDefault="007652C3" w:rsidP="00100EF9">
            <w:pPr>
              <w:tabs>
                <w:tab w:val="center" w:pos="284"/>
              </w:tabs>
              <w:overflowPunct w:val="0"/>
              <w:autoSpaceDE w:val="0"/>
              <w:autoSpaceDN w:val="0"/>
              <w:adjustRightInd w:val="0"/>
              <w:ind w:left="266" w:hanging="266"/>
              <w:textAlignment w:val="baseline"/>
            </w:pPr>
            <w:r>
              <w:t xml:space="preserve">COM(2025) 581 </w:t>
            </w:r>
            <w:proofErr w:type="spellStart"/>
            <w:r>
              <w:t>final</w:t>
            </w:r>
            <w:proofErr w:type="spellEnd"/>
          </w:p>
          <w:p w14:paraId="77F23764" w14:textId="645FFEBD" w:rsidR="007652C3" w:rsidRPr="007652C3" w:rsidRDefault="007652C3" w:rsidP="00100EF9">
            <w:pPr>
              <w:tabs>
                <w:tab w:val="center" w:pos="284"/>
              </w:tabs>
              <w:overflowPunct w:val="0"/>
              <w:autoSpaceDE w:val="0"/>
              <w:autoSpaceDN w:val="0"/>
              <w:adjustRightInd w:val="0"/>
              <w:ind w:left="266" w:hanging="266"/>
              <w:textAlignment w:val="baseline"/>
            </w:pPr>
            <w:r>
              <w:t>EESC-2025-02514-00-00-AC</w:t>
            </w:r>
          </w:p>
        </w:tc>
      </w:tr>
    </w:tbl>
    <w:p w14:paraId="24734E78" w14:textId="77777777" w:rsidR="007652C3" w:rsidRPr="00153E09" w:rsidRDefault="007652C3" w:rsidP="00100EF9">
      <w:pPr>
        <w:tabs>
          <w:tab w:val="center" w:pos="284"/>
        </w:tabs>
        <w:overflowPunct w:val="0"/>
        <w:autoSpaceDE w:val="0"/>
        <w:autoSpaceDN w:val="0"/>
        <w:adjustRightInd w:val="0"/>
        <w:ind w:left="266" w:hanging="266"/>
        <w:textAlignment w:val="baseline"/>
        <w:rPr>
          <w:lang w:val="pt-PT"/>
        </w:rPr>
      </w:pPr>
    </w:p>
    <w:p w14:paraId="769610FB" w14:textId="77777777" w:rsidR="007652C3" w:rsidRPr="007652C3" w:rsidRDefault="007652C3" w:rsidP="00100EF9">
      <w:pPr>
        <w:keepNext/>
        <w:keepLines/>
        <w:tabs>
          <w:tab w:val="center" w:pos="284"/>
        </w:tabs>
        <w:overflowPunct w:val="0"/>
        <w:autoSpaceDE w:val="0"/>
        <w:autoSpaceDN w:val="0"/>
        <w:adjustRightInd w:val="0"/>
        <w:ind w:left="266" w:hanging="266"/>
        <w:textAlignment w:val="baseline"/>
        <w:rPr>
          <w:b/>
        </w:rPr>
      </w:pPr>
      <w:r>
        <w:rPr>
          <w:b/>
        </w:rPr>
        <w:t>Κύρια σημεία</w:t>
      </w:r>
    </w:p>
    <w:p w14:paraId="761660A5" w14:textId="77777777" w:rsidR="007652C3" w:rsidRPr="007652C3" w:rsidRDefault="007652C3" w:rsidP="00100EF9">
      <w:pPr>
        <w:tabs>
          <w:tab w:val="center" w:pos="284"/>
        </w:tabs>
        <w:overflowPunct w:val="0"/>
        <w:autoSpaceDE w:val="0"/>
        <w:autoSpaceDN w:val="0"/>
        <w:adjustRightInd w:val="0"/>
        <w:ind w:left="266" w:hanging="266"/>
        <w:textAlignment w:val="baseline"/>
        <w:rPr>
          <w:bCs/>
          <w:sz w:val="16"/>
          <w:szCs w:val="16"/>
          <w:lang w:val="en-GB"/>
        </w:rPr>
      </w:pPr>
    </w:p>
    <w:p w14:paraId="538696B2" w14:textId="77777777" w:rsidR="007652C3" w:rsidRPr="007652C3" w:rsidRDefault="007652C3" w:rsidP="00100EF9">
      <w:pPr>
        <w:tabs>
          <w:tab w:val="center" w:pos="284"/>
        </w:tabs>
        <w:overflowPunct w:val="0"/>
        <w:autoSpaceDE w:val="0"/>
        <w:autoSpaceDN w:val="0"/>
        <w:adjustRightInd w:val="0"/>
        <w:ind w:left="266" w:hanging="266"/>
        <w:textAlignment w:val="baseline"/>
        <w:rPr>
          <w:bCs/>
          <w:iCs/>
        </w:rPr>
      </w:pPr>
      <w:r>
        <w:t>Η ΕΟΚΕ:</w:t>
      </w:r>
    </w:p>
    <w:p w14:paraId="3447BDD3" w14:textId="77777777" w:rsidR="007652C3" w:rsidRPr="00205469" w:rsidRDefault="007652C3" w:rsidP="007526DA">
      <w:pPr>
        <w:pStyle w:val="ListParagraph"/>
        <w:numPr>
          <w:ilvl w:val="0"/>
          <w:numId w:val="30"/>
        </w:numPr>
        <w:ind w:left="567" w:hanging="567"/>
      </w:pPr>
      <w:r>
        <w:rPr>
          <w:b/>
        </w:rPr>
        <w:t>Υποστηρίζει</w:t>
      </w:r>
      <w:r>
        <w:t xml:space="preserve"> την αναθεώρηση της οδηγίας για τη φορολόγηση των προϊόντων καπνού, αναγνωρίζοντας την ανάγκη προσαρμογής του πλαισίου των ειδικών φόρων κατανάλωσης στις εξελίξεις της αγοράς, στα νέα προϊόντα και στους στόχους για τη δημόσια υγεία, και τονίζοντας παράλληλα ότι η μεταρρύθμιση πρέπει να παραμείνει αναλογική, προβλέψιμη και οικονομικά βιώσιμη.</w:t>
      </w:r>
    </w:p>
    <w:p w14:paraId="3F4A26E3" w14:textId="77777777" w:rsidR="007652C3" w:rsidRPr="00205469" w:rsidRDefault="007652C3" w:rsidP="007526DA">
      <w:pPr>
        <w:pStyle w:val="ListParagraph"/>
        <w:numPr>
          <w:ilvl w:val="0"/>
          <w:numId w:val="30"/>
        </w:numPr>
        <w:ind w:left="567" w:hanging="567"/>
      </w:pPr>
      <w:bookmarkStart w:id="15" w:name="_Toc222825827"/>
      <w:r>
        <w:rPr>
          <w:b/>
        </w:rPr>
        <w:t>Προειδοποιεί</w:t>
      </w:r>
      <w:r>
        <w:t xml:space="preserve"> για τις απότομες ή υπερβολικές αυξήσεις των ειδικών φόρων κατανάλωσης, οι οποίες ενέχουν τον κίνδυνο να τροφοδοτήσουν το παράνομο εμπόριο και να υπονομεύσουν τα φορολογικά έσοδα και τα αποτελέσματα στον τομέα της δημόσιας υγείας. Ως εκ τούτου, </w:t>
      </w:r>
      <w:r>
        <w:rPr>
          <w:b/>
        </w:rPr>
        <w:t>συνιστά</w:t>
      </w:r>
      <w:r>
        <w:t xml:space="preserve"> οι προσαρμογές των ειδικών φόρων κατανάλωσης να είναι σταδιακές και να συνοδεύονται από ενισχυμένους μηχανισμούς επιβολής, τελωνειακή συνεργασία και μέτρα για την καταπολέμηση του λαθρεμπορίου σε διασυνοριακό επίπεδο.</w:t>
      </w:r>
      <w:bookmarkEnd w:id="15"/>
    </w:p>
    <w:p w14:paraId="1AC2A723" w14:textId="77777777" w:rsidR="007652C3" w:rsidRPr="00205469" w:rsidRDefault="007652C3" w:rsidP="007526DA">
      <w:pPr>
        <w:pStyle w:val="ListParagraph"/>
        <w:numPr>
          <w:ilvl w:val="0"/>
          <w:numId w:val="30"/>
        </w:numPr>
        <w:ind w:left="567" w:hanging="567"/>
      </w:pPr>
      <w:bookmarkStart w:id="16" w:name="_Toc222825828"/>
      <w:r>
        <w:rPr>
          <w:b/>
        </w:rPr>
        <w:t>Ζητεί</w:t>
      </w:r>
      <w:r>
        <w:t xml:space="preserve"> τη συνεπή εφαρμογή της αναλογικής προς τον κίνδυνο φορολόγησης, με μέριμνα ώστε τα προϊόντα άκαπνου καπνού και τα προϊόντα μειωμένου κινδύνου να μην φορολογούνται διαφορετικά από τα προϊόντα καπνού καύσης, σύμφωνα με την αρχή «λιγότερη βλάβη, λιγότεροι φόροι» και τους στόχους του ευρωπαϊκού σχεδίου για την καταπολέμηση του καρκίνου.</w:t>
      </w:r>
      <w:bookmarkEnd w:id="16"/>
    </w:p>
    <w:p w14:paraId="3892A6EF" w14:textId="77777777" w:rsidR="007652C3" w:rsidRPr="00205469" w:rsidRDefault="007652C3" w:rsidP="007526DA">
      <w:pPr>
        <w:pStyle w:val="ListParagraph"/>
        <w:numPr>
          <w:ilvl w:val="0"/>
          <w:numId w:val="30"/>
        </w:numPr>
        <w:ind w:left="567" w:hanging="567"/>
      </w:pPr>
      <w:bookmarkStart w:id="17" w:name="_Toc222825829"/>
      <w:r>
        <w:rPr>
          <w:b/>
        </w:rPr>
        <w:t>Συνιστά</w:t>
      </w:r>
      <w:r>
        <w:t xml:space="preserve"> να βελτιωθεί η νομική σαφήνεια και η εναρμόνιση των ορισμών των προϊόντων, και κυρίως να οριστούν ρητά τα προϊόντα θερμαινόμενου καπνού, τα οποία πρέπει να διακρίνονται σαφώς από τα προϊόντα καύσης.</w:t>
      </w:r>
      <w:bookmarkEnd w:id="17"/>
    </w:p>
    <w:p w14:paraId="6D1AE1A8" w14:textId="77777777" w:rsidR="007652C3" w:rsidRPr="00205469" w:rsidRDefault="007652C3" w:rsidP="007526DA">
      <w:pPr>
        <w:pStyle w:val="ListParagraph"/>
        <w:numPr>
          <w:ilvl w:val="0"/>
          <w:numId w:val="30"/>
        </w:numPr>
        <w:ind w:left="567" w:hanging="567"/>
      </w:pPr>
      <w:bookmarkStart w:id="18" w:name="_Toc222825830"/>
      <w:r>
        <w:rPr>
          <w:b/>
        </w:rPr>
        <w:t>Καλεί</w:t>
      </w:r>
      <w:r>
        <w:t xml:space="preserve"> την Ευρωπαϊκή Επιτροπή να ενισχύσει τη συνοχή μεταξύ των ορισμών των ειδικών φόρων κατανάλωσης και της συνδυασμένης ονοματολογίας (ΣΟ), μέσω της τήρησης </w:t>
      </w:r>
      <w:proofErr w:type="spellStart"/>
      <w:r>
        <w:t>επικαιροποιημένων</w:t>
      </w:r>
      <w:proofErr w:type="spellEnd"/>
      <w:r>
        <w:t xml:space="preserve"> πινάκων αντιστοιχίας και της παροχής ερμηνευτικών οδηγιών κάθε φορά που οι αλλαγές στις τελωνειακές ταξινομήσεις επηρεάζουν την κατηγοριοποίηση των ειδικών φόρων κατανάλωσης.</w:t>
      </w:r>
      <w:bookmarkEnd w:id="18"/>
    </w:p>
    <w:p w14:paraId="3B4FEB22" w14:textId="77777777" w:rsidR="007652C3" w:rsidRPr="00205469" w:rsidRDefault="007652C3" w:rsidP="007526DA">
      <w:pPr>
        <w:pStyle w:val="ListParagraph"/>
        <w:numPr>
          <w:ilvl w:val="0"/>
          <w:numId w:val="30"/>
        </w:numPr>
        <w:ind w:left="567" w:hanging="567"/>
      </w:pPr>
      <w:bookmarkStart w:id="19" w:name="_Toc222825831"/>
      <w:r>
        <w:rPr>
          <w:b/>
        </w:rPr>
        <w:t>Ζητεί</w:t>
      </w:r>
      <w:r>
        <w:t xml:space="preserve"> να δοθεί επαρκής ευελιξία στα κράτη μέλη σχετικά με τη διάρθρωση των ειδικών φόρων κατανάλωσης και, μεταξύ άλλων, να τους δοθεί η δυνατότητα επιλογής μεταξύ της φορολόγησης ανά μονάδα ή της φορολόγησης βάσει βάρους για τα προϊόντα θερμαινόμενου καπνού ανάλογα με τις συνθήκες που επικρατούν στις εθνικές αγορές, με την παράλληλη τήρηση των ελάχιστων συντελεστών φορολόγησης σε επίπεδο ΕΕ.</w:t>
      </w:r>
      <w:bookmarkEnd w:id="19"/>
    </w:p>
    <w:p w14:paraId="03FC4FFF" w14:textId="77777777" w:rsidR="007652C3" w:rsidRPr="00205469" w:rsidRDefault="007652C3" w:rsidP="007526DA">
      <w:pPr>
        <w:pStyle w:val="ListParagraph"/>
        <w:numPr>
          <w:ilvl w:val="0"/>
          <w:numId w:val="30"/>
        </w:numPr>
        <w:ind w:left="567" w:hanging="567"/>
      </w:pPr>
      <w:bookmarkStart w:id="20" w:name="_Toc222825832"/>
      <w:r>
        <w:rPr>
          <w:b/>
        </w:rPr>
        <w:t>Ζητεί</w:t>
      </w:r>
      <w:r>
        <w:t xml:space="preserve"> την πλήρη χαρτογράφηση των υφιστάμενων θέσεων εργασίας και δεξιοτήτων στον τομέα, σε συνδυασμό με την αξιολόγηση μεσοπρόθεσμων και μακροπρόθεσμων υποθετικών σεναρίων σχετικών με την πρόταση, καθώς και την κατάρτιση σαφών προβλέψεων για τις επιπτώσεις της πρότασης στην απασχόληση.</w:t>
      </w:r>
      <w:bookmarkEnd w:id="20"/>
    </w:p>
    <w:p w14:paraId="0195988C" w14:textId="77777777" w:rsidR="007652C3" w:rsidRPr="00205469" w:rsidRDefault="007652C3" w:rsidP="007526DA">
      <w:pPr>
        <w:pStyle w:val="ListParagraph"/>
        <w:numPr>
          <w:ilvl w:val="0"/>
          <w:numId w:val="30"/>
        </w:numPr>
        <w:ind w:left="567" w:hanging="567"/>
      </w:pPr>
      <w:bookmarkStart w:id="21" w:name="_Toc222825833"/>
      <w:r>
        <w:rPr>
          <w:b/>
        </w:rPr>
        <w:lastRenderedPageBreak/>
        <w:t>Ζητεί</w:t>
      </w:r>
      <w:r>
        <w:t xml:space="preserve"> την προβλέψιμη και περιορισμένη χρήση των κατ’ εξουσιοδότηση πράξεων, η οποία πρέπει να αφορά αυστηρά τις τεχνικές πληθωριστικές προσαρμογές σύμφωνα με την επικουρικότητα και τη φορολογική αρμοδιότητα των κρατών μελών.</w:t>
      </w:r>
      <w:bookmarkEnd w:id="21"/>
    </w:p>
    <w:p w14:paraId="6309DB18" w14:textId="77777777" w:rsidR="007652C3" w:rsidRPr="00B922EA" w:rsidRDefault="007652C3" w:rsidP="00100EF9">
      <w:pPr>
        <w:ind w:left="567" w:hanging="567"/>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546"/>
      </w:tblGrid>
      <w:tr w:rsidR="007652C3" w:rsidRPr="007652C3" w14:paraId="7534B913" w14:textId="77777777" w:rsidTr="00D0608D">
        <w:tc>
          <w:tcPr>
            <w:tcW w:w="1526" w:type="dxa"/>
          </w:tcPr>
          <w:p w14:paraId="0C271651" w14:textId="77777777" w:rsidR="007652C3" w:rsidRPr="007652C3" w:rsidRDefault="007652C3" w:rsidP="00100EF9">
            <w:pPr>
              <w:overflowPunct w:val="0"/>
              <w:autoSpaceDE w:val="0"/>
              <w:autoSpaceDN w:val="0"/>
              <w:adjustRightInd w:val="0"/>
              <w:textAlignment w:val="baseline"/>
              <w:rPr>
                <w:i/>
              </w:rPr>
            </w:pPr>
            <w:r>
              <w:rPr>
                <w:b/>
                <w:i/>
              </w:rPr>
              <w:t>Επικοινωνία</w:t>
            </w:r>
          </w:p>
        </w:tc>
        <w:tc>
          <w:tcPr>
            <w:tcW w:w="7546" w:type="dxa"/>
          </w:tcPr>
          <w:p w14:paraId="528FE443" w14:textId="5FF87165" w:rsidR="007652C3" w:rsidRPr="007652C3" w:rsidRDefault="007652C3" w:rsidP="00100EF9">
            <w:pPr>
              <w:overflowPunct w:val="0"/>
              <w:autoSpaceDE w:val="0"/>
              <w:autoSpaceDN w:val="0"/>
              <w:adjustRightInd w:val="0"/>
              <w:textAlignment w:val="baseline"/>
              <w:rPr>
                <w:i/>
              </w:rPr>
            </w:pPr>
            <w:proofErr w:type="spellStart"/>
            <w:r>
              <w:rPr>
                <w:i/>
              </w:rPr>
              <w:t>Jüri</w:t>
            </w:r>
            <w:proofErr w:type="spellEnd"/>
            <w:r>
              <w:rPr>
                <w:i/>
              </w:rPr>
              <w:t xml:space="preserve"> </w:t>
            </w:r>
            <w:proofErr w:type="spellStart"/>
            <w:r>
              <w:rPr>
                <w:i/>
              </w:rPr>
              <w:t>Soosaar</w:t>
            </w:r>
            <w:proofErr w:type="spellEnd"/>
          </w:p>
        </w:tc>
      </w:tr>
      <w:tr w:rsidR="007652C3" w:rsidRPr="007652C3" w14:paraId="6D9C46AC" w14:textId="77777777" w:rsidTr="00D0608D">
        <w:tc>
          <w:tcPr>
            <w:tcW w:w="1526" w:type="dxa"/>
          </w:tcPr>
          <w:p w14:paraId="02AD0CD6" w14:textId="77777777" w:rsidR="007652C3" w:rsidRPr="007652C3" w:rsidRDefault="007652C3" w:rsidP="00100EF9">
            <w:pPr>
              <w:overflowPunct w:val="0"/>
              <w:autoSpaceDE w:val="0"/>
              <w:autoSpaceDN w:val="0"/>
              <w:adjustRightInd w:val="0"/>
              <w:textAlignment w:val="baseline"/>
              <w:rPr>
                <w:i/>
              </w:rPr>
            </w:pPr>
            <w:proofErr w:type="spellStart"/>
            <w:r>
              <w:rPr>
                <w:i/>
              </w:rPr>
              <w:t>Τηλ</w:t>
            </w:r>
            <w:proofErr w:type="spellEnd"/>
            <w:r>
              <w:rPr>
                <w:i/>
              </w:rPr>
              <w:t>.</w:t>
            </w:r>
          </w:p>
        </w:tc>
        <w:tc>
          <w:tcPr>
            <w:tcW w:w="7546" w:type="dxa"/>
          </w:tcPr>
          <w:p w14:paraId="43D215D4" w14:textId="14B49C37" w:rsidR="007652C3" w:rsidRPr="007652C3" w:rsidRDefault="007652C3" w:rsidP="00100EF9">
            <w:pPr>
              <w:overflowPunct w:val="0"/>
              <w:autoSpaceDE w:val="0"/>
              <w:autoSpaceDN w:val="0"/>
              <w:adjustRightInd w:val="0"/>
              <w:textAlignment w:val="baseline"/>
              <w:rPr>
                <w:i/>
              </w:rPr>
            </w:pPr>
            <w:r>
              <w:rPr>
                <w:i/>
              </w:rPr>
              <w:t>+32 25469628</w:t>
            </w:r>
          </w:p>
        </w:tc>
      </w:tr>
      <w:tr w:rsidR="007652C3" w:rsidRPr="007652C3" w14:paraId="5C3011C3" w14:textId="77777777" w:rsidTr="00D0608D">
        <w:tc>
          <w:tcPr>
            <w:tcW w:w="1526" w:type="dxa"/>
          </w:tcPr>
          <w:p w14:paraId="1F503178" w14:textId="77777777" w:rsidR="007652C3" w:rsidRPr="007652C3" w:rsidRDefault="007652C3" w:rsidP="00100EF9">
            <w:pPr>
              <w:overflowPunct w:val="0"/>
              <w:autoSpaceDE w:val="0"/>
              <w:autoSpaceDN w:val="0"/>
              <w:adjustRightInd w:val="0"/>
              <w:textAlignment w:val="baseline"/>
              <w:rPr>
                <w:i/>
              </w:rPr>
            </w:pPr>
            <w:proofErr w:type="spellStart"/>
            <w:r>
              <w:rPr>
                <w:i/>
              </w:rPr>
              <w:t>Ηλ</w:t>
            </w:r>
            <w:proofErr w:type="spellEnd"/>
            <w:r>
              <w:rPr>
                <w:i/>
              </w:rPr>
              <w:t>. δ/</w:t>
            </w:r>
            <w:proofErr w:type="spellStart"/>
            <w:r>
              <w:rPr>
                <w:i/>
              </w:rPr>
              <w:t>νση</w:t>
            </w:r>
            <w:proofErr w:type="spellEnd"/>
          </w:p>
        </w:tc>
        <w:tc>
          <w:tcPr>
            <w:tcW w:w="7546" w:type="dxa"/>
          </w:tcPr>
          <w:p w14:paraId="62867B2B" w14:textId="5E2EB6F6" w:rsidR="007652C3" w:rsidRPr="007652C3" w:rsidRDefault="0005365A" w:rsidP="00100EF9">
            <w:pPr>
              <w:overflowPunct w:val="0"/>
              <w:autoSpaceDE w:val="0"/>
              <w:autoSpaceDN w:val="0"/>
              <w:adjustRightInd w:val="0"/>
              <w:textAlignment w:val="baseline"/>
              <w:rPr>
                <w:i/>
                <w:iCs/>
              </w:rPr>
            </w:pPr>
            <w:hyperlink r:id="rId23" w:history="1">
              <w:r w:rsidR="00E235D3">
                <w:rPr>
                  <w:i/>
                  <w:color w:val="0000FF"/>
                  <w:u w:val="single"/>
                </w:rPr>
                <w:t>Juri.Soosaar@eesc.europa.eu</w:t>
              </w:r>
            </w:hyperlink>
          </w:p>
        </w:tc>
      </w:tr>
    </w:tbl>
    <w:p w14:paraId="4982DD98" w14:textId="11429B92" w:rsidR="00302594" w:rsidRDefault="00302594" w:rsidP="00100EF9">
      <w:pPr>
        <w:jc w:val="left"/>
      </w:pPr>
    </w:p>
    <w:p w14:paraId="4356DB93" w14:textId="77777777" w:rsidR="00302594" w:rsidRDefault="00302594" w:rsidP="00100EF9">
      <w:pPr>
        <w:jc w:val="left"/>
      </w:pPr>
      <w:r>
        <w:br w:type="page"/>
      </w:r>
    </w:p>
    <w:p w14:paraId="4982DD99" w14:textId="77777777" w:rsidR="004D7AC0" w:rsidRDefault="004D7AC0" w:rsidP="00C1109B">
      <w:pPr>
        <w:pStyle w:val="Heading1"/>
        <w:spacing w:line="283" w:lineRule="auto"/>
        <w:rPr>
          <w:b/>
        </w:rPr>
      </w:pPr>
      <w:bookmarkStart w:id="22" w:name="_Toc75527081"/>
      <w:bookmarkStart w:id="23" w:name="_Toc223534713"/>
      <w:r>
        <w:rPr>
          <w:b/>
        </w:rPr>
        <w:lastRenderedPageBreak/>
        <w:t>ΑΠΑΣΧΟΛΗΣΗ, ΚΟΙΝΩΝΙΚΕΣ ΥΠΟΘΕΣΕΙΣ, ΔΙΚΑΙΩΜΑΤΑ ΤΟΥ ΠΟΛΙΤΗ</w:t>
      </w:r>
      <w:bookmarkEnd w:id="22"/>
      <w:bookmarkEnd w:id="23"/>
    </w:p>
    <w:p w14:paraId="4982DD9A" w14:textId="77777777" w:rsidR="004D7AC0" w:rsidRPr="00C1109B" w:rsidRDefault="004D7AC0" w:rsidP="00C1109B">
      <w:pPr>
        <w:spacing w:line="283" w:lineRule="auto"/>
        <w:rPr>
          <w:sz w:val="18"/>
          <w:szCs w:val="18"/>
        </w:rPr>
      </w:pPr>
    </w:p>
    <w:p w14:paraId="095440CA" w14:textId="6E6558FC" w:rsidR="001653D7" w:rsidRPr="001653D7" w:rsidRDefault="0005365A" w:rsidP="00C1109B">
      <w:pPr>
        <w:widowControl w:val="0"/>
        <w:numPr>
          <w:ilvl w:val="0"/>
          <w:numId w:val="6"/>
        </w:numPr>
        <w:spacing w:line="283" w:lineRule="auto"/>
        <w:ind w:hanging="567"/>
        <w:rPr>
          <w:sz w:val="24"/>
          <w:szCs w:val="24"/>
        </w:rPr>
      </w:pPr>
      <w:hyperlink r:id="rId24" w:history="1">
        <w:proofErr w:type="spellStart"/>
        <w:r w:rsidR="00E235D3">
          <w:rPr>
            <w:b/>
            <w:i/>
            <w:color w:val="0000FF"/>
            <w:sz w:val="28"/>
            <w:u w:val="single"/>
          </w:rPr>
          <w:t>Ενωσιακή</w:t>
        </w:r>
        <w:proofErr w:type="spellEnd"/>
        <w:r w:rsidR="00E235D3">
          <w:rPr>
            <w:b/>
            <w:i/>
            <w:color w:val="0000FF"/>
            <w:sz w:val="28"/>
            <w:u w:val="single"/>
          </w:rPr>
          <w:t xml:space="preserve"> στήριξη στους τομείς του ασύλου, της μετανάστευσης και της ένταξης· εσωτερική ασφάλεια· ολοκληρωμένη διαχείριση των συνόρων και πολιτική θεωρήσεων</w:t>
        </w:r>
      </w:hyperlink>
    </w:p>
    <w:p w14:paraId="00463498" w14:textId="77777777" w:rsidR="001653D7" w:rsidRPr="00C1109B" w:rsidRDefault="001653D7" w:rsidP="00C1109B">
      <w:pPr>
        <w:tabs>
          <w:tab w:val="center" w:pos="284"/>
        </w:tabs>
        <w:spacing w:line="283" w:lineRule="auto"/>
        <w:ind w:left="266" w:hanging="266"/>
        <w:rPr>
          <w:b/>
          <w:sz w:val="18"/>
          <w:szCs w:val="18"/>
        </w:rPr>
      </w:pPr>
    </w:p>
    <w:tbl>
      <w:tblPr>
        <w:tblStyle w:val="TableGrid7"/>
        <w:tblW w:w="94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479"/>
      </w:tblGrid>
      <w:tr w:rsidR="001653D7" w:rsidRPr="00100EF9" w14:paraId="47B2AE04" w14:textId="77777777" w:rsidTr="00C1109B">
        <w:tc>
          <w:tcPr>
            <w:tcW w:w="1951" w:type="dxa"/>
          </w:tcPr>
          <w:p w14:paraId="0F6809D8" w14:textId="4113B348" w:rsidR="001653D7" w:rsidRPr="001653D7" w:rsidRDefault="001653D7" w:rsidP="00C1109B">
            <w:pPr>
              <w:tabs>
                <w:tab w:val="center" w:pos="284"/>
              </w:tabs>
              <w:spacing w:line="283" w:lineRule="auto"/>
              <w:ind w:left="266" w:right="206" w:hanging="374"/>
              <w:rPr>
                <w:b/>
              </w:rPr>
            </w:pPr>
            <w:r>
              <w:rPr>
                <w:b/>
              </w:rPr>
              <w:t>Εισηγητής</w:t>
            </w:r>
          </w:p>
        </w:tc>
        <w:tc>
          <w:tcPr>
            <w:tcW w:w="7479" w:type="dxa"/>
          </w:tcPr>
          <w:p w14:paraId="4C613172" w14:textId="2BD1B530" w:rsidR="001653D7" w:rsidRPr="001653D7" w:rsidRDefault="001653D7" w:rsidP="00C1109B">
            <w:pPr>
              <w:tabs>
                <w:tab w:val="center" w:pos="284"/>
              </w:tabs>
              <w:spacing w:line="283" w:lineRule="auto"/>
              <w:ind w:left="266" w:hanging="374"/>
            </w:pPr>
            <w:proofErr w:type="spellStart"/>
            <w:r>
              <w:t>José</w:t>
            </w:r>
            <w:proofErr w:type="spellEnd"/>
            <w:r>
              <w:t xml:space="preserve"> Antonio MORENO DÍAZ (Ομάδα των Εργαζομένων – ES)</w:t>
            </w:r>
          </w:p>
        </w:tc>
      </w:tr>
      <w:tr w:rsidR="00205469" w:rsidRPr="00100EF9" w14:paraId="60304579" w14:textId="77777777" w:rsidTr="00C1109B">
        <w:tc>
          <w:tcPr>
            <w:tcW w:w="1951" w:type="dxa"/>
          </w:tcPr>
          <w:p w14:paraId="2F580098" w14:textId="77777777" w:rsidR="00205469" w:rsidRPr="003F66F7" w:rsidRDefault="00205469" w:rsidP="00C1109B">
            <w:pPr>
              <w:tabs>
                <w:tab w:val="center" w:pos="284"/>
              </w:tabs>
              <w:spacing w:line="283" w:lineRule="auto"/>
              <w:ind w:left="266" w:hanging="374"/>
              <w:rPr>
                <w:b/>
                <w:lang w:val="es-ES"/>
              </w:rPr>
            </w:pPr>
          </w:p>
        </w:tc>
        <w:tc>
          <w:tcPr>
            <w:tcW w:w="7479" w:type="dxa"/>
          </w:tcPr>
          <w:p w14:paraId="5E1B80FD" w14:textId="77777777" w:rsidR="00205469" w:rsidRPr="00C1109B" w:rsidRDefault="00205469" w:rsidP="00C1109B">
            <w:pPr>
              <w:tabs>
                <w:tab w:val="center" w:pos="284"/>
              </w:tabs>
              <w:spacing w:line="283" w:lineRule="auto"/>
              <w:ind w:left="266" w:hanging="374"/>
              <w:rPr>
                <w:sz w:val="18"/>
                <w:szCs w:val="18"/>
                <w:lang w:val="es-ES"/>
              </w:rPr>
            </w:pPr>
          </w:p>
        </w:tc>
      </w:tr>
      <w:tr w:rsidR="001653D7" w:rsidRPr="00153E09" w14:paraId="396210B3" w14:textId="77777777" w:rsidTr="00C1109B">
        <w:tc>
          <w:tcPr>
            <w:tcW w:w="1951" w:type="dxa"/>
          </w:tcPr>
          <w:p w14:paraId="2CCAB3DC" w14:textId="2720B8B9" w:rsidR="001653D7" w:rsidRPr="001653D7" w:rsidRDefault="001653D7" w:rsidP="00C1109B">
            <w:pPr>
              <w:tabs>
                <w:tab w:val="center" w:pos="284"/>
              </w:tabs>
              <w:spacing w:line="283" w:lineRule="auto"/>
              <w:ind w:left="266" w:hanging="374"/>
              <w:rPr>
                <w:b/>
              </w:rPr>
            </w:pPr>
            <w:r>
              <w:rPr>
                <w:b/>
              </w:rPr>
              <w:t>Έγγραφα αναφοράς</w:t>
            </w:r>
          </w:p>
        </w:tc>
        <w:tc>
          <w:tcPr>
            <w:tcW w:w="7479" w:type="dxa"/>
          </w:tcPr>
          <w:p w14:paraId="7762C1AE" w14:textId="23946629" w:rsidR="001653D7" w:rsidRPr="001653D7" w:rsidRDefault="001653D7" w:rsidP="00C1109B">
            <w:pPr>
              <w:tabs>
                <w:tab w:val="center" w:pos="284"/>
              </w:tabs>
              <w:spacing w:line="283" w:lineRule="auto"/>
              <w:ind w:left="266" w:hanging="374"/>
            </w:pPr>
            <w:r>
              <w:t xml:space="preserve">COM(2025) 540 </w:t>
            </w:r>
            <w:proofErr w:type="spellStart"/>
            <w:r>
              <w:t>final</w:t>
            </w:r>
            <w:proofErr w:type="spellEnd"/>
          </w:p>
          <w:p w14:paraId="22AD2A59" w14:textId="56B0125B" w:rsidR="001653D7" w:rsidRPr="001653D7" w:rsidRDefault="001653D7" w:rsidP="00C1109B">
            <w:pPr>
              <w:tabs>
                <w:tab w:val="center" w:pos="284"/>
              </w:tabs>
              <w:spacing w:line="283" w:lineRule="auto"/>
              <w:ind w:left="266" w:hanging="374"/>
            </w:pPr>
            <w:r>
              <w:t xml:space="preserve">COM(2025) 541 </w:t>
            </w:r>
            <w:proofErr w:type="spellStart"/>
            <w:r>
              <w:t>final</w:t>
            </w:r>
            <w:proofErr w:type="spellEnd"/>
          </w:p>
          <w:p w14:paraId="63B53E3C" w14:textId="5CBBC2DD" w:rsidR="001653D7" w:rsidRDefault="001653D7" w:rsidP="00C1109B">
            <w:pPr>
              <w:tabs>
                <w:tab w:val="center" w:pos="284"/>
              </w:tabs>
              <w:spacing w:line="283" w:lineRule="auto"/>
              <w:ind w:left="266" w:hanging="374"/>
            </w:pPr>
            <w:r>
              <w:t xml:space="preserve">COM(2025) 542 </w:t>
            </w:r>
            <w:proofErr w:type="spellStart"/>
            <w:r>
              <w:t>final</w:t>
            </w:r>
            <w:proofErr w:type="spellEnd"/>
          </w:p>
          <w:p w14:paraId="683E4ECE" w14:textId="10942A06" w:rsidR="00205469" w:rsidRPr="001653D7" w:rsidRDefault="00205469" w:rsidP="00C1109B">
            <w:pPr>
              <w:tabs>
                <w:tab w:val="center" w:pos="284"/>
              </w:tabs>
              <w:spacing w:line="283" w:lineRule="auto"/>
              <w:ind w:left="266" w:hanging="374"/>
            </w:pPr>
            <w:r>
              <w:t>EESC-2025-03434-00-00-AC</w:t>
            </w:r>
          </w:p>
        </w:tc>
      </w:tr>
    </w:tbl>
    <w:p w14:paraId="0460B2E8" w14:textId="77777777" w:rsidR="001653D7" w:rsidRPr="00C1109B" w:rsidRDefault="001653D7" w:rsidP="00C1109B">
      <w:pPr>
        <w:tabs>
          <w:tab w:val="center" w:pos="284"/>
        </w:tabs>
        <w:spacing w:line="283" w:lineRule="auto"/>
        <w:ind w:left="266" w:hanging="266"/>
        <w:rPr>
          <w:sz w:val="16"/>
          <w:szCs w:val="16"/>
        </w:rPr>
      </w:pPr>
    </w:p>
    <w:p w14:paraId="0CBC1DF0" w14:textId="77777777" w:rsidR="001653D7" w:rsidRPr="001653D7" w:rsidRDefault="001653D7" w:rsidP="00C1109B">
      <w:pPr>
        <w:keepNext/>
        <w:keepLines/>
        <w:tabs>
          <w:tab w:val="center" w:pos="284"/>
        </w:tabs>
        <w:spacing w:line="283" w:lineRule="auto"/>
        <w:ind w:left="266" w:hanging="266"/>
        <w:rPr>
          <w:b/>
        </w:rPr>
      </w:pPr>
      <w:r>
        <w:rPr>
          <w:b/>
        </w:rPr>
        <w:t>Κύρια σημεία</w:t>
      </w:r>
    </w:p>
    <w:p w14:paraId="27D547BF" w14:textId="77777777" w:rsidR="001653D7" w:rsidRPr="00C1109B" w:rsidRDefault="001653D7" w:rsidP="00C1109B">
      <w:pPr>
        <w:keepNext/>
        <w:keepLines/>
        <w:tabs>
          <w:tab w:val="center" w:pos="284"/>
        </w:tabs>
        <w:spacing w:line="283" w:lineRule="auto"/>
        <w:ind w:left="266" w:hanging="266"/>
        <w:rPr>
          <w:bCs/>
          <w:sz w:val="18"/>
          <w:szCs w:val="18"/>
        </w:rPr>
      </w:pPr>
    </w:p>
    <w:p w14:paraId="3C2E2FC5" w14:textId="77777777" w:rsidR="001653D7" w:rsidRPr="001653D7" w:rsidRDefault="001653D7" w:rsidP="00C1109B">
      <w:pPr>
        <w:spacing w:line="283" w:lineRule="auto"/>
        <w:rPr>
          <w:bCs/>
          <w:iCs/>
        </w:rPr>
      </w:pPr>
      <w:r>
        <w:t>Η ΕΟΚΕ:</w:t>
      </w:r>
    </w:p>
    <w:p w14:paraId="2EB60443" w14:textId="77777777" w:rsidR="001653D7" w:rsidRPr="001653D7" w:rsidRDefault="001653D7" w:rsidP="00C1109B">
      <w:pPr>
        <w:numPr>
          <w:ilvl w:val="0"/>
          <w:numId w:val="19"/>
        </w:numPr>
        <w:spacing w:line="283" w:lineRule="auto"/>
        <w:ind w:left="567" w:hanging="567"/>
        <w:contextualSpacing/>
        <w:rPr>
          <w:bCs/>
          <w:iCs/>
        </w:rPr>
      </w:pPr>
      <w:r>
        <w:t>Τονίζει την επείγουσα ανάγκη θέσπισης μιας μεταναστευτικής πολιτικής που θα παρέχει νόμιμους, ασφαλείς και αποτελεσματικούς διαύλους πρόσβασης στην ΕΕ. Η θέση αυτή ευθυγραμμίζεται με προηγούμενες γνωμοδοτήσεις της, στις οποίες η ΕΟΚΕ υπογράμμισε τη σημασία της διασφάλισης νόμιμων οδών εισόδου στην ΕΕ, της προστασίας των θεμελιωδών δικαιωμάτων των μεταναστών και της βελτίωσης της διαχείρισης της κινητικότητας εντός της ΕΕ.</w:t>
      </w:r>
    </w:p>
    <w:p w14:paraId="17CE5961" w14:textId="77777777" w:rsidR="001653D7" w:rsidRPr="001653D7" w:rsidRDefault="001653D7" w:rsidP="00C1109B">
      <w:pPr>
        <w:numPr>
          <w:ilvl w:val="0"/>
          <w:numId w:val="19"/>
        </w:numPr>
        <w:spacing w:line="283" w:lineRule="auto"/>
        <w:ind w:left="567" w:hanging="567"/>
        <w:contextualSpacing/>
        <w:rPr>
          <w:bCs/>
          <w:iCs/>
        </w:rPr>
      </w:pPr>
      <w:r>
        <w:t>Επισημαίνει ότι η από κοινού εξέταση των τριών κανονισμών αποκαλύπτει έναν διαρθρωτικό αναπροσανατολισμό των προτεραιοτήτων της ΕΕ, με σημαντική στροφή προς τον έλεγχο και την ασφάλεια. Η έντονη εστίαση στην ασφάλεια, τόσο την εσωτερική όσο και την εξωτερική, τείνει να παραβλέπει τα μέτρα στήριξης που αποσκοπούν στη διευκόλυνση της ενσωμάτωσης και της ένταξης. Τονίζει ότι η μεταναστευτική πολιτική δεν μπορεί να περιοριστεί σε μια προσέγγιση που επικεντρώνεται στην ασφάλεια·</w:t>
      </w:r>
    </w:p>
    <w:p w14:paraId="6247AC50" w14:textId="77777777" w:rsidR="001653D7" w:rsidRPr="001653D7" w:rsidRDefault="001653D7" w:rsidP="00C1109B">
      <w:pPr>
        <w:numPr>
          <w:ilvl w:val="0"/>
          <w:numId w:val="19"/>
        </w:numPr>
        <w:spacing w:line="283" w:lineRule="auto"/>
        <w:ind w:left="567" w:hanging="567"/>
        <w:contextualSpacing/>
        <w:rPr>
          <w:bCs/>
          <w:iCs/>
        </w:rPr>
      </w:pPr>
      <w:r>
        <w:t xml:space="preserve">Υπογραμμίζει ότι ένα πλήρες σύνολο εργαλείων και μέσων για τη διαχείριση της νόμιμης μετανάστευσης και την αποφυγή παρατυπιών αποτελεί σημαντικό στοιχείο ενός εύρυθμα </w:t>
      </w:r>
      <w:proofErr w:type="spellStart"/>
      <w:r>
        <w:t>λειτουργούντος</w:t>
      </w:r>
      <w:proofErr w:type="spellEnd"/>
      <w:r>
        <w:t xml:space="preserve"> συστήματος μετανάστευσης, συμπεριλαμβανομένης της επιστροφής, κατά περίπτωση, και σε πλήρη συμμόρφωση με το </w:t>
      </w:r>
      <w:proofErr w:type="spellStart"/>
      <w:r>
        <w:t>ενωσιακό</w:t>
      </w:r>
      <w:proofErr w:type="spellEnd"/>
      <w:r>
        <w:t xml:space="preserve"> και το διεθνές δίκαιο. Ωστόσο, η εφαρμογή του πρέπει να είναι προσεκτικά ισορροπημένη, με σεβασμό των θεμελιωδών δικαιωμάτων και, κυρίως, του δικαιώματος στην ατομική προστασία.</w:t>
      </w:r>
    </w:p>
    <w:p w14:paraId="72AA5D3D" w14:textId="77777777" w:rsidR="001653D7" w:rsidRPr="001653D7" w:rsidRDefault="001653D7" w:rsidP="00C1109B">
      <w:pPr>
        <w:numPr>
          <w:ilvl w:val="0"/>
          <w:numId w:val="19"/>
        </w:numPr>
        <w:spacing w:line="283" w:lineRule="auto"/>
        <w:ind w:left="567" w:hanging="567"/>
        <w:contextualSpacing/>
        <w:rPr>
          <w:bCs/>
          <w:iCs/>
        </w:rPr>
      </w:pPr>
      <w:r>
        <w:t>Θεωρεί απολύτως απαραίτητο να βελτιωθούν οι μηχανισμοί ανεξάρτητης παρακολούθησης των θεμελιωδών δικαιωμάτων και των ανθρωπιστικών συνθηκών στα σύνορα, με διαφανείς μηχανισμούς υποβολής εκθέσεων·</w:t>
      </w:r>
    </w:p>
    <w:p w14:paraId="0CC7E7BF" w14:textId="77777777" w:rsidR="001653D7" w:rsidRPr="001653D7" w:rsidRDefault="001653D7" w:rsidP="00C1109B">
      <w:pPr>
        <w:numPr>
          <w:ilvl w:val="0"/>
          <w:numId w:val="19"/>
        </w:numPr>
        <w:spacing w:line="283" w:lineRule="auto"/>
        <w:ind w:left="567" w:hanging="567"/>
        <w:contextualSpacing/>
        <w:rPr>
          <w:bCs/>
          <w:iCs/>
        </w:rPr>
      </w:pPr>
      <w:r>
        <w:t>Πιστεύει ότι οι τρεις κανονισμοί που εγκρίθηκαν από κοινού για την περίοδο 2028-2034 δίνουν ιδιαίτερη έμφαση στα μέτρα ασφάλειας και στην εξωτερική ανάθεση των συνοριακών ελέγχων και εγείρουν ανησυχίες σχετικά με τους δυνητικούς κινδύνους για τα θεμελιώδη δικαιώματα. Είναι απολύτως απαραίτητο να διασφαλιστεί συγχρόνως και η προστασία των θεμελιωδών δικαιωμάτων.</w:t>
      </w:r>
    </w:p>
    <w:p w14:paraId="6C124427" w14:textId="77777777" w:rsidR="001653D7" w:rsidRPr="00C1109B" w:rsidRDefault="001653D7" w:rsidP="00100EF9">
      <w:pPr>
        <w:widowControl w:val="0"/>
        <w:ind w:left="709"/>
        <w:rPr>
          <w:sz w:val="18"/>
          <w:szCs w:val="20"/>
        </w:rPr>
      </w:pPr>
    </w:p>
    <w:tbl>
      <w:tblPr>
        <w:tblStyle w:val="TableGrid7"/>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765"/>
      </w:tblGrid>
      <w:tr w:rsidR="001653D7" w:rsidRPr="001653D7" w14:paraId="211429B1" w14:textId="77777777" w:rsidTr="00D0608D">
        <w:tc>
          <w:tcPr>
            <w:tcW w:w="821" w:type="pct"/>
          </w:tcPr>
          <w:p w14:paraId="13CD8E19" w14:textId="77777777" w:rsidR="001653D7" w:rsidRPr="001653D7" w:rsidRDefault="001653D7" w:rsidP="00100EF9">
            <w:pPr>
              <w:rPr>
                <w:i/>
              </w:rPr>
            </w:pPr>
            <w:r>
              <w:rPr>
                <w:b/>
                <w:i/>
              </w:rPr>
              <w:t>Επικοινωνία</w:t>
            </w:r>
          </w:p>
        </w:tc>
        <w:tc>
          <w:tcPr>
            <w:tcW w:w="4179" w:type="pct"/>
          </w:tcPr>
          <w:p w14:paraId="4FD1075C" w14:textId="32E95F9F" w:rsidR="001653D7" w:rsidRPr="00D05167" w:rsidRDefault="001653D7" w:rsidP="00100EF9">
            <w:pPr>
              <w:rPr>
                <w:i/>
              </w:rPr>
            </w:pPr>
            <w:proofErr w:type="spellStart"/>
            <w:r>
              <w:rPr>
                <w:i/>
              </w:rPr>
              <w:t>Gemma</w:t>
            </w:r>
            <w:proofErr w:type="spellEnd"/>
            <w:r>
              <w:rPr>
                <w:i/>
              </w:rPr>
              <w:t xml:space="preserve"> </w:t>
            </w:r>
            <w:proofErr w:type="spellStart"/>
            <w:r>
              <w:rPr>
                <w:i/>
              </w:rPr>
              <w:t>Amran</w:t>
            </w:r>
            <w:proofErr w:type="spellEnd"/>
          </w:p>
        </w:tc>
      </w:tr>
      <w:tr w:rsidR="001653D7" w:rsidRPr="001653D7" w14:paraId="3BC05E8A" w14:textId="77777777" w:rsidTr="00D0608D">
        <w:tc>
          <w:tcPr>
            <w:tcW w:w="821" w:type="pct"/>
          </w:tcPr>
          <w:p w14:paraId="1D9039E7" w14:textId="77777777" w:rsidR="001653D7" w:rsidRPr="001653D7" w:rsidRDefault="001653D7" w:rsidP="00100EF9">
            <w:pPr>
              <w:rPr>
                <w:i/>
              </w:rPr>
            </w:pPr>
            <w:proofErr w:type="spellStart"/>
            <w:r>
              <w:rPr>
                <w:i/>
              </w:rPr>
              <w:t>Τηλ</w:t>
            </w:r>
            <w:proofErr w:type="spellEnd"/>
            <w:r>
              <w:rPr>
                <w:i/>
              </w:rPr>
              <w:t>.</w:t>
            </w:r>
          </w:p>
        </w:tc>
        <w:tc>
          <w:tcPr>
            <w:tcW w:w="4179" w:type="pct"/>
          </w:tcPr>
          <w:p w14:paraId="410A1B26" w14:textId="0CC1E8ED" w:rsidR="001653D7" w:rsidRPr="00D05167" w:rsidRDefault="001653D7" w:rsidP="00100EF9">
            <w:pPr>
              <w:rPr>
                <w:i/>
              </w:rPr>
            </w:pPr>
            <w:r>
              <w:rPr>
                <w:i/>
              </w:rPr>
              <w:t>+32 25469415</w:t>
            </w:r>
          </w:p>
        </w:tc>
      </w:tr>
      <w:tr w:rsidR="001653D7" w:rsidRPr="001653D7" w14:paraId="653F335D" w14:textId="77777777" w:rsidTr="00D0608D">
        <w:tc>
          <w:tcPr>
            <w:tcW w:w="821" w:type="pct"/>
          </w:tcPr>
          <w:p w14:paraId="5DF7B6E3" w14:textId="77777777" w:rsidR="001653D7" w:rsidRPr="001653D7" w:rsidRDefault="001653D7" w:rsidP="00100EF9">
            <w:pPr>
              <w:rPr>
                <w:i/>
              </w:rPr>
            </w:pPr>
            <w:proofErr w:type="spellStart"/>
            <w:r>
              <w:rPr>
                <w:i/>
              </w:rPr>
              <w:t>Ηλ</w:t>
            </w:r>
            <w:proofErr w:type="spellEnd"/>
            <w:r>
              <w:rPr>
                <w:i/>
              </w:rPr>
              <w:t>. δ/</w:t>
            </w:r>
            <w:proofErr w:type="spellStart"/>
            <w:r>
              <w:rPr>
                <w:i/>
              </w:rPr>
              <w:t>νση</w:t>
            </w:r>
            <w:proofErr w:type="spellEnd"/>
          </w:p>
        </w:tc>
        <w:tc>
          <w:tcPr>
            <w:tcW w:w="4179" w:type="pct"/>
          </w:tcPr>
          <w:p w14:paraId="03300BBE" w14:textId="77777777" w:rsidR="001653D7" w:rsidRPr="001653D7" w:rsidRDefault="0005365A" w:rsidP="00100EF9">
            <w:pPr>
              <w:rPr>
                <w:i/>
              </w:rPr>
            </w:pPr>
            <w:hyperlink r:id="rId25" w:history="1">
              <w:r w:rsidR="00E235D3">
                <w:rPr>
                  <w:i/>
                  <w:color w:val="0000FF"/>
                  <w:u w:val="single"/>
                </w:rPr>
                <w:t>Gemma.Amran@eesc.europa.eu</w:t>
              </w:r>
            </w:hyperlink>
          </w:p>
        </w:tc>
      </w:tr>
    </w:tbl>
    <w:p w14:paraId="626D4DF6" w14:textId="77777777" w:rsidR="00C1109B" w:rsidRDefault="00C1109B">
      <w:r>
        <w:br w:type="page"/>
      </w:r>
    </w:p>
    <w:tbl>
      <w:tblPr>
        <w:tblStyle w:val="TableGrid7"/>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765"/>
      </w:tblGrid>
      <w:tr w:rsidR="00C1109B" w:rsidRPr="001653D7" w14:paraId="30B55701" w14:textId="77777777" w:rsidTr="00D0608D">
        <w:tc>
          <w:tcPr>
            <w:tcW w:w="821" w:type="pct"/>
          </w:tcPr>
          <w:p w14:paraId="49C59F54" w14:textId="37D78746" w:rsidR="00C1109B" w:rsidRDefault="00C1109B" w:rsidP="00100EF9">
            <w:pPr>
              <w:rPr>
                <w:i/>
              </w:rPr>
            </w:pPr>
          </w:p>
        </w:tc>
        <w:tc>
          <w:tcPr>
            <w:tcW w:w="4179" w:type="pct"/>
          </w:tcPr>
          <w:p w14:paraId="3D7E48A2" w14:textId="77777777" w:rsidR="00C1109B" w:rsidRDefault="00C1109B" w:rsidP="00100EF9"/>
        </w:tc>
      </w:tr>
    </w:tbl>
    <w:p w14:paraId="4982DDC6" w14:textId="77777777" w:rsidR="004D7AC0" w:rsidRDefault="004D7AC0" w:rsidP="00100EF9">
      <w:pPr>
        <w:pStyle w:val="Heading1"/>
        <w:rPr>
          <w:b/>
        </w:rPr>
      </w:pPr>
      <w:bookmarkStart w:id="24" w:name="_Toc24617160"/>
      <w:bookmarkStart w:id="25" w:name="_Toc75527082"/>
      <w:bookmarkStart w:id="26" w:name="_Toc223534714"/>
      <w:r>
        <w:rPr>
          <w:b/>
        </w:rPr>
        <w:t>ΜΕΤΑΦΟΡΕΣ, ΕΝΕΡΓΕΙΑ, ΥΠΟΔΟΜΕΣ, ΚΟΙΝΩΝΙΑ ΤΩΝ ΠΛΗΡΟΦΟΡΙΩΝ</w:t>
      </w:r>
      <w:bookmarkEnd w:id="24"/>
      <w:bookmarkEnd w:id="25"/>
      <w:bookmarkEnd w:id="26"/>
    </w:p>
    <w:p w14:paraId="4982DDC7" w14:textId="77777777" w:rsidR="004D7AC0" w:rsidRDefault="004D7AC0" w:rsidP="00100EF9"/>
    <w:p w14:paraId="33F22FD2" w14:textId="2A2F8B4D" w:rsidR="00B55C6C" w:rsidRPr="00B55C6C" w:rsidRDefault="0005365A" w:rsidP="00100EF9">
      <w:pPr>
        <w:widowControl w:val="0"/>
        <w:numPr>
          <w:ilvl w:val="0"/>
          <w:numId w:val="6"/>
        </w:numPr>
        <w:ind w:hanging="567"/>
        <w:rPr>
          <w:sz w:val="24"/>
          <w:szCs w:val="24"/>
        </w:rPr>
      </w:pPr>
      <w:hyperlink r:id="rId26" w:history="1">
        <w:r w:rsidR="00E235D3">
          <w:rPr>
            <w:b/>
            <w:i/>
            <w:color w:val="0000FF"/>
            <w:sz w:val="24"/>
            <w:u w:val="single"/>
          </w:rPr>
          <w:t xml:space="preserve">Η ευρωπαϊκή στρατηγική για τις </w:t>
        </w:r>
        <w:proofErr w:type="spellStart"/>
        <w:r w:rsidR="00E235D3">
          <w:rPr>
            <w:b/>
            <w:i/>
            <w:color w:val="0000FF"/>
            <w:sz w:val="24"/>
            <w:u w:val="single"/>
          </w:rPr>
          <w:t>βιοεπιστήμες</w:t>
        </w:r>
        <w:proofErr w:type="spellEnd"/>
        <w:r w:rsidR="00E235D3">
          <w:rPr>
            <w:b/>
            <w:i/>
            <w:color w:val="0000FF"/>
            <w:sz w:val="24"/>
            <w:u w:val="single"/>
          </w:rPr>
          <w:t xml:space="preserve"> και η στρατηγική για τις υποδομές έρευνας και τεχνολογίας, με έμφαση στη θεραπεία των σπάνιων νόσων</w:t>
        </w:r>
      </w:hyperlink>
    </w:p>
    <w:p w14:paraId="6D214F19" w14:textId="77777777" w:rsidR="00B55C6C" w:rsidRPr="00B55C6C" w:rsidRDefault="00B55C6C" w:rsidP="00100EF9">
      <w:pPr>
        <w:tabs>
          <w:tab w:val="center" w:pos="284"/>
        </w:tabs>
        <w:ind w:left="266" w:hanging="266"/>
        <w:rPr>
          <w: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7400"/>
      </w:tblGrid>
      <w:tr w:rsidR="00B55C6C" w:rsidRPr="00B55C6C" w14:paraId="2B64E1A2" w14:textId="77777777" w:rsidTr="00D0608D">
        <w:tc>
          <w:tcPr>
            <w:tcW w:w="1673" w:type="dxa"/>
          </w:tcPr>
          <w:p w14:paraId="31E45AAF" w14:textId="77777777" w:rsidR="00B55C6C" w:rsidRPr="00B55C6C" w:rsidRDefault="00B55C6C" w:rsidP="00100EF9">
            <w:pPr>
              <w:tabs>
                <w:tab w:val="center" w:pos="284"/>
              </w:tabs>
              <w:ind w:left="266" w:hanging="266"/>
              <w:rPr>
                <w:b/>
              </w:rPr>
            </w:pPr>
            <w:r>
              <w:rPr>
                <w:b/>
              </w:rPr>
              <w:t>Εισηγήτρια</w:t>
            </w:r>
          </w:p>
        </w:tc>
        <w:tc>
          <w:tcPr>
            <w:tcW w:w="7400" w:type="dxa"/>
          </w:tcPr>
          <w:p w14:paraId="2077B4EE" w14:textId="7CFFDBD7" w:rsidR="0027149A" w:rsidRPr="00B55C6C" w:rsidRDefault="00B55C6C" w:rsidP="00100EF9">
            <w:pPr>
              <w:tabs>
                <w:tab w:val="center" w:pos="284"/>
              </w:tabs>
              <w:ind w:left="266" w:hanging="266"/>
            </w:pPr>
            <w:proofErr w:type="spellStart"/>
            <w:r>
              <w:t>Milena</w:t>
            </w:r>
            <w:proofErr w:type="spellEnd"/>
            <w:r>
              <w:t xml:space="preserve"> ANGELOVA (Ομάδα των Εργοδοτών – BG)</w:t>
            </w:r>
          </w:p>
        </w:tc>
      </w:tr>
      <w:tr w:rsidR="00205469" w:rsidRPr="00B55C6C" w14:paraId="035AE27D" w14:textId="77777777" w:rsidTr="00D0608D">
        <w:tc>
          <w:tcPr>
            <w:tcW w:w="1673" w:type="dxa"/>
          </w:tcPr>
          <w:p w14:paraId="582588EB" w14:textId="77777777" w:rsidR="00205469" w:rsidRPr="00B55C6C" w:rsidRDefault="00205469" w:rsidP="00100EF9">
            <w:pPr>
              <w:tabs>
                <w:tab w:val="center" w:pos="284"/>
              </w:tabs>
              <w:ind w:left="266" w:hanging="266"/>
              <w:rPr>
                <w:b/>
              </w:rPr>
            </w:pPr>
          </w:p>
        </w:tc>
        <w:tc>
          <w:tcPr>
            <w:tcW w:w="7400" w:type="dxa"/>
          </w:tcPr>
          <w:p w14:paraId="33028952" w14:textId="77777777" w:rsidR="00205469" w:rsidRPr="00B55C6C" w:rsidRDefault="00205469" w:rsidP="00100EF9">
            <w:pPr>
              <w:tabs>
                <w:tab w:val="center" w:pos="284"/>
              </w:tabs>
              <w:ind w:left="266" w:hanging="266"/>
            </w:pPr>
          </w:p>
        </w:tc>
      </w:tr>
      <w:tr w:rsidR="00B55C6C" w:rsidRPr="00B55C6C" w14:paraId="416210B9" w14:textId="77777777" w:rsidTr="00D0608D">
        <w:tc>
          <w:tcPr>
            <w:tcW w:w="1673" w:type="dxa"/>
          </w:tcPr>
          <w:p w14:paraId="5830CF27" w14:textId="77777777" w:rsidR="00B55C6C" w:rsidRPr="00B55C6C" w:rsidRDefault="00B55C6C" w:rsidP="00100EF9">
            <w:pPr>
              <w:tabs>
                <w:tab w:val="center" w:pos="284"/>
              </w:tabs>
              <w:ind w:left="266" w:hanging="266"/>
              <w:rPr>
                <w:b/>
              </w:rPr>
            </w:pPr>
            <w:r>
              <w:rPr>
                <w:b/>
              </w:rPr>
              <w:t>Έγγραφα αναφοράς</w:t>
            </w:r>
          </w:p>
        </w:tc>
        <w:tc>
          <w:tcPr>
            <w:tcW w:w="7400" w:type="dxa"/>
          </w:tcPr>
          <w:p w14:paraId="6387FA0F" w14:textId="29179DE5" w:rsidR="00B55C6C" w:rsidRPr="00B55C6C" w:rsidRDefault="00B55C6C" w:rsidP="00100EF9">
            <w:pPr>
              <w:tabs>
                <w:tab w:val="center" w:pos="284"/>
              </w:tabs>
              <w:ind w:left="266" w:right="-108" w:hanging="266"/>
              <w:jc w:val="left"/>
            </w:pPr>
            <w:r>
              <w:t>Διερευνητική γνωμοδότηση κατόπιν αιτήματος της δανικής Προεδρίας του Συμβουλίου της ΕΕ</w:t>
            </w:r>
          </w:p>
          <w:p w14:paraId="72910B0E" w14:textId="77777777" w:rsidR="00B55C6C" w:rsidRPr="00B55C6C" w:rsidRDefault="00B55C6C" w:rsidP="00100EF9">
            <w:pPr>
              <w:tabs>
                <w:tab w:val="center" w:pos="284"/>
              </w:tabs>
              <w:ind w:left="266" w:hanging="266"/>
            </w:pPr>
            <w:r>
              <w:t>EESC-2025-03652-00-00-AC</w:t>
            </w:r>
          </w:p>
        </w:tc>
      </w:tr>
    </w:tbl>
    <w:p w14:paraId="6A284DC4" w14:textId="77777777" w:rsidR="00B55C6C" w:rsidRPr="00B55C6C" w:rsidRDefault="00B55C6C" w:rsidP="00100EF9">
      <w:pPr>
        <w:keepNext/>
        <w:keepLines/>
        <w:tabs>
          <w:tab w:val="center" w:pos="284"/>
        </w:tabs>
        <w:ind w:left="266" w:hanging="266"/>
        <w:rPr>
          <w:b/>
          <w:bCs/>
        </w:rPr>
      </w:pPr>
    </w:p>
    <w:p w14:paraId="273C39C3" w14:textId="46817AE1" w:rsidR="00B55C6C" w:rsidRPr="00B55C6C" w:rsidRDefault="00B55C6C" w:rsidP="00100EF9">
      <w:pPr>
        <w:keepNext/>
        <w:keepLines/>
        <w:tabs>
          <w:tab w:val="center" w:pos="284"/>
        </w:tabs>
        <w:ind w:left="266" w:hanging="266"/>
        <w:rPr>
          <w:b/>
          <w:bCs/>
        </w:rPr>
      </w:pPr>
      <w:r>
        <w:rPr>
          <w:b/>
        </w:rPr>
        <w:t>Κύρια σημεία</w:t>
      </w:r>
    </w:p>
    <w:p w14:paraId="4C80B459" w14:textId="77777777" w:rsidR="00B55C6C" w:rsidRPr="00B55C6C" w:rsidRDefault="00B55C6C" w:rsidP="00100EF9">
      <w:pPr>
        <w:keepNext/>
        <w:keepLines/>
        <w:tabs>
          <w:tab w:val="center" w:pos="284"/>
        </w:tabs>
        <w:ind w:left="266" w:hanging="266"/>
        <w:rPr>
          <w:b/>
        </w:rPr>
      </w:pPr>
    </w:p>
    <w:p w14:paraId="00939141" w14:textId="77777777" w:rsidR="00B55C6C" w:rsidRDefault="00B55C6C" w:rsidP="00100EF9">
      <w:r>
        <w:t>Η ΕΟΚΕ:</w:t>
      </w:r>
    </w:p>
    <w:p w14:paraId="383812B3" w14:textId="77777777" w:rsidR="00B55C6C" w:rsidRPr="00B55C6C" w:rsidRDefault="00B55C6C" w:rsidP="007526DA">
      <w:pPr>
        <w:numPr>
          <w:ilvl w:val="0"/>
          <w:numId w:val="20"/>
        </w:numPr>
        <w:shd w:val="clear" w:color="auto" w:fill="FFFFFF" w:themeFill="background1"/>
        <w:ind w:left="567" w:hanging="567"/>
        <w:contextualSpacing/>
        <w:rPr>
          <w:rFonts w:ascii="Calibri" w:hAnsi="Calibri"/>
          <w:color w:val="242424"/>
          <w:u w:val="single"/>
        </w:rPr>
      </w:pPr>
      <w:r>
        <w:rPr>
          <w:color w:val="242424"/>
        </w:rPr>
        <w:t xml:space="preserve">Επιδοκιμάζει την ευρωπαϊκή στρατηγική για τις </w:t>
      </w:r>
      <w:proofErr w:type="spellStart"/>
      <w:r>
        <w:rPr>
          <w:color w:val="242424"/>
        </w:rPr>
        <w:t>βιοεπιστήμες</w:t>
      </w:r>
      <w:proofErr w:type="spellEnd"/>
      <w:r>
        <w:rPr>
          <w:color w:val="242424"/>
        </w:rPr>
        <w:t xml:space="preserve"> και τονίζει ότι η διασφάλιση μιας </w:t>
      </w:r>
      <w:r>
        <w:rPr>
          <w:b/>
          <w:color w:val="242424"/>
        </w:rPr>
        <w:t>ολιστικής προσέγγισης</w:t>
      </w:r>
      <w:r>
        <w:rPr>
          <w:color w:val="242424"/>
        </w:rPr>
        <w:t xml:space="preserve"> και ενός γόνιμου περιβάλλοντος μπορεί να καταστήσει την Ευρώπη </w:t>
      </w:r>
      <w:r>
        <w:rPr>
          <w:b/>
          <w:color w:val="242424"/>
        </w:rPr>
        <w:t xml:space="preserve">παγκόσμια ηγέτιδα στις </w:t>
      </w:r>
      <w:proofErr w:type="spellStart"/>
      <w:r>
        <w:rPr>
          <w:b/>
          <w:color w:val="242424"/>
        </w:rPr>
        <w:t>βιοεπιστήμες</w:t>
      </w:r>
      <w:proofErr w:type="spellEnd"/>
      <w:r>
        <w:rPr>
          <w:color w:val="242424"/>
        </w:rPr>
        <w:t xml:space="preserve"> (ιδίως όσον αφορά τις σπάνιες νόσους και τη </w:t>
      </w:r>
      <w:proofErr w:type="spellStart"/>
      <w:r>
        <w:rPr>
          <w:color w:val="242424"/>
        </w:rPr>
        <w:t>γονιδιωματική</w:t>
      </w:r>
      <w:proofErr w:type="spellEnd"/>
      <w:r>
        <w:rPr>
          <w:color w:val="242424"/>
        </w:rPr>
        <w:t>).</w:t>
      </w:r>
      <w:r>
        <w:rPr>
          <w:color w:val="242424"/>
          <w:u w:val="single"/>
        </w:rPr>
        <w:t xml:space="preserve"> Η </w:t>
      </w:r>
      <w:r>
        <w:rPr>
          <w:b/>
          <w:color w:val="242424"/>
          <w:u w:val="single"/>
        </w:rPr>
        <w:t>προσέγγιση</w:t>
      </w:r>
      <w:r>
        <w:rPr>
          <w:color w:val="242424"/>
          <w:u w:val="single"/>
        </w:rPr>
        <w:t xml:space="preserve"> αυτή περιλαμβάνει:</w:t>
      </w:r>
    </w:p>
    <w:p w14:paraId="5A323DAF" w14:textId="746DCEF3" w:rsidR="00B55C6C" w:rsidRPr="00B55C6C" w:rsidRDefault="00B55C6C" w:rsidP="007526DA">
      <w:pPr>
        <w:numPr>
          <w:ilvl w:val="1"/>
          <w:numId w:val="26"/>
        </w:numPr>
        <w:shd w:val="clear" w:color="auto" w:fill="FFFFFF" w:themeFill="background1"/>
        <w:ind w:left="851" w:hanging="284"/>
        <w:contextualSpacing/>
        <w:rPr>
          <w:rFonts w:ascii="Calibri" w:hAnsi="Calibri"/>
          <w:color w:val="242424"/>
          <w:u w:val="single"/>
        </w:rPr>
      </w:pPr>
      <w:r>
        <w:rPr>
          <w:color w:val="242424"/>
          <w:u w:val="single"/>
        </w:rPr>
        <w:t>ολοκληρωμένες επιστημονικές και βασισμένες σε δεδομένα μεθόδους για τη διάγνωση και την κατανόηση των αιτίων των νόσων (π.χ. γενετική, ανθυγιεινές συνήθειες και τρόποι ζωής, ρύπανση, άγχος κ.λπ.)</w:t>
      </w:r>
    </w:p>
    <w:p w14:paraId="54755404" w14:textId="5C9C4720" w:rsidR="00B55C6C" w:rsidRPr="00B55C6C" w:rsidRDefault="00B55C6C" w:rsidP="007526DA">
      <w:pPr>
        <w:numPr>
          <w:ilvl w:val="1"/>
          <w:numId w:val="26"/>
        </w:numPr>
        <w:shd w:val="clear" w:color="auto" w:fill="FFFFFF" w:themeFill="background1"/>
        <w:ind w:left="851" w:hanging="284"/>
        <w:contextualSpacing/>
        <w:rPr>
          <w:rFonts w:ascii="Calibri" w:hAnsi="Calibri"/>
          <w:color w:val="242424"/>
          <w:u w:val="single"/>
        </w:rPr>
      </w:pPr>
      <w:r>
        <w:rPr>
          <w:color w:val="242424"/>
          <w:u w:val="single"/>
        </w:rPr>
        <w:t>διάδοση πληροφοριών σχετικά με την πρόληψη και την έγκαιρη διάγνωση</w:t>
      </w:r>
    </w:p>
    <w:p w14:paraId="3424F771" w14:textId="30D8CD98" w:rsidR="00B55C6C" w:rsidRPr="00B55C6C" w:rsidRDefault="00B55C6C" w:rsidP="007526DA">
      <w:pPr>
        <w:numPr>
          <w:ilvl w:val="1"/>
          <w:numId w:val="26"/>
        </w:numPr>
        <w:shd w:val="clear" w:color="auto" w:fill="FFFFFF" w:themeFill="background1"/>
        <w:ind w:left="851" w:hanging="284"/>
        <w:contextualSpacing/>
        <w:rPr>
          <w:color w:val="242424"/>
          <w:u w:val="single"/>
        </w:rPr>
      </w:pPr>
      <w:proofErr w:type="spellStart"/>
      <w:r>
        <w:rPr>
          <w:color w:val="242424"/>
          <w:u w:val="single"/>
        </w:rPr>
        <w:t>προσυμπτωματικό</w:t>
      </w:r>
      <w:proofErr w:type="spellEnd"/>
      <w:r>
        <w:rPr>
          <w:color w:val="242424"/>
          <w:u w:val="single"/>
        </w:rPr>
        <w:t xml:space="preserve"> έλεγχο, αποτελεσματική και </w:t>
      </w:r>
      <w:proofErr w:type="spellStart"/>
      <w:r>
        <w:rPr>
          <w:color w:val="242424"/>
          <w:u w:val="single"/>
        </w:rPr>
        <w:t>προσβάσιμη</w:t>
      </w:r>
      <w:proofErr w:type="spellEnd"/>
      <w:r>
        <w:rPr>
          <w:color w:val="242424"/>
          <w:u w:val="single"/>
        </w:rPr>
        <w:t xml:space="preserve"> θεραπεία</w:t>
      </w:r>
    </w:p>
    <w:p w14:paraId="093589AA" w14:textId="77777777" w:rsidR="00B55C6C" w:rsidRPr="00B55C6C" w:rsidRDefault="00B55C6C" w:rsidP="007526DA">
      <w:pPr>
        <w:numPr>
          <w:ilvl w:val="1"/>
          <w:numId w:val="26"/>
        </w:numPr>
        <w:shd w:val="clear" w:color="auto" w:fill="FFFFFF" w:themeFill="background1"/>
        <w:ind w:left="851" w:hanging="284"/>
        <w:contextualSpacing/>
        <w:rPr>
          <w:color w:val="242424"/>
          <w:u w:val="single"/>
        </w:rPr>
      </w:pPr>
      <w:r>
        <w:rPr>
          <w:color w:val="242424"/>
          <w:u w:val="single"/>
        </w:rPr>
        <w:t xml:space="preserve">υψηλής ποιότητας περίθαλψη και </w:t>
      </w:r>
      <w:proofErr w:type="spellStart"/>
      <w:r>
        <w:rPr>
          <w:color w:val="242424"/>
          <w:u w:val="single"/>
        </w:rPr>
        <w:t>προσβάσιμες</w:t>
      </w:r>
      <w:proofErr w:type="spellEnd"/>
      <w:r>
        <w:rPr>
          <w:color w:val="242424"/>
          <w:u w:val="single"/>
        </w:rPr>
        <w:t xml:space="preserve"> υποδομές στήριξης για τους ασθενείς και τις οικογένειές τους.</w:t>
      </w:r>
    </w:p>
    <w:p w14:paraId="65EEE98A" w14:textId="7EA1C342" w:rsidR="00B55C6C" w:rsidRPr="00B55C6C" w:rsidRDefault="00B55C6C" w:rsidP="007526DA">
      <w:pPr>
        <w:numPr>
          <w:ilvl w:val="0"/>
          <w:numId w:val="20"/>
        </w:numPr>
        <w:shd w:val="clear" w:color="auto" w:fill="FFFFFF" w:themeFill="background1"/>
        <w:ind w:left="567" w:hanging="567"/>
        <w:contextualSpacing/>
        <w:rPr>
          <w:color w:val="242424"/>
          <w:u w:val="single"/>
        </w:rPr>
      </w:pPr>
      <w:r>
        <w:t xml:space="preserve">Υποστηρίζει την έκκληση του Ευρωπαϊκού Κοινοβουλίου για ταχεία έγκριση ενός </w:t>
      </w:r>
      <w:hyperlink r:id="rId27">
        <w:r>
          <w:rPr>
            <w:b/>
            <w:color w:val="242424"/>
            <w:u w:val="single"/>
          </w:rPr>
          <w:t>σχεδίου δράσης της ΕΕ για τις σπάνιες νόσους</w:t>
        </w:r>
      </w:hyperlink>
      <w:r>
        <w:t xml:space="preserve">, μεταξύ άλλων με την αναβίωση και την περαιτέρω ανάπτυξη της </w:t>
      </w:r>
      <w:hyperlink r:id="rId28">
        <w:r>
          <w:rPr>
            <w:b/>
            <w:color w:val="242424"/>
            <w:u w:val="single"/>
          </w:rPr>
          <w:t xml:space="preserve">έκκλησης του </w:t>
        </w:r>
        <w:proofErr w:type="spellStart"/>
        <w:r>
          <w:rPr>
            <w:b/>
            <w:color w:val="242424"/>
            <w:u w:val="single"/>
          </w:rPr>
          <w:t>Tartu</w:t>
        </w:r>
        <w:proofErr w:type="spellEnd"/>
        <w:r>
          <w:rPr>
            <w:b/>
            <w:color w:val="242424"/>
            <w:u w:val="single"/>
          </w:rPr>
          <w:t xml:space="preserve"> για έναν υγιεινό τρόπο ζωής</w:t>
        </w:r>
      </w:hyperlink>
      <w:r>
        <w:t xml:space="preserve"> και την υιοθέτηση </w:t>
      </w:r>
      <w:hyperlink r:id="rId29">
        <w:r>
          <w:rPr>
            <w:b/>
            <w:color w:val="242424"/>
            <w:u w:val="single"/>
          </w:rPr>
          <w:t>της προσέγγισης «Μία υγεία»</w:t>
        </w:r>
      </w:hyperlink>
      <w:r>
        <w:t>.</w:t>
      </w:r>
    </w:p>
    <w:p w14:paraId="19824879" w14:textId="1ECCBA6F" w:rsidR="00B55C6C" w:rsidRPr="00B55C6C" w:rsidRDefault="00B55C6C" w:rsidP="007526DA">
      <w:pPr>
        <w:numPr>
          <w:ilvl w:val="0"/>
          <w:numId w:val="22"/>
        </w:numPr>
        <w:shd w:val="clear" w:color="auto" w:fill="FFFFFF" w:themeFill="background1"/>
        <w:ind w:left="567" w:hanging="567"/>
        <w:contextualSpacing/>
        <w:rPr>
          <w:b/>
          <w:bCs/>
          <w:color w:val="242424"/>
        </w:rPr>
      </w:pPr>
      <w:r>
        <w:rPr>
          <w:color w:val="242424"/>
        </w:rPr>
        <w:t xml:space="preserve">Θεωρεί ότι οι υποδομές έρευνας και τεχνολογίας, συμπεριλαμβανομένων εκείνων που επικεντρώνονται στις σπάνιες νόσους, αποτελούν βασικό καταλύτη για την ανάπτυξη των </w:t>
      </w:r>
      <w:proofErr w:type="spellStart"/>
      <w:r>
        <w:rPr>
          <w:color w:val="242424"/>
        </w:rPr>
        <w:t>βιοεπιστημών</w:t>
      </w:r>
      <w:proofErr w:type="spellEnd"/>
      <w:r>
        <w:rPr>
          <w:color w:val="242424"/>
        </w:rPr>
        <w:t xml:space="preserve"> και της οικονομίας της μακροζωίας και ότι θα πρέπει να περιλαμβάνουν </w:t>
      </w:r>
      <w:r>
        <w:rPr>
          <w:b/>
          <w:color w:val="242424"/>
        </w:rPr>
        <w:t>ολόκληρη τη νοοτροπία μακροζωίας</w:t>
      </w:r>
      <w:r>
        <w:rPr>
          <w:color w:val="242424"/>
        </w:rPr>
        <w:t xml:space="preserve"> (συμπεριλαμβανομένων της πρόληψης, της υγιεινής διατροφής, του τρόπου ζωής, της λουτροθεραπείας και της αναψυχής, της σωματικής και ψυχικής υγείας, και πολλών άλλων στοιχείων) πέραν της διάγνωσης και της θεραπείας νόσων.</w:t>
      </w:r>
    </w:p>
    <w:p w14:paraId="36230EAB" w14:textId="2F18E6C1" w:rsidR="00B55C6C" w:rsidRPr="00B55C6C" w:rsidRDefault="00B55C6C" w:rsidP="007526DA">
      <w:pPr>
        <w:numPr>
          <w:ilvl w:val="0"/>
          <w:numId w:val="22"/>
        </w:numPr>
        <w:shd w:val="clear" w:color="auto" w:fill="FFFFFF" w:themeFill="background1"/>
        <w:ind w:left="567" w:hanging="567"/>
        <w:contextualSpacing/>
        <w:rPr>
          <w:color w:val="242424"/>
        </w:rPr>
      </w:pPr>
      <w:r>
        <w:rPr>
          <w:color w:val="242424"/>
        </w:rPr>
        <w:t xml:space="preserve">Συνιστά τη δημιουργία σε κάθε κράτος μέλος </w:t>
      </w:r>
      <w:r>
        <w:rPr>
          <w:b/>
          <w:color w:val="242424"/>
        </w:rPr>
        <w:t>διακρατικών κέντρων εξειδικευμένων στις σπάνιες νόσους</w:t>
      </w:r>
      <w:r>
        <w:rPr>
          <w:color w:val="242424"/>
        </w:rPr>
        <w:t>, τα οποία θα συντονίζονται σε επίπεδο ΕΕ για λόγους συνοχής.</w:t>
      </w:r>
    </w:p>
    <w:p w14:paraId="79F67F3F" w14:textId="695936F4" w:rsidR="00B55C6C" w:rsidRPr="00B55C6C" w:rsidRDefault="00B55C6C" w:rsidP="007526DA">
      <w:pPr>
        <w:numPr>
          <w:ilvl w:val="0"/>
          <w:numId w:val="22"/>
        </w:numPr>
        <w:shd w:val="clear" w:color="auto" w:fill="FFFFFF" w:themeFill="background1"/>
        <w:ind w:left="567" w:hanging="567"/>
        <w:contextualSpacing/>
        <w:rPr>
          <w:color w:val="242424"/>
        </w:rPr>
      </w:pPr>
      <w:r>
        <w:rPr>
          <w:color w:val="242424"/>
        </w:rPr>
        <w:t>Επισημαίνει ότι οι ευρωπαϊκές συμπράξεις είναι ζωτικής σημασίας για την προώθηση της ουσιαστικής και διαρθρωμένης κινητοποίησης ολόκληρου του φάσματος των ενδιαφερόμενων μερών και ζητεί τυποποιημένους μηχανισμούς για τη συμμετοχή τους.</w:t>
      </w:r>
    </w:p>
    <w:p w14:paraId="007C9EE2" w14:textId="77777777" w:rsidR="00B55C6C" w:rsidRPr="00B55C6C" w:rsidRDefault="00B55C6C" w:rsidP="007526DA">
      <w:pPr>
        <w:numPr>
          <w:ilvl w:val="0"/>
          <w:numId w:val="22"/>
        </w:numPr>
        <w:shd w:val="clear" w:color="auto" w:fill="FFFFFF" w:themeFill="background1"/>
        <w:ind w:left="567" w:hanging="567"/>
        <w:contextualSpacing/>
        <w:rPr>
          <w:color w:val="242424"/>
        </w:rPr>
      </w:pPr>
      <w:r>
        <w:rPr>
          <w:color w:val="242424"/>
        </w:rPr>
        <w:t xml:space="preserve">Τάσσεται υπέρ της </w:t>
      </w:r>
      <w:r>
        <w:rPr>
          <w:b/>
          <w:color w:val="242424"/>
        </w:rPr>
        <w:t>υποχρεωτικής εκπροσώπησης των οργανώσεων ασθενών, των κοινωνικών εταίρων και της κοινωνίας των πολιτών στα όργανα διακυβέρνησης</w:t>
      </w:r>
      <w:r>
        <w:rPr>
          <w:color w:val="242424"/>
        </w:rPr>
        <w:t xml:space="preserve">, η οποία, μέσω διαρθρωμένης, διαφανούς και συστηματικής συμμετοχής, θα καταστήσει δυνατό τον καθορισμό των προτεραιοτήτων και των πρωτοκόλλων δεδομένων, των απαιτήσεων διαφάνειας </w:t>
      </w:r>
      <w:r>
        <w:rPr>
          <w:color w:val="242424"/>
        </w:rPr>
        <w:lastRenderedPageBreak/>
        <w:t>σχετικά με τις αποφάσεις και τη χρήση των δεδομένων, καθώς και ενός μηχανισμού που θα διασφαλίζει την αποτελεσματική ενσωμάτωση των συνεισφορών τους.</w:t>
      </w:r>
    </w:p>
    <w:p w14:paraId="47E7F57B" w14:textId="77777777" w:rsidR="00B55C6C" w:rsidRPr="00B55C6C" w:rsidRDefault="00B55C6C" w:rsidP="00100EF9">
      <w:pPr>
        <w:ind w:left="720"/>
      </w:pPr>
    </w:p>
    <w:tbl>
      <w:tblPr>
        <w:tblStyle w:val="TableGrid5"/>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404"/>
      </w:tblGrid>
      <w:tr w:rsidR="00B55C6C" w:rsidRPr="00B55C6C" w14:paraId="1B7BB807" w14:textId="77777777" w:rsidTr="00D0608D">
        <w:tc>
          <w:tcPr>
            <w:tcW w:w="1668" w:type="dxa"/>
          </w:tcPr>
          <w:p w14:paraId="28C13E10" w14:textId="77777777" w:rsidR="00B55C6C" w:rsidRPr="00B55C6C" w:rsidRDefault="00B55C6C" w:rsidP="00100EF9">
            <w:pPr>
              <w:rPr>
                <w:i/>
              </w:rPr>
            </w:pPr>
            <w:r>
              <w:rPr>
                <w:b/>
                <w:i/>
              </w:rPr>
              <w:t>Επικοινωνία</w:t>
            </w:r>
          </w:p>
        </w:tc>
        <w:tc>
          <w:tcPr>
            <w:tcW w:w="7404" w:type="dxa"/>
          </w:tcPr>
          <w:p w14:paraId="1876AA9B" w14:textId="77777777" w:rsidR="00B55C6C" w:rsidRPr="00B55C6C" w:rsidRDefault="00B55C6C" w:rsidP="00100EF9">
            <w:pPr>
              <w:rPr>
                <w:i/>
              </w:rPr>
            </w:pPr>
            <w:r>
              <w:rPr>
                <w:i/>
              </w:rPr>
              <w:t>Κωνσταντίνα Αγγελοπούλου</w:t>
            </w:r>
          </w:p>
        </w:tc>
      </w:tr>
      <w:tr w:rsidR="00B55C6C" w:rsidRPr="00B55C6C" w14:paraId="3A6228E8" w14:textId="77777777" w:rsidTr="00D0608D">
        <w:tc>
          <w:tcPr>
            <w:tcW w:w="1668" w:type="dxa"/>
          </w:tcPr>
          <w:p w14:paraId="744FB576" w14:textId="77777777" w:rsidR="00B55C6C" w:rsidRPr="00B55C6C" w:rsidRDefault="00B55C6C" w:rsidP="00100EF9">
            <w:pPr>
              <w:rPr>
                <w:i/>
              </w:rPr>
            </w:pPr>
            <w:proofErr w:type="spellStart"/>
            <w:r>
              <w:rPr>
                <w:i/>
              </w:rPr>
              <w:t>Τηλ</w:t>
            </w:r>
            <w:proofErr w:type="spellEnd"/>
            <w:r>
              <w:rPr>
                <w:i/>
              </w:rPr>
              <w:t>.</w:t>
            </w:r>
          </w:p>
        </w:tc>
        <w:tc>
          <w:tcPr>
            <w:tcW w:w="7404" w:type="dxa"/>
          </w:tcPr>
          <w:p w14:paraId="30F176AA" w14:textId="69662FEA" w:rsidR="00B55C6C" w:rsidRPr="00B55C6C" w:rsidRDefault="00B55C6C" w:rsidP="00100EF9">
            <w:pPr>
              <w:rPr>
                <w:i/>
              </w:rPr>
            </w:pPr>
            <w:r>
              <w:rPr>
                <w:i/>
              </w:rPr>
              <w:t>+32 25469747</w:t>
            </w:r>
          </w:p>
        </w:tc>
      </w:tr>
      <w:tr w:rsidR="00B55C6C" w:rsidRPr="00B55C6C" w14:paraId="3F5E6411" w14:textId="77777777" w:rsidTr="00D0608D">
        <w:tc>
          <w:tcPr>
            <w:tcW w:w="1668" w:type="dxa"/>
          </w:tcPr>
          <w:p w14:paraId="62C81B41" w14:textId="1E9E1B5D" w:rsidR="00B55C6C" w:rsidRPr="00B55C6C" w:rsidRDefault="00256B74" w:rsidP="00100EF9">
            <w:pPr>
              <w:rPr>
                <w:i/>
              </w:rPr>
            </w:pPr>
            <w:proofErr w:type="spellStart"/>
            <w:r>
              <w:rPr>
                <w:i/>
              </w:rPr>
              <w:t>Ηλ</w:t>
            </w:r>
            <w:proofErr w:type="spellEnd"/>
            <w:r>
              <w:rPr>
                <w:i/>
              </w:rPr>
              <w:t>. δ/</w:t>
            </w:r>
            <w:proofErr w:type="spellStart"/>
            <w:r>
              <w:rPr>
                <w:i/>
              </w:rPr>
              <w:t>νση</w:t>
            </w:r>
            <w:proofErr w:type="spellEnd"/>
          </w:p>
        </w:tc>
        <w:tc>
          <w:tcPr>
            <w:tcW w:w="7404" w:type="dxa"/>
          </w:tcPr>
          <w:p w14:paraId="31CA77B0" w14:textId="77777777" w:rsidR="00B55C6C" w:rsidRPr="00B55C6C" w:rsidRDefault="0005365A" w:rsidP="00100EF9">
            <w:pPr>
              <w:rPr>
                <w:i/>
                <w:iCs/>
              </w:rPr>
            </w:pPr>
            <w:hyperlink r:id="rId30" w:history="1">
              <w:r w:rsidR="00E235D3">
                <w:rPr>
                  <w:i/>
                  <w:color w:val="0000FF"/>
                  <w:u w:val="single"/>
                </w:rPr>
                <w:t>Konstantina.Angelopoulou@eesc.europa.eu</w:t>
              </w:r>
            </w:hyperlink>
          </w:p>
        </w:tc>
      </w:tr>
    </w:tbl>
    <w:p w14:paraId="4982DDF1" w14:textId="3CAFEF7D" w:rsidR="00EE1B31" w:rsidRDefault="00EE1B31" w:rsidP="00100EF9">
      <w:pPr>
        <w:pStyle w:val="ListParagraph"/>
        <w:ind w:left="0"/>
      </w:pPr>
    </w:p>
    <w:p w14:paraId="4483536B" w14:textId="77777777" w:rsidR="00EE1B31" w:rsidRDefault="00EE1B31" w:rsidP="00100EF9">
      <w:pPr>
        <w:jc w:val="left"/>
      </w:pPr>
      <w:r>
        <w:br w:type="page"/>
      </w:r>
    </w:p>
    <w:p w14:paraId="20E4C813" w14:textId="328C87C4" w:rsidR="00594237" w:rsidRPr="00594237" w:rsidRDefault="0005365A" w:rsidP="00100EF9">
      <w:pPr>
        <w:widowControl w:val="0"/>
        <w:numPr>
          <w:ilvl w:val="0"/>
          <w:numId w:val="6"/>
        </w:numPr>
        <w:overflowPunct w:val="0"/>
        <w:autoSpaceDE w:val="0"/>
        <w:autoSpaceDN w:val="0"/>
        <w:adjustRightInd w:val="0"/>
        <w:ind w:hanging="567"/>
        <w:textAlignment w:val="baseline"/>
        <w:rPr>
          <w:sz w:val="20"/>
          <w:szCs w:val="20"/>
        </w:rPr>
      </w:pPr>
      <w:hyperlink r:id="rId31" w:history="1">
        <w:r w:rsidR="00E235D3">
          <w:rPr>
            <w:b/>
            <w:i/>
            <w:color w:val="0000FF"/>
            <w:sz w:val="28"/>
            <w:u w:val="single"/>
          </w:rPr>
          <w:t>Ενεργειακή διασύνδεση και δίκτυα ηλεκτρικής ενέργειας</w:t>
        </w:r>
      </w:hyperlink>
    </w:p>
    <w:p w14:paraId="03DC3C66" w14:textId="77777777" w:rsidR="00594237" w:rsidRPr="00594237" w:rsidRDefault="00594237" w:rsidP="00100EF9">
      <w:pPr>
        <w:tabs>
          <w:tab w:val="center" w:pos="284"/>
        </w:tabs>
        <w:overflowPunct w:val="0"/>
        <w:autoSpaceDE w:val="0"/>
        <w:autoSpaceDN w:val="0"/>
        <w:adjustRightInd w:val="0"/>
        <w:ind w:left="266" w:hanging="266"/>
        <w:textAlignment w:val="baseline"/>
        <w:rPr>
          <w:b/>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405"/>
      </w:tblGrid>
      <w:tr w:rsidR="00594237" w:rsidRPr="00594237" w14:paraId="0B3E8F32" w14:textId="77777777" w:rsidTr="00D0608D">
        <w:tc>
          <w:tcPr>
            <w:tcW w:w="1668" w:type="dxa"/>
          </w:tcPr>
          <w:p w14:paraId="3305D113" w14:textId="77777777" w:rsidR="00594237" w:rsidRPr="00594237" w:rsidRDefault="00594237" w:rsidP="00100EF9">
            <w:pPr>
              <w:tabs>
                <w:tab w:val="center" w:pos="284"/>
              </w:tabs>
              <w:overflowPunct w:val="0"/>
              <w:autoSpaceDE w:val="0"/>
              <w:autoSpaceDN w:val="0"/>
              <w:adjustRightInd w:val="0"/>
              <w:ind w:left="266" w:hanging="266"/>
              <w:textAlignment w:val="baseline"/>
              <w:rPr>
                <w:b/>
              </w:rPr>
            </w:pPr>
            <w:r>
              <w:rPr>
                <w:b/>
              </w:rPr>
              <w:t>Εισηγητής</w:t>
            </w:r>
          </w:p>
        </w:tc>
        <w:tc>
          <w:tcPr>
            <w:tcW w:w="7405" w:type="dxa"/>
          </w:tcPr>
          <w:p w14:paraId="01328C57" w14:textId="544140E5" w:rsidR="00F172E5" w:rsidRPr="00594237" w:rsidRDefault="00594237" w:rsidP="00100EF9">
            <w:pPr>
              <w:tabs>
                <w:tab w:val="center" w:pos="284"/>
              </w:tabs>
              <w:overflowPunct w:val="0"/>
              <w:autoSpaceDE w:val="0"/>
              <w:autoSpaceDN w:val="0"/>
              <w:adjustRightInd w:val="0"/>
              <w:ind w:left="266" w:hanging="266"/>
              <w:textAlignment w:val="baseline"/>
            </w:pPr>
            <w:proofErr w:type="spellStart"/>
            <w:r>
              <w:t>Christophe</w:t>
            </w:r>
            <w:proofErr w:type="spellEnd"/>
            <w:r>
              <w:t xml:space="preserve"> BÉGUINET (Ομάδα των Εργαζομένων – FR)</w:t>
            </w:r>
          </w:p>
        </w:tc>
      </w:tr>
      <w:tr w:rsidR="00205469" w:rsidRPr="00594237" w14:paraId="4D1871B6" w14:textId="77777777" w:rsidTr="00D0608D">
        <w:tc>
          <w:tcPr>
            <w:tcW w:w="1668" w:type="dxa"/>
          </w:tcPr>
          <w:p w14:paraId="589D2486" w14:textId="77777777" w:rsidR="00205469" w:rsidRPr="00594237" w:rsidRDefault="00205469" w:rsidP="00100EF9">
            <w:pPr>
              <w:tabs>
                <w:tab w:val="center" w:pos="284"/>
              </w:tabs>
              <w:overflowPunct w:val="0"/>
              <w:autoSpaceDE w:val="0"/>
              <w:autoSpaceDN w:val="0"/>
              <w:adjustRightInd w:val="0"/>
              <w:ind w:left="266" w:hanging="266"/>
              <w:textAlignment w:val="baseline"/>
              <w:rPr>
                <w:b/>
              </w:rPr>
            </w:pPr>
          </w:p>
        </w:tc>
        <w:tc>
          <w:tcPr>
            <w:tcW w:w="7405" w:type="dxa"/>
          </w:tcPr>
          <w:p w14:paraId="1F8F0751" w14:textId="77777777" w:rsidR="00205469" w:rsidRPr="00594237" w:rsidRDefault="00205469" w:rsidP="00100EF9">
            <w:pPr>
              <w:tabs>
                <w:tab w:val="center" w:pos="284"/>
              </w:tabs>
              <w:overflowPunct w:val="0"/>
              <w:autoSpaceDE w:val="0"/>
              <w:autoSpaceDN w:val="0"/>
              <w:adjustRightInd w:val="0"/>
              <w:ind w:left="266" w:hanging="266"/>
              <w:textAlignment w:val="baseline"/>
            </w:pPr>
          </w:p>
        </w:tc>
      </w:tr>
      <w:tr w:rsidR="00594237" w:rsidRPr="00594237" w14:paraId="57747D28" w14:textId="77777777" w:rsidTr="00D0608D">
        <w:tc>
          <w:tcPr>
            <w:tcW w:w="1668" w:type="dxa"/>
          </w:tcPr>
          <w:p w14:paraId="7A081D5F" w14:textId="1DA4EDF6" w:rsidR="00594237" w:rsidRPr="00594237" w:rsidRDefault="00594237" w:rsidP="00100EF9">
            <w:pPr>
              <w:tabs>
                <w:tab w:val="center" w:pos="284"/>
              </w:tabs>
              <w:overflowPunct w:val="0"/>
              <w:autoSpaceDE w:val="0"/>
              <w:autoSpaceDN w:val="0"/>
              <w:adjustRightInd w:val="0"/>
              <w:ind w:left="266" w:hanging="266"/>
              <w:textAlignment w:val="baseline"/>
              <w:rPr>
                <w:b/>
              </w:rPr>
            </w:pPr>
            <w:r>
              <w:rPr>
                <w:b/>
              </w:rPr>
              <w:t>Έγγραφα αναφοράς</w:t>
            </w:r>
          </w:p>
        </w:tc>
        <w:tc>
          <w:tcPr>
            <w:tcW w:w="7405" w:type="dxa"/>
          </w:tcPr>
          <w:p w14:paraId="245BB14C" w14:textId="0A43048D" w:rsidR="00594237" w:rsidRPr="00594237" w:rsidRDefault="00594237" w:rsidP="00100EF9">
            <w:pPr>
              <w:tabs>
                <w:tab w:val="center" w:pos="284"/>
              </w:tabs>
              <w:overflowPunct w:val="0"/>
              <w:autoSpaceDE w:val="0"/>
              <w:autoSpaceDN w:val="0"/>
              <w:adjustRightInd w:val="0"/>
              <w:ind w:left="266" w:hanging="266"/>
              <w:textAlignment w:val="baseline"/>
            </w:pPr>
            <w:r>
              <w:t>διερευνητική γνωμοδότηση κατόπιν αιτήματος της κυπριακής Προεδρίας του Συμβουλίου της ΕΕ</w:t>
            </w:r>
          </w:p>
          <w:p w14:paraId="6CAD8281" w14:textId="77777777" w:rsidR="00594237" w:rsidRPr="00594237" w:rsidRDefault="00594237" w:rsidP="00100EF9">
            <w:pPr>
              <w:tabs>
                <w:tab w:val="center" w:pos="284"/>
              </w:tabs>
              <w:overflowPunct w:val="0"/>
              <w:autoSpaceDE w:val="0"/>
              <w:autoSpaceDN w:val="0"/>
              <w:adjustRightInd w:val="0"/>
              <w:ind w:left="266" w:hanging="266"/>
              <w:textAlignment w:val="baseline"/>
            </w:pPr>
            <w:r>
              <w:t>EESC-2025-03570-00-00-AC</w:t>
            </w:r>
          </w:p>
        </w:tc>
      </w:tr>
    </w:tbl>
    <w:p w14:paraId="2AF24FC2" w14:textId="77777777" w:rsidR="00594237" w:rsidRPr="00594237" w:rsidRDefault="00594237" w:rsidP="00100EF9">
      <w:pPr>
        <w:tabs>
          <w:tab w:val="center" w:pos="284"/>
        </w:tabs>
        <w:overflowPunct w:val="0"/>
        <w:autoSpaceDE w:val="0"/>
        <w:autoSpaceDN w:val="0"/>
        <w:adjustRightInd w:val="0"/>
        <w:ind w:left="266" w:hanging="266"/>
        <w:textAlignment w:val="baseline"/>
      </w:pPr>
    </w:p>
    <w:p w14:paraId="2CEA925B" w14:textId="77777777" w:rsidR="00594237" w:rsidRPr="00594237" w:rsidRDefault="00594237" w:rsidP="00100EF9">
      <w:pPr>
        <w:keepNext/>
        <w:keepLines/>
        <w:tabs>
          <w:tab w:val="center" w:pos="284"/>
        </w:tabs>
        <w:overflowPunct w:val="0"/>
        <w:autoSpaceDE w:val="0"/>
        <w:autoSpaceDN w:val="0"/>
        <w:adjustRightInd w:val="0"/>
        <w:ind w:left="266" w:hanging="266"/>
        <w:textAlignment w:val="baseline"/>
        <w:rPr>
          <w:b/>
        </w:rPr>
      </w:pPr>
      <w:r>
        <w:rPr>
          <w:b/>
        </w:rPr>
        <w:t>Κύρια σημεία</w:t>
      </w:r>
    </w:p>
    <w:p w14:paraId="3DFD6E79" w14:textId="77777777" w:rsidR="00594237" w:rsidRPr="00594237" w:rsidRDefault="00594237" w:rsidP="00100EF9">
      <w:pPr>
        <w:keepNext/>
        <w:keepLines/>
        <w:tabs>
          <w:tab w:val="center" w:pos="284"/>
        </w:tabs>
        <w:overflowPunct w:val="0"/>
        <w:autoSpaceDE w:val="0"/>
        <w:autoSpaceDN w:val="0"/>
        <w:adjustRightInd w:val="0"/>
        <w:ind w:left="266" w:hanging="266"/>
        <w:textAlignment w:val="baseline"/>
        <w:rPr>
          <w:b/>
          <w:lang w:val="en-GB"/>
        </w:rPr>
      </w:pPr>
    </w:p>
    <w:p w14:paraId="6A6D3353" w14:textId="0A952B50" w:rsidR="002D77C8" w:rsidRPr="00594237" w:rsidRDefault="00594237" w:rsidP="00100EF9">
      <w:pPr>
        <w:overflowPunct w:val="0"/>
        <w:autoSpaceDE w:val="0"/>
        <w:autoSpaceDN w:val="0"/>
        <w:adjustRightInd w:val="0"/>
        <w:textAlignment w:val="baseline"/>
        <w:rPr>
          <w:bCs/>
          <w:iCs/>
        </w:rPr>
      </w:pPr>
      <w:r>
        <w:t>Η ΕΟΚΕ:</w:t>
      </w:r>
    </w:p>
    <w:p w14:paraId="646A6D1A"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Τονίζει πως ο ευρωπαϊκός τομέας ηλεκτρικής ενέργειας πρέπει να έχει την ικανότητα να προγραμματίζει τις ανάγκες του συστήματος ηλεκτρικής ενέργειας σε επίπεδο ΕΕ και στις χώρες εταίρους, με βάση ένα κοινό ενεργειακό σενάριο που καθορίζεται από την Επιτροπή και τους εθνικούς διαχειριστές συστημάτων.</w:t>
      </w:r>
    </w:p>
    <w:p w14:paraId="61E86BFD"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Επισημαίνει ότι η αξία των διασυνδέσεων θα πρέπει να εξετάζεται είτε από την άποψη του κοινού οφέλους μεταξύ δύο χωρών, στο πλαίσιο διμερούς προσέγγισης, είτε από την άποψη της επιδίωξης συνολικού οφέλους για το σύστημα, πέραν των δύο χωρών που φιλοξενούν τη διασύνδεση. Για τη δεύτερη αυτή περίπτωση, πρέπει να προκύψουν νέα οικονομικά μοντέλα ως αποτέλεσμα της συνεργασίας μεταξύ του ACER, των εθνικών ρυθμιστικών αρχών και των διαχειριστών δικτύων.</w:t>
      </w:r>
    </w:p>
    <w:p w14:paraId="2C83B82E"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Υπογραμμίζει ότι, για να είναι αποτελεσματικές οι διασυνδέσεις, η ανάπτυξή τους πρέπει να συνοδεύεται από την ανάπτυξη των σχετικών εθνικών υποδομών, ιδίως σε επίπεδο ΔΣΔ. Η δημιουργία δυναμικότητας διασύνδεσης πρέπει να αποτελέσει ευκαιρία για την προώθηση της ευρωπαϊκής αλληλεγγύης όσον αφορά τα δίκτυα ηλεκτρικής ενέργειας.</w:t>
      </w:r>
    </w:p>
    <w:p w14:paraId="543D8C6F"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Επισημαίνει πως η οικονομική βελτιστοποίηση του ευρωπαϊκού συστήματος ηλεκτρικής ενέργειας απαιτεί ευρεία εγκατάσταση έξυπνων μετρητών, πρόσθετες επενδύσεις σε δίκτυα μεταφοράς και διανομής, και παροχή πρόσβασης σε δεδομένα ροής ενέργειας.</w:t>
      </w:r>
    </w:p>
    <w:p w14:paraId="5841625A"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Δίνει προτεραιότητα στην ασφάλεια του συστήματος ηλεκτρικής ενέργειας όσον αφορά τον αντίκτυπο της κλιματικής αλλαγής, τις φυσικές επιθέσεις, τις δολιοφθορές, τους κινδύνους στον κυβερνοχώρο και τους κινδύνους εξισορρόπησης του συστήματος.</w:t>
      </w:r>
    </w:p>
    <w:p w14:paraId="5F670357" w14:textId="77777777" w:rsidR="00594237" w:rsidRPr="00594237" w:rsidRDefault="00594237" w:rsidP="007526DA">
      <w:pPr>
        <w:widowControl w:val="0"/>
        <w:numPr>
          <w:ilvl w:val="0"/>
          <w:numId w:val="25"/>
        </w:numPr>
        <w:overflowPunct w:val="0"/>
        <w:autoSpaceDE w:val="0"/>
        <w:autoSpaceDN w:val="0"/>
        <w:adjustRightInd w:val="0"/>
        <w:ind w:left="567" w:hanging="567"/>
        <w:textAlignment w:val="baseline"/>
        <w:rPr>
          <w:bCs/>
          <w:iCs/>
        </w:rPr>
      </w:pPr>
      <w:r>
        <w:t>Ζητεί η βελτιστοποίηση των υφιστάμενων υποδομών να εξετάζεται κατά προτεραιότητα πριν εξεταστεί το ενδεχόμενο ανάπτυξης νέων υποδομών.</w:t>
      </w:r>
    </w:p>
    <w:p w14:paraId="7F7D5FFE" w14:textId="77777777" w:rsidR="00594237" w:rsidRPr="00594237" w:rsidRDefault="00594237" w:rsidP="00100EF9">
      <w:pPr>
        <w:widowControl w:val="0"/>
        <w:overflowPunct w:val="0"/>
        <w:autoSpaceDE w:val="0"/>
        <w:autoSpaceDN w:val="0"/>
        <w:adjustRightInd w:val="0"/>
        <w:ind w:left="709"/>
        <w:textAlignment w:val="baseline"/>
        <w:rPr>
          <w:szCs w:val="20"/>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12"/>
      </w:tblGrid>
      <w:tr w:rsidR="00594237" w:rsidRPr="00594237" w14:paraId="0AB1B93A" w14:textId="77777777" w:rsidTr="00D0608D">
        <w:tc>
          <w:tcPr>
            <w:tcW w:w="1668" w:type="dxa"/>
          </w:tcPr>
          <w:p w14:paraId="07D8992D" w14:textId="77777777" w:rsidR="00594237" w:rsidRPr="00594237" w:rsidRDefault="00594237" w:rsidP="00100EF9">
            <w:pPr>
              <w:overflowPunct w:val="0"/>
              <w:autoSpaceDE w:val="0"/>
              <w:autoSpaceDN w:val="0"/>
              <w:adjustRightInd w:val="0"/>
              <w:textAlignment w:val="baseline"/>
              <w:rPr>
                <w:i/>
              </w:rPr>
            </w:pPr>
            <w:r>
              <w:rPr>
                <w:b/>
                <w:i/>
              </w:rPr>
              <w:t>Επικοινωνία</w:t>
            </w:r>
          </w:p>
        </w:tc>
        <w:tc>
          <w:tcPr>
            <w:tcW w:w="7512" w:type="dxa"/>
          </w:tcPr>
          <w:p w14:paraId="1B78F73E" w14:textId="78914975" w:rsidR="00594237" w:rsidRPr="00594237" w:rsidRDefault="00594237" w:rsidP="00100EF9">
            <w:pPr>
              <w:overflowPunct w:val="0"/>
              <w:autoSpaceDE w:val="0"/>
              <w:autoSpaceDN w:val="0"/>
              <w:adjustRightInd w:val="0"/>
              <w:textAlignment w:val="baseline"/>
              <w:rPr>
                <w:i/>
              </w:rPr>
            </w:pPr>
            <w:proofErr w:type="spellStart"/>
            <w:r>
              <w:rPr>
                <w:i/>
              </w:rPr>
              <w:t>Giorgia</w:t>
            </w:r>
            <w:proofErr w:type="spellEnd"/>
            <w:r>
              <w:rPr>
                <w:i/>
              </w:rPr>
              <w:t xml:space="preserve"> </w:t>
            </w:r>
            <w:proofErr w:type="spellStart"/>
            <w:r>
              <w:rPr>
                <w:i/>
              </w:rPr>
              <w:t>Bordignon</w:t>
            </w:r>
            <w:proofErr w:type="spellEnd"/>
          </w:p>
        </w:tc>
      </w:tr>
      <w:tr w:rsidR="00594237" w:rsidRPr="00594237" w14:paraId="6912C935" w14:textId="77777777" w:rsidTr="00D0608D">
        <w:tc>
          <w:tcPr>
            <w:tcW w:w="1668" w:type="dxa"/>
          </w:tcPr>
          <w:p w14:paraId="5F1BA648" w14:textId="77777777" w:rsidR="00594237" w:rsidRPr="00594237" w:rsidRDefault="00594237" w:rsidP="00100EF9">
            <w:pPr>
              <w:overflowPunct w:val="0"/>
              <w:autoSpaceDE w:val="0"/>
              <w:autoSpaceDN w:val="0"/>
              <w:adjustRightInd w:val="0"/>
              <w:textAlignment w:val="baseline"/>
              <w:rPr>
                <w:i/>
              </w:rPr>
            </w:pPr>
            <w:proofErr w:type="spellStart"/>
            <w:r>
              <w:rPr>
                <w:i/>
              </w:rPr>
              <w:t>Τηλ</w:t>
            </w:r>
            <w:proofErr w:type="spellEnd"/>
            <w:r>
              <w:rPr>
                <w:i/>
              </w:rPr>
              <w:t>.</w:t>
            </w:r>
          </w:p>
        </w:tc>
        <w:tc>
          <w:tcPr>
            <w:tcW w:w="7512" w:type="dxa"/>
          </w:tcPr>
          <w:p w14:paraId="42C70B8C" w14:textId="0FF6B91B" w:rsidR="00594237" w:rsidRPr="00594237" w:rsidRDefault="00594237" w:rsidP="00100EF9">
            <w:pPr>
              <w:overflowPunct w:val="0"/>
              <w:autoSpaceDE w:val="0"/>
              <w:autoSpaceDN w:val="0"/>
              <w:adjustRightInd w:val="0"/>
              <w:textAlignment w:val="baseline"/>
              <w:rPr>
                <w:i/>
              </w:rPr>
            </w:pPr>
            <w:r>
              <w:rPr>
                <w:i/>
              </w:rPr>
              <w:t>+32 25468535</w:t>
            </w:r>
          </w:p>
        </w:tc>
      </w:tr>
      <w:tr w:rsidR="00594237" w:rsidRPr="00594237" w14:paraId="2BBC59B6" w14:textId="77777777" w:rsidTr="00D0608D">
        <w:tc>
          <w:tcPr>
            <w:tcW w:w="1668" w:type="dxa"/>
          </w:tcPr>
          <w:p w14:paraId="10BDDDCF" w14:textId="77777777" w:rsidR="00594237" w:rsidRPr="00594237" w:rsidRDefault="00594237" w:rsidP="00100EF9">
            <w:pPr>
              <w:overflowPunct w:val="0"/>
              <w:autoSpaceDE w:val="0"/>
              <w:autoSpaceDN w:val="0"/>
              <w:adjustRightInd w:val="0"/>
              <w:textAlignment w:val="baseline"/>
              <w:rPr>
                <w:i/>
              </w:rPr>
            </w:pPr>
            <w:proofErr w:type="spellStart"/>
            <w:r>
              <w:rPr>
                <w:i/>
              </w:rPr>
              <w:t>Ηλ</w:t>
            </w:r>
            <w:proofErr w:type="spellEnd"/>
            <w:r>
              <w:rPr>
                <w:i/>
              </w:rPr>
              <w:t>. δ/</w:t>
            </w:r>
            <w:proofErr w:type="spellStart"/>
            <w:r>
              <w:rPr>
                <w:i/>
              </w:rPr>
              <w:t>νση</w:t>
            </w:r>
            <w:proofErr w:type="spellEnd"/>
          </w:p>
        </w:tc>
        <w:tc>
          <w:tcPr>
            <w:tcW w:w="7512" w:type="dxa"/>
          </w:tcPr>
          <w:p w14:paraId="5EF302B9" w14:textId="77777777" w:rsidR="00594237" w:rsidRPr="00594237" w:rsidRDefault="0005365A" w:rsidP="00100EF9">
            <w:pPr>
              <w:overflowPunct w:val="0"/>
              <w:autoSpaceDE w:val="0"/>
              <w:autoSpaceDN w:val="0"/>
              <w:adjustRightInd w:val="0"/>
              <w:textAlignment w:val="baseline"/>
              <w:rPr>
                <w:i/>
              </w:rPr>
            </w:pPr>
            <w:hyperlink r:id="rId32" w:history="1">
              <w:r w:rsidR="00E235D3">
                <w:rPr>
                  <w:i/>
                  <w:color w:val="0000FF"/>
                  <w:u w:val="single"/>
                </w:rPr>
                <w:t>GiorgiaAndrea.Bordignon@eesc.europa.eu</w:t>
              </w:r>
            </w:hyperlink>
          </w:p>
        </w:tc>
      </w:tr>
    </w:tbl>
    <w:p w14:paraId="79D0072B" w14:textId="77777777" w:rsidR="004D7AC0" w:rsidRDefault="004D7AC0" w:rsidP="00100EF9">
      <w:pPr>
        <w:pStyle w:val="ListParagraph"/>
        <w:ind w:left="0"/>
      </w:pPr>
    </w:p>
    <w:p w14:paraId="4982DDF2" w14:textId="77777777" w:rsidR="004D7AC0" w:rsidRDefault="004D7AC0" w:rsidP="00100EF9">
      <w:pPr>
        <w:jc w:val="left"/>
      </w:pPr>
      <w:r>
        <w:br w:type="page"/>
      </w:r>
    </w:p>
    <w:p w14:paraId="4982DE1F" w14:textId="77777777" w:rsidR="004D7AC0" w:rsidRDefault="004D7AC0" w:rsidP="00100EF9">
      <w:pPr>
        <w:pStyle w:val="Heading1"/>
        <w:rPr>
          <w:b/>
        </w:rPr>
      </w:pPr>
      <w:bookmarkStart w:id="27" w:name="_Toc70322234"/>
      <w:bookmarkStart w:id="28" w:name="_Toc75527084"/>
      <w:bookmarkStart w:id="29" w:name="_Toc223534715"/>
      <w:r>
        <w:rPr>
          <w:b/>
        </w:rPr>
        <w:lastRenderedPageBreak/>
        <w:t>ΓΕΩΡΓΙΑ, ΑΓΡΟΤΙΚΗ ΑΝΑΠΤΥΞΗ, ΠΕΡΙΒΑΛΛΟΝ</w:t>
      </w:r>
      <w:bookmarkEnd w:id="27"/>
      <w:bookmarkEnd w:id="28"/>
      <w:bookmarkEnd w:id="29"/>
    </w:p>
    <w:p w14:paraId="4982DE20" w14:textId="77777777" w:rsidR="004D7AC0" w:rsidRDefault="004D7AC0" w:rsidP="00100EF9"/>
    <w:p w14:paraId="2C76C141" w14:textId="0727FF4D" w:rsidR="00621347" w:rsidRPr="00621347" w:rsidRDefault="0005365A" w:rsidP="00100EF9">
      <w:pPr>
        <w:widowControl w:val="0"/>
        <w:numPr>
          <w:ilvl w:val="0"/>
          <w:numId w:val="6"/>
        </w:numPr>
        <w:overflowPunct w:val="0"/>
        <w:autoSpaceDE w:val="0"/>
        <w:autoSpaceDN w:val="0"/>
        <w:adjustRightInd w:val="0"/>
        <w:ind w:hanging="567"/>
        <w:textAlignment w:val="baseline"/>
        <w:rPr>
          <w:i/>
          <w:iCs/>
          <w:sz w:val="28"/>
          <w:szCs w:val="28"/>
        </w:rPr>
      </w:pPr>
      <w:hyperlink r:id="rId33" w:history="1">
        <w:r w:rsidR="00E235D3">
          <w:rPr>
            <w:b/>
            <w:i/>
            <w:color w:val="0000FF"/>
            <w:sz w:val="28"/>
            <w:u w:val="single"/>
          </w:rPr>
          <w:t>Χάρτης πορείας για τις πιστώσεις για τη φύση</w:t>
        </w:r>
      </w:hyperlink>
    </w:p>
    <w:p w14:paraId="62E0B68C" w14:textId="77777777" w:rsidR="00621347" w:rsidRPr="00621347" w:rsidRDefault="00621347" w:rsidP="00100EF9">
      <w:pPr>
        <w:tabs>
          <w:tab w:val="center" w:pos="284"/>
        </w:tabs>
        <w:overflowPunct w:val="0"/>
        <w:autoSpaceDE w:val="0"/>
        <w:autoSpaceDN w:val="0"/>
        <w:adjustRightInd w:val="0"/>
        <w:ind w:left="266" w:hanging="266"/>
        <w:textAlignment w:val="baseline"/>
        <w:rPr>
          <w:b/>
          <w:lang w:val="en-GB"/>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21"/>
      </w:tblGrid>
      <w:tr w:rsidR="00621347" w:rsidRPr="00621347" w14:paraId="5980278B" w14:textId="77777777" w:rsidTr="00D0608D">
        <w:tc>
          <w:tcPr>
            <w:tcW w:w="898" w:type="pct"/>
          </w:tcPr>
          <w:p w14:paraId="61C81431" w14:textId="77777777" w:rsidR="00621347" w:rsidRPr="00621347" w:rsidRDefault="00621347" w:rsidP="00100EF9">
            <w:pPr>
              <w:tabs>
                <w:tab w:val="center" w:pos="284"/>
              </w:tabs>
              <w:overflowPunct w:val="0"/>
              <w:autoSpaceDE w:val="0"/>
              <w:autoSpaceDN w:val="0"/>
              <w:adjustRightInd w:val="0"/>
              <w:ind w:left="266" w:hanging="266"/>
              <w:textAlignment w:val="baseline"/>
              <w:rPr>
                <w:b/>
              </w:rPr>
            </w:pPr>
            <w:r>
              <w:rPr>
                <w:b/>
              </w:rPr>
              <w:t>Εισηγητής</w:t>
            </w:r>
          </w:p>
        </w:tc>
        <w:tc>
          <w:tcPr>
            <w:tcW w:w="4102" w:type="pct"/>
          </w:tcPr>
          <w:p w14:paraId="53BB74E4" w14:textId="19992D32" w:rsidR="00621347" w:rsidRPr="00621347" w:rsidRDefault="00621347" w:rsidP="00100EF9">
            <w:pPr>
              <w:tabs>
                <w:tab w:val="center" w:pos="284"/>
              </w:tabs>
              <w:overflowPunct w:val="0"/>
              <w:autoSpaceDE w:val="0"/>
              <w:autoSpaceDN w:val="0"/>
              <w:adjustRightInd w:val="0"/>
              <w:ind w:left="266" w:right="-3091" w:hanging="266"/>
              <w:textAlignment w:val="baseline"/>
            </w:pPr>
            <w:r>
              <w:t>Arnaud SCHWARTZ (Ομάδα των Οργανώσεων της Κοινωνίας των Πολιτών – FR)</w:t>
            </w:r>
          </w:p>
        </w:tc>
      </w:tr>
      <w:tr w:rsidR="00621347" w:rsidRPr="00621347" w14:paraId="0CEBEBE7" w14:textId="77777777" w:rsidTr="00D0608D">
        <w:tc>
          <w:tcPr>
            <w:tcW w:w="898" w:type="pct"/>
          </w:tcPr>
          <w:p w14:paraId="2479DBBC" w14:textId="77777777" w:rsidR="00621347" w:rsidRPr="00621347" w:rsidRDefault="00621347" w:rsidP="00100EF9">
            <w:pPr>
              <w:tabs>
                <w:tab w:val="center" w:pos="284"/>
              </w:tabs>
              <w:overflowPunct w:val="0"/>
              <w:autoSpaceDE w:val="0"/>
              <w:autoSpaceDN w:val="0"/>
              <w:adjustRightInd w:val="0"/>
              <w:ind w:left="266" w:hanging="266"/>
              <w:textAlignment w:val="baseline"/>
              <w:rPr>
                <w:b/>
              </w:rPr>
            </w:pPr>
            <w:r>
              <w:rPr>
                <w:b/>
              </w:rPr>
              <w:t>Συνεισηγητής</w:t>
            </w:r>
          </w:p>
        </w:tc>
        <w:tc>
          <w:tcPr>
            <w:tcW w:w="4102" w:type="pct"/>
          </w:tcPr>
          <w:p w14:paraId="71EF85C6" w14:textId="36F8549C" w:rsidR="00630779" w:rsidRPr="00621347" w:rsidRDefault="00621347" w:rsidP="00100EF9">
            <w:pPr>
              <w:tabs>
                <w:tab w:val="center" w:pos="284"/>
              </w:tabs>
              <w:overflowPunct w:val="0"/>
              <w:autoSpaceDE w:val="0"/>
              <w:autoSpaceDN w:val="0"/>
              <w:adjustRightInd w:val="0"/>
              <w:ind w:left="266" w:right="-3091" w:hanging="266"/>
              <w:textAlignment w:val="baseline"/>
            </w:pPr>
            <w:proofErr w:type="spellStart"/>
            <w:r>
              <w:t>Teppo</w:t>
            </w:r>
            <w:proofErr w:type="spellEnd"/>
            <w:r>
              <w:t xml:space="preserve"> SÄKKINEN (Ομάδα των Εργοδοτών – FI)</w:t>
            </w:r>
          </w:p>
        </w:tc>
      </w:tr>
      <w:tr w:rsidR="00205469" w:rsidRPr="00621347" w14:paraId="778CD321" w14:textId="77777777" w:rsidTr="00D0608D">
        <w:tc>
          <w:tcPr>
            <w:tcW w:w="898" w:type="pct"/>
          </w:tcPr>
          <w:p w14:paraId="7759C9B9" w14:textId="77777777" w:rsidR="00205469" w:rsidRPr="003F66F7" w:rsidRDefault="00205469" w:rsidP="00100EF9">
            <w:pPr>
              <w:tabs>
                <w:tab w:val="center" w:pos="284"/>
              </w:tabs>
              <w:overflowPunct w:val="0"/>
              <w:autoSpaceDE w:val="0"/>
              <w:autoSpaceDN w:val="0"/>
              <w:adjustRightInd w:val="0"/>
              <w:ind w:left="266" w:hanging="266"/>
              <w:textAlignment w:val="baseline"/>
              <w:rPr>
                <w:b/>
                <w:lang w:val="en-GB"/>
              </w:rPr>
            </w:pPr>
          </w:p>
        </w:tc>
        <w:tc>
          <w:tcPr>
            <w:tcW w:w="4102" w:type="pct"/>
          </w:tcPr>
          <w:p w14:paraId="4A9CAC5A" w14:textId="77777777" w:rsidR="00205469" w:rsidRPr="00621347" w:rsidRDefault="00205469" w:rsidP="00100EF9">
            <w:pPr>
              <w:tabs>
                <w:tab w:val="center" w:pos="284"/>
              </w:tabs>
              <w:overflowPunct w:val="0"/>
              <w:autoSpaceDE w:val="0"/>
              <w:autoSpaceDN w:val="0"/>
              <w:adjustRightInd w:val="0"/>
              <w:ind w:left="266" w:right="-3091" w:hanging="266"/>
              <w:textAlignment w:val="baseline"/>
            </w:pPr>
          </w:p>
        </w:tc>
      </w:tr>
      <w:tr w:rsidR="00621347" w:rsidRPr="00621347" w14:paraId="27481885" w14:textId="77777777" w:rsidTr="00D0608D">
        <w:tc>
          <w:tcPr>
            <w:tcW w:w="898" w:type="pct"/>
          </w:tcPr>
          <w:p w14:paraId="51C5B0D8" w14:textId="77777777" w:rsidR="00621347" w:rsidRPr="00621347" w:rsidRDefault="00621347" w:rsidP="00100EF9">
            <w:pPr>
              <w:tabs>
                <w:tab w:val="center" w:pos="284"/>
              </w:tabs>
              <w:overflowPunct w:val="0"/>
              <w:autoSpaceDE w:val="0"/>
              <w:autoSpaceDN w:val="0"/>
              <w:adjustRightInd w:val="0"/>
              <w:ind w:left="266" w:hanging="266"/>
              <w:textAlignment w:val="baseline"/>
              <w:rPr>
                <w:b/>
              </w:rPr>
            </w:pPr>
            <w:r>
              <w:rPr>
                <w:b/>
              </w:rPr>
              <w:t>Έγγραφα αναφοράς</w:t>
            </w:r>
          </w:p>
        </w:tc>
        <w:tc>
          <w:tcPr>
            <w:tcW w:w="4102" w:type="pct"/>
          </w:tcPr>
          <w:p w14:paraId="72CD413C" w14:textId="352FF01B" w:rsidR="00CC7D10" w:rsidRDefault="00124E6A" w:rsidP="00100EF9">
            <w:pPr>
              <w:tabs>
                <w:tab w:val="center" w:pos="284"/>
              </w:tabs>
              <w:overflowPunct w:val="0"/>
              <w:autoSpaceDE w:val="0"/>
              <w:autoSpaceDN w:val="0"/>
              <w:adjustRightInd w:val="0"/>
              <w:ind w:left="266" w:right="-3091" w:hanging="266"/>
              <w:textAlignment w:val="baseline"/>
            </w:pPr>
            <w:r>
              <w:t xml:space="preserve">COM(2025) 374 </w:t>
            </w:r>
            <w:proofErr w:type="spellStart"/>
            <w:r>
              <w:t>final</w:t>
            </w:r>
            <w:proofErr w:type="spellEnd"/>
          </w:p>
          <w:p w14:paraId="281E2397" w14:textId="6410C7C8" w:rsidR="00621347" w:rsidRPr="00621347" w:rsidRDefault="00621347" w:rsidP="00100EF9">
            <w:pPr>
              <w:tabs>
                <w:tab w:val="center" w:pos="284"/>
              </w:tabs>
              <w:overflowPunct w:val="0"/>
              <w:autoSpaceDE w:val="0"/>
              <w:autoSpaceDN w:val="0"/>
              <w:adjustRightInd w:val="0"/>
              <w:ind w:left="266" w:right="-3091" w:hanging="266"/>
              <w:textAlignment w:val="baseline"/>
            </w:pPr>
            <w:r>
              <w:t>EESC-2025-03041-00-00-AC</w:t>
            </w:r>
          </w:p>
        </w:tc>
      </w:tr>
    </w:tbl>
    <w:p w14:paraId="13E176CB" w14:textId="77777777" w:rsidR="00621347" w:rsidRPr="00621347" w:rsidRDefault="00621347" w:rsidP="00100EF9">
      <w:pPr>
        <w:tabs>
          <w:tab w:val="center" w:pos="284"/>
        </w:tabs>
        <w:overflowPunct w:val="0"/>
        <w:autoSpaceDE w:val="0"/>
        <w:autoSpaceDN w:val="0"/>
        <w:adjustRightInd w:val="0"/>
        <w:ind w:left="266" w:hanging="266"/>
        <w:textAlignment w:val="baseline"/>
        <w:rPr>
          <w:b/>
          <w:lang w:val="en-GB"/>
        </w:rPr>
      </w:pPr>
    </w:p>
    <w:p w14:paraId="4B97005E" w14:textId="77777777" w:rsidR="00621347" w:rsidRPr="00621347" w:rsidRDefault="00621347" w:rsidP="00100EF9">
      <w:pPr>
        <w:keepNext/>
        <w:keepLines/>
        <w:tabs>
          <w:tab w:val="center" w:pos="284"/>
        </w:tabs>
        <w:overflowPunct w:val="0"/>
        <w:autoSpaceDE w:val="0"/>
        <w:autoSpaceDN w:val="0"/>
        <w:adjustRightInd w:val="0"/>
        <w:ind w:left="266" w:hanging="266"/>
        <w:textAlignment w:val="baseline"/>
        <w:rPr>
          <w:b/>
        </w:rPr>
      </w:pPr>
      <w:r>
        <w:rPr>
          <w:b/>
        </w:rPr>
        <w:t>Κύρια σημεία</w:t>
      </w:r>
    </w:p>
    <w:p w14:paraId="7AF5FFF2" w14:textId="77777777" w:rsidR="00621347" w:rsidRPr="00621347" w:rsidRDefault="00621347" w:rsidP="00100EF9">
      <w:pPr>
        <w:keepNext/>
        <w:keepLines/>
        <w:tabs>
          <w:tab w:val="center" w:pos="284"/>
        </w:tabs>
        <w:overflowPunct w:val="0"/>
        <w:autoSpaceDE w:val="0"/>
        <w:autoSpaceDN w:val="0"/>
        <w:adjustRightInd w:val="0"/>
        <w:ind w:left="266" w:hanging="266"/>
        <w:textAlignment w:val="baseline"/>
        <w:rPr>
          <w:b/>
          <w:lang w:val="en-GB"/>
        </w:rPr>
      </w:pPr>
    </w:p>
    <w:p w14:paraId="4A68D309" w14:textId="77777777" w:rsidR="00621347" w:rsidRDefault="00621347" w:rsidP="00100EF9">
      <w:pPr>
        <w:overflowPunct w:val="0"/>
        <w:autoSpaceDE w:val="0"/>
        <w:autoSpaceDN w:val="0"/>
        <w:adjustRightInd w:val="0"/>
        <w:textAlignment w:val="baseline"/>
        <w:rPr>
          <w:szCs w:val="20"/>
        </w:rPr>
      </w:pPr>
      <w:r>
        <w:t>Η ΕΟΚΕ καλεί την Ευρωπαϊκή Επιτροπή:</w:t>
      </w:r>
    </w:p>
    <w:p w14:paraId="3274DE4E" w14:textId="0652F3F9" w:rsidR="00621347" w:rsidRPr="00621347" w:rsidRDefault="00621347" w:rsidP="007526DA">
      <w:pPr>
        <w:pStyle w:val="ListParagraph"/>
        <w:numPr>
          <w:ilvl w:val="0"/>
          <w:numId w:val="29"/>
        </w:numPr>
        <w:ind w:left="567" w:hanging="578"/>
        <w:rPr>
          <w:szCs w:val="20"/>
        </w:rPr>
      </w:pPr>
      <w:bookmarkStart w:id="30" w:name="_Toc222988740"/>
      <w:bookmarkStart w:id="31" w:name="_Toc222989237"/>
      <w:bookmarkStart w:id="32" w:name="_Toc222989275"/>
      <w:bookmarkStart w:id="33" w:name="_Toc222825837"/>
      <w:bookmarkEnd w:id="30"/>
      <w:bookmarkEnd w:id="31"/>
      <w:bookmarkEnd w:id="32"/>
      <w:r>
        <w:t>Να διασφαλίσει την επίτευξη των στόχων χρηματοδότησης της βιοποικιλότητας που ορίζονται στο παγκόσμιο πλαίσιο για τη βιοποικιλότητα. Τούτο προϋποθέτει επαρκή, σταθερή και έγκαιρη δημόσια χρηματοδότηση, μεταξύ άλλων από τον προϋπολογισμό της ΕΕ, καθώς και σταδιακή κατάργηση των επιζήμιων για το περιβάλλον επιδοτήσεων, όπως των επιδοτήσεων ορυκτών καυσίμων. Οι πιστώσεις για τη φύση μπορούν να αποτελέσουν εργαλείο που θα συμβάλει στην κάλυψη του χρηματοδοτικού κενού και στην κινητοποίηση ιδιωτικής χρηματοδότησης, συμπληρώνοντας αλλά όχι αντικαθιστώντας τα δημόσια κονδύλια.</w:t>
      </w:r>
      <w:bookmarkEnd w:id="33"/>
    </w:p>
    <w:p w14:paraId="48812E9A" w14:textId="77777777" w:rsidR="00621347" w:rsidRPr="00F43315" w:rsidRDefault="00621347" w:rsidP="007526DA">
      <w:pPr>
        <w:pStyle w:val="ListParagraph"/>
        <w:numPr>
          <w:ilvl w:val="0"/>
          <w:numId w:val="29"/>
        </w:numPr>
        <w:ind w:left="567" w:hanging="578"/>
        <w:rPr>
          <w:szCs w:val="20"/>
        </w:rPr>
      </w:pPr>
      <w:bookmarkStart w:id="34" w:name="_Toc222825838"/>
      <w:r>
        <w:t>Να εφαρμόζει την περιβαλλοντική νομοθεσία και τις θεμελιώδεις αρχές, ως αποτελεσματικό εργαλείο για τη διασφάλιση της επίτευξης των στόχων για τη βιοποικιλότητα, για την κάλυψη του χρηματοδοτικού κενού, όπως και ως βάσης για ένα αξιόπιστο πλαίσιο πιστώσεων για τη φύση·</w:t>
      </w:r>
      <w:bookmarkEnd w:id="34"/>
    </w:p>
    <w:p w14:paraId="1EE5A2BD" w14:textId="6CCEB5F0" w:rsidR="00621347" w:rsidRPr="00F43315" w:rsidRDefault="00621347" w:rsidP="007526DA">
      <w:pPr>
        <w:pStyle w:val="ListParagraph"/>
        <w:numPr>
          <w:ilvl w:val="0"/>
          <w:numId w:val="29"/>
        </w:numPr>
        <w:ind w:left="567" w:hanging="578"/>
        <w:rPr>
          <w:szCs w:val="20"/>
        </w:rPr>
      </w:pPr>
      <w:bookmarkStart w:id="35" w:name="_Toc222825839"/>
      <w:r>
        <w:t>Να μεριμνήσει ώστε το πλαίσιο πιστώσεων για τη φύση και αγορών να βασίζεται σε αυστηρές αρχές υψηλής ακεραιότητας, παράλληλα με την ιεραρχία μετριασμού και άλλες περιβαλλοντικές, κλιματικές και κοινωνικές διασφαλίσεις, ενώ αξιολογεί συστηματικά τη συμμόρφωση των έργων με τα ανωτέρω. Οι μεθοδολογίες που χρησιμοποιούνται θα πρέπει να είναι ολιστικές και επιστημονικές και να βασίζονται σε μια οικολογικά ολοκληρωμένη προσέγγιση με βάση τα αποτελέσματα.</w:t>
      </w:r>
      <w:bookmarkEnd w:id="35"/>
    </w:p>
    <w:p w14:paraId="6AA0E980" w14:textId="011DCE8C" w:rsidR="00621347" w:rsidRPr="00F43315" w:rsidRDefault="00621347" w:rsidP="007526DA">
      <w:pPr>
        <w:pStyle w:val="ListParagraph"/>
        <w:numPr>
          <w:ilvl w:val="0"/>
          <w:numId w:val="29"/>
        </w:numPr>
        <w:ind w:left="567" w:hanging="578"/>
        <w:rPr>
          <w:szCs w:val="20"/>
        </w:rPr>
      </w:pPr>
      <w:bookmarkStart w:id="36" w:name="_Toc222825840"/>
      <w:r>
        <w:t>Να διασφαλίσει ότι το πλαίσιο διακυβέρνησης για την αγορά πιστώσεων για τη φύση είναι επιστημονικά τεκμηριωμένο, συμπεριληπτικό, διαφανές και συμμετοχικό, με έμφαση σε παράγοντες με δυναμικό αποκατάστασης και διατήρησης της φύσης, καθώς και ευάλωτων και περιθωριοποιημένων ομάδων, όπως οι νέοι, οι γυναίκες, οι αγροτικές κοινότητες και οι αυτόχθονες πληθυσμοί. Θα πρέπει επίσης να διασφαλίζεται η διαφανής και δίκαιη διαχείριση και κυριότητα των δεδομένων.</w:t>
      </w:r>
      <w:bookmarkEnd w:id="36"/>
    </w:p>
    <w:p w14:paraId="3A2AC039" w14:textId="2F75D698" w:rsidR="00621347" w:rsidRPr="00F43315" w:rsidRDefault="00621347" w:rsidP="007526DA">
      <w:pPr>
        <w:pStyle w:val="ListParagraph"/>
        <w:numPr>
          <w:ilvl w:val="0"/>
          <w:numId w:val="29"/>
        </w:numPr>
        <w:ind w:left="567" w:hanging="578"/>
        <w:rPr>
          <w:szCs w:val="20"/>
        </w:rPr>
      </w:pPr>
      <w:bookmarkStart w:id="37" w:name="_Toc222825841"/>
      <w:r>
        <w:t>Να προσεγγίζει προσεκτικά την ανάγκη για οδηγία ή κανονισμό, καθότι η δημιουργία πιστώσεων για τη φύση και αγορών θα πρέπει να παραμείνει προαιρετική, με συμμόρφωση, παράλληλα, με αυστηρούς κανόνες και κριτήρια. Το πλαίσιο θα πρέπει να εστιάζει κυρίως στις θετικές συνεισφορές, ενώ η απόφαση για χρήση αντιστάθμισης θα πρέπει να επαφίεται στα κράτη μέλη, ώστε να μην υπονομεύονται οι υφιστάμενες φιλόδοξες πρωτοβουλίες σε εθνικό επίπεδο.</w:t>
      </w:r>
      <w:bookmarkEnd w:id="37"/>
    </w:p>
    <w:p w14:paraId="151D13B1" w14:textId="3080CBDB" w:rsidR="00621347" w:rsidRPr="00F43315" w:rsidRDefault="00621347" w:rsidP="007526DA">
      <w:pPr>
        <w:pStyle w:val="ListParagraph"/>
        <w:numPr>
          <w:ilvl w:val="0"/>
          <w:numId w:val="29"/>
        </w:numPr>
        <w:ind w:left="567" w:hanging="578"/>
        <w:rPr>
          <w:szCs w:val="20"/>
        </w:rPr>
      </w:pPr>
      <w:bookmarkStart w:id="38" w:name="_Toc222825842"/>
      <w:r>
        <w:t xml:space="preserve">Πρέπει να αποσαφηνίσει την ευθυγράμμιση των πιστώσεων για τη φύση με άλλες πολιτικές, όπως η ΚΓΠ. Οι πιστώσεις για τη φύση και οι αγορές πρέπει να </w:t>
      </w:r>
      <w:proofErr w:type="spellStart"/>
      <w:r>
        <w:t>οικοδομηθούν</w:t>
      </w:r>
      <w:proofErr w:type="spellEnd"/>
      <w:r>
        <w:t xml:space="preserve"> με τρόπο που να καθιστά δυνατή την άνθηση της </w:t>
      </w:r>
      <w:proofErr w:type="spellStart"/>
      <w:r>
        <w:t>βιοοικονομίας</w:t>
      </w:r>
      <w:proofErr w:type="spellEnd"/>
      <w:r>
        <w:t xml:space="preserve">, της κυκλικής οικονομίας, της βιώσιμης παραγωγής τροφίμων και της δασοκομίας στην ΕΕ. Το πλαίσιο θα πρέπει να αποφεύγει την </w:t>
      </w:r>
      <w:r>
        <w:lastRenderedPageBreak/>
        <w:t>προσθήκη περιττού διοικητικού φόρτου στους επαγγελματίες, ιδίως στους μικρούς, διασφαλίζοντας παράλληλα υψηλή ακεραιότητα και μια επιστημονικά τεκμηριωμένη προσέγγιση·</w:t>
      </w:r>
      <w:bookmarkEnd w:id="38"/>
    </w:p>
    <w:p w14:paraId="17891DA2" w14:textId="173A8059" w:rsidR="00621347" w:rsidRPr="00F43315" w:rsidRDefault="00621347" w:rsidP="007526DA">
      <w:pPr>
        <w:pStyle w:val="ListParagraph"/>
        <w:numPr>
          <w:ilvl w:val="0"/>
          <w:numId w:val="29"/>
        </w:numPr>
        <w:ind w:left="567" w:hanging="578"/>
        <w:rPr>
          <w:szCs w:val="20"/>
        </w:rPr>
      </w:pPr>
      <w:bookmarkStart w:id="39" w:name="_Toc222825843"/>
      <w:r>
        <w:t xml:space="preserve">Να διασφαλίσει ότι οι πιστώσεις για τη φύση δεν θα οδηγήσουν σε </w:t>
      </w:r>
      <w:proofErr w:type="spellStart"/>
      <w:r>
        <w:t>χρηματιστηριοποίηση</w:t>
      </w:r>
      <w:proofErr w:type="spellEnd"/>
      <w:r>
        <w:t xml:space="preserve"> φυσικών στοιχείων. Η αρπαγή γης και η κερδοσκοπία θα πρέπει να αποτρέπονται πάση θυσία. Οι πιστώσεις για τη φύση θα πρέπει πάντα να δίνουν προτεραιότητα στην ακεραιότητα έναντι της βραχυπρόθεσμης κερδοφορίας, καθώς και στη δίκαιη κατανομή των οφελών και να συμβάλλουν στη μείωση των ανισοτήτων·</w:t>
      </w:r>
      <w:bookmarkEnd w:id="39"/>
    </w:p>
    <w:p w14:paraId="02428967" w14:textId="77777777" w:rsidR="00621347" w:rsidRPr="00F43315" w:rsidRDefault="00621347" w:rsidP="007526DA">
      <w:pPr>
        <w:pStyle w:val="ListParagraph"/>
        <w:numPr>
          <w:ilvl w:val="0"/>
          <w:numId w:val="29"/>
        </w:numPr>
        <w:ind w:left="567" w:hanging="578"/>
        <w:rPr>
          <w:szCs w:val="20"/>
        </w:rPr>
      </w:pPr>
      <w:bookmarkStart w:id="40" w:name="_Toc222825844"/>
      <w:r>
        <w:t xml:space="preserve">Να ασχοληθεί προσεκτικά με έργα εκτός ΕΕ, με συνυπολογισμό του γεγονότος ότι οι μεθοδολογίες και τα πλαίσια διακυβέρνησης που αναπτύσσονται στην Ευρώπη ενδέχεται να μην ανταποκρίνονται στα κοινωνικά, πολιτιστικά, νομικά, πολιτικά και οικολογικά πλαίσια στο εξωτερικό, δημιουργώντας παράλληλα θετικές για τη φύση επιπτώσεις στις </w:t>
      </w:r>
      <w:proofErr w:type="spellStart"/>
      <w:r>
        <w:t>αξιακές</w:t>
      </w:r>
      <w:proofErr w:type="spellEnd"/>
      <w:r>
        <w:t xml:space="preserve"> αλυσίδες τους εκτός της ΕΕ.</w:t>
      </w:r>
      <w:bookmarkEnd w:id="40"/>
    </w:p>
    <w:p w14:paraId="4D9DD4B6" w14:textId="77777777" w:rsidR="00621347" w:rsidRPr="00621347" w:rsidRDefault="00621347" w:rsidP="00100EF9">
      <w:pPr>
        <w:widowControl w:val="0"/>
        <w:overflowPunct w:val="0"/>
        <w:autoSpaceDE w:val="0"/>
        <w:autoSpaceDN w:val="0"/>
        <w:adjustRightInd w:val="0"/>
        <w:ind w:left="709"/>
        <w:textAlignment w:val="baseline"/>
        <w:rPr>
          <w:szCs w:val="20"/>
          <w:lang w:val="en-GB"/>
        </w:rPr>
      </w:pP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21"/>
      </w:tblGrid>
      <w:tr w:rsidR="00621347" w:rsidRPr="00621347" w14:paraId="4C4EEF76" w14:textId="77777777" w:rsidTr="00D0608D">
        <w:tc>
          <w:tcPr>
            <w:tcW w:w="898" w:type="pct"/>
          </w:tcPr>
          <w:p w14:paraId="3AF62EF9" w14:textId="77777777" w:rsidR="00621347" w:rsidRPr="00621347" w:rsidRDefault="00621347" w:rsidP="00100EF9">
            <w:pPr>
              <w:overflowPunct w:val="0"/>
              <w:autoSpaceDE w:val="0"/>
              <w:autoSpaceDN w:val="0"/>
              <w:adjustRightInd w:val="0"/>
              <w:textAlignment w:val="baseline"/>
              <w:rPr>
                <w:i/>
              </w:rPr>
            </w:pPr>
            <w:r>
              <w:rPr>
                <w:b/>
                <w:i/>
              </w:rPr>
              <w:t>Επικοινωνία</w:t>
            </w:r>
          </w:p>
        </w:tc>
        <w:tc>
          <w:tcPr>
            <w:tcW w:w="4102" w:type="pct"/>
          </w:tcPr>
          <w:p w14:paraId="1174E3AC" w14:textId="582EC194" w:rsidR="00621347" w:rsidRPr="00621347" w:rsidRDefault="00621347" w:rsidP="00100EF9">
            <w:pPr>
              <w:overflowPunct w:val="0"/>
              <w:autoSpaceDE w:val="0"/>
              <w:autoSpaceDN w:val="0"/>
              <w:adjustRightInd w:val="0"/>
              <w:textAlignment w:val="baseline"/>
              <w:rPr>
                <w:i/>
              </w:rPr>
            </w:pPr>
            <w:proofErr w:type="spellStart"/>
            <w:r>
              <w:rPr>
                <w:i/>
                <w:iCs/>
              </w:rPr>
              <w:t>Gaia</w:t>
            </w:r>
            <w:proofErr w:type="spellEnd"/>
            <w:r>
              <w:rPr>
                <w:i/>
                <w:iCs/>
              </w:rPr>
              <w:t xml:space="preserve"> </w:t>
            </w:r>
            <w:proofErr w:type="spellStart"/>
            <w:r>
              <w:rPr>
                <w:i/>
                <w:iCs/>
              </w:rPr>
              <w:t>Bottoni</w:t>
            </w:r>
            <w:proofErr w:type="spellEnd"/>
          </w:p>
        </w:tc>
      </w:tr>
      <w:tr w:rsidR="00621347" w:rsidRPr="00621347" w14:paraId="60C3DC59" w14:textId="77777777" w:rsidTr="00D0608D">
        <w:tc>
          <w:tcPr>
            <w:tcW w:w="898" w:type="pct"/>
          </w:tcPr>
          <w:p w14:paraId="0B4561A1" w14:textId="77777777" w:rsidR="00621347" w:rsidRPr="00621347" w:rsidRDefault="00621347" w:rsidP="00100EF9">
            <w:pPr>
              <w:overflowPunct w:val="0"/>
              <w:autoSpaceDE w:val="0"/>
              <w:autoSpaceDN w:val="0"/>
              <w:adjustRightInd w:val="0"/>
              <w:textAlignment w:val="baseline"/>
              <w:rPr>
                <w:i/>
              </w:rPr>
            </w:pPr>
            <w:proofErr w:type="spellStart"/>
            <w:r>
              <w:rPr>
                <w:i/>
              </w:rPr>
              <w:t>Τηλ</w:t>
            </w:r>
            <w:proofErr w:type="spellEnd"/>
            <w:r>
              <w:rPr>
                <w:i/>
              </w:rPr>
              <w:t>.</w:t>
            </w:r>
          </w:p>
        </w:tc>
        <w:tc>
          <w:tcPr>
            <w:tcW w:w="4102" w:type="pct"/>
          </w:tcPr>
          <w:p w14:paraId="7FBF1635" w14:textId="73B5954C" w:rsidR="00621347" w:rsidRPr="00621347" w:rsidRDefault="00621347" w:rsidP="00100EF9">
            <w:pPr>
              <w:overflowPunct w:val="0"/>
              <w:autoSpaceDE w:val="0"/>
              <w:autoSpaceDN w:val="0"/>
              <w:adjustRightInd w:val="0"/>
              <w:textAlignment w:val="baseline"/>
              <w:rPr>
                <w:i/>
              </w:rPr>
            </w:pPr>
            <w:r>
              <w:rPr>
                <w:i/>
              </w:rPr>
              <w:t>+32 25469447</w:t>
            </w:r>
          </w:p>
        </w:tc>
      </w:tr>
      <w:tr w:rsidR="00621347" w:rsidRPr="00621347" w14:paraId="5D7F6D2E" w14:textId="77777777" w:rsidTr="00D0608D">
        <w:tc>
          <w:tcPr>
            <w:tcW w:w="898" w:type="pct"/>
          </w:tcPr>
          <w:p w14:paraId="54E92E27" w14:textId="77777777" w:rsidR="00621347" w:rsidRPr="00621347" w:rsidRDefault="00621347" w:rsidP="00100EF9">
            <w:pPr>
              <w:overflowPunct w:val="0"/>
              <w:autoSpaceDE w:val="0"/>
              <w:autoSpaceDN w:val="0"/>
              <w:adjustRightInd w:val="0"/>
              <w:textAlignment w:val="baseline"/>
              <w:rPr>
                <w:i/>
              </w:rPr>
            </w:pPr>
            <w:proofErr w:type="spellStart"/>
            <w:r>
              <w:rPr>
                <w:i/>
              </w:rPr>
              <w:t>Ηλ</w:t>
            </w:r>
            <w:proofErr w:type="spellEnd"/>
            <w:r>
              <w:rPr>
                <w:i/>
              </w:rPr>
              <w:t>. δ/</w:t>
            </w:r>
            <w:proofErr w:type="spellStart"/>
            <w:r>
              <w:rPr>
                <w:i/>
              </w:rPr>
              <w:t>νση</w:t>
            </w:r>
            <w:proofErr w:type="spellEnd"/>
          </w:p>
        </w:tc>
        <w:tc>
          <w:tcPr>
            <w:tcW w:w="4102" w:type="pct"/>
          </w:tcPr>
          <w:p w14:paraId="109C769F" w14:textId="6021F70A" w:rsidR="00621347" w:rsidRPr="00621347" w:rsidRDefault="0005365A" w:rsidP="00100EF9">
            <w:pPr>
              <w:overflowPunct w:val="0"/>
              <w:autoSpaceDE w:val="0"/>
              <w:autoSpaceDN w:val="0"/>
              <w:adjustRightInd w:val="0"/>
              <w:textAlignment w:val="baseline"/>
              <w:rPr>
                <w:i/>
              </w:rPr>
            </w:pPr>
            <w:hyperlink r:id="rId34" w:history="1">
              <w:r w:rsidR="00E235D3">
                <w:rPr>
                  <w:i/>
                  <w:color w:val="0000FF"/>
                  <w:u w:val="single"/>
                </w:rPr>
                <w:t>Gaia.Bottoni@eesc.europa.eu</w:t>
              </w:r>
            </w:hyperlink>
          </w:p>
        </w:tc>
      </w:tr>
    </w:tbl>
    <w:p w14:paraId="715DB2BD" w14:textId="77777777" w:rsidR="007F5784" w:rsidRDefault="007F5784" w:rsidP="00100EF9">
      <w:pPr>
        <w:jc w:val="left"/>
      </w:pPr>
      <w:r>
        <w:br w:type="page"/>
      </w:r>
    </w:p>
    <w:p w14:paraId="528C73AA" w14:textId="46DE726B" w:rsidR="006D2C8A" w:rsidRPr="006D2C8A" w:rsidRDefault="006D2C8A" w:rsidP="00100EF9">
      <w:pPr>
        <w:pStyle w:val="Heading1"/>
        <w:rPr>
          <w:b/>
        </w:rPr>
      </w:pPr>
      <w:bookmarkStart w:id="41" w:name="_Toc223534716"/>
      <w:r>
        <w:rPr>
          <w:b/>
          <w:color w:val="222A35" w:themeColor="text2" w:themeShade="80"/>
        </w:rPr>
        <w:lastRenderedPageBreak/>
        <w:t>ΣΥΜΒΟΥΛΕΥΤΙΚΗ ΕΠΙΤΡΟΠΗ ΒΙΟΜΗΧΑΝΙΚΩΝ ΜΕΤΑΛΛΑΓΩΝ</w:t>
      </w:r>
      <w:bookmarkEnd w:id="41"/>
    </w:p>
    <w:p w14:paraId="713E272F" w14:textId="77777777" w:rsidR="006D2C8A" w:rsidRDefault="006D2C8A" w:rsidP="00100EF9"/>
    <w:p w14:paraId="3CC91A48" w14:textId="77009B70" w:rsidR="003534E0" w:rsidRPr="00153E09" w:rsidRDefault="0005365A" w:rsidP="00100EF9">
      <w:pPr>
        <w:widowControl w:val="0"/>
        <w:numPr>
          <w:ilvl w:val="0"/>
          <w:numId w:val="6"/>
        </w:numPr>
        <w:overflowPunct w:val="0"/>
        <w:autoSpaceDE w:val="0"/>
        <w:autoSpaceDN w:val="0"/>
        <w:adjustRightInd w:val="0"/>
        <w:ind w:hanging="567"/>
        <w:textAlignment w:val="baseline"/>
        <w:rPr>
          <w:sz w:val="20"/>
          <w:szCs w:val="20"/>
        </w:rPr>
      </w:pPr>
      <w:hyperlink r:id="rId35" w:history="1">
        <w:r w:rsidR="003534E0">
          <w:rPr>
            <w:b/>
            <w:i/>
            <w:color w:val="0000FF"/>
            <w:sz w:val="28"/>
            <w:u w:val="single"/>
          </w:rPr>
          <w:t>Τροποποίηση του κανονισμού (ΕΕ) 2024/1252 (ευρωπαϊκή πράξη για τις κρίσιμες πρώτες ύλες)</w:t>
        </w:r>
      </w:hyperlink>
    </w:p>
    <w:p w14:paraId="4BAFD485" w14:textId="77777777" w:rsidR="009277D3" w:rsidRDefault="009277D3" w:rsidP="00100EF9">
      <w:pPr>
        <w:tabs>
          <w:tab w:val="center" w:pos="284"/>
        </w:tabs>
        <w:overflowPunct w:val="0"/>
        <w:autoSpaceDE w:val="0"/>
        <w:autoSpaceDN w:val="0"/>
        <w:adjustRightInd w:val="0"/>
        <w:ind w:left="266" w:hanging="266"/>
        <w:textAlignment w:val="baseline"/>
        <w:rPr>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2"/>
      </w:tblGrid>
      <w:tr w:rsidR="00153E09" w14:paraId="65A34AAF" w14:textId="77777777" w:rsidTr="00205469">
        <w:tc>
          <w:tcPr>
            <w:tcW w:w="1701" w:type="dxa"/>
          </w:tcPr>
          <w:p w14:paraId="111B4B02" w14:textId="6AC41F6C" w:rsidR="00153E09" w:rsidRDefault="00153E09" w:rsidP="00100EF9">
            <w:pPr>
              <w:overflowPunct w:val="0"/>
              <w:autoSpaceDE w:val="0"/>
              <w:autoSpaceDN w:val="0"/>
              <w:adjustRightInd w:val="0"/>
              <w:textAlignment w:val="baseline"/>
              <w:rPr>
                <w:b/>
              </w:rPr>
            </w:pPr>
            <w:r>
              <w:rPr>
                <w:b/>
                <w:sz w:val="20"/>
              </w:rPr>
              <w:t>Έγγραφα αναφοράς</w:t>
            </w:r>
          </w:p>
        </w:tc>
        <w:tc>
          <w:tcPr>
            <w:tcW w:w="7372" w:type="dxa"/>
          </w:tcPr>
          <w:p w14:paraId="0221ADAC" w14:textId="77777777" w:rsidR="00153E09" w:rsidRDefault="00153E09" w:rsidP="00100EF9">
            <w:pPr>
              <w:tabs>
                <w:tab w:val="center" w:pos="284"/>
              </w:tabs>
              <w:overflowPunct w:val="0"/>
              <w:autoSpaceDE w:val="0"/>
              <w:autoSpaceDN w:val="0"/>
              <w:adjustRightInd w:val="0"/>
              <w:textAlignment w:val="baseline"/>
              <w:rPr>
                <w:bCs/>
                <w:sz w:val="20"/>
                <w:szCs w:val="20"/>
              </w:rPr>
            </w:pPr>
            <w:r>
              <w:rPr>
                <w:sz w:val="20"/>
              </w:rPr>
              <w:t xml:space="preserve">COM(2025) 946 </w:t>
            </w:r>
            <w:proofErr w:type="spellStart"/>
            <w:r>
              <w:rPr>
                <w:sz w:val="20"/>
              </w:rPr>
              <w:t>final</w:t>
            </w:r>
            <w:proofErr w:type="spellEnd"/>
          </w:p>
          <w:p w14:paraId="5F1938C2" w14:textId="40D8E2D3" w:rsidR="00153E09" w:rsidRDefault="00153E09" w:rsidP="00100EF9">
            <w:pPr>
              <w:tabs>
                <w:tab w:val="center" w:pos="284"/>
              </w:tabs>
              <w:overflowPunct w:val="0"/>
              <w:autoSpaceDE w:val="0"/>
              <w:autoSpaceDN w:val="0"/>
              <w:adjustRightInd w:val="0"/>
              <w:textAlignment w:val="baseline"/>
              <w:rPr>
                <w:b/>
              </w:rPr>
            </w:pPr>
            <w:r>
              <w:rPr>
                <w:sz w:val="20"/>
              </w:rPr>
              <w:t>EESC-2026-00393-00-00-AC</w:t>
            </w:r>
          </w:p>
        </w:tc>
      </w:tr>
    </w:tbl>
    <w:p w14:paraId="185B6A63" w14:textId="77777777" w:rsidR="009277D3" w:rsidRPr="00153E09" w:rsidRDefault="009277D3" w:rsidP="00100EF9">
      <w:pPr>
        <w:tabs>
          <w:tab w:val="center" w:pos="284"/>
        </w:tabs>
        <w:overflowPunct w:val="0"/>
        <w:autoSpaceDE w:val="0"/>
        <w:autoSpaceDN w:val="0"/>
        <w:adjustRightInd w:val="0"/>
        <w:ind w:left="266" w:hanging="266"/>
        <w:textAlignment w:val="baseline"/>
        <w:rPr>
          <w:b/>
          <w:lang w:val="en-GB"/>
        </w:rPr>
      </w:pPr>
    </w:p>
    <w:p w14:paraId="0D51E678" w14:textId="77777777" w:rsidR="003534E0" w:rsidRPr="003534E0" w:rsidRDefault="003534E0" w:rsidP="00100EF9">
      <w:pPr>
        <w:keepNext/>
        <w:keepLines/>
        <w:tabs>
          <w:tab w:val="center" w:pos="284"/>
        </w:tabs>
        <w:overflowPunct w:val="0"/>
        <w:autoSpaceDE w:val="0"/>
        <w:autoSpaceDN w:val="0"/>
        <w:adjustRightInd w:val="0"/>
        <w:ind w:left="266" w:hanging="266"/>
        <w:textAlignment w:val="baseline"/>
        <w:rPr>
          <w:b/>
        </w:rPr>
      </w:pPr>
      <w:r>
        <w:rPr>
          <w:b/>
        </w:rPr>
        <w:t>Κύρια σημεία</w:t>
      </w:r>
    </w:p>
    <w:p w14:paraId="1A032EB0" w14:textId="77777777" w:rsidR="003534E0" w:rsidRPr="003534E0" w:rsidRDefault="003534E0" w:rsidP="00100EF9">
      <w:pPr>
        <w:widowControl w:val="0"/>
        <w:overflowPunct w:val="0"/>
        <w:autoSpaceDE w:val="0"/>
        <w:autoSpaceDN w:val="0"/>
        <w:adjustRightInd w:val="0"/>
        <w:textAlignment w:val="baseline"/>
        <w:rPr>
          <w:bCs/>
          <w:iCs/>
          <w:lang w:val="en-GB"/>
        </w:rPr>
      </w:pPr>
    </w:p>
    <w:p w14:paraId="0722C60C" w14:textId="77777777" w:rsidR="003534E0" w:rsidRPr="003534E0" w:rsidRDefault="003534E0" w:rsidP="00100EF9">
      <w:pPr>
        <w:widowControl w:val="0"/>
        <w:overflowPunct w:val="0"/>
        <w:autoSpaceDE w:val="0"/>
        <w:autoSpaceDN w:val="0"/>
        <w:adjustRightInd w:val="0"/>
        <w:textAlignment w:val="baseline"/>
        <w:rPr>
          <w:bCs/>
          <w:iCs/>
        </w:rPr>
      </w:pPr>
      <w:r>
        <w:t xml:space="preserve">Επειδή θεωρεί ότι η πρόταση είναι απολύτως ικανοποιητική και δεδομένου ότι έχει ήδη εκφέρει γνώμη για το θέμα αυτό στην προηγούμενη γνωμοδότησή της με θέμα </w:t>
      </w:r>
      <w:hyperlink r:id="rId36" w:history="1">
        <w:r>
          <w:rPr>
            <w:color w:val="0000FF"/>
            <w:u w:val="single"/>
          </w:rPr>
          <w:t>Ασφαλής και βιώσιμος εφοδιασμός με κρίσιμες πρώτες ύλες</w:t>
        </w:r>
      </w:hyperlink>
      <w:r>
        <w:t>, που εγκρίθηκε στις 12/7/2023, η ΕΟΚΕ αποφάσισε να εκδώσει θετική γνωμοδότηση για το προτεινόμενο κείμενο και να παραπέμψει στη θέση που είχε υποστηρίξει στο προαναφερόμενο έγγραφο.</w:t>
      </w:r>
    </w:p>
    <w:p w14:paraId="2B63EAC7" w14:textId="3C6C9A7D" w:rsidR="00950272" w:rsidRDefault="00950272" w:rsidP="00100EF9">
      <w:pPr>
        <w:widowControl w:val="0"/>
        <w:overflowPunct w:val="0"/>
        <w:autoSpaceDE w:val="0"/>
        <w:autoSpaceDN w:val="0"/>
        <w:adjustRightInd w:val="0"/>
        <w:ind w:left="709" w:hanging="709"/>
        <w:textAlignment w:val="baseline"/>
        <w:rPr>
          <w:szCs w:val="20"/>
          <w:lang w:val="en-GB"/>
        </w:rPr>
      </w:pPr>
    </w:p>
    <w:tbl>
      <w:tblPr>
        <w:tblStyle w:val="TableGrid8"/>
        <w:tblW w:w="48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3"/>
        <w:gridCol w:w="7585"/>
      </w:tblGrid>
      <w:tr w:rsidR="003534E0" w:rsidRPr="003534E0" w14:paraId="1ABE88A2" w14:textId="77777777" w:rsidTr="007526DA">
        <w:tc>
          <w:tcPr>
            <w:tcW w:w="804" w:type="pct"/>
          </w:tcPr>
          <w:p w14:paraId="148D5606" w14:textId="77777777" w:rsidR="003534E0" w:rsidRPr="003534E0" w:rsidRDefault="003534E0" w:rsidP="007526DA">
            <w:pPr>
              <w:overflowPunct w:val="0"/>
              <w:autoSpaceDE w:val="0"/>
              <w:autoSpaceDN w:val="0"/>
              <w:adjustRightInd w:val="0"/>
              <w:ind w:hanging="110"/>
              <w:textAlignment w:val="baseline"/>
              <w:rPr>
                <w:i/>
              </w:rPr>
            </w:pPr>
            <w:r>
              <w:rPr>
                <w:b/>
                <w:i/>
              </w:rPr>
              <w:t>Επικοινωνία</w:t>
            </w:r>
          </w:p>
        </w:tc>
        <w:tc>
          <w:tcPr>
            <w:tcW w:w="4196" w:type="pct"/>
          </w:tcPr>
          <w:p w14:paraId="0D29E18D" w14:textId="5491D9AB" w:rsidR="003534E0" w:rsidRPr="003534E0" w:rsidRDefault="003534E0" w:rsidP="007526DA">
            <w:pPr>
              <w:overflowPunct w:val="0"/>
              <w:autoSpaceDE w:val="0"/>
              <w:autoSpaceDN w:val="0"/>
              <w:adjustRightInd w:val="0"/>
              <w:ind w:hanging="110"/>
              <w:textAlignment w:val="baseline"/>
              <w:rPr>
                <w:i/>
              </w:rPr>
            </w:pPr>
            <w:proofErr w:type="spellStart"/>
            <w:r>
              <w:rPr>
                <w:i/>
              </w:rPr>
              <w:t>Adam</w:t>
            </w:r>
            <w:proofErr w:type="spellEnd"/>
            <w:r>
              <w:rPr>
                <w:i/>
              </w:rPr>
              <w:t xml:space="preserve"> </w:t>
            </w:r>
            <w:proofErr w:type="spellStart"/>
            <w:r>
              <w:rPr>
                <w:i/>
              </w:rPr>
              <w:t>Dorywalski</w:t>
            </w:r>
            <w:proofErr w:type="spellEnd"/>
          </w:p>
        </w:tc>
      </w:tr>
      <w:tr w:rsidR="003534E0" w:rsidRPr="003534E0" w14:paraId="29310390" w14:textId="77777777" w:rsidTr="007526DA">
        <w:tc>
          <w:tcPr>
            <w:tcW w:w="804" w:type="pct"/>
          </w:tcPr>
          <w:p w14:paraId="1A8C815A" w14:textId="77777777" w:rsidR="003534E0" w:rsidRPr="003534E0" w:rsidRDefault="003534E0" w:rsidP="007526DA">
            <w:pPr>
              <w:overflowPunct w:val="0"/>
              <w:autoSpaceDE w:val="0"/>
              <w:autoSpaceDN w:val="0"/>
              <w:adjustRightInd w:val="0"/>
              <w:ind w:hanging="110"/>
              <w:textAlignment w:val="baseline"/>
              <w:rPr>
                <w:i/>
              </w:rPr>
            </w:pPr>
            <w:proofErr w:type="spellStart"/>
            <w:r>
              <w:rPr>
                <w:i/>
              </w:rPr>
              <w:t>Τηλ</w:t>
            </w:r>
            <w:proofErr w:type="spellEnd"/>
            <w:r>
              <w:rPr>
                <w:i/>
              </w:rPr>
              <w:t>.</w:t>
            </w:r>
          </w:p>
        </w:tc>
        <w:tc>
          <w:tcPr>
            <w:tcW w:w="4196" w:type="pct"/>
          </w:tcPr>
          <w:p w14:paraId="1B4B0CA6" w14:textId="23FF8050" w:rsidR="003534E0" w:rsidRPr="003534E0" w:rsidRDefault="003534E0" w:rsidP="007526DA">
            <w:pPr>
              <w:overflowPunct w:val="0"/>
              <w:autoSpaceDE w:val="0"/>
              <w:autoSpaceDN w:val="0"/>
              <w:adjustRightInd w:val="0"/>
              <w:ind w:hanging="110"/>
              <w:textAlignment w:val="baseline"/>
              <w:rPr>
                <w:i/>
              </w:rPr>
            </w:pPr>
            <w:r>
              <w:rPr>
                <w:i/>
              </w:rPr>
              <w:t>+32 25469397</w:t>
            </w:r>
          </w:p>
        </w:tc>
      </w:tr>
      <w:tr w:rsidR="003534E0" w:rsidRPr="003534E0" w14:paraId="4800E009" w14:textId="77777777" w:rsidTr="007526DA">
        <w:tc>
          <w:tcPr>
            <w:tcW w:w="804" w:type="pct"/>
          </w:tcPr>
          <w:p w14:paraId="58627B2F" w14:textId="77777777" w:rsidR="003534E0" w:rsidRPr="003534E0" w:rsidRDefault="003534E0" w:rsidP="007526DA">
            <w:pPr>
              <w:overflowPunct w:val="0"/>
              <w:autoSpaceDE w:val="0"/>
              <w:autoSpaceDN w:val="0"/>
              <w:adjustRightInd w:val="0"/>
              <w:ind w:hanging="110"/>
              <w:textAlignment w:val="baseline"/>
              <w:rPr>
                <w:i/>
              </w:rPr>
            </w:pPr>
            <w:proofErr w:type="spellStart"/>
            <w:r>
              <w:rPr>
                <w:i/>
              </w:rPr>
              <w:t>Ηλ</w:t>
            </w:r>
            <w:proofErr w:type="spellEnd"/>
            <w:r>
              <w:rPr>
                <w:i/>
              </w:rPr>
              <w:t>. δ/</w:t>
            </w:r>
            <w:proofErr w:type="spellStart"/>
            <w:r>
              <w:rPr>
                <w:i/>
              </w:rPr>
              <w:t>νση</w:t>
            </w:r>
            <w:proofErr w:type="spellEnd"/>
          </w:p>
        </w:tc>
        <w:tc>
          <w:tcPr>
            <w:tcW w:w="4196" w:type="pct"/>
          </w:tcPr>
          <w:p w14:paraId="551CAC0A" w14:textId="548021BC" w:rsidR="00E25EB4" w:rsidRPr="00153E09" w:rsidRDefault="0005365A" w:rsidP="007526DA">
            <w:pPr>
              <w:overflowPunct w:val="0"/>
              <w:autoSpaceDE w:val="0"/>
              <w:autoSpaceDN w:val="0"/>
              <w:adjustRightInd w:val="0"/>
              <w:ind w:hanging="110"/>
              <w:textAlignment w:val="baseline"/>
            </w:pPr>
            <w:hyperlink r:id="rId37" w:history="1">
              <w:r w:rsidR="003534E0">
                <w:rPr>
                  <w:i/>
                  <w:color w:val="0000FF"/>
                  <w:u w:val="single"/>
                </w:rPr>
                <w:t>Adam.Dorywalski@eesc.europa.eu</w:t>
              </w:r>
            </w:hyperlink>
          </w:p>
        </w:tc>
      </w:tr>
    </w:tbl>
    <w:p w14:paraId="3FA9F92E" w14:textId="77777777" w:rsidR="00E25EB4" w:rsidRPr="003F66F7" w:rsidRDefault="00E25EB4" w:rsidP="00100EF9">
      <w:pPr>
        <w:overflowPunct w:val="0"/>
        <w:autoSpaceDE w:val="0"/>
        <w:autoSpaceDN w:val="0"/>
        <w:adjustRightInd w:val="0"/>
        <w:jc w:val="center"/>
        <w:textAlignment w:val="baseline"/>
        <w:rPr>
          <w:szCs w:val="20"/>
        </w:rPr>
      </w:pPr>
    </w:p>
    <w:p w14:paraId="5D7A6973" w14:textId="77777777" w:rsidR="004C4CDB" w:rsidRPr="00153E09" w:rsidRDefault="004C4CDB" w:rsidP="00100EF9">
      <w:pPr>
        <w:jc w:val="left"/>
      </w:pPr>
      <w:r>
        <w:br w:type="page"/>
      </w:r>
    </w:p>
    <w:p w14:paraId="4E1C48EE" w14:textId="6377872A" w:rsidR="00E25EB4" w:rsidRPr="00E25EB4" w:rsidRDefault="0005365A" w:rsidP="00100EF9">
      <w:pPr>
        <w:widowControl w:val="0"/>
        <w:numPr>
          <w:ilvl w:val="0"/>
          <w:numId w:val="12"/>
        </w:numPr>
        <w:overflowPunct w:val="0"/>
        <w:autoSpaceDE w:val="0"/>
        <w:autoSpaceDN w:val="0"/>
        <w:adjustRightInd w:val="0"/>
        <w:ind w:left="567" w:hanging="567"/>
        <w:contextualSpacing/>
        <w:jc w:val="left"/>
        <w:textAlignment w:val="baseline"/>
        <w:rPr>
          <w:rFonts w:ascii="Calibri" w:hAnsi="Calibri"/>
          <w:b/>
          <w:bCs/>
        </w:rPr>
      </w:pPr>
      <w:hyperlink r:id="rId38" w:tooltip="Ενίσχυση της στρατηγικής αυτονομίας της ΕΕ και ανάπτυξη μιας πιο πράσινης και γαλάζιας οικονομίας: το δυναμικό του τομέα παραγωγής συσσωρευτών νατρίου" w:history="1">
        <w:r w:rsidR="00E235D3">
          <w:rPr>
            <w:b/>
            <w:i/>
            <w:color w:val="0000FF"/>
            <w:sz w:val="28"/>
            <w:u w:val="single"/>
          </w:rPr>
          <w:t>Ενίσχυση της στρατηγικής αυτονομίας της ΕΕ και ανάπτυξη μιας πιο πράσινης και γαλάζιας οικονομίας: το δυναμικό του τομέα παραγωγής συσσωρευτών νατρίου</w:t>
        </w:r>
      </w:hyperlink>
    </w:p>
    <w:p w14:paraId="2E26A662" w14:textId="77777777" w:rsidR="00E25EB4" w:rsidRPr="00205469" w:rsidRDefault="00E25EB4" w:rsidP="00100EF9">
      <w:pPr>
        <w:widowControl w:val="0"/>
        <w:ind w:left="567"/>
        <w:contextualSpacing/>
        <w:jc w:val="left"/>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E25EB4" w:rsidRPr="00E25EB4" w14:paraId="0E750117" w14:textId="77777777" w:rsidTr="00153E09">
        <w:tc>
          <w:tcPr>
            <w:tcW w:w="1701" w:type="dxa"/>
          </w:tcPr>
          <w:p w14:paraId="1BC9C1DD" w14:textId="77777777" w:rsidR="00E25EB4" w:rsidRPr="00E25EB4" w:rsidRDefault="00E25EB4" w:rsidP="00100EF9">
            <w:pPr>
              <w:tabs>
                <w:tab w:val="center" w:pos="284"/>
              </w:tabs>
              <w:overflowPunct w:val="0"/>
              <w:autoSpaceDE w:val="0"/>
              <w:autoSpaceDN w:val="0"/>
              <w:adjustRightInd w:val="0"/>
              <w:ind w:left="266" w:hanging="266"/>
              <w:textAlignment w:val="baseline"/>
              <w:rPr>
                <w:b/>
              </w:rPr>
            </w:pPr>
            <w:r>
              <w:rPr>
                <w:b/>
              </w:rPr>
              <w:t>Εισηγητής</w:t>
            </w:r>
          </w:p>
        </w:tc>
        <w:tc>
          <w:tcPr>
            <w:tcW w:w="7371" w:type="dxa"/>
          </w:tcPr>
          <w:p w14:paraId="261F00F8" w14:textId="77777777" w:rsidR="00E25EB4" w:rsidRPr="00E25EB4" w:rsidRDefault="00E25EB4" w:rsidP="00100EF9">
            <w:pPr>
              <w:tabs>
                <w:tab w:val="center" w:pos="284"/>
              </w:tabs>
              <w:overflowPunct w:val="0"/>
              <w:autoSpaceDE w:val="0"/>
              <w:autoSpaceDN w:val="0"/>
              <w:adjustRightInd w:val="0"/>
              <w:ind w:left="266" w:hanging="266"/>
              <w:textAlignment w:val="baseline"/>
            </w:pPr>
            <w:proofErr w:type="spellStart"/>
            <w:r>
              <w:t>Paul</w:t>
            </w:r>
            <w:proofErr w:type="spellEnd"/>
            <w:r>
              <w:t xml:space="preserve"> RÜBIG (Ομάδα των Εργοδοτών – AT)</w:t>
            </w:r>
          </w:p>
        </w:tc>
      </w:tr>
      <w:tr w:rsidR="00E25EB4" w:rsidRPr="00E25EB4" w14:paraId="7E321F8F" w14:textId="77777777" w:rsidTr="00153E09">
        <w:tc>
          <w:tcPr>
            <w:tcW w:w="1701" w:type="dxa"/>
          </w:tcPr>
          <w:p w14:paraId="39B77E69" w14:textId="77777777" w:rsidR="00E25EB4" w:rsidRPr="00E25EB4" w:rsidRDefault="00E25EB4" w:rsidP="00100EF9">
            <w:pPr>
              <w:tabs>
                <w:tab w:val="center" w:pos="284"/>
              </w:tabs>
              <w:overflowPunct w:val="0"/>
              <w:autoSpaceDE w:val="0"/>
              <w:autoSpaceDN w:val="0"/>
              <w:adjustRightInd w:val="0"/>
              <w:ind w:left="266" w:hanging="266"/>
              <w:textAlignment w:val="baseline"/>
              <w:rPr>
                <w:b/>
              </w:rPr>
            </w:pPr>
            <w:r>
              <w:rPr>
                <w:b/>
              </w:rPr>
              <w:t>Συνεισηγητής</w:t>
            </w:r>
          </w:p>
        </w:tc>
        <w:tc>
          <w:tcPr>
            <w:tcW w:w="7371" w:type="dxa"/>
          </w:tcPr>
          <w:p w14:paraId="4F795EAE" w14:textId="7B894B11" w:rsidR="00E25EB4" w:rsidRPr="00E25EB4" w:rsidRDefault="00E25EB4" w:rsidP="00100EF9">
            <w:pPr>
              <w:tabs>
                <w:tab w:val="center" w:pos="284"/>
              </w:tabs>
              <w:overflowPunct w:val="0"/>
              <w:autoSpaceDE w:val="0"/>
              <w:autoSpaceDN w:val="0"/>
              <w:adjustRightInd w:val="0"/>
              <w:ind w:left="266" w:hanging="266"/>
              <w:textAlignment w:val="baseline"/>
            </w:pPr>
            <w:proofErr w:type="spellStart"/>
            <w:r>
              <w:t>Hervé</w:t>
            </w:r>
            <w:proofErr w:type="spellEnd"/>
            <w:r>
              <w:t xml:space="preserve"> JEANNIN (</w:t>
            </w:r>
            <w:proofErr w:type="spellStart"/>
            <w:r>
              <w:t>Κατ</w:t>
            </w:r>
            <w:proofErr w:type="spellEnd"/>
            <w:r>
              <w:t>. 2 - FR)</w:t>
            </w:r>
          </w:p>
        </w:tc>
      </w:tr>
      <w:tr w:rsidR="00E25EB4" w:rsidRPr="00E25EB4" w14:paraId="4AD82EE5" w14:textId="77777777" w:rsidTr="00153E09">
        <w:tc>
          <w:tcPr>
            <w:tcW w:w="9072" w:type="dxa"/>
            <w:gridSpan w:val="2"/>
          </w:tcPr>
          <w:p w14:paraId="63F1B5CC" w14:textId="77777777" w:rsidR="00E25EB4" w:rsidRPr="00E25EB4" w:rsidRDefault="00E25EB4" w:rsidP="00100EF9">
            <w:pPr>
              <w:tabs>
                <w:tab w:val="center" w:pos="284"/>
              </w:tabs>
              <w:overflowPunct w:val="0"/>
              <w:autoSpaceDE w:val="0"/>
              <w:autoSpaceDN w:val="0"/>
              <w:adjustRightInd w:val="0"/>
              <w:ind w:left="266" w:hanging="266"/>
              <w:textAlignment w:val="baseline"/>
            </w:pPr>
          </w:p>
        </w:tc>
      </w:tr>
      <w:tr w:rsidR="00E25EB4" w:rsidRPr="00E25EB4" w14:paraId="758D199D" w14:textId="77777777" w:rsidTr="00153E09">
        <w:tc>
          <w:tcPr>
            <w:tcW w:w="1701" w:type="dxa"/>
          </w:tcPr>
          <w:p w14:paraId="628BF496" w14:textId="1BBD7898" w:rsidR="00E25EB4" w:rsidRPr="00E25EB4" w:rsidRDefault="00E25EB4" w:rsidP="00100EF9">
            <w:pPr>
              <w:tabs>
                <w:tab w:val="center" w:pos="284"/>
              </w:tabs>
              <w:overflowPunct w:val="0"/>
              <w:autoSpaceDE w:val="0"/>
              <w:autoSpaceDN w:val="0"/>
              <w:adjustRightInd w:val="0"/>
              <w:ind w:left="266" w:hanging="266"/>
              <w:textAlignment w:val="baseline"/>
              <w:rPr>
                <w:b/>
              </w:rPr>
            </w:pPr>
            <w:r>
              <w:rPr>
                <w:b/>
              </w:rPr>
              <w:t>Έγγραφα αναφοράς</w:t>
            </w:r>
          </w:p>
        </w:tc>
        <w:tc>
          <w:tcPr>
            <w:tcW w:w="7371" w:type="dxa"/>
          </w:tcPr>
          <w:p w14:paraId="1AC738BE" w14:textId="11F7A673" w:rsidR="001A58BD" w:rsidRDefault="00043E7B" w:rsidP="00100EF9">
            <w:pPr>
              <w:tabs>
                <w:tab w:val="center" w:pos="284"/>
              </w:tabs>
              <w:overflowPunct w:val="0"/>
              <w:autoSpaceDE w:val="0"/>
              <w:autoSpaceDN w:val="0"/>
              <w:adjustRightInd w:val="0"/>
              <w:ind w:left="266" w:hanging="266"/>
              <w:textAlignment w:val="baseline"/>
            </w:pPr>
            <w:r>
              <w:t>Διερευνητική γνωμοδότηση κατόπιν αίτησης της Ευρωπαϊκής Επιτροπής</w:t>
            </w:r>
          </w:p>
          <w:p w14:paraId="2E32FFD3" w14:textId="1F51A8D8" w:rsidR="00E25EB4" w:rsidRPr="00E25EB4" w:rsidRDefault="00E25EB4" w:rsidP="00100EF9">
            <w:pPr>
              <w:tabs>
                <w:tab w:val="center" w:pos="284"/>
              </w:tabs>
              <w:overflowPunct w:val="0"/>
              <w:autoSpaceDE w:val="0"/>
              <w:autoSpaceDN w:val="0"/>
              <w:adjustRightInd w:val="0"/>
              <w:ind w:left="266" w:hanging="266"/>
              <w:textAlignment w:val="baseline"/>
            </w:pPr>
            <w:r>
              <w:t>EESC-2025-02464-00-00-AC</w:t>
            </w:r>
          </w:p>
        </w:tc>
      </w:tr>
    </w:tbl>
    <w:p w14:paraId="270F2408" w14:textId="77777777" w:rsidR="00153E09" w:rsidRPr="00D0608D" w:rsidRDefault="00153E09" w:rsidP="00100EF9">
      <w:pPr>
        <w:keepNext/>
        <w:keepLines/>
        <w:tabs>
          <w:tab w:val="center" w:pos="284"/>
        </w:tabs>
        <w:overflowPunct w:val="0"/>
        <w:autoSpaceDE w:val="0"/>
        <w:autoSpaceDN w:val="0"/>
        <w:adjustRightInd w:val="0"/>
        <w:ind w:left="266" w:hanging="266"/>
        <w:textAlignment w:val="baseline"/>
        <w:rPr>
          <w:bCs/>
          <w:lang w:val="en-GB"/>
        </w:rPr>
      </w:pPr>
    </w:p>
    <w:p w14:paraId="25E8D43C" w14:textId="53EC308B" w:rsidR="00E25EB4" w:rsidRPr="00E25EB4" w:rsidRDefault="00E25EB4" w:rsidP="00100EF9">
      <w:pPr>
        <w:keepNext/>
        <w:keepLines/>
        <w:tabs>
          <w:tab w:val="center" w:pos="284"/>
        </w:tabs>
        <w:overflowPunct w:val="0"/>
        <w:autoSpaceDE w:val="0"/>
        <w:autoSpaceDN w:val="0"/>
        <w:adjustRightInd w:val="0"/>
        <w:ind w:left="266" w:hanging="266"/>
        <w:textAlignment w:val="baseline"/>
        <w:rPr>
          <w:b/>
        </w:rPr>
      </w:pPr>
      <w:r>
        <w:rPr>
          <w:b/>
        </w:rPr>
        <w:t>Κύρια σημεία</w:t>
      </w:r>
    </w:p>
    <w:p w14:paraId="7022CF32" w14:textId="77777777" w:rsidR="00E25EB4" w:rsidRPr="00D0608D" w:rsidRDefault="00E25EB4" w:rsidP="00100EF9">
      <w:pPr>
        <w:keepNext/>
        <w:keepLines/>
        <w:tabs>
          <w:tab w:val="center" w:pos="284"/>
        </w:tabs>
        <w:overflowPunct w:val="0"/>
        <w:autoSpaceDE w:val="0"/>
        <w:autoSpaceDN w:val="0"/>
        <w:adjustRightInd w:val="0"/>
        <w:ind w:left="266" w:hanging="266"/>
        <w:textAlignment w:val="baseline"/>
        <w:rPr>
          <w:bCs/>
          <w:lang w:val="en-GB"/>
        </w:rPr>
      </w:pPr>
    </w:p>
    <w:p w14:paraId="0273A35C" w14:textId="77777777" w:rsidR="00E25EB4" w:rsidRPr="00E25EB4" w:rsidRDefault="00E25EB4" w:rsidP="00100EF9">
      <w:pPr>
        <w:keepNext/>
        <w:keepLines/>
        <w:tabs>
          <w:tab w:val="center" w:pos="284"/>
        </w:tabs>
        <w:overflowPunct w:val="0"/>
        <w:autoSpaceDE w:val="0"/>
        <w:autoSpaceDN w:val="0"/>
        <w:adjustRightInd w:val="0"/>
        <w:ind w:left="266" w:hanging="266"/>
        <w:textAlignment w:val="baseline"/>
        <w:rPr>
          <w:bCs/>
        </w:rPr>
      </w:pPr>
      <w:r>
        <w:t>Η ΕΟΚΕ:</w:t>
      </w:r>
    </w:p>
    <w:p w14:paraId="4A4FDC20"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Εκτιμά ότι οι συσσωρευτές νατρίου αποτελούν στρατηγική τεχνολογία και θεωρεί ότι η Ευρώπη έχει μεγάλες δυνατότητες να αποκτήσει τεχνολογικό προβάδισμα στα συστήματα συσσωρευτών νατρίου-θαλασσινού νερού.</w:t>
      </w:r>
    </w:p>
    <w:p w14:paraId="74BCA385"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 xml:space="preserve">Τονίζει τις δυνατότητες των συσσωρευτών νατρίου ως καταλυτικών παραγόντων για τους στόχους της βιομηχανικής πολιτικής της ΕΕ: διευκολύνουν την επίτευξη των στόχων της Πράσινης Συμφωνίας και της Γαλάζιας Συμφωνίας της ΕΕ και μπορούν να συμβάλουν καθοριστικά στη στρατηγική της αυτονομία. Επίσης, η δημιουργία </w:t>
      </w:r>
      <w:proofErr w:type="spellStart"/>
      <w:r>
        <w:t>γιγα</w:t>
      </w:r>
      <w:proofErr w:type="spellEnd"/>
      <w:r>
        <w:t xml:space="preserve">-εργοστασίων συσσωρευτών νατρίου στην Ευρώπη θα ενισχύσει την ανταγωνιστικότητα και θα δημιουργήσει θέσεις εργασίας σε ολόκληρη την </w:t>
      </w:r>
      <w:proofErr w:type="spellStart"/>
      <w:r>
        <w:t>αξιακή</w:t>
      </w:r>
      <w:proofErr w:type="spellEnd"/>
      <w:r>
        <w:t xml:space="preserve"> αλυσίδα.</w:t>
      </w:r>
    </w:p>
    <w:p w14:paraId="03DA14BD"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Υπογραμμίζει ότι οι συσσωρευτές νατρίου μπορούν να παράγονται εξ ολοκλήρου από ευρωπαϊκές πρώτες ύλες, καθώς το νάτριο είναι άφθονο διαθέσιμο στην ήπειρο και υπάρχει αυξανόμενο δυναμικό για μια ευρωπαϊκή βιομηχανία αφαλάτωσης, οπότε μπορεί να μειωθεί η χρήση κρίσιμων πρώτων υλών.</w:t>
      </w:r>
    </w:p>
    <w:p w14:paraId="605A4E08"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Ζητεί αποφασιστική και συντονισμένη δράση της ΕΕ για τη δημιουργία μιας ανταγωνιστικής βιομηχανίας κατασκευής συσσωρευτών νατρίου, καθώς οι συσσωρευτές νατρίου προχωρούν σε παγκόσμιο επίπεδο και η Ευρώπη κινδυνεύει να διευρύνει το χάσμα.</w:t>
      </w:r>
    </w:p>
    <w:p w14:paraId="03706BAA"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 xml:space="preserve">Συνιστά να </w:t>
      </w:r>
      <w:proofErr w:type="spellStart"/>
      <w:r>
        <w:t>επικαιροποιηθεί</w:t>
      </w:r>
      <w:proofErr w:type="spellEnd"/>
      <w:r>
        <w:t xml:space="preserve"> η βιομηχανική πορεία για τους συσσωρευτές — καλύπτοντας τόσο το </w:t>
      </w:r>
      <w:proofErr w:type="spellStart"/>
      <w:r>
        <w:t>λίθιο</w:t>
      </w:r>
      <w:proofErr w:type="spellEnd"/>
      <w:r>
        <w:t xml:space="preserve"> όσο και το νάτριο, η οποία θα πρέπει να περιλαμβάνει χάρτη πορείας για την αντιμετώπιση των αναγκών του εργατικού δυναμικού και των κοινωνικών αναγκών, με επένδυση στις δεξιότητες, την κινητικότητα του εργατικού δυναμικού και τη στρατηγική συμμετοχή των ΜΜΕ.</w:t>
      </w:r>
    </w:p>
    <w:p w14:paraId="0ADF1BAC"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 xml:space="preserve">Επιμένει ότι είναι σημαντικό να εξαλειφθούν τα στεγανά πολιτικής και να ευθυγραμμιστούν βασικές στρατηγικές της ΕΕ (Πυξίδα Ανταγωνιστικότητας, στρατηγική για την Ένωση Ετοιμότητας, σχέδιο δράσης για την κυκλική οικονομία και στρατηγική για την ανθεκτικότητα των υδάτων) για την ανάπτυξη μιας ευρωπαϊκής </w:t>
      </w:r>
      <w:proofErr w:type="spellStart"/>
      <w:r>
        <w:t>αξιακής</w:t>
      </w:r>
      <w:proofErr w:type="spellEnd"/>
      <w:r>
        <w:t xml:space="preserve"> αλυσίδας συσσωρευτών νατρίου που θα εξυπηρετεί τους στρατηγικούς στόχους της Ευρώπης. </w:t>
      </w:r>
    </w:p>
    <w:p w14:paraId="2C3550D4"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rPr>
          <w:color w:val="333333"/>
        </w:rPr>
      </w:pPr>
      <w:r>
        <w:t xml:space="preserve">Συνιστά επιδοτήσεις επενδύσεων, πιστώσεις φόρου παραγωγής, </w:t>
      </w:r>
      <w:proofErr w:type="spellStart"/>
      <w:r>
        <w:t>στοχευμένες</w:t>
      </w:r>
      <w:proofErr w:type="spellEnd"/>
      <w:r>
        <w:t xml:space="preserve"> προσκλήσεις υποβολής προτάσεων για έργα, επενδυτικά κουπόνια για τη συνεργασία της βιομηχανίας με ερευνητικούς και τεχνολογικούς οργανισμούς.</w:t>
      </w:r>
    </w:p>
    <w:p w14:paraId="146AA976"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pPr>
      <w:r>
        <w:t>Ζητεί ευέλικτη δημόσια στήριξη προς αποφυγή πρόωρων εγκλωβισμών και ισχυρότερη συνεργατική έρευνα και ανάπτυξη που να συγχρηματοδοτείται από τις κυβερνήσεις και τη βιομηχανία.</w:t>
      </w:r>
    </w:p>
    <w:p w14:paraId="5AF3E28A" w14:textId="77777777" w:rsidR="00E25EB4" w:rsidRPr="007526DA" w:rsidRDefault="00E25EB4" w:rsidP="007526DA">
      <w:pPr>
        <w:numPr>
          <w:ilvl w:val="0"/>
          <w:numId w:val="24"/>
        </w:numPr>
        <w:shd w:val="clear" w:color="auto" w:fill="FEFEFE"/>
        <w:overflowPunct w:val="0"/>
        <w:autoSpaceDE w:val="0"/>
        <w:autoSpaceDN w:val="0"/>
        <w:adjustRightInd w:val="0"/>
        <w:ind w:left="567" w:hanging="567"/>
        <w:contextualSpacing/>
        <w:textAlignment w:val="baseline"/>
      </w:pPr>
      <w:r>
        <w:lastRenderedPageBreak/>
        <w:t xml:space="preserve">Αναγνωρίζει το δυναμικό που ενέχει η μετατροπή βιομηχανικών εγκαταστάσεων που είναι επί του παρόντος αδρανείς σε </w:t>
      </w:r>
      <w:proofErr w:type="spellStart"/>
      <w:r>
        <w:t>γιγα</w:t>
      </w:r>
      <w:proofErr w:type="spellEnd"/>
      <w:r>
        <w:t>-εργοστάσια συσσωρευτών νατρίου, ως αποδοτική και περιβαλλοντικά υπεύθυνη χρήση των υφιστάμενων υποδομών.</w:t>
      </w:r>
    </w:p>
    <w:p w14:paraId="5946BDB2" w14:textId="77777777" w:rsidR="00E25EB4" w:rsidRPr="00713CC2" w:rsidRDefault="00E25EB4" w:rsidP="007526DA">
      <w:pPr>
        <w:numPr>
          <w:ilvl w:val="0"/>
          <w:numId w:val="24"/>
        </w:numPr>
        <w:shd w:val="clear" w:color="auto" w:fill="FEFEFE"/>
        <w:overflowPunct w:val="0"/>
        <w:autoSpaceDE w:val="0"/>
        <w:autoSpaceDN w:val="0"/>
        <w:adjustRightInd w:val="0"/>
        <w:ind w:left="567" w:hanging="567"/>
        <w:contextualSpacing/>
        <w:textAlignment w:val="baseline"/>
      </w:pPr>
      <w:r>
        <w:t xml:space="preserve">Αναγνωρίζει τη σημασία της ενσωμάτωσης του οικολογικού σχεδιασμού και της ανακύκλωσης σε αυτόν τον μεταποιητικό κλάδο, προς προώθηση μιας κυκλικής </w:t>
      </w:r>
      <w:proofErr w:type="spellStart"/>
      <w:r>
        <w:t>αξιακής</w:t>
      </w:r>
      <w:proofErr w:type="spellEnd"/>
      <w:r>
        <w:t xml:space="preserve"> αλυσίδας συσσωρευτών νατρίου.</w:t>
      </w:r>
    </w:p>
    <w:p w14:paraId="339FD87D" w14:textId="77777777" w:rsidR="00E25EB4" w:rsidRPr="00E25EB4" w:rsidRDefault="00E25EB4" w:rsidP="00100EF9">
      <w:pPr>
        <w:overflowPunct w:val="0"/>
        <w:autoSpaceDE w:val="0"/>
        <w:autoSpaceDN w:val="0"/>
        <w:adjustRightInd w:val="0"/>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12"/>
      </w:tblGrid>
      <w:tr w:rsidR="00E25EB4" w:rsidRPr="00E25EB4" w14:paraId="3DADE2B6" w14:textId="77777777" w:rsidTr="00D0608D">
        <w:tc>
          <w:tcPr>
            <w:tcW w:w="1668" w:type="dxa"/>
          </w:tcPr>
          <w:p w14:paraId="16410084" w14:textId="77777777" w:rsidR="00E25EB4" w:rsidRPr="00E25EB4" w:rsidRDefault="00E25EB4" w:rsidP="00100EF9">
            <w:pPr>
              <w:overflowPunct w:val="0"/>
              <w:autoSpaceDE w:val="0"/>
              <w:autoSpaceDN w:val="0"/>
              <w:adjustRightInd w:val="0"/>
              <w:textAlignment w:val="baseline"/>
              <w:rPr>
                <w:i/>
              </w:rPr>
            </w:pPr>
            <w:r>
              <w:rPr>
                <w:b/>
                <w:i/>
              </w:rPr>
              <w:t>Επικοινωνία</w:t>
            </w:r>
          </w:p>
        </w:tc>
        <w:tc>
          <w:tcPr>
            <w:tcW w:w="7512" w:type="dxa"/>
          </w:tcPr>
          <w:p w14:paraId="56BD77E8" w14:textId="5D11D232" w:rsidR="00E25EB4" w:rsidRPr="00153E09" w:rsidRDefault="00E25EB4" w:rsidP="00100EF9">
            <w:pPr>
              <w:overflowPunct w:val="0"/>
              <w:autoSpaceDE w:val="0"/>
              <w:autoSpaceDN w:val="0"/>
              <w:adjustRightInd w:val="0"/>
              <w:textAlignment w:val="baseline"/>
              <w:rPr>
                <w:bCs/>
                <w:i/>
              </w:rPr>
            </w:pPr>
            <w:proofErr w:type="spellStart"/>
            <w:r>
              <w:rPr>
                <w:i/>
              </w:rPr>
              <w:t>Luís</w:t>
            </w:r>
            <w:proofErr w:type="spellEnd"/>
            <w:r>
              <w:rPr>
                <w:i/>
              </w:rPr>
              <w:t xml:space="preserve"> </w:t>
            </w:r>
            <w:proofErr w:type="spellStart"/>
            <w:r>
              <w:rPr>
                <w:i/>
              </w:rPr>
              <w:t>Barbosa</w:t>
            </w:r>
            <w:proofErr w:type="spellEnd"/>
            <w:r>
              <w:rPr>
                <w:i/>
              </w:rPr>
              <w:t xml:space="preserve"> E </w:t>
            </w:r>
            <w:proofErr w:type="spellStart"/>
            <w:r>
              <w:rPr>
                <w:i/>
              </w:rPr>
              <w:t>Silva</w:t>
            </w:r>
            <w:proofErr w:type="spellEnd"/>
          </w:p>
        </w:tc>
      </w:tr>
      <w:tr w:rsidR="00E25EB4" w:rsidRPr="00E25EB4" w14:paraId="6AE7CB28" w14:textId="77777777" w:rsidTr="00D0608D">
        <w:tc>
          <w:tcPr>
            <w:tcW w:w="1668" w:type="dxa"/>
          </w:tcPr>
          <w:p w14:paraId="52DF3B61" w14:textId="77777777" w:rsidR="00E25EB4" w:rsidRPr="00E25EB4" w:rsidRDefault="00E25EB4" w:rsidP="00100EF9">
            <w:pPr>
              <w:overflowPunct w:val="0"/>
              <w:autoSpaceDE w:val="0"/>
              <w:autoSpaceDN w:val="0"/>
              <w:adjustRightInd w:val="0"/>
              <w:textAlignment w:val="baseline"/>
              <w:rPr>
                <w:i/>
              </w:rPr>
            </w:pPr>
            <w:proofErr w:type="spellStart"/>
            <w:r>
              <w:rPr>
                <w:i/>
              </w:rPr>
              <w:t>Τηλ</w:t>
            </w:r>
            <w:proofErr w:type="spellEnd"/>
            <w:r>
              <w:rPr>
                <w:i/>
              </w:rPr>
              <w:t>.</w:t>
            </w:r>
          </w:p>
        </w:tc>
        <w:tc>
          <w:tcPr>
            <w:tcW w:w="7512" w:type="dxa"/>
          </w:tcPr>
          <w:p w14:paraId="58F5DB38" w14:textId="05F56609" w:rsidR="00E25EB4" w:rsidRPr="00E25EB4" w:rsidRDefault="00E25EB4" w:rsidP="00100EF9">
            <w:pPr>
              <w:overflowPunct w:val="0"/>
              <w:autoSpaceDE w:val="0"/>
              <w:autoSpaceDN w:val="0"/>
              <w:adjustRightInd w:val="0"/>
              <w:textAlignment w:val="baseline"/>
              <w:rPr>
                <w:i/>
              </w:rPr>
            </w:pPr>
            <w:r>
              <w:rPr>
                <w:i/>
              </w:rPr>
              <w:t>+32 25468846</w:t>
            </w:r>
          </w:p>
        </w:tc>
      </w:tr>
      <w:tr w:rsidR="00E25EB4" w:rsidRPr="00E25EB4" w14:paraId="7DB45FE9" w14:textId="77777777" w:rsidTr="00D0608D">
        <w:trPr>
          <w:trHeight w:val="244"/>
        </w:trPr>
        <w:tc>
          <w:tcPr>
            <w:tcW w:w="1668" w:type="dxa"/>
          </w:tcPr>
          <w:p w14:paraId="5969B93D" w14:textId="77777777" w:rsidR="00E25EB4" w:rsidRPr="00E25EB4" w:rsidRDefault="00E25EB4" w:rsidP="00100EF9">
            <w:pPr>
              <w:overflowPunct w:val="0"/>
              <w:autoSpaceDE w:val="0"/>
              <w:autoSpaceDN w:val="0"/>
              <w:adjustRightInd w:val="0"/>
              <w:textAlignment w:val="baseline"/>
              <w:rPr>
                <w:i/>
              </w:rPr>
            </w:pPr>
            <w:proofErr w:type="spellStart"/>
            <w:r>
              <w:rPr>
                <w:i/>
              </w:rPr>
              <w:t>Ηλ</w:t>
            </w:r>
            <w:proofErr w:type="spellEnd"/>
            <w:r>
              <w:rPr>
                <w:i/>
              </w:rPr>
              <w:t>. δ/</w:t>
            </w:r>
            <w:proofErr w:type="spellStart"/>
            <w:r>
              <w:rPr>
                <w:i/>
              </w:rPr>
              <w:t>νση</w:t>
            </w:r>
            <w:proofErr w:type="spellEnd"/>
          </w:p>
        </w:tc>
        <w:tc>
          <w:tcPr>
            <w:tcW w:w="7512" w:type="dxa"/>
          </w:tcPr>
          <w:p w14:paraId="47F42ECE" w14:textId="789F877A" w:rsidR="00187E31" w:rsidRPr="00153E09" w:rsidRDefault="0005365A" w:rsidP="00100EF9">
            <w:pPr>
              <w:overflowPunct w:val="0"/>
              <w:autoSpaceDE w:val="0"/>
              <w:autoSpaceDN w:val="0"/>
              <w:adjustRightInd w:val="0"/>
              <w:textAlignment w:val="baseline"/>
              <w:rPr>
                <w:i/>
                <w:iCs/>
              </w:rPr>
            </w:pPr>
            <w:hyperlink r:id="rId39" w:history="1">
              <w:r w:rsidR="00E235D3">
                <w:rPr>
                  <w:i/>
                  <w:color w:val="0000FF"/>
                  <w:u w:val="single"/>
                </w:rPr>
                <w:t>Luis.BarbosaESilva@eesc.europa.eu</w:t>
              </w:r>
            </w:hyperlink>
          </w:p>
        </w:tc>
      </w:tr>
    </w:tbl>
    <w:p w14:paraId="2E28EF19" w14:textId="299918AB" w:rsidR="000D394D" w:rsidRPr="00205469" w:rsidRDefault="00E25EB4" w:rsidP="00100EF9">
      <w:pPr>
        <w:overflowPunct w:val="0"/>
        <w:autoSpaceDE w:val="0"/>
        <w:autoSpaceDN w:val="0"/>
        <w:adjustRightInd w:val="0"/>
        <w:jc w:val="center"/>
        <w:textAlignment w:val="baseline"/>
        <w:rPr>
          <w:szCs w:val="20"/>
        </w:rPr>
      </w:pPr>
      <w:r>
        <w:t>_____________</w:t>
      </w:r>
    </w:p>
    <w:sectPr w:rsidR="000D394D" w:rsidRPr="00205469" w:rsidSect="00153E09">
      <w:headerReference w:type="even" r:id="rId40"/>
      <w:headerReference w:type="default" r:id="rId41"/>
      <w:footerReference w:type="even" r:id="rId42"/>
      <w:footerReference w:type="default" r:id="rId43"/>
      <w:headerReference w:type="first" r:id="rId44"/>
      <w:footerReference w:type="first" r:id="rId4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2D88F" w14:textId="77777777" w:rsidR="00711298" w:rsidRDefault="00711298" w:rsidP="00B518C9">
      <w:pPr>
        <w:spacing w:line="240" w:lineRule="auto"/>
      </w:pPr>
      <w:r>
        <w:separator/>
      </w:r>
    </w:p>
  </w:endnote>
  <w:endnote w:type="continuationSeparator" w:id="0">
    <w:p w14:paraId="276450BF" w14:textId="77777777" w:rsidR="00711298" w:rsidRDefault="0071129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1EF32E47" w:rsidR="00B518C9" w:rsidRPr="00153E09" w:rsidRDefault="00153E09" w:rsidP="00153E09">
    <w:pPr>
      <w:pStyle w:val="Footer"/>
    </w:pPr>
    <w:r>
      <w:t xml:space="preserve">EESC-2026-00247-00-00-TCD-TRA (EN) </w:t>
    </w:r>
    <w:r>
      <w:fldChar w:fldCharType="begin"/>
    </w:r>
    <w:r>
      <w:instrText xml:space="preserve"> PAGE  \* Arabic  \* MERGEFORMAT </w:instrText>
    </w:r>
    <w:r>
      <w:fldChar w:fldCharType="separate"/>
    </w:r>
    <w:r w:rsidR="00E235D3">
      <w:t>1</w:t>
    </w:r>
    <w:r>
      <w:fldChar w:fldCharType="end"/>
    </w:r>
    <w:r>
      <w:t>/</w:t>
    </w:r>
    <w:r w:rsidR="0005365A">
      <w:fldChar w:fldCharType="begin"/>
    </w:r>
    <w:r w:rsidR="0005365A">
      <w:instrText xml:space="preserve"> NUMPAGES </w:instrText>
    </w:r>
    <w:r w:rsidR="0005365A">
      <w:fldChar w:fldCharType="separate"/>
    </w:r>
    <w:r w:rsidR="00E235D3">
      <w:t>15</w:t>
    </w:r>
    <w:r w:rsidR="0005365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E809" w14:textId="77777777" w:rsidR="00153E09" w:rsidRPr="00153E09" w:rsidRDefault="00153E09" w:rsidP="00153E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7402" w14:textId="0C6B551C" w:rsidR="00153E09" w:rsidRPr="00153E09" w:rsidRDefault="00153E09" w:rsidP="00153E09">
    <w:pPr>
      <w:pStyle w:val="Footer"/>
    </w:pPr>
    <w:r>
      <w:t xml:space="preserve">EESC-2026-00247-00-00-TCD-TRA (EN) </w:t>
    </w:r>
    <w:r>
      <w:fldChar w:fldCharType="begin"/>
    </w:r>
    <w:r>
      <w:instrText xml:space="preserve"> PAGE  \* Arabic  \* MERGEFORMAT </w:instrText>
    </w:r>
    <w:r>
      <w:fldChar w:fldCharType="separate"/>
    </w:r>
    <w:r w:rsidR="007526DA">
      <w:t>15</w:t>
    </w:r>
    <w:r>
      <w:fldChar w:fldCharType="end"/>
    </w:r>
    <w:r>
      <w:t>/</w:t>
    </w:r>
    <w:r w:rsidR="0005365A">
      <w:fldChar w:fldCharType="begin"/>
    </w:r>
    <w:r w:rsidR="0005365A">
      <w:instrText xml:space="preserve"> NUMPAGES </w:instrText>
    </w:r>
    <w:r w:rsidR="0005365A">
      <w:fldChar w:fldCharType="separate"/>
    </w:r>
    <w:r w:rsidR="007526DA">
      <w:t>15</w:t>
    </w:r>
    <w:r w:rsidR="0005365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43FF" w14:textId="77777777" w:rsidR="00153E09" w:rsidRPr="00153E09" w:rsidRDefault="00153E09" w:rsidP="0015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AC4B1" w14:textId="77777777" w:rsidR="00711298" w:rsidRDefault="00711298" w:rsidP="00B518C9">
      <w:pPr>
        <w:spacing w:line="240" w:lineRule="auto"/>
      </w:pPr>
      <w:r>
        <w:separator/>
      </w:r>
    </w:p>
  </w:footnote>
  <w:footnote w:type="continuationSeparator" w:id="0">
    <w:p w14:paraId="67149419" w14:textId="77777777" w:rsidR="00711298" w:rsidRDefault="00711298"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52BE" w14:textId="77777777" w:rsidR="00153E09" w:rsidRPr="00153E09" w:rsidRDefault="00153E09" w:rsidP="00153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AA39" w14:textId="04F245DB" w:rsidR="00153E09" w:rsidRPr="00153E09" w:rsidRDefault="00153E09" w:rsidP="00153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9C97" w14:textId="77777777" w:rsidR="00153E09" w:rsidRPr="00153E09" w:rsidRDefault="00153E09" w:rsidP="00153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ABEA5FC"/>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1D08466C"/>
    <w:lvl w:ilvl="0">
      <w:numFmt w:val="decimal"/>
      <w:lvlText w:val="*"/>
      <w:lvlJc w:val="left"/>
    </w:lvl>
  </w:abstractNum>
  <w:abstractNum w:abstractNumId="2" w15:restartNumberingAfterBreak="0">
    <w:nsid w:val="03A15EA7"/>
    <w:multiLevelType w:val="multilevel"/>
    <w:tmpl w:val="B450D112"/>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15:restartNumberingAfterBreak="0">
    <w:nsid w:val="0F9F7110"/>
    <w:multiLevelType w:val="hybridMultilevel"/>
    <w:tmpl w:val="7E8C5ED6"/>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129786E"/>
    <w:multiLevelType w:val="hybridMultilevel"/>
    <w:tmpl w:val="2960A99E"/>
    <w:lvl w:ilvl="0" w:tplc="C76041DE">
      <w:start w:val="1"/>
      <w:numFmt w:val="bullet"/>
      <w:lvlText w:val=""/>
      <w:lvlJc w:val="left"/>
      <w:pPr>
        <w:ind w:left="720" w:hanging="360"/>
      </w:pPr>
      <w:rPr>
        <w:rFonts w:ascii="Symbol" w:hAnsi="Symbol"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97976BE"/>
    <w:multiLevelType w:val="hybridMultilevel"/>
    <w:tmpl w:val="20F4A5FC"/>
    <w:lvl w:ilvl="0" w:tplc="FFFFFFFF">
      <w:start w:val="1"/>
      <w:numFmt w:val="bullet"/>
      <w:lvlText w:val=""/>
      <w:lvlJc w:val="left"/>
      <w:pPr>
        <w:ind w:left="720" w:hanging="360"/>
      </w:pPr>
      <w:rPr>
        <w:rFonts w:ascii="Symbol" w:hAnsi="Symbol" w:hint="default"/>
        <w:color w:val="auto"/>
      </w:rPr>
    </w:lvl>
    <w:lvl w:ilvl="1" w:tplc="1000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2F3FBA"/>
    <w:multiLevelType w:val="hybridMultilevel"/>
    <w:tmpl w:val="BE9CD94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6A28EE"/>
    <w:multiLevelType w:val="hybridMultilevel"/>
    <w:tmpl w:val="E7B48E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5223B38"/>
    <w:multiLevelType w:val="multilevel"/>
    <w:tmpl w:val="847E4C1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274E0DB2"/>
    <w:multiLevelType w:val="hybridMultilevel"/>
    <w:tmpl w:val="CA00EAA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DA3C5C"/>
    <w:multiLevelType w:val="hybridMultilevel"/>
    <w:tmpl w:val="8F5E944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2EAA6D68"/>
    <w:multiLevelType w:val="multilevel"/>
    <w:tmpl w:val="274C107E"/>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362E4D7F"/>
    <w:multiLevelType w:val="hybridMultilevel"/>
    <w:tmpl w:val="8C92276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1216355"/>
    <w:multiLevelType w:val="hybridMultilevel"/>
    <w:tmpl w:val="DE10A170"/>
    <w:lvl w:ilvl="0" w:tplc="8E864B0C">
      <w:start w:val="1"/>
      <w:numFmt w:val="bullet"/>
      <w:lvlText w:val=""/>
      <w:lvlJc w:val="left"/>
      <w:pPr>
        <w:ind w:left="720" w:hanging="360"/>
      </w:pPr>
      <w:rPr>
        <w:rFonts w:ascii="Symbol" w:hAnsi="Symbol" w:hint="default"/>
        <w:color w:val="auto"/>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43527568"/>
    <w:multiLevelType w:val="hybridMultilevel"/>
    <w:tmpl w:val="F2789A4A"/>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70E2F27"/>
    <w:multiLevelType w:val="hybridMultilevel"/>
    <w:tmpl w:val="C60EBDA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9B5BA4"/>
    <w:multiLevelType w:val="multilevel"/>
    <w:tmpl w:val="D22C911E"/>
    <w:lvl w:ilvl="0">
      <w:start w:val="1"/>
      <w:numFmt w:val="bullet"/>
      <w:lvlText w:val=""/>
      <w:lvlJc w:val="left"/>
      <w:rPr>
        <w:rFonts w:ascii="Symbol" w:hAnsi="Symbol" w:hint="default"/>
      </w:rPr>
    </w:lvl>
    <w:lvl w:ilvl="1">
      <w:start w:val="1"/>
      <w:numFmt w:val="bullet"/>
      <w:lvlText w:val=""/>
      <w:lvlJc w:val="left"/>
      <w:pPr>
        <w:ind w:left="-252"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48954870"/>
    <w:multiLevelType w:val="hybridMultilevel"/>
    <w:tmpl w:val="718CAA2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51F858A5"/>
    <w:multiLevelType w:val="multilevel"/>
    <w:tmpl w:val="847E4C18"/>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0" w15:restartNumberingAfterBreak="0">
    <w:nsid w:val="54840386"/>
    <w:multiLevelType w:val="hybridMultilevel"/>
    <w:tmpl w:val="9E7C99B6"/>
    <w:lvl w:ilvl="0" w:tplc="DDE088C8">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51C4B27"/>
    <w:multiLevelType w:val="hybridMultilevel"/>
    <w:tmpl w:val="998C3E8A"/>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5BDD7A66"/>
    <w:multiLevelType w:val="hybridMultilevel"/>
    <w:tmpl w:val="DEB8F97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68D16D5B"/>
    <w:multiLevelType w:val="hybridMultilevel"/>
    <w:tmpl w:val="9BE07FF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E014D1"/>
    <w:multiLevelType w:val="hybridMultilevel"/>
    <w:tmpl w:val="84DED000"/>
    <w:lvl w:ilvl="0" w:tplc="4D645226">
      <w:start w:val="1"/>
      <w:numFmt w:val="bullet"/>
      <w:lvlText w:val=""/>
      <w:lvlJc w:val="left"/>
      <w:pPr>
        <w:ind w:left="1637"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5" w15:restartNumberingAfterBreak="0">
    <w:nsid w:val="72323163"/>
    <w:multiLevelType w:val="hybridMultilevel"/>
    <w:tmpl w:val="31FAA748"/>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4D00E4B"/>
    <w:multiLevelType w:val="hybridMultilevel"/>
    <w:tmpl w:val="654ED096"/>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700E66"/>
    <w:multiLevelType w:val="hybridMultilevel"/>
    <w:tmpl w:val="0F0456B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24"/>
  </w:num>
  <w:num w:numId="3">
    <w:abstractNumId w:val="27"/>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18"/>
  </w:num>
  <w:num w:numId="6">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7">
    <w:abstractNumId w:val="11"/>
  </w:num>
  <w:num w:numId="8">
    <w:abstractNumId w:val="8"/>
  </w:num>
  <w:num w:numId="9">
    <w:abstractNumId w:val="19"/>
  </w:num>
  <w:num w:numId="10">
    <w:abstractNumId w:val="16"/>
  </w:num>
  <w:num w:numId="11">
    <w:abstractNumId w:val="20"/>
  </w:num>
  <w:num w:numId="12">
    <w:abstractNumId w:val="4"/>
  </w:num>
  <w:num w:numId="13">
    <w:abstractNumId w:val="7"/>
  </w:num>
  <w:num w:numId="14">
    <w:abstractNumId w:val="14"/>
  </w:num>
  <w:num w:numId="15">
    <w:abstractNumId w:val="17"/>
  </w:num>
  <w:num w:numId="16">
    <w:abstractNumId w:val="26"/>
  </w:num>
  <w:num w:numId="17">
    <w:abstractNumId w:val="3"/>
  </w:num>
  <w:num w:numId="18">
    <w:abstractNumId w:val="25"/>
  </w:num>
  <w:num w:numId="19">
    <w:abstractNumId w:val="28"/>
  </w:num>
  <w:num w:numId="20">
    <w:abstractNumId w:val="23"/>
  </w:num>
  <w:num w:numId="21">
    <w:abstractNumId w:val="9"/>
  </w:num>
  <w:num w:numId="22">
    <w:abstractNumId w:val="15"/>
  </w:num>
  <w:num w:numId="23">
    <w:abstractNumId w:val="2"/>
  </w:num>
  <w:num w:numId="24">
    <w:abstractNumId w:val="6"/>
  </w:num>
  <w:num w:numId="25">
    <w:abstractNumId w:val="22"/>
  </w:num>
  <w:num w:numId="26">
    <w:abstractNumId w:val="5"/>
  </w:num>
  <w:num w:numId="27">
    <w:abstractNumId w:val="12"/>
  </w:num>
  <w:num w:numId="28">
    <w:abstractNumId w:val="10"/>
  </w:num>
  <w:num w:numId="29">
    <w:abstractNumId w:val="1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364"/>
    <w:rsid w:val="00010A4D"/>
    <w:rsid w:val="00043E7B"/>
    <w:rsid w:val="0005365A"/>
    <w:rsid w:val="000638B5"/>
    <w:rsid w:val="00063DFF"/>
    <w:rsid w:val="000D394D"/>
    <w:rsid w:val="00100EF9"/>
    <w:rsid w:val="00120A45"/>
    <w:rsid w:val="00124E6A"/>
    <w:rsid w:val="001313E0"/>
    <w:rsid w:val="00153E09"/>
    <w:rsid w:val="001653D7"/>
    <w:rsid w:val="00167743"/>
    <w:rsid w:val="00187E31"/>
    <w:rsid w:val="001A1F1F"/>
    <w:rsid w:val="001A58BD"/>
    <w:rsid w:val="001A7538"/>
    <w:rsid w:val="001E391D"/>
    <w:rsid w:val="00205469"/>
    <w:rsid w:val="00210CBF"/>
    <w:rsid w:val="00235A6A"/>
    <w:rsid w:val="00250B70"/>
    <w:rsid w:val="00256B74"/>
    <w:rsid w:val="0027149A"/>
    <w:rsid w:val="00274F1A"/>
    <w:rsid w:val="0027678C"/>
    <w:rsid w:val="002A5636"/>
    <w:rsid w:val="002B7981"/>
    <w:rsid w:val="002D77C8"/>
    <w:rsid w:val="002F4AD1"/>
    <w:rsid w:val="00302594"/>
    <w:rsid w:val="003066BE"/>
    <w:rsid w:val="003066E2"/>
    <w:rsid w:val="003227CC"/>
    <w:rsid w:val="00326237"/>
    <w:rsid w:val="00340FA5"/>
    <w:rsid w:val="003452F9"/>
    <w:rsid w:val="003534E0"/>
    <w:rsid w:val="0037319B"/>
    <w:rsid w:val="0037722B"/>
    <w:rsid w:val="003B6923"/>
    <w:rsid w:val="003E1B8B"/>
    <w:rsid w:val="003F326D"/>
    <w:rsid w:val="003F4F92"/>
    <w:rsid w:val="003F66F7"/>
    <w:rsid w:val="003F79EF"/>
    <w:rsid w:val="00416286"/>
    <w:rsid w:val="00426372"/>
    <w:rsid w:val="0043191A"/>
    <w:rsid w:val="00462F24"/>
    <w:rsid w:val="004A5CD7"/>
    <w:rsid w:val="004C4CDB"/>
    <w:rsid w:val="004C6DA8"/>
    <w:rsid w:val="004D1319"/>
    <w:rsid w:val="004D7AC0"/>
    <w:rsid w:val="00527B47"/>
    <w:rsid w:val="00532089"/>
    <w:rsid w:val="00532F99"/>
    <w:rsid w:val="00557848"/>
    <w:rsid w:val="00586B4B"/>
    <w:rsid w:val="00594237"/>
    <w:rsid w:val="005A0BDA"/>
    <w:rsid w:val="005C2B2F"/>
    <w:rsid w:val="005C357F"/>
    <w:rsid w:val="005C6D36"/>
    <w:rsid w:val="005D3E1C"/>
    <w:rsid w:val="005E7651"/>
    <w:rsid w:val="00621347"/>
    <w:rsid w:val="00625CA3"/>
    <w:rsid w:val="00627FDF"/>
    <w:rsid w:val="00630779"/>
    <w:rsid w:val="00632B12"/>
    <w:rsid w:val="00641262"/>
    <w:rsid w:val="006553ED"/>
    <w:rsid w:val="00660482"/>
    <w:rsid w:val="006B2C49"/>
    <w:rsid w:val="006D2C8A"/>
    <w:rsid w:val="006D2D64"/>
    <w:rsid w:val="006E7051"/>
    <w:rsid w:val="00705489"/>
    <w:rsid w:val="00711298"/>
    <w:rsid w:val="00713CC2"/>
    <w:rsid w:val="007526DA"/>
    <w:rsid w:val="00753B41"/>
    <w:rsid w:val="00754027"/>
    <w:rsid w:val="007652C3"/>
    <w:rsid w:val="00766B1A"/>
    <w:rsid w:val="007E284A"/>
    <w:rsid w:val="007F5784"/>
    <w:rsid w:val="008072FE"/>
    <w:rsid w:val="008402C8"/>
    <w:rsid w:val="00845F24"/>
    <w:rsid w:val="00846483"/>
    <w:rsid w:val="00881A01"/>
    <w:rsid w:val="0088219D"/>
    <w:rsid w:val="00892105"/>
    <w:rsid w:val="008B1A24"/>
    <w:rsid w:val="008B4127"/>
    <w:rsid w:val="008D7FAC"/>
    <w:rsid w:val="009277D3"/>
    <w:rsid w:val="00933300"/>
    <w:rsid w:val="009338FC"/>
    <w:rsid w:val="009348BC"/>
    <w:rsid w:val="00940A7B"/>
    <w:rsid w:val="00950272"/>
    <w:rsid w:val="00974BD0"/>
    <w:rsid w:val="009858F5"/>
    <w:rsid w:val="009A66B9"/>
    <w:rsid w:val="009B3AED"/>
    <w:rsid w:val="00A05217"/>
    <w:rsid w:val="00A0600A"/>
    <w:rsid w:val="00A20E9D"/>
    <w:rsid w:val="00A22C83"/>
    <w:rsid w:val="00A272B2"/>
    <w:rsid w:val="00A3284F"/>
    <w:rsid w:val="00A43668"/>
    <w:rsid w:val="00A4486C"/>
    <w:rsid w:val="00A50553"/>
    <w:rsid w:val="00AD49F5"/>
    <w:rsid w:val="00AD4D97"/>
    <w:rsid w:val="00AF0EB2"/>
    <w:rsid w:val="00AF2146"/>
    <w:rsid w:val="00B203DA"/>
    <w:rsid w:val="00B241B1"/>
    <w:rsid w:val="00B455B3"/>
    <w:rsid w:val="00B458B2"/>
    <w:rsid w:val="00B518C9"/>
    <w:rsid w:val="00B55C6C"/>
    <w:rsid w:val="00B922EA"/>
    <w:rsid w:val="00BA0232"/>
    <w:rsid w:val="00BA6AA9"/>
    <w:rsid w:val="00BC7ED2"/>
    <w:rsid w:val="00BD64BD"/>
    <w:rsid w:val="00BE54B3"/>
    <w:rsid w:val="00BE5CBC"/>
    <w:rsid w:val="00BF79AB"/>
    <w:rsid w:val="00C008B4"/>
    <w:rsid w:val="00C1109B"/>
    <w:rsid w:val="00C17ABD"/>
    <w:rsid w:val="00C26C67"/>
    <w:rsid w:val="00C821A5"/>
    <w:rsid w:val="00CC7D10"/>
    <w:rsid w:val="00CF196A"/>
    <w:rsid w:val="00D05167"/>
    <w:rsid w:val="00D0608D"/>
    <w:rsid w:val="00D33B4E"/>
    <w:rsid w:val="00D43613"/>
    <w:rsid w:val="00D505CF"/>
    <w:rsid w:val="00D66BF5"/>
    <w:rsid w:val="00D7076A"/>
    <w:rsid w:val="00D81F5E"/>
    <w:rsid w:val="00D92269"/>
    <w:rsid w:val="00DE176A"/>
    <w:rsid w:val="00DF392C"/>
    <w:rsid w:val="00DF7590"/>
    <w:rsid w:val="00DF78D0"/>
    <w:rsid w:val="00E00A6B"/>
    <w:rsid w:val="00E2062A"/>
    <w:rsid w:val="00E235D3"/>
    <w:rsid w:val="00E25EB4"/>
    <w:rsid w:val="00E77899"/>
    <w:rsid w:val="00EE1B31"/>
    <w:rsid w:val="00EF5581"/>
    <w:rsid w:val="00F15673"/>
    <w:rsid w:val="00F172E5"/>
    <w:rsid w:val="00F253CA"/>
    <w:rsid w:val="00F25B2E"/>
    <w:rsid w:val="00F43315"/>
    <w:rsid w:val="00F55F11"/>
    <w:rsid w:val="00F604AD"/>
    <w:rsid w:val="00F83C17"/>
    <w:rsid w:val="00F96D7F"/>
    <w:rsid w:val="00FA7B95"/>
    <w:rsid w:val="00FB4220"/>
    <w:rsid w:val="00FC178B"/>
    <w:rsid w:val="00FC456F"/>
    <w:rsid w:val="00FC4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1A1F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27F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652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2F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55C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42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653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534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E25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213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CDB"/>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3066E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esc.europa.eu/el/our-work/opinions-information-reports/plenary-session-summaries" TargetMode="External"/><Relationship Id="rId18" Type="http://schemas.openxmlformats.org/officeDocument/2006/relationships/hyperlink" Target="https://www.eesc.europa.eu/el/our-work/opinions-information-reports/opinions/2026-european-semester-autumn-package" TargetMode="External"/><Relationship Id="rId26" Type="http://schemas.openxmlformats.org/officeDocument/2006/relationships/hyperlink" Target="https://www.eesc.europa.eu/el/our-work/opinions-information-reports/opinions/european-life-science-strategy-along-strategy-research-and-technology-infrastructures-focus-treatment-rare-diseases" TargetMode="External"/><Relationship Id="rId39" Type="http://schemas.openxmlformats.org/officeDocument/2006/relationships/hyperlink" Target="mailto:Luis.BarbosaESilva@eesc.europa.eu" TargetMode="External"/><Relationship Id="rId3" Type="http://schemas.openxmlformats.org/officeDocument/2006/relationships/customXml" Target="../customXml/item3.xml"/><Relationship Id="rId21" Type="http://schemas.openxmlformats.org/officeDocument/2006/relationships/hyperlink" Target="mailto:Georgios.Meleas@eesc.europa.eu" TargetMode="External"/><Relationship Id="rId34" Type="http://schemas.openxmlformats.org/officeDocument/2006/relationships/hyperlink" Target="mailto:Gaia.Bottoni@eesc.europa.eu"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Juri.Soosaar@eesc.europa.eu" TargetMode="External"/><Relationship Id="rId25" Type="http://schemas.openxmlformats.org/officeDocument/2006/relationships/hyperlink" Target="mailto:gemma.amran@eesc.europa.eu" TargetMode="External"/><Relationship Id="rId33" Type="http://schemas.openxmlformats.org/officeDocument/2006/relationships/hyperlink" Target="https://www.eesc.europa.eu/el/our-work/opinions-information-reports/opinions/roadmap-towards-nature-credits" TargetMode="External"/><Relationship Id="rId38" Type="http://schemas.openxmlformats.org/officeDocument/2006/relationships/hyperlink" Target="https://www.eesc.europa.eu/el/our-work/opinions-information-reports/opinions/enhancing-eu-strategic-autonomy-and-developing-greener-and-bluer-economy-potential-sodium-battery-manufacturing-sector"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esc.europa.eu/el/our-work/opinions-information-reports/opinions/eppo-and-olaf-access-vat-information-union-level" TargetMode="External"/><Relationship Id="rId20" Type="http://schemas.openxmlformats.org/officeDocument/2006/relationships/hyperlink" Target="https://www.eesc.europa.eu/el/our-work/opinions-information-reports/opinions/island-dimension-european-cohesion-competitiveness-and-sustainable-development-policies" TargetMode="External"/><Relationship Id="rId29" Type="http://schemas.openxmlformats.org/officeDocument/2006/relationships/hyperlink" Target="https://health.ec.europa.eu/one-health/overview_en"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esc.europa.eu/el/our-work/opinions-information-reports/opinions/union-support-asylum-migration-and-integration-internal-security-and-integrated-border-management-and-visa-policy" TargetMode="External"/><Relationship Id="rId32" Type="http://schemas.openxmlformats.org/officeDocument/2006/relationships/hyperlink" Target="mailto:GiorgiaAndrea.Bordignon@eesc.europa.eu" TargetMode="External"/><Relationship Id="rId37" Type="http://schemas.openxmlformats.org/officeDocument/2006/relationships/hyperlink" Target="mailto:Adam.Dorywalski@eesc.europa.eu" TargetMode="External"/><Relationship Id="rId40" Type="http://schemas.openxmlformats.org/officeDocument/2006/relationships/header" Target="header1.xml"/><Relationship Id="rId45"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Juri.Soosaar@eesc.europa.eu" TargetMode="External"/><Relationship Id="rId28" Type="http://schemas.openxmlformats.org/officeDocument/2006/relationships/hyperlink" Target="https://health.ec.europa.eu/publications/tartu-call-healthy-lifestyle-joint-actions-promote-healthy-lifestyles_en" TargetMode="External"/><Relationship Id="rId36" Type="http://schemas.openxmlformats.org/officeDocument/2006/relationships/hyperlink" Target="https://eur-lex.europa.eu/legal-content/EL/TXT/?uri=CELEX%3A52023AE1573&amp;qid=1770668649096" TargetMode="External"/><Relationship Id="rId10" Type="http://schemas.openxmlformats.org/officeDocument/2006/relationships/footnotes" Target="footnotes.xml"/><Relationship Id="rId19" Type="http://schemas.openxmlformats.org/officeDocument/2006/relationships/hyperlink" Target="mailto:Anna.Pantazi@eesc.europa.eu" TargetMode="External"/><Relationship Id="rId31" Type="http://schemas.openxmlformats.org/officeDocument/2006/relationships/hyperlink" Target="https://www.eesc.europa.eu/el/our-work/opinions-information-reports/opinions/energy-connectivity-electricity-grids"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https://www.eesc.europa.eu/el/our-work/opinions-information-reports/opinions/revision-tobacco-taxation-directive" TargetMode="External"/><Relationship Id="rId27" Type="http://schemas.openxmlformats.org/officeDocument/2006/relationships/hyperlink" Target="https://www.europarl.europa.eu/RegData/etudes/ATAG/2025/779215/EPRS_ATA(2025)779215_EN.pdf" TargetMode="External"/><Relationship Id="rId30" Type="http://schemas.openxmlformats.org/officeDocument/2006/relationships/hyperlink" Target="mailto:Konstantina.Angelopoulou@eesc.europa.eu" TargetMode="External"/><Relationship Id="rId35" Type="http://schemas.openxmlformats.org/officeDocument/2006/relationships/hyperlink" Target="https://www.eesc.europa.eu/el/our-work/opinions-information-reports/opinions/amending-regulation-eu-20241252-critical-raw-materials-act"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VP3JK3XSEPRV-2087481956-3377</_dlc_DocId>
    <_dlc_DocIdUrl xmlns="7d640e6d-779c-472f-a269-6b546787f1c9">
      <Url>http://dm/eesc/2026/_layouts/15/DocIdRedir.aspx?ID=VP3JK3XSEPRV-2087481956-3377</Url>
      <Description>VP3JK3XSEPRV-2087481956-3377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2026-03-04T12:00:00+00:00</ProductionDate>
    <DocumentNumber xmlns="a95533f8-59af-4217-bc7a-c1167744adb0">247</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MeetingDate xmlns="7d640e6d-779c-472f-a269-6b546787f1c9">2026-03-18T12:00:00+00:00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300453</FicheNumber>
    <OriginalSender xmlns="7d640e6d-779c-472f-a269-6b546787f1c9">
      <UserInfo>
        <DisplayName>Poulou Nikoletta</DisplayName>
        <AccountId>1414</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604</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2.xml><?xml version="1.0" encoding="utf-8"?>
<ds:datastoreItem xmlns:ds="http://schemas.openxmlformats.org/officeDocument/2006/customXml" ds:itemID="{06505423-2AE2-4D71-B2BC-2B4F2061C3A3}"/>
</file>

<file path=customXml/itemProps3.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4.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5.xml><?xml version="1.0" encoding="utf-8"?>
<ds:datastoreItem xmlns:ds="http://schemas.openxmlformats.org/officeDocument/2006/customXml" ds:itemID="{4A03EBBC-B428-477F-AB6A-163022156F55}">
  <ds:schemaRefs>
    <ds:schemaRef ds:uri="http://schemas.openxmlformats.org/officeDocument/2006/bibliography"/>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5051</Words>
  <Characters>28793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33777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ΣΥΝΟΨΗ ΤΩΝ ΓΝΩΜΟΔΟΤΗΣΕΩΝ - 603η σύνοδος ολομέλειας, 2/2026</dc:title>
  <dc:subject>ADMIN</dc:subject>
  <dc:creator/>
  <cp:keywords>COR-EESC-2022-02583-00-00-ADMIN-TRA-EN</cp:keywords>
  <dc:description>Rapporteur:  - Original language: EN - Date of document: 20/05/2022 - Date of meeting:  - External documents:  - Administrator:  SUCIU Serban</dc:description>
  <cp:lastModifiedBy/>
  <cp:revision>13</cp:revision>
  <dcterms:created xsi:type="dcterms:W3CDTF">2026-02-26T08:13:00Z</dcterms:created>
  <dcterms:modified xsi:type="dcterms:W3CDTF">2026-03-04T15:38:00Z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26/02/2026, 02/05/2022, 02/05/2022, 28/06/2021</vt:lpwstr>
  </property>
  <property fmtid="{D5CDD505-2E9C-101B-9397-08002B2CF9AE}" pid="4" name="Pref_Time">
    <vt:lpwstr>09:12:28, 12:28:29, 12:25:37, 08:41:48</vt:lpwstr>
  </property>
  <property fmtid="{D5CDD505-2E9C-101B-9397-08002B2CF9AE}" pid="5" name="Pref_User">
    <vt:lpwstr>amett, enied, enied, enied</vt:lpwstr>
  </property>
  <property fmtid="{D5CDD505-2E9C-101B-9397-08002B2CF9AE}" pid="6" name="Pref_FileName">
    <vt:lpwstr>EESC-2026-00247-00-00-TCD-ORI.docx,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550a2cfd-59a1-4bc2-a01c-0068a3bb0e7b</vt:lpwstr>
  </property>
  <property fmtid="{D5CDD505-2E9C-101B-9397-08002B2CF9AE}" pid="9" name="AvailableTranslations">
    <vt:lpwstr>60;#EL|6d4f4d51-af9b-4650-94b4-4276bee85c91;#34;#HR|2f555653-ed1a-4fe6-8362-9082d95989e5;#45;#SV|c2ed69e7-a339-43d7-8f22-d93680a92aa0;#43;#BG|1a1b3951-7821-4e6a-85f5-5673fc08bd2c;#37;#HU|6b229040-c589-4408-b4c1-4285663d20a8;#31;#SL|98a412ae-eb01-49e9-ae3d-585a81724cfc;#4;#EN|f2175f21-25d7-44a3-96da-d6a61b075e1b;#30;#SK|46d9fce0-ef79-4f71-b89b-cd6aa82426b8;#12;#ES|e7a6b05b-ae16-40c8-add9-68b64b03aeba;#46;#DA|5d49c027-8956-412b-aa16-e85a0f96ad0e;#32;#PL|1e03da61-4678-4e07-b136-b5024ca9197b;#29;#CS|72f9705b-0217-4fd3-bea2-cbc7ed80e26e;#11;#DE|f6b31e5a-26fa-4935-b661-318e46daf27e;#44;#LT|a7ff5ce7-6123-4f68-865a-a57c31810414;#25;#FI|87606a43-d45f-42d6-b8c9-e1a3457db5b7;#27;#ET|ff6c3f4c-b02c-4c3c-ab07-2c37995a7a0a;#23;#FR|d2afafd3-4c81-4f60-8f52-ee33f2f54ff3;#51;#LV|46f7e311-5d9f-4663-b433-18aeccb7ace7;#36;#NL|55c6556c-b4f4-441d-9acf-c498d4f838bd;#28;#PT|50ccc04a-eadd-42ae-a0cb-acaf45f812ba;#55;#RO|feb747a2-64cd-4299-af12-4833ddc30497;#13;#IT|0774613c-01ed-4e5d-a25d-11d2388de825</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247</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36;#NL|55c6556c-b4f4-441d-9acf-c498d4f838bd;#34;#HR|2f555653-ed1a-4fe6-8362-9082d95989e5;#32;#PL|1e03da61-4678-4e07-b136-b5024ca9197b;#31;#SL|98a412ae-eb01-49e9-ae3d-585a81724cfc;#30;#SK|46d9fce0-ef79-4f71-b89b-cd6aa82426b8;#29;#CS|72f9705b-0217-4fd3-bea2-cbc7ed80e26e;#28;#PT|50ccc04a-eadd-42ae-a0cb-acaf45f812ba;#27;#ET|ff6c3f4c-b02c-4c3c-ab07-2c37995a7a0a;#25;#FI|87606a43-d45f-42d6-b8c9-e1a3457db5b7;#44;#LT|a7ff5ce7-6123-4f68-865a-a57c31810414;#23;#FR|d2afafd3-4c81-4f60-8f52-ee33f2f54ff3;#59;#SPL-CES|32d8cb1f-c9ec-4365-95c7-8385a18618ac;#19;#Unrestricted|826e22d7-d029-4ec0-a450-0c28ff673572;#18;#TCD|cd9d6eb6-3f4f-424a-b2d1-57c9d450eaaf;#51;#LV|46f7e311-5d9f-4663-b433-18aeccb7ace7;#13;#IT|0774613c-01ed-4e5d-a25d-11d2388de825;#12;#ES|e7a6b05b-ae16-40c8-add9-68b64b03aeba;#11;#DE|f6b31e5a-26fa-4935-b661-318e46daf27e;#9;#TRA|150d2a88-1431-44e6-a8ca-0bb753ab8672;#7;#Final|ea5e6674-7b27-4bac-b091-73adbb394efe;#43;#BG|1a1b3951-7821-4e6a-85f5-5673fc08bd2c;#55;#RO|feb747a2-64cd-4299-af12-4833ddc30497;#4;#EN|f2175f21-25d7-44a3-96da-d6a61b075e1b;#1;#EESC|422833ec-8d7e-4e65-8e4e-8bed07ffb729;#37;#HU|6b229040-c589-4408-b4c1-4285663d20a8</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300453</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60;#EL|6d4f4d51-af9b-4650-94b4-4276bee85c91</vt:lpwstr>
  </property>
  <property fmtid="{D5CDD505-2E9C-101B-9397-08002B2CF9AE}" pid="33" name="AvailableTranslations_0">
    <vt:lpwstr>HR|2f555653-ed1a-4fe6-8362-9082d95989e5;BG|1a1b3951-7821-4e6a-85f5-5673fc08bd2c;HU|6b229040-c589-4408-b4c1-4285663d20a8;SL|98a412ae-eb01-49e9-ae3d-585a81724cfc;EN|f2175f21-25d7-44a3-96da-d6a61b075e1b;SK|46d9fce0-ef79-4f71-b89b-cd6aa82426b8;ES|e7a6b05b-ae16-40c8-add9-68b64b03aeba;PL|1e03da61-4678-4e07-b136-b5024ca9197b;CS|72f9705b-0217-4fd3-bea2-cbc7ed80e26e;DE|f6b31e5a-26fa-4935-b661-318e46daf27e;LT|a7ff5ce7-6123-4f68-865a-a57c31810414;FI|87606a43-d45f-42d6-b8c9-e1a3457db5b7;ET|ff6c3f4c-b02c-4c3c-ab07-2c37995a7a0a;FR|d2afafd3-4c81-4f60-8f52-ee33f2f54ff3;LV|46f7e311-5d9f-4663-b433-18aeccb7ace7;NL|55c6556c-b4f4-441d-9acf-c498d4f838bd;PT|50ccc04a-eadd-42ae-a0cb-acaf45f812ba;RO|feb747a2-64cd-4299-af12-4833ddc30497;IT|0774613c-01ed-4e5d-a25d-11d2388de825</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604</vt:i4>
  </property>
  <property fmtid="{D5CDD505-2E9C-101B-9397-08002B2CF9AE}" pid="40" name="MeetingDate">
    <vt:filetime>2026-03-18T12:00:00Z</vt:filetime>
  </property>
</Properties>
</file>