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1A4D5A6C" w:rsidR="004D7AC0" w:rsidRDefault="000516E2" w:rsidP="00100EF9">
      <w:pPr>
        <w:jc w:val="center"/>
      </w:pPr>
      <w:r>
        <w:rPr>
          <w:noProof/>
        </w:rPr>
        <w:drawing>
          <wp:inline distT="0" distB="0" distL="0" distR="0" wp14:anchorId="7FDBA577" wp14:editId="63464837">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24929F0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Brüssel, den 4. März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603. PLENARTAGUNG</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18./19. Februar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ZUSAMMENFASSUNG DER VERABSCHIEDETEN STELLUNGNAHMEN, ENTSCHLIEẞUNGEN UND INFORMATIONS-/BEWERTUNGSBERICHTE</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t>Dieses Dokument kann in allen Amtssprachen der Europäischen Union auf dem EWSA-Internetportal abgerufen werden:</w:t>
            </w:r>
            <w:r>
              <w:br/>
            </w:r>
            <w:r>
              <w:br/>
            </w:r>
            <w:hyperlink r:id="rId13" w:history="1">
              <w:r>
                <w:rPr>
                  <w:rStyle w:val="Hyperlink"/>
                </w:rPr>
                <w:t>https://www.eesc.europa.eu/de/our-work/opinions-information-reports/plenary-session-summaries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t>Die aufgeführten Stellungnahmen können online über die Suchmaschine des EWSA abgerufen werden:</w:t>
            </w:r>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Pr>
          <w:b/>
        </w:rPr>
        <w:lastRenderedPageBreak/>
        <w:t>Inhalt</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48EB224B" w14:textId="2C3129DB" w:rsidR="005362A9" w:rsidRDefault="004D7AC0" w:rsidP="005362A9">
          <w:pPr>
            <w:pStyle w:val="TOC1"/>
            <w:tabs>
              <w:tab w:val="left" w:pos="440"/>
              <w:tab w:val="right" w:leader="dot" w:pos="9063"/>
            </w:tabs>
            <w:ind w:left="440" w:hanging="440"/>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3103037" w:history="1">
            <w:r w:rsidR="005362A9" w:rsidRPr="001F6F14">
              <w:rPr>
                <w:rStyle w:val="Hyperlink"/>
                <w:bCs/>
                <w:noProof/>
              </w:rPr>
              <w:t>1.</w:t>
            </w:r>
            <w:r w:rsidR="005362A9">
              <w:rPr>
                <w:rFonts w:asciiTheme="minorHAnsi" w:eastAsiaTheme="minorEastAsia" w:hAnsiTheme="minorHAnsi" w:cstheme="minorBidi"/>
                <w:noProof/>
                <w:lang w:val="en-US"/>
              </w:rPr>
              <w:tab/>
            </w:r>
            <w:r w:rsidR="005362A9" w:rsidRPr="001F6F14">
              <w:rPr>
                <w:rStyle w:val="Hyperlink"/>
                <w:b/>
                <w:noProof/>
              </w:rPr>
              <w:t>WIRTSCHAFTS- UND WÄHRUNGSUNION, WIRTSCHAFTLICHER UND SOZIALER ZUSAMMENHALT</w:t>
            </w:r>
            <w:r w:rsidR="005362A9">
              <w:rPr>
                <w:noProof/>
                <w:webHidden/>
              </w:rPr>
              <w:tab/>
            </w:r>
            <w:r w:rsidR="005362A9">
              <w:rPr>
                <w:noProof/>
                <w:webHidden/>
              </w:rPr>
              <w:fldChar w:fldCharType="begin"/>
            </w:r>
            <w:r w:rsidR="005362A9">
              <w:rPr>
                <w:noProof/>
                <w:webHidden/>
              </w:rPr>
              <w:instrText xml:space="preserve"> PAGEREF _Toc223103037 \h </w:instrText>
            </w:r>
            <w:r w:rsidR="005362A9">
              <w:rPr>
                <w:noProof/>
                <w:webHidden/>
              </w:rPr>
            </w:r>
            <w:r w:rsidR="005362A9">
              <w:rPr>
                <w:noProof/>
                <w:webHidden/>
              </w:rPr>
              <w:fldChar w:fldCharType="separate"/>
            </w:r>
            <w:r w:rsidR="00033D01">
              <w:rPr>
                <w:noProof/>
                <w:webHidden/>
              </w:rPr>
              <w:t>3</w:t>
            </w:r>
            <w:r w:rsidR="005362A9">
              <w:rPr>
                <w:noProof/>
                <w:webHidden/>
              </w:rPr>
              <w:fldChar w:fldCharType="end"/>
            </w:r>
          </w:hyperlink>
        </w:p>
        <w:p w14:paraId="7F8F65FE" w14:textId="7354F672" w:rsidR="005362A9" w:rsidRDefault="0035219E">
          <w:pPr>
            <w:pStyle w:val="TOC1"/>
            <w:tabs>
              <w:tab w:val="left" w:pos="440"/>
              <w:tab w:val="right" w:leader="dot" w:pos="9063"/>
            </w:tabs>
            <w:rPr>
              <w:rFonts w:asciiTheme="minorHAnsi" w:eastAsiaTheme="minorEastAsia" w:hAnsiTheme="minorHAnsi" w:cstheme="minorBidi"/>
              <w:noProof/>
              <w:lang w:val="en-US"/>
            </w:rPr>
          </w:pPr>
          <w:hyperlink w:anchor="_Toc223103038" w:history="1">
            <w:r w:rsidR="005362A9" w:rsidRPr="001F6F14">
              <w:rPr>
                <w:rStyle w:val="Hyperlink"/>
                <w:bCs/>
                <w:noProof/>
              </w:rPr>
              <w:t>2.</w:t>
            </w:r>
            <w:r w:rsidR="005362A9">
              <w:rPr>
                <w:rFonts w:asciiTheme="minorHAnsi" w:eastAsiaTheme="minorEastAsia" w:hAnsiTheme="minorHAnsi" w:cstheme="minorBidi"/>
                <w:noProof/>
                <w:lang w:val="en-US"/>
              </w:rPr>
              <w:tab/>
            </w:r>
            <w:r w:rsidR="005362A9" w:rsidRPr="001F6F14">
              <w:rPr>
                <w:rStyle w:val="Hyperlink"/>
                <w:b/>
                <w:noProof/>
              </w:rPr>
              <w:t>BESCHÄFTIGUNG, SOZIALFRAGEN, UNIONSBÜRGERSCHAFT</w:t>
            </w:r>
            <w:r w:rsidR="005362A9">
              <w:rPr>
                <w:noProof/>
                <w:webHidden/>
              </w:rPr>
              <w:tab/>
            </w:r>
            <w:r w:rsidR="005362A9">
              <w:rPr>
                <w:noProof/>
                <w:webHidden/>
              </w:rPr>
              <w:fldChar w:fldCharType="begin"/>
            </w:r>
            <w:r w:rsidR="005362A9">
              <w:rPr>
                <w:noProof/>
                <w:webHidden/>
              </w:rPr>
              <w:instrText xml:space="preserve"> PAGEREF _Toc223103038 \h </w:instrText>
            </w:r>
            <w:r w:rsidR="005362A9">
              <w:rPr>
                <w:noProof/>
                <w:webHidden/>
              </w:rPr>
            </w:r>
            <w:r w:rsidR="005362A9">
              <w:rPr>
                <w:noProof/>
                <w:webHidden/>
              </w:rPr>
              <w:fldChar w:fldCharType="separate"/>
            </w:r>
            <w:r w:rsidR="00033D01">
              <w:rPr>
                <w:noProof/>
                <w:webHidden/>
              </w:rPr>
              <w:t>10</w:t>
            </w:r>
            <w:r w:rsidR="005362A9">
              <w:rPr>
                <w:noProof/>
                <w:webHidden/>
              </w:rPr>
              <w:fldChar w:fldCharType="end"/>
            </w:r>
          </w:hyperlink>
        </w:p>
        <w:p w14:paraId="3B48BDCE" w14:textId="74CB8DCD" w:rsidR="005362A9" w:rsidRDefault="0035219E">
          <w:pPr>
            <w:pStyle w:val="TOC1"/>
            <w:tabs>
              <w:tab w:val="left" w:pos="440"/>
              <w:tab w:val="right" w:leader="dot" w:pos="9063"/>
            </w:tabs>
            <w:rPr>
              <w:rFonts w:asciiTheme="minorHAnsi" w:eastAsiaTheme="minorEastAsia" w:hAnsiTheme="minorHAnsi" w:cstheme="minorBidi"/>
              <w:noProof/>
              <w:lang w:val="en-US"/>
            </w:rPr>
          </w:pPr>
          <w:hyperlink w:anchor="_Toc223103039" w:history="1">
            <w:r w:rsidR="005362A9" w:rsidRPr="001F6F14">
              <w:rPr>
                <w:rStyle w:val="Hyperlink"/>
                <w:bCs/>
                <w:noProof/>
              </w:rPr>
              <w:t>3.</w:t>
            </w:r>
            <w:r w:rsidR="005362A9">
              <w:rPr>
                <w:rFonts w:asciiTheme="minorHAnsi" w:eastAsiaTheme="minorEastAsia" w:hAnsiTheme="minorHAnsi" w:cstheme="minorBidi"/>
                <w:noProof/>
                <w:lang w:val="en-US"/>
              </w:rPr>
              <w:tab/>
            </w:r>
            <w:r w:rsidR="005362A9" w:rsidRPr="001F6F14">
              <w:rPr>
                <w:rStyle w:val="Hyperlink"/>
                <w:b/>
                <w:noProof/>
              </w:rPr>
              <w:t>VERKEHR, ENERGIE, INFRASTRUKTUREN, INFORMATIONSGESELLSCHAFT</w:t>
            </w:r>
            <w:r w:rsidR="005362A9">
              <w:rPr>
                <w:noProof/>
                <w:webHidden/>
              </w:rPr>
              <w:tab/>
            </w:r>
            <w:r w:rsidR="005362A9">
              <w:rPr>
                <w:noProof/>
                <w:webHidden/>
              </w:rPr>
              <w:fldChar w:fldCharType="begin"/>
            </w:r>
            <w:r w:rsidR="005362A9">
              <w:rPr>
                <w:noProof/>
                <w:webHidden/>
              </w:rPr>
              <w:instrText xml:space="preserve"> PAGEREF _Toc223103039 \h </w:instrText>
            </w:r>
            <w:r w:rsidR="005362A9">
              <w:rPr>
                <w:noProof/>
                <w:webHidden/>
              </w:rPr>
            </w:r>
            <w:r w:rsidR="005362A9">
              <w:rPr>
                <w:noProof/>
                <w:webHidden/>
              </w:rPr>
              <w:fldChar w:fldCharType="separate"/>
            </w:r>
            <w:r w:rsidR="00033D01">
              <w:rPr>
                <w:noProof/>
                <w:webHidden/>
              </w:rPr>
              <w:t>11</w:t>
            </w:r>
            <w:r w:rsidR="005362A9">
              <w:rPr>
                <w:noProof/>
                <w:webHidden/>
              </w:rPr>
              <w:fldChar w:fldCharType="end"/>
            </w:r>
          </w:hyperlink>
        </w:p>
        <w:p w14:paraId="70A65D7A" w14:textId="27AACCFC" w:rsidR="005362A9" w:rsidRDefault="0035219E">
          <w:pPr>
            <w:pStyle w:val="TOC1"/>
            <w:tabs>
              <w:tab w:val="left" w:pos="440"/>
              <w:tab w:val="right" w:leader="dot" w:pos="9063"/>
            </w:tabs>
            <w:rPr>
              <w:rFonts w:asciiTheme="minorHAnsi" w:eastAsiaTheme="minorEastAsia" w:hAnsiTheme="minorHAnsi" w:cstheme="minorBidi"/>
              <w:noProof/>
              <w:lang w:val="en-US"/>
            </w:rPr>
          </w:pPr>
          <w:hyperlink w:anchor="_Toc223103040" w:history="1">
            <w:r w:rsidR="005362A9" w:rsidRPr="001F6F14">
              <w:rPr>
                <w:rStyle w:val="Hyperlink"/>
                <w:bCs/>
                <w:noProof/>
              </w:rPr>
              <w:t>4.</w:t>
            </w:r>
            <w:r w:rsidR="005362A9">
              <w:rPr>
                <w:rFonts w:asciiTheme="minorHAnsi" w:eastAsiaTheme="minorEastAsia" w:hAnsiTheme="minorHAnsi" w:cstheme="minorBidi"/>
                <w:noProof/>
                <w:lang w:val="en-US"/>
              </w:rPr>
              <w:tab/>
            </w:r>
            <w:r w:rsidR="005362A9" w:rsidRPr="001F6F14">
              <w:rPr>
                <w:rStyle w:val="Hyperlink"/>
                <w:b/>
                <w:noProof/>
              </w:rPr>
              <w:t>LANDWIRTSCHAFT, LÄNDLICHE ENTWICKLUNG, UMWELT</w:t>
            </w:r>
            <w:r w:rsidR="005362A9">
              <w:rPr>
                <w:noProof/>
                <w:webHidden/>
              </w:rPr>
              <w:tab/>
            </w:r>
            <w:r w:rsidR="005362A9">
              <w:rPr>
                <w:noProof/>
                <w:webHidden/>
              </w:rPr>
              <w:fldChar w:fldCharType="begin"/>
            </w:r>
            <w:r w:rsidR="005362A9">
              <w:rPr>
                <w:noProof/>
                <w:webHidden/>
              </w:rPr>
              <w:instrText xml:space="preserve"> PAGEREF _Toc223103040 \h </w:instrText>
            </w:r>
            <w:r w:rsidR="005362A9">
              <w:rPr>
                <w:noProof/>
                <w:webHidden/>
              </w:rPr>
            </w:r>
            <w:r w:rsidR="005362A9">
              <w:rPr>
                <w:noProof/>
                <w:webHidden/>
              </w:rPr>
              <w:fldChar w:fldCharType="separate"/>
            </w:r>
            <w:r w:rsidR="00033D01">
              <w:rPr>
                <w:noProof/>
                <w:webHidden/>
              </w:rPr>
              <w:t>14</w:t>
            </w:r>
            <w:r w:rsidR="005362A9">
              <w:rPr>
                <w:noProof/>
                <w:webHidden/>
              </w:rPr>
              <w:fldChar w:fldCharType="end"/>
            </w:r>
          </w:hyperlink>
        </w:p>
        <w:p w14:paraId="395D02C3" w14:textId="6C52D597" w:rsidR="005362A9" w:rsidRDefault="0035219E">
          <w:pPr>
            <w:pStyle w:val="TOC1"/>
            <w:tabs>
              <w:tab w:val="left" w:pos="440"/>
              <w:tab w:val="right" w:leader="dot" w:pos="9063"/>
            </w:tabs>
            <w:rPr>
              <w:rFonts w:asciiTheme="minorHAnsi" w:eastAsiaTheme="minorEastAsia" w:hAnsiTheme="minorHAnsi" w:cstheme="minorBidi"/>
              <w:noProof/>
              <w:lang w:val="en-US"/>
            </w:rPr>
          </w:pPr>
          <w:hyperlink w:anchor="_Toc223103041" w:history="1">
            <w:r w:rsidR="005362A9" w:rsidRPr="001F6F14">
              <w:rPr>
                <w:rStyle w:val="Hyperlink"/>
                <w:bCs/>
                <w:noProof/>
              </w:rPr>
              <w:t>5.</w:t>
            </w:r>
            <w:r w:rsidR="005362A9">
              <w:rPr>
                <w:rFonts w:asciiTheme="minorHAnsi" w:eastAsiaTheme="minorEastAsia" w:hAnsiTheme="minorHAnsi" w:cstheme="minorBidi"/>
                <w:noProof/>
                <w:lang w:val="en-US"/>
              </w:rPr>
              <w:tab/>
            </w:r>
            <w:r w:rsidR="005362A9" w:rsidRPr="001F6F14">
              <w:rPr>
                <w:rStyle w:val="Hyperlink"/>
                <w:b/>
                <w:noProof/>
              </w:rPr>
              <w:t>BERATENDE KOMMISSION FÜR DEN INDUSTRIELLEN WANDEL</w:t>
            </w:r>
            <w:r w:rsidR="005362A9">
              <w:rPr>
                <w:noProof/>
                <w:webHidden/>
              </w:rPr>
              <w:tab/>
            </w:r>
            <w:r w:rsidR="005362A9">
              <w:rPr>
                <w:noProof/>
                <w:webHidden/>
              </w:rPr>
              <w:fldChar w:fldCharType="begin"/>
            </w:r>
            <w:r w:rsidR="005362A9">
              <w:rPr>
                <w:noProof/>
                <w:webHidden/>
              </w:rPr>
              <w:instrText xml:space="preserve"> PAGEREF _Toc223103041 \h </w:instrText>
            </w:r>
            <w:r w:rsidR="005362A9">
              <w:rPr>
                <w:noProof/>
                <w:webHidden/>
              </w:rPr>
            </w:r>
            <w:r w:rsidR="005362A9">
              <w:rPr>
                <w:noProof/>
                <w:webHidden/>
              </w:rPr>
              <w:fldChar w:fldCharType="separate"/>
            </w:r>
            <w:r w:rsidR="00033D01">
              <w:rPr>
                <w:noProof/>
                <w:webHidden/>
              </w:rPr>
              <w:t>16</w:t>
            </w:r>
            <w:r w:rsidR="005362A9">
              <w:rPr>
                <w:noProof/>
                <w:webHidden/>
              </w:rPr>
              <w:fldChar w:fldCharType="end"/>
            </w:r>
          </w:hyperlink>
        </w:p>
        <w:p w14:paraId="4982DD6A" w14:textId="403FCCFB" w:rsidR="004D7AC0" w:rsidRDefault="004D7AC0" w:rsidP="00100EF9">
          <w:r>
            <w:rPr>
              <w:b/>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103037"/>
      <w:r>
        <w:rPr>
          <w:b/>
        </w:rPr>
        <w:lastRenderedPageBreak/>
        <w:t>WIRTSCHAFTS- UND WÄHRUNGSUNION, WIRTSCHAFTLICHER UND SOZIALER ZUSAMMENHALT</w:t>
      </w:r>
      <w:bookmarkEnd w:id="0"/>
    </w:p>
    <w:p w14:paraId="4982DD97" w14:textId="77777777" w:rsidR="004D7AC0" w:rsidRDefault="004D7AC0" w:rsidP="00100EF9">
      <w:pPr>
        <w:pStyle w:val="ListParagraph"/>
        <w:ind w:left="0"/>
      </w:pPr>
    </w:p>
    <w:p w14:paraId="14BFA1D1" w14:textId="1A45DFD8" w:rsidR="001A1F1F" w:rsidRPr="001A1F1F" w:rsidRDefault="0035219E" w:rsidP="00100EF9">
      <w:pPr>
        <w:widowControl w:val="0"/>
        <w:numPr>
          <w:ilvl w:val="0"/>
          <w:numId w:val="4"/>
        </w:numPr>
        <w:overflowPunct w:val="0"/>
        <w:autoSpaceDE w:val="0"/>
        <w:autoSpaceDN w:val="0"/>
        <w:adjustRightInd w:val="0"/>
        <w:ind w:hanging="567"/>
        <w:textAlignment w:val="baseline"/>
        <w:rPr>
          <w:b/>
          <w:i/>
          <w:iCs/>
          <w:sz w:val="28"/>
          <w:szCs w:val="28"/>
        </w:rPr>
      </w:pPr>
      <w:hyperlink r:id="rId21" w:history="1">
        <w:r w:rsidR="00E235D3">
          <w:rPr>
            <w:b/>
            <w:i/>
            <w:color w:val="0000FF"/>
            <w:sz w:val="28"/>
            <w:u w:val="single"/>
          </w:rPr>
          <w:t xml:space="preserve">Zugang der </w:t>
        </w:r>
        <w:proofErr w:type="spellStart"/>
        <w:r w:rsidR="00E235D3">
          <w:rPr>
            <w:b/>
            <w:i/>
            <w:color w:val="0000FF"/>
            <w:sz w:val="28"/>
            <w:u w:val="single"/>
          </w:rPr>
          <w:t>EUStA</w:t>
        </w:r>
        <w:proofErr w:type="spellEnd"/>
        <w:r w:rsidR="00E235D3">
          <w:rPr>
            <w:b/>
            <w:i/>
            <w:color w:val="0000FF"/>
            <w:sz w:val="28"/>
            <w:u w:val="single"/>
          </w:rPr>
          <w:t xml:space="preserve"> und des OLAF zu mehrwertsteuerrelevanten Informationen auf EU-Ebene</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496"/>
      </w:tblGrid>
      <w:tr w:rsidR="001A1F1F" w:rsidRPr="005362A9" w14:paraId="0C010C9C" w14:textId="77777777" w:rsidTr="005362A9">
        <w:tc>
          <w:tcPr>
            <w:tcW w:w="2110" w:type="dxa"/>
          </w:tcPr>
          <w:p w14:paraId="67C58898" w14:textId="77777777" w:rsidR="001A1F1F" w:rsidRPr="005362A9" w:rsidRDefault="001A1F1F"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Berichterstatterin</w:t>
            </w:r>
          </w:p>
        </w:tc>
        <w:tc>
          <w:tcPr>
            <w:tcW w:w="7496" w:type="dxa"/>
          </w:tcPr>
          <w:p w14:paraId="2016211D" w14:textId="05A91267" w:rsidR="001A1F1F" w:rsidRPr="005362A9" w:rsidRDefault="001A1F1F"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Justyna Kalina OCHĘDZAN (Gruppe Organisationen der Zivilgesellschaft – PL)</w:t>
            </w:r>
          </w:p>
        </w:tc>
      </w:tr>
      <w:tr w:rsidR="00205469" w:rsidRPr="005362A9" w14:paraId="2E27DAF9" w14:textId="77777777" w:rsidTr="005362A9">
        <w:tc>
          <w:tcPr>
            <w:tcW w:w="2110" w:type="dxa"/>
          </w:tcPr>
          <w:p w14:paraId="2C056183"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rPr>
            </w:pPr>
          </w:p>
        </w:tc>
        <w:tc>
          <w:tcPr>
            <w:tcW w:w="7496" w:type="dxa"/>
          </w:tcPr>
          <w:p w14:paraId="657AAC10" w14:textId="77777777" w:rsidR="00205469" w:rsidRPr="005362A9" w:rsidRDefault="00205469" w:rsidP="00100EF9">
            <w:pPr>
              <w:tabs>
                <w:tab w:val="center" w:pos="284"/>
              </w:tabs>
              <w:overflowPunct w:val="0"/>
              <w:autoSpaceDE w:val="0"/>
              <w:autoSpaceDN w:val="0"/>
              <w:adjustRightInd w:val="0"/>
              <w:ind w:left="266" w:hanging="266"/>
              <w:textAlignment w:val="baseline"/>
              <w:rPr>
                <w:bCs/>
                <w:sz w:val="22"/>
                <w:szCs w:val="22"/>
              </w:rPr>
            </w:pPr>
          </w:p>
        </w:tc>
      </w:tr>
      <w:tr w:rsidR="001A1F1F" w:rsidRPr="005362A9" w14:paraId="7FD540DB" w14:textId="77777777" w:rsidTr="005362A9">
        <w:tc>
          <w:tcPr>
            <w:tcW w:w="2110" w:type="dxa"/>
          </w:tcPr>
          <w:p w14:paraId="1F4D838E" w14:textId="0EE217C2" w:rsidR="001A1F1F" w:rsidRPr="005362A9" w:rsidRDefault="001A1F1F"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Referenzdokumente</w:t>
            </w:r>
          </w:p>
        </w:tc>
        <w:tc>
          <w:tcPr>
            <w:tcW w:w="7496" w:type="dxa"/>
          </w:tcPr>
          <w:p w14:paraId="7BBCB1FA" w14:textId="42339DFC" w:rsidR="001A1F1F" w:rsidRPr="005362A9" w:rsidRDefault="001A1F1F" w:rsidP="00100EF9">
            <w:pPr>
              <w:tabs>
                <w:tab w:val="center" w:pos="321"/>
              </w:tabs>
              <w:overflowPunct w:val="0"/>
              <w:autoSpaceDE w:val="0"/>
              <w:autoSpaceDN w:val="0"/>
              <w:adjustRightInd w:val="0"/>
              <w:textAlignment w:val="baseline"/>
              <w:rPr>
                <w:sz w:val="22"/>
                <w:szCs w:val="22"/>
              </w:rPr>
            </w:pPr>
            <w:r w:rsidRPr="005362A9">
              <w:rPr>
                <w:sz w:val="22"/>
                <w:szCs w:val="22"/>
              </w:rPr>
              <w:t>COM(2025) 685 final</w:t>
            </w:r>
          </w:p>
          <w:p w14:paraId="1104CA65" w14:textId="51409899" w:rsidR="001A1F1F" w:rsidRPr="005362A9" w:rsidRDefault="001A1F1F"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Der EWSA:</w:t>
      </w:r>
    </w:p>
    <w:p w14:paraId="2A48351A" w14:textId="77777777" w:rsidR="001A1F1F" w:rsidRPr="00153E09" w:rsidRDefault="001A1F1F" w:rsidP="007526DA">
      <w:pPr>
        <w:pStyle w:val="ListParagraph"/>
        <w:numPr>
          <w:ilvl w:val="0"/>
          <w:numId w:val="27"/>
        </w:numPr>
        <w:ind w:left="567" w:hanging="567"/>
      </w:pPr>
      <w:bookmarkStart w:id="1" w:name="_Toc222825813"/>
      <w:r>
        <w:rPr>
          <w:b/>
        </w:rPr>
        <w:t>unterstützt</w:t>
      </w:r>
      <w:r>
        <w:t xml:space="preserve"> uneingeschränkt die Bemühungen der Kommission um die Förderung eines umfassenderen und ganzheitlicheren Ansatzes zur Bekämpfung des Mehrwertsteuerbetrugs, indem der Europäischen Staatsanwaltschaft (</w:t>
      </w:r>
      <w:proofErr w:type="spellStart"/>
      <w:r>
        <w:t>EUStA</w:t>
      </w:r>
      <w:proofErr w:type="spellEnd"/>
      <w:r>
        <w:t>) und dem Europäischen Amt für Betrugsbekämpfung (OLAF) der Zugang zu Mehrwertsteuerdaten gemäß der Verordnung (EU) Nr. 904/2010 des Rates gewährt wird;</w:t>
      </w:r>
      <w:bookmarkEnd w:id="1"/>
    </w:p>
    <w:p w14:paraId="2F29EED4" w14:textId="77777777" w:rsidR="001A1F1F" w:rsidRPr="00153E09" w:rsidRDefault="001A1F1F" w:rsidP="007526DA">
      <w:pPr>
        <w:pStyle w:val="ListParagraph"/>
        <w:numPr>
          <w:ilvl w:val="0"/>
          <w:numId w:val="27"/>
        </w:numPr>
        <w:ind w:left="567" w:hanging="567"/>
      </w:pPr>
      <w:bookmarkStart w:id="2" w:name="_Toc222825814"/>
      <w:r>
        <w:rPr>
          <w:b/>
        </w:rPr>
        <w:t>erkennt an</w:t>
      </w:r>
      <w:r>
        <w:t>, dass es zur Bekämpfung der schwerwiegendsten Formen des Mehrwertsteuerbetrugs erforderlich ist, die zuständigen Behörden in die Lage zu versetzen, mehrwertsteuerrelevante Informationen in mehreren Mitgliedstaaten rasch zu erheben, zu nutzen und Querverweise herzustellen, um so Verzögerungen bei der Reaktion der zuständigen Steuerbehörden auf betrügerische Aktivitäten zu verringern;</w:t>
      </w:r>
      <w:bookmarkEnd w:id="2"/>
    </w:p>
    <w:p w14:paraId="76BC0052" w14:textId="77777777" w:rsidR="001A1F1F" w:rsidRPr="00153E09" w:rsidRDefault="001A1F1F" w:rsidP="007526DA">
      <w:pPr>
        <w:pStyle w:val="ListParagraph"/>
        <w:numPr>
          <w:ilvl w:val="0"/>
          <w:numId w:val="27"/>
        </w:numPr>
        <w:ind w:left="567" w:hanging="567"/>
      </w:pPr>
      <w:bookmarkStart w:id="3" w:name="_Toc222825815"/>
      <w:r>
        <w:rPr>
          <w:b/>
        </w:rPr>
        <w:t>begrüßt</w:t>
      </w:r>
      <w:r>
        <w:t xml:space="preserve">, dass der Vorschlag der Kommission auf eine Ex-post-Bewertung der gemäß der Verordnung (EU) Nr. 904/2010 des Rates geltenden Vorschriften folgt, bei der die Rückmeldungen der Mitgliedstaaten berücksichtigt wurden; </w:t>
      </w:r>
      <w:r>
        <w:rPr>
          <w:b/>
        </w:rPr>
        <w:t>weist darauf hin</w:t>
      </w:r>
      <w:r>
        <w:t>, dass in Bezug auf den vorliegenden Vorschlag keine Folgenabschätzung durchgeführt wurde, was allerdings auf ein dringendes Ersuchen der Mitgliedstaaten zurückzuführen war;</w:t>
      </w:r>
      <w:bookmarkEnd w:id="3"/>
    </w:p>
    <w:p w14:paraId="25654AAB" w14:textId="77777777" w:rsidR="001A1F1F" w:rsidRPr="00153E09" w:rsidRDefault="001A1F1F" w:rsidP="007526DA">
      <w:pPr>
        <w:pStyle w:val="ListParagraph"/>
        <w:numPr>
          <w:ilvl w:val="0"/>
          <w:numId w:val="27"/>
        </w:numPr>
        <w:ind w:left="567" w:hanging="567"/>
      </w:pPr>
      <w:bookmarkStart w:id="4" w:name="_Toc222825816"/>
      <w:r>
        <w:rPr>
          <w:b/>
        </w:rPr>
        <w:t>begrüßt</w:t>
      </w:r>
      <w:r>
        <w:t xml:space="preserve"> die Absicht der Kommission, die Zusammenarbeit zwischen den für die Bekämpfung des Mehrwertsteuerbetrugs zuständigen Behörden zu verbessern, einschließlich der Möglichkeit einer engeren Zusammenarbeit zwischen Europol und </w:t>
      </w:r>
      <w:proofErr w:type="spellStart"/>
      <w:r>
        <w:t>Eurofisc</w:t>
      </w:r>
      <w:proofErr w:type="spellEnd"/>
      <w:r>
        <w:t xml:space="preserve"> im Rahmen der Verordnung (EU) Nr. 904/2010 des Rates, und fordert nachdrücklich eine weitere Stärkung der strukturierten Zusammenarbeit zwischen allen zuständigen Behörden in den Mitgliedstaaten.</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1A1F1F" w:rsidRPr="005362A9" w14:paraId="33327B63" w14:textId="77777777" w:rsidTr="00D0608D">
        <w:tc>
          <w:tcPr>
            <w:tcW w:w="1418" w:type="dxa"/>
          </w:tcPr>
          <w:p w14:paraId="04F7E453" w14:textId="77777777" w:rsidR="001A1F1F" w:rsidRPr="005362A9" w:rsidRDefault="001A1F1F" w:rsidP="00100EF9">
            <w:pPr>
              <w:overflowPunct w:val="0"/>
              <w:autoSpaceDE w:val="0"/>
              <w:autoSpaceDN w:val="0"/>
              <w:adjustRightInd w:val="0"/>
              <w:textAlignment w:val="baseline"/>
              <w:rPr>
                <w:i/>
                <w:sz w:val="22"/>
                <w:szCs w:val="22"/>
              </w:rPr>
            </w:pPr>
            <w:r w:rsidRPr="005362A9">
              <w:rPr>
                <w:b/>
                <w:i/>
                <w:sz w:val="22"/>
                <w:szCs w:val="22"/>
              </w:rPr>
              <w:t>Kontakt</w:t>
            </w:r>
          </w:p>
        </w:tc>
        <w:tc>
          <w:tcPr>
            <w:tcW w:w="7762" w:type="dxa"/>
          </w:tcPr>
          <w:p w14:paraId="34FEEF63" w14:textId="62F84E0C" w:rsidR="001A1F1F" w:rsidRPr="005362A9" w:rsidRDefault="001A1F1F" w:rsidP="00100EF9">
            <w:pPr>
              <w:overflowPunct w:val="0"/>
              <w:autoSpaceDE w:val="0"/>
              <w:autoSpaceDN w:val="0"/>
              <w:adjustRightInd w:val="0"/>
              <w:textAlignment w:val="baseline"/>
              <w:rPr>
                <w:i/>
                <w:sz w:val="22"/>
                <w:szCs w:val="22"/>
              </w:rPr>
            </w:pPr>
            <w:proofErr w:type="spellStart"/>
            <w:r w:rsidRPr="005362A9">
              <w:rPr>
                <w:i/>
                <w:sz w:val="22"/>
                <w:szCs w:val="22"/>
              </w:rPr>
              <w:t>Jüri</w:t>
            </w:r>
            <w:proofErr w:type="spellEnd"/>
            <w:r w:rsidRPr="005362A9">
              <w:rPr>
                <w:i/>
                <w:sz w:val="22"/>
                <w:szCs w:val="22"/>
              </w:rPr>
              <w:t xml:space="preserve"> </w:t>
            </w:r>
            <w:proofErr w:type="spellStart"/>
            <w:r w:rsidRPr="005362A9">
              <w:rPr>
                <w:i/>
                <w:sz w:val="22"/>
                <w:szCs w:val="22"/>
              </w:rPr>
              <w:t>Soosaar</w:t>
            </w:r>
            <w:proofErr w:type="spellEnd"/>
          </w:p>
        </w:tc>
      </w:tr>
      <w:tr w:rsidR="001A1F1F" w:rsidRPr="005362A9" w14:paraId="7DA1B58C" w14:textId="77777777" w:rsidTr="00D0608D">
        <w:tc>
          <w:tcPr>
            <w:tcW w:w="1418" w:type="dxa"/>
          </w:tcPr>
          <w:p w14:paraId="32B45750" w14:textId="77777777" w:rsidR="001A1F1F" w:rsidRPr="005362A9" w:rsidRDefault="001A1F1F" w:rsidP="00100EF9">
            <w:pPr>
              <w:overflowPunct w:val="0"/>
              <w:autoSpaceDE w:val="0"/>
              <w:autoSpaceDN w:val="0"/>
              <w:adjustRightInd w:val="0"/>
              <w:textAlignment w:val="baseline"/>
              <w:rPr>
                <w:i/>
                <w:sz w:val="22"/>
                <w:szCs w:val="22"/>
              </w:rPr>
            </w:pPr>
            <w:r w:rsidRPr="005362A9">
              <w:rPr>
                <w:i/>
                <w:sz w:val="22"/>
                <w:szCs w:val="22"/>
              </w:rPr>
              <w:t>Tel.</w:t>
            </w:r>
          </w:p>
        </w:tc>
        <w:tc>
          <w:tcPr>
            <w:tcW w:w="7762" w:type="dxa"/>
          </w:tcPr>
          <w:p w14:paraId="4B866371" w14:textId="51149591" w:rsidR="001A1F1F" w:rsidRPr="005362A9" w:rsidRDefault="001A1F1F" w:rsidP="00100EF9">
            <w:pPr>
              <w:overflowPunct w:val="0"/>
              <w:autoSpaceDE w:val="0"/>
              <w:autoSpaceDN w:val="0"/>
              <w:adjustRightInd w:val="0"/>
              <w:textAlignment w:val="baseline"/>
              <w:rPr>
                <w:i/>
                <w:sz w:val="22"/>
                <w:szCs w:val="22"/>
              </w:rPr>
            </w:pPr>
            <w:r w:rsidRPr="005362A9">
              <w:rPr>
                <w:i/>
                <w:sz w:val="22"/>
                <w:szCs w:val="22"/>
              </w:rPr>
              <w:t>+32 25469628</w:t>
            </w:r>
          </w:p>
        </w:tc>
      </w:tr>
      <w:tr w:rsidR="001A1F1F" w:rsidRPr="005362A9" w14:paraId="3A08DF12" w14:textId="77777777" w:rsidTr="00D0608D">
        <w:tc>
          <w:tcPr>
            <w:tcW w:w="1418" w:type="dxa"/>
          </w:tcPr>
          <w:p w14:paraId="3FBEB159" w14:textId="77777777" w:rsidR="001A1F1F" w:rsidRPr="005362A9" w:rsidRDefault="001A1F1F" w:rsidP="00100EF9">
            <w:pPr>
              <w:overflowPunct w:val="0"/>
              <w:autoSpaceDE w:val="0"/>
              <w:autoSpaceDN w:val="0"/>
              <w:adjustRightInd w:val="0"/>
              <w:textAlignment w:val="baseline"/>
              <w:rPr>
                <w:i/>
                <w:sz w:val="22"/>
                <w:szCs w:val="22"/>
              </w:rPr>
            </w:pPr>
            <w:r w:rsidRPr="005362A9">
              <w:rPr>
                <w:i/>
                <w:sz w:val="22"/>
                <w:szCs w:val="22"/>
              </w:rPr>
              <w:t>E-Mail:</w:t>
            </w:r>
          </w:p>
        </w:tc>
        <w:tc>
          <w:tcPr>
            <w:tcW w:w="7762" w:type="dxa"/>
          </w:tcPr>
          <w:p w14:paraId="11A675FB" w14:textId="4E851F41" w:rsidR="001A1F1F" w:rsidRPr="005362A9" w:rsidRDefault="0035219E" w:rsidP="00100EF9">
            <w:pPr>
              <w:overflowPunct w:val="0"/>
              <w:autoSpaceDE w:val="0"/>
              <w:autoSpaceDN w:val="0"/>
              <w:adjustRightInd w:val="0"/>
              <w:textAlignment w:val="baseline"/>
              <w:rPr>
                <w:i/>
                <w:iCs/>
                <w:sz w:val="22"/>
                <w:szCs w:val="22"/>
              </w:rPr>
            </w:pPr>
            <w:hyperlink r:id="rId22" w:history="1">
              <w:r w:rsidR="00E235D3" w:rsidRPr="005362A9">
                <w:rPr>
                  <w:i/>
                  <w:color w:val="0000FF"/>
                  <w:sz w:val="22"/>
                  <w:szCs w:val="22"/>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00D67F94" w:rsidR="00627FDF" w:rsidRPr="00627FDF" w:rsidRDefault="0035219E" w:rsidP="00100EF9">
      <w:pPr>
        <w:widowControl w:val="0"/>
        <w:numPr>
          <w:ilvl w:val="0"/>
          <w:numId w:val="4"/>
        </w:numPr>
        <w:overflowPunct w:val="0"/>
        <w:autoSpaceDE w:val="0"/>
        <w:autoSpaceDN w:val="0"/>
        <w:adjustRightInd w:val="0"/>
        <w:ind w:hanging="567"/>
        <w:textAlignment w:val="baseline"/>
        <w:rPr>
          <w:i/>
          <w:iCs/>
          <w:sz w:val="20"/>
          <w:szCs w:val="20"/>
        </w:rPr>
      </w:pPr>
      <w:hyperlink r:id="rId23" w:history="1">
        <w:r w:rsidR="00E235D3">
          <w:rPr>
            <w:b/>
            <w:i/>
            <w:color w:val="0000FF"/>
            <w:sz w:val="28"/>
            <w:u w:val="single"/>
          </w:rPr>
          <w:t>Europäisches Semester 2026 – Herbstpaket</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627FDF" w:rsidRPr="005362A9" w14:paraId="59DBBD6A" w14:textId="77777777" w:rsidTr="00601D8A">
        <w:tc>
          <w:tcPr>
            <w:tcW w:w="1077" w:type="pct"/>
          </w:tcPr>
          <w:p w14:paraId="2CA81E57" w14:textId="77777777" w:rsidR="00627FDF" w:rsidRPr="005362A9" w:rsidRDefault="00627FDF"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3923" w:type="pct"/>
          </w:tcPr>
          <w:p w14:paraId="48A0BF67" w14:textId="3FE90B23" w:rsidR="00627FDF" w:rsidRPr="005362A9" w:rsidRDefault="00627FDF"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Luca JAHIER (Gruppe Organisationen der Zivilgesellschaft – IT)</w:t>
            </w:r>
          </w:p>
        </w:tc>
      </w:tr>
      <w:tr w:rsidR="00205469" w:rsidRPr="005362A9" w14:paraId="6A4A7A00" w14:textId="77777777" w:rsidTr="00601D8A">
        <w:tc>
          <w:tcPr>
            <w:tcW w:w="1077" w:type="pct"/>
          </w:tcPr>
          <w:p w14:paraId="12EA3C9E"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rPr>
            </w:pPr>
          </w:p>
        </w:tc>
        <w:tc>
          <w:tcPr>
            <w:tcW w:w="3923" w:type="pct"/>
          </w:tcPr>
          <w:p w14:paraId="3F242FCC" w14:textId="77777777" w:rsidR="00205469" w:rsidRPr="005362A9" w:rsidRDefault="00205469" w:rsidP="00100EF9">
            <w:pPr>
              <w:tabs>
                <w:tab w:val="center" w:pos="284"/>
              </w:tabs>
              <w:overflowPunct w:val="0"/>
              <w:autoSpaceDE w:val="0"/>
              <w:autoSpaceDN w:val="0"/>
              <w:adjustRightInd w:val="0"/>
              <w:ind w:left="266" w:right="-3091" w:hanging="266"/>
              <w:textAlignment w:val="baseline"/>
              <w:rPr>
                <w:bCs/>
                <w:sz w:val="22"/>
                <w:szCs w:val="22"/>
                <w:lang w:val="en-GB"/>
              </w:rPr>
            </w:pPr>
          </w:p>
        </w:tc>
      </w:tr>
      <w:tr w:rsidR="00627FDF" w:rsidRPr="005362A9" w14:paraId="261B2615" w14:textId="77777777" w:rsidTr="00601D8A">
        <w:tc>
          <w:tcPr>
            <w:tcW w:w="1077" w:type="pct"/>
          </w:tcPr>
          <w:p w14:paraId="5DFE7408" w14:textId="6FA9C295" w:rsidR="00627FDF" w:rsidRPr="005362A9" w:rsidRDefault="00627FDF"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Referenzdokumente</w:t>
            </w:r>
          </w:p>
        </w:tc>
        <w:tc>
          <w:tcPr>
            <w:tcW w:w="3923" w:type="pct"/>
          </w:tcPr>
          <w:p w14:paraId="05B63FA9" w14:textId="3576FDD2" w:rsidR="00627FDF" w:rsidRPr="005362A9" w:rsidRDefault="00627FDF"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COM(2025) 955 final</w:t>
            </w:r>
          </w:p>
          <w:p w14:paraId="3BB4E753" w14:textId="77777777" w:rsidR="00627FDF" w:rsidRPr="005362A9" w:rsidRDefault="00627FDF"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rPr>
      </w:pPr>
      <w:r>
        <w:rPr>
          <w:b/>
        </w:rPr>
        <w:t>Kernaussagen</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rPr>
      </w:pPr>
      <w:r>
        <w:t>Der EWSA:</w:t>
      </w:r>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bedauert, dass die Kommission erneut auf die Vorlage des </w:t>
      </w:r>
      <w:r>
        <w:rPr>
          <w:b/>
        </w:rPr>
        <w:t>Jahresberichts zum nachhaltigen Wachstum</w:t>
      </w:r>
      <w:r>
        <w:t xml:space="preserve"> verzichtet hat und betont, dass </w:t>
      </w:r>
      <w:r>
        <w:rPr>
          <w:b/>
        </w:rPr>
        <w:t>nachhaltiges Wirtschaftswachstum</w:t>
      </w:r>
      <w:r>
        <w:t xml:space="preserve"> eine notwendige Voraussetzung dafür ist, dass Europa seinen vielfältigen Verpflichtungen nachkommen kann; begrüßt den </w:t>
      </w:r>
      <w:r>
        <w:rPr>
          <w:b/>
        </w:rPr>
        <w:t>europäischen makroökonomischen Bericht</w:t>
      </w:r>
      <w:r>
        <w:t xml:space="preserve">, der einen tiefen Einblick in die zugrundeliegenden strukturellen Herausforderungen für die EU ermöglicht, und die </w:t>
      </w:r>
      <w:r>
        <w:rPr>
          <w:b/>
        </w:rPr>
        <w:t>neue Empfehlung zum Humankapital</w:t>
      </w:r>
      <w:r>
        <w:t>, die ein entscheidendes Element ist, um die technologische Lücke in der EU zu schließen, auch unter Berücksichtigung der demografischen Herausforderung in der EU;</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bekräftigt seine Forderung nach einer </w:t>
      </w:r>
      <w:r>
        <w:rPr>
          <w:b/>
        </w:rPr>
        <w:t>robusteren gemeinsamen Fiskalkapazität</w:t>
      </w:r>
      <w:r>
        <w:t>, die durch gezielte Ausgaben gemeinsamer Schuldtitel unterstützt wird, um diese wachsende Lücke bei den öffentlichen Investitionen zu schließen. Er fordert zudem dauerhafte makroökonomische Stabilisierungsinstrumente zur Bewältigung von Schocks auf der Grundlage der Erfahrungen mit dem Europäischen Instrument zur vorübergehenden Unterstützung bei der Minderung von Arbeitslosigkeitsrisiken in einer Notlage (SURE), das verstetigt werden sollte;</w:t>
      </w:r>
    </w:p>
    <w:p w14:paraId="48F6D6CB" w14:textId="129D5613"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ist nach wie vor beunruhigt über die </w:t>
      </w:r>
      <w:r>
        <w:rPr>
          <w:b/>
        </w:rPr>
        <w:t>Fragmentierung der EU-Finanzmärkte</w:t>
      </w:r>
      <w:r>
        <w:t xml:space="preserve"> und fordert die Kommission auf, zu prüfen, ob ein </w:t>
      </w:r>
      <w:r>
        <w:rPr>
          <w:b/>
        </w:rPr>
        <w:t>Instrumentarium auf EU-Ebene, das dem US</w:t>
      </w:r>
      <w:r w:rsidR="005362A9">
        <w:rPr>
          <w:b/>
        </w:rPr>
        <w:noBreakHyphen/>
      </w:r>
      <w:r>
        <w:rPr>
          <w:b/>
        </w:rPr>
        <w:t>amerikanischen Gesetz zur Verbesserung der Wertpapiermärkte (</w:t>
      </w:r>
      <w:r>
        <w:rPr>
          <w:b/>
          <w:i/>
        </w:rPr>
        <w:t xml:space="preserve">National Securities </w:t>
      </w:r>
      <w:proofErr w:type="spellStart"/>
      <w:r>
        <w:rPr>
          <w:b/>
          <w:i/>
        </w:rPr>
        <w:t>Markets</w:t>
      </w:r>
      <w:proofErr w:type="spellEnd"/>
      <w:r>
        <w:rPr>
          <w:b/>
          <w:i/>
        </w:rPr>
        <w:t xml:space="preserve"> </w:t>
      </w:r>
      <w:proofErr w:type="spellStart"/>
      <w:r>
        <w:rPr>
          <w:b/>
          <w:i/>
        </w:rPr>
        <w:t>Improvement</w:t>
      </w:r>
      <w:proofErr w:type="spellEnd"/>
      <w:r>
        <w:rPr>
          <w:b/>
          <w:i/>
        </w:rPr>
        <w:t xml:space="preserve"> Act</w:t>
      </w:r>
      <w:r>
        <w:rPr>
          <w:b/>
        </w:rPr>
        <w:t xml:space="preserve"> – NSMIA)</w:t>
      </w:r>
      <w:r>
        <w:t xml:space="preserve"> entspricht, den grenzüberschreitenden Marktzugang vereinfachen, die Fragmentierung der Einhaltung verringern und tiefere, effizientere und liquidere Märkte unterstützen könnte. Gleichzeitig ist das erforderliche derzeitige Sicherheitsniveau aufrechtzuerhalten;</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fordert die Kommission erneut auf, </w:t>
      </w:r>
      <w:r>
        <w:rPr>
          <w:b/>
        </w:rPr>
        <w:t>die vorgeschlagenen Indikatoren zur Überwachung des Verfahrens bei einem makroökonomischen Ungleichgewicht (MIP)</w:t>
      </w:r>
      <w:r>
        <w:t xml:space="preserve"> dringend zu </w:t>
      </w:r>
      <w:r>
        <w:rPr>
          <w:b/>
        </w:rPr>
        <w:t>überarbeiten</w:t>
      </w:r>
      <w:r>
        <w:t>. Die Überwachung der Entwicklung kombinierter Hebelwirkungen anstelle von isolierten Einzelbetrachtungen könnte Teil der Lösung zur Verbesserung des derzeitigen MIP-</w:t>
      </w:r>
      <w:proofErr w:type="spellStart"/>
      <w:r>
        <w:t>Scoreboards</w:t>
      </w:r>
      <w:proofErr w:type="spellEnd"/>
      <w:r>
        <w:t xml:space="preserve"> sein;</w:t>
      </w:r>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hält es für notwendig, </w:t>
      </w:r>
      <w:r>
        <w:rPr>
          <w:b/>
        </w:rPr>
        <w:t xml:space="preserve">das sozialpolitische </w:t>
      </w:r>
      <w:proofErr w:type="spellStart"/>
      <w:r>
        <w:rPr>
          <w:b/>
        </w:rPr>
        <w:t>Scoreboard</w:t>
      </w:r>
      <w:proofErr w:type="spellEnd"/>
      <w:r>
        <w:rPr>
          <w:b/>
        </w:rPr>
        <w:t>, ein überarbeitetes MIP-</w:t>
      </w:r>
      <w:proofErr w:type="spellStart"/>
      <w:r>
        <w:rPr>
          <w:b/>
        </w:rPr>
        <w:t>Scoreboard</w:t>
      </w:r>
      <w:proofErr w:type="spellEnd"/>
      <w:r>
        <w:rPr>
          <w:b/>
        </w:rPr>
        <w:t xml:space="preserve"> und eine überarbeitete Methodik für die Schuldentragfähigkeitsanalyse, ergänzt durch</w:t>
      </w:r>
      <w:r>
        <w:t xml:space="preserve"> die von der Gemeinsamen Forschungsstelle (JRC) vorgeschlagenen neuen </w:t>
      </w:r>
      <w:r>
        <w:rPr>
          <w:b/>
        </w:rPr>
        <w:t>Indikatoren für das Wohlergehen, stärker</w:t>
      </w:r>
      <w:r>
        <w:t xml:space="preserve"> zu </w:t>
      </w:r>
      <w:r>
        <w:rPr>
          <w:b/>
        </w:rPr>
        <w:t>nutzen</w:t>
      </w:r>
      <w:r>
        <w:t>;</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fordert die Kommission auf, den </w:t>
      </w:r>
      <w:r>
        <w:rPr>
          <w:b/>
        </w:rPr>
        <w:t>Rahmen für soziale Konvergenz genauso</w:t>
      </w:r>
      <w:r>
        <w:t xml:space="preserve"> zu </w:t>
      </w:r>
      <w:r>
        <w:rPr>
          <w:b/>
        </w:rPr>
        <w:t>behandeln wie den fiskalpolitischen Rahmen und</w:t>
      </w:r>
      <w:r>
        <w:t xml:space="preserve"> in den nächsten länderspezifischen Empfehlungen </w:t>
      </w:r>
      <w:r>
        <w:rPr>
          <w:b/>
        </w:rPr>
        <w:t>klare Empfehlungen</w:t>
      </w:r>
      <w:r>
        <w:t xml:space="preserve"> an jeden Mitgliedstaat zu </w:t>
      </w:r>
      <w:r>
        <w:rPr>
          <w:b/>
        </w:rPr>
        <w:t>formulieren</w:t>
      </w:r>
      <w:r>
        <w:t xml:space="preserve">; fordert die Kommission auf, konkrete Anreize für die Mitgliedstaaten vorzuschlagen, um die Inanspruchnahme der </w:t>
      </w:r>
      <w:r>
        <w:rPr>
          <w:b/>
        </w:rPr>
        <w:t>Flexibilitätsklausel für soziale Investitionen</w:t>
      </w:r>
      <w:r>
        <w:t xml:space="preserve"> zu erhöhen;</w:t>
      </w:r>
    </w:p>
    <w:p w14:paraId="7DBF2201"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lastRenderedPageBreak/>
        <w:t xml:space="preserve">bekräftigt seine Forderung nach einer </w:t>
      </w:r>
      <w:r>
        <w:rPr>
          <w:b/>
        </w:rPr>
        <w:t>eingehenden Analyse und Klarstellung der angekündigten Verbindungen zwischen dem Europäischen Semester, dem Koordinierungsinstrument für Wettbewerbsfähigkeit und dem</w:t>
      </w:r>
      <w:r>
        <w:t xml:space="preserve"> vorgeschlagenen künftigen </w:t>
      </w:r>
      <w:r>
        <w:rPr>
          <w:b/>
        </w:rPr>
        <w:t>mehrjährigen Finanzrahmen (MFR)</w:t>
      </w:r>
      <w:r>
        <w:t xml:space="preserve">;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fordert das </w:t>
      </w:r>
      <w:r>
        <w:rPr>
          <w:b/>
        </w:rPr>
        <w:t>Europäische Parlament</w:t>
      </w:r>
      <w:r>
        <w:t xml:space="preserve"> auf, wie bei der Aufbau- und </w:t>
      </w:r>
      <w:proofErr w:type="spellStart"/>
      <w:r>
        <w:t>Resilienzfazilität</w:t>
      </w:r>
      <w:proofErr w:type="spellEnd"/>
      <w:r>
        <w:t xml:space="preserve"> (ARF) </w:t>
      </w:r>
      <w:r>
        <w:rPr>
          <w:b/>
        </w:rPr>
        <w:t>einen ständigen Kontrollausschuss für die Überwachung und Bewertung des „neuen“ Europäischen Semesters, der Umsetzung und jährlichen Bewertung der mittelfristigen strukturellen finanzpolitischen Pläne, der länderspezifischen Empfehlungen und ihrer konkreten Verknüpfungen mit den künftigen nationalen und regionalen Partnerschaftsplänen einzurichten</w:t>
      </w:r>
      <w:r>
        <w:t>;</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fordert die Kommission auf, die </w:t>
      </w:r>
      <w:r>
        <w:rPr>
          <w:b/>
        </w:rPr>
        <w:t>Ausweichklausel als befristetes Notfallinstrument</w:t>
      </w:r>
      <w:r>
        <w:t xml:space="preserve"> und nicht als Ersatz für eine kohärente langfristige Haushalts- und Wachstumsstrategie zu </w:t>
      </w:r>
      <w:r>
        <w:rPr>
          <w:b/>
        </w:rPr>
        <w:t>konzipieren</w:t>
      </w:r>
      <w:r>
        <w:t xml:space="preserve"> und die </w:t>
      </w:r>
      <w:r>
        <w:rPr>
          <w:b/>
        </w:rPr>
        <w:t>zunehmende Rolle der Verteidigungsausgaben für das nachhaltige Wachstum der EU</w:t>
      </w:r>
      <w:r>
        <w:t xml:space="preserve"> und ihre Auswirkungen auf die Beschäftigung und die künftige Haushaltsstabilität zu bewerten;</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bekräftigt seine Forderung nach einer </w:t>
      </w:r>
      <w:r>
        <w:rPr>
          <w:b/>
        </w:rPr>
        <w:t>stärkeren, strukturierteren und konstruktiveren Einbeziehung der Sozialpartner und zivilgesellschaftlichen Organisationen auf europäischer, nationaler und lokaler Ebene</w:t>
      </w:r>
      <w:r>
        <w:t xml:space="preserve"> in die Umsetzung des Semesterzyklus.</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28"/>
      </w:tblGrid>
      <w:tr w:rsidR="00627FDF" w:rsidRPr="005362A9" w14:paraId="52F142FB" w14:textId="77777777" w:rsidTr="00601D8A">
        <w:tc>
          <w:tcPr>
            <w:tcW w:w="625" w:type="pct"/>
          </w:tcPr>
          <w:p w14:paraId="605B3F57" w14:textId="77777777" w:rsidR="00627FDF" w:rsidRPr="005362A9" w:rsidRDefault="00627FDF" w:rsidP="00100EF9">
            <w:pPr>
              <w:overflowPunct w:val="0"/>
              <w:autoSpaceDE w:val="0"/>
              <w:autoSpaceDN w:val="0"/>
              <w:adjustRightInd w:val="0"/>
              <w:textAlignment w:val="baseline"/>
              <w:rPr>
                <w:i/>
                <w:sz w:val="22"/>
                <w:szCs w:val="22"/>
              </w:rPr>
            </w:pPr>
            <w:r w:rsidRPr="005362A9">
              <w:rPr>
                <w:b/>
                <w:i/>
                <w:sz w:val="22"/>
                <w:szCs w:val="22"/>
              </w:rPr>
              <w:t>Kontakt</w:t>
            </w:r>
          </w:p>
        </w:tc>
        <w:tc>
          <w:tcPr>
            <w:tcW w:w="4375" w:type="pct"/>
          </w:tcPr>
          <w:p w14:paraId="2799D0F0" w14:textId="77777777" w:rsidR="00627FDF" w:rsidRPr="005362A9" w:rsidRDefault="00627FDF" w:rsidP="00100EF9">
            <w:pPr>
              <w:overflowPunct w:val="0"/>
              <w:autoSpaceDE w:val="0"/>
              <w:autoSpaceDN w:val="0"/>
              <w:adjustRightInd w:val="0"/>
              <w:textAlignment w:val="baseline"/>
              <w:rPr>
                <w:i/>
                <w:sz w:val="22"/>
                <w:szCs w:val="22"/>
              </w:rPr>
            </w:pPr>
            <w:r w:rsidRPr="005362A9">
              <w:rPr>
                <w:i/>
                <w:sz w:val="22"/>
                <w:szCs w:val="22"/>
              </w:rPr>
              <w:t xml:space="preserve">Anna </w:t>
            </w:r>
            <w:proofErr w:type="spellStart"/>
            <w:r w:rsidRPr="005362A9">
              <w:rPr>
                <w:i/>
                <w:sz w:val="22"/>
                <w:szCs w:val="22"/>
              </w:rPr>
              <w:t>Pantazi</w:t>
            </w:r>
            <w:proofErr w:type="spellEnd"/>
          </w:p>
        </w:tc>
      </w:tr>
      <w:tr w:rsidR="00627FDF" w:rsidRPr="005362A9" w14:paraId="2AECF76E" w14:textId="77777777" w:rsidTr="00601D8A">
        <w:tc>
          <w:tcPr>
            <w:tcW w:w="625" w:type="pct"/>
          </w:tcPr>
          <w:p w14:paraId="0CA36F14" w14:textId="77777777" w:rsidR="00627FDF" w:rsidRPr="005362A9" w:rsidRDefault="00627FDF" w:rsidP="00100EF9">
            <w:pPr>
              <w:overflowPunct w:val="0"/>
              <w:autoSpaceDE w:val="0"/>
              <w:autoSpaceDN w:val="0"/>
              <w:adjustRightInd w:val="0"/>
              <w:textAlignment w:val="baseline"/>
              <w:rPr>
                <w:i/>
                <w:sz w:val="22"/>
                <w:szCs w:val="22"/>
              </w:rPr>
            </w:pPr>
            <w:r w:rsidRPr="005362A9">
              <w:rPr>
                <w:i/>
                <w:sz w:val="22"/>
                <w:szCs w:val="22"/>
              </w:rPr>
              <w:t>Tel.</w:t>
            </w:r>
          </w:p>
        </w:tc>
        <w:tc>
          <w:tcPr>
            <w:tcW w:w="4375" w:type="pct"/>
          </w:tcPr>
          <w:p w14:paraId="74E90836" w14:textId="1D42CC9B" w:rsidR="00627FDF" w:rsidRPr="005362A9" w:rsidRDefault="00627FDF" w:rsidP="00100EF9">
            <w:pPr>
              <w:overflowPunct w:val="0"/>
              <w:autoSpaceDE w:val="0"/>
              <w:autoSpaceDN w:val="0"/>
              <w:adjustRightInd w:val="0"/>
              <w:textAlignment w:val="baseline"/>
              <w:rPr>
                <w:i/>
                <w:sz w:val="22"/>
                <w:szCs w:val="22"/>
              </w:rPr>
            </w:pPr>
            <w:r w:rsidRPr="005362A9">
              <w:rPr>
                <w:i/>
                <w:sz w:val="22"/>
                <w:szCs w:val="22"/>
              </w:rPr>
              <w:t>+32 25469231</w:t>
            </w:r>
          </w:p>
        </w:tc>
      </w:tr>
      <w:tr w:rsidR="00627FDF" w:rsidRPr="005362A9" w14:paraId="03A39DE3" w14:textId="77777777" w:rsidTr="00601D8A">
        <w:tc>
          <w:tcPr>
            <w:tcW w:w="625" w:type="pct"/>
          </w:tcPr>
          <w:p w14:paraId="5FDCFB85" w14:textId="77777777" w:rsidR="00627FDF" w:rsidRPr="005362A9" w:rsidRDefault="00627FDF" w:rsidP="00100EF9">
            <w:pPr>
              <w:overflowPunct w:val="0"/>
              <w:autoSpaceDE w:val="0"/>
              <w:autoSpaceDN w:val="0"/>
              <w:adjustRightInd w:val="0"/>
              <w:textAlignment w:val="baseline"/>
              <w:rPr>
                <w:i/>
                <w:sz w:val="22"/>
                <w:szCs w:val="22"/>
              </w:rPr>
            </w:pPr>
            <w:r w:rsidRPr="005362A9">
              <w:rPr>
                <w:i/>
                <w:sz w:val="22"/>
                <w:szCs w:val="22"/>
              </w:rPr>
              <w:t>E-Mail</w:t>
            </w:r>
          </w:p>
        </w:tc>
        <w:tc>
          <w:tcPr>
            <w:tcW w:w="4375" w:type="pct"/>
          </w:tcPr>
          <w:p w14:paraId="3BA9FEE0" w14:textId="77777777" w:rsidR="00627FDF" w:rsidRPr="005362A9" w:rsidRDefault="0035219E" w:rsidP="00100EF9">
            <w:pPr>
              <w:overflowPunct w:val="0"/>
              <w:autoSpaceDE w:val="0"/>
              <w:autoSpaceDN w:val="0"/>
              <w:adjustRightInd w:val="0"/>
              <w:textAlignment w:val="baseline"/>
              <w:rPr>
                <w:i/>
                <w:sz w:val="22"/>
                <w:szCs w:val="22"/>
              </w:rPr>
            </w:pPr>
            <w:hyperlink r:id="rId24" w:history="1">
              <w:r w:rsidR="00E235D3" w:rsidRPr="005362A9">
                <w:rPr>
                  <w:i/>
                  <w:color w:val="0000FF"/>
                  <w:sz w:val="22"/>
                  <w:szCs w:val="22"/>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EE86689" w:rsidR="00532F99" w:rsidRPr="00153E09" w:rsidRDefault="0035219E" w:rsidP="00100EF9">
      <w:pPr>
        <w:widowControl w:val="0"/>
        <w:numPr>
          <w:ilvl w:val="0"/>
          <w:numId w:val="6"/>
        </w:numPr>
        <w:overflowPunct w:val="0"/>
        <w:autoSpaceDE w:val="0"/>
        <w:autoSpaceDN w:val="0"/>
        <w:adjustRightInd w:val="0"/>
        <w:ind w:hanging="567"/>
        <w:textAlignment w:val="baseline"/>
        <w:rPr>
          <w:b/>
          <w:i/>
          <w:iCs/>
          <w:sz w:val="28"/>
          <w:szCs w:val="28"/>
        </w:rPr>
      </w:pPr>
      <w:hyperlink r:id="rId25" w:history="1">
        <w:r w:rsidR="00532F99">
          <w:rPr>
            <w:b/>
            <w:i/>
            <w:color w:val="0000FF"/>
            <w:sz w:val="28"/>
            <w:u w:val="single"/>
          </w:rPr>
          <w:t>Inseln in der europäischen Politik mit Blick auf Zusammenhalt, Wettbewerbsfähigkeit und Strategien für nachhaltige Entwicklung</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7451"/>
      </w:tblGrid>
      <w:tr w:rsidR="00532F99" w:rsidRPr="005362A9" w14:paraId="67745AC7" w14:textId="77777777" w:rsidTr="005362A9">
        <w:tc>
          <w:tcPr>
            <w:tcW w:w="2013" w:type="dxa"/>
          </w:tcPr>
          <w:p w14:paraId="61C2DFEA" w14:textId="77777777" w:rsidR="00532F99" w:rsidRPr="005362A9" w:rsidRDefault="00532F99"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7451" w:type="dxa"/>
          </w:tcPr>
          <w:p w14:paraId="1D4B2919" w14:textId="013947C3" w:rsidR="00153E09" w:rsidRPr="005362A9" w:rsidRDefault="00532F99"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Ioannis VARDAKASTANIS (Gruppe Organisationen der Zivilgesellschaft – EL)</w:t>
            </w:r>
          </w:p>
        </w:tc>
      </w:tr>
      <w:tr w:rsidR="00205469" w:rsidRPr="005362A9" w14:paraId="1E28C030" w14:textId="77777777" w:rsidTr="005362A9">
        <w:tc>
          <w:tcPr>
            <w:tcW w:w="2013" w:type="dxa"/>
          </w:tcPr>
          <w:p w14:paraId="6556B0F0"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rPr>
            </w:pPr>
          </w:p>
        </w:tc>
        <w:tc>
          <w:tcPr>
            <w:tcW w:w="7451" w:type="dxa"/>
          </w:tcPr>
          <w:p w14:paraId="49CED0B0" w14:textId="77777777" w:rsidR="00205469" w:rsidRPr="005362A9" w:rsidRDefault="00205469" w:rsidP="00100EF9">
            <w:pPr>
              <w:tabs>
                <w:tab w:val="center" w:pos="284"/>
              </w:tabs>
              <w:overflowPunct w:val="0"/>
              <w:autoSpaceDE w:val="0"/>
              <w:autoSpaceDN w:val="0"/>
              <w:adjustRightInd w:val="0"/>
              <w:ind w:left="266" w:hanging="266"/>
              <w:textAlignment w:val="baseline"/>
              <w:rPr>
                <w:bCs/>
                <w:sz w:val="22"/>
                <w:szCs w:val="22"/>
              </w:rPr>
            </w:pPr>
          </w:p>
        </w:tc>
      </w:tr>
      <w:tr w:rsidR="00532F99" w:rsidRPr="005362A9" w14:paraId="6B1B0BDA" w14:textId="77777777" w:rsidTr="005362A9">
        <w:tc>
          <w:tcPr>
            <w:tcW w:w="2013" w:type="dxa"/>
          </w:tcPr>
          <w:p w14:paraId="2C89221D" w14:textId="77777777" w:rsidR="00532F99" w:rsidRPr="005362A9" w:rsidRDefault="00532F99"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w:t>
            </w:r>
          </w:p>
        </w:tc>
        <w:tc>
          <w:tcPr>
            <w:tcW w:w="7451" w:type="dxa"/>
          </w:tcPr>
          <w:p w14:paraId="23EE8050" w14:textId="0AD297F8" w:rsidR="00532F99" w:rsidRPr="005362A9" w:rsidRDefault="00532F99" w:rsidP="00100EF9">
            <w:pPr>
              <w:tabs>
                <w:tab w:val="center" w:pos="321"/>
              </w:tabs>
              <w:overflowPunct w:val="0"/>
              <w:autoSpaceDE w:val="0"/>
              <w:autoSpaceDN w:val="0"/>
              <w:adjustRightInd w:val="0"/>
              <w:textAlignment w:val="baseline"/>
              <w:rPr>
                <w:sz w:val="22"/>
                <w:szCs w:val="22"/>
              </w:rPr>
            </w:pPr>
            <w:r w:rsidRPr="005362A9">
              <w:rPr>
                <w:sz w:val="22"/>
                <w:szCs w:val="22"/>
              </w:rPr>
              <w:t>Sondierungsstellungnahme auf Ersuchen des zyprischen Ratsvorsitzes der EU</w:t>
            </w:r>
          </w:p>
          <w:p w14:paraId="0FBD455F" w14:textId="4C1CCA1A" w:rsidR="00532F99" w:rsidRPr="005362A9" w:rsidRDefault="00532F99"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Der EWSA:</w:t>
      </w:r>
    </w:p>
    <w:p w14:paraId="4843EC5E" w14:textId="77777777" w:rsidR="00532F99" w:rsidRPr="00AD4D97" w:rsidRDefault="00532F99" w:rsidP="007526DA">
      <w:pPr>
        <w:pStyle w:val="ListParagraph"/>
        <w:numPr>
          <w:ilvl w:val="0"/>
          <w:numId w:val="28"/>
        </w:numPr>
        <w:ind w:left="567" w:hanging="567"/>
      </w:pPr>
      <w:bookmarkStart w:id="5" w:name="_Toc222825817"/>
      <w:r>
        <w:t xml:space="preserve">ist der Auffassung, dass die Inseln in der EU mit </w:t>
      </w:r>
      <w:r>
        <w:rPr>
          <w:u w:val="single"/>
        </w:rPr>
        <w:t>anhaltenden strukturellen Nachteilen</w:t>
      </w:r>
      <w:r>
        <w:t xml:space="preserve"> konfrontiert sind, die sich aus geografischen, wirtschaftlichen, demografischen und klimabedingten Faktoren wie Randlage, Eisschmelze, hohe Verkehrs- und Energiekosten, Wohnungsdruck, Arbeitskräftemangel und übermäßige Abhängigkeit vom Tourismus ergeben;</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r>
        <w:t>ist der Ansicht, dass die Inseln für die geopolitische Positionierung der EU, die Migrationssteuerung, die maritime Sicherheit und die Energiewende von wesentlicher Bedeutung sind. Ihre Meeresökosysteme und die sie umgebenden ausschließlichen Wirtschaftszonen bilden das Fundament für die Ziele sowohl der blauen Wirtschaft und als auch für die biologische Vielfalt. Die einzigartigen Herausforderungen für die Inseln werden zwar in den EU-Verträgen und politischen Erklärungen anerkannt, in den sektorspezifischen EU-Politiken jedoch nicht angemessen berücksichtigt. Inseln verfügen über das Potenzial, als Testfelder für Innovation und Nachhaltigkeit zu fungieren, wo Lösungen für die Anpassung an den Klimawandel, erneuerbare Energien, den Schutz der Meere und nachhaltigen Tourismus erprobt werden können;</w:t>
      </w:r>
      <w:bookmarkEnd w:id="6"/>
    </w:p>
    <w:p w14:paraId="67767811" w14:textId="77777777" w:rsidR="00532F99" w:rsidRPr="00AD4D97" w:rsidRDefault="00532F99" w:rsidP="007526DA">
      <w:pPr>
        <w:pStyle w:val="ListParagraph"/>
        <w:numPr>
          <w:ilvl w:val="0"/>
          <w:numId w:val="28"/>
        </w:numPr>
        <w:ind w:left="567" w:hanging="567"/>
      </w:pPr>
      <w:bookmarkStart w:id="7" w:name="_Toc222825819"/>
      <w:r>
        <w:rPr>
          <w:u w:val="single"/>
        </w:rPr>
        <w:t>weist darauf hin, dass ein systemischer Ansatz erforderlich ist</w:t>
      </w:r>
      <w:r>
        <w:t>. Eine wirksame EU-Politik für Inseln und Inselgebiete im Allgemeinen (einschließlich Regionen in äußerster Randlage und Seengebiete) erfordert integrierte, sektorübergreifende Strategien für Konnektivität, wirtschaftliche Diversifizierung, sozialen Zusammenhalt, ökologische, soziale und wirtschaftliche Resilienz sowie geopolitische Einsatzbereitschaft;</w:t>
      </w:r>
      <w:bookmarkEnd w:id="7"/>
    </w:p>
    <w:p w14:paraId="46E91099" w14:textId="77777777" w:rsidR="00532F99" w:rsidRPr="00AD4D97" w:rsidRDefault="00532F99" w:rsidP="007526DA">
      <w:pPr>
        <w:pStyle w:val="ListParagraph"/>
        <w:numPr>
          <w:ilvl w:val="0"/>
          <w:numId w:val="28"/>
        </w:numPr>
        <w:ind w:left="567" w:hanging="567"/>
      </w:pPr>
      <w:bookmarkStart w:id="8" w:name="_Toc222825820"/>
      <w:r>
        <w:t>fordert die Einführung einer spezifischen EU-Strategie für Inseln (</w:t>
      </w:r>
      <w:r>
        <w:rPr>
          <w:b/>
        </w:rPr>
        <w:t>Inselpakt</w:t>
      </w:r>
      <w:r>
        <w:t>), die durch einen eigenen Rechtsrahmen (</w:t>
      </w:r>
      <w:r>
        <w:rPr>
          <w:b/>
        </w:rPr>
        <w:t>Inselrechtsakt</w:t>
      </w:r>
      <w:r>
        <w:t>) flankiert wird. Dieser Rahmen sollte von einer formalen Strategie begleitet werden und die wirksame Umsetzung einer „</w:t>
      </w:r>
      <w:r>
        <w:rPr>
          <w:b/>
        </w:rPr>
        <w:t>Inselklausel</w:t>
      </w:r>
      <w:r>
        <w:t>“ vorsehen, um die besonderen Bedürfnisse und Nachteile der Inseln systematisch in die Kohäsions-, Verkehrs-, Energie-, Beihilfe-, Umwelt- und Meerespolitik der Union einzubeziehen;</w:t>
      </w:r>
      <w:bookmarkEnd w:id="8"/>
    </w:p>
    <w:p w14:paraId="762E910D" w14:textId="77777777" w:rsidR="00532F99" w:rsidRPr="00AD4D97" w:rsidRDefault="00532F99" w:rsidP="007526DA">
      <w:pPr>
        <w:pStyle w:val="ListParagraph"/>
        <w:numPr>
          <w:ilvl w:val="0"/>
          <w:numId w:val="28"/>
        </w:numPr>
        <w:ind w:left="567" w:hanging="567"/>
      </w:pPr>
      <w:bookmarkStart w:id="9" w:name="_Toc222825821"/>
      <w:r>
        <w:t>betont, dass die Verbesserung der Konnektivität und der Infrastruktur in Inselgebieten von entscheidender Bedeutung für den territorialen Zusammenhalt ist, und fordert bessere Systeme für Verkehr und öffentliche Mobilität, eine bessere digitale Konnektivität und resilientere Energienetze mit einem klaren Schwerpunkt auf Dekarbonisierung und Energieautonomie;</w:t>
      </w:r>
      <w:bookmarkEnd w:id="9"/>
    </w:p>
    <w:p w14:paraId="737F86E5" w14:textId="77777777" w:rsidR="00532F99" w:rsidRPr="00AD4D97" w:rsidRDefault="00532F99" w:rsidP="007526DA">
      <w:pPr>
        <w:pStyle w:val="ListParagraph"/>
        <w:numPr>
          <w:ilvl w:val="0"/>
          <w:numId w:val="28"/>
        </w:numPr>
        <w:ind w:left="567" w:hanging="567"/>
      </w:pPr>
      <w:bookmarkStart w:id="10" w:name="_Toc222825822"/>
      <w:r>
        <w:t>betont, dass Inselregionen ihre Wirtschaft diversifizieren sollten, indem sie eine nachhaltige und wettbewerbsfähige blaue Wirtschaft entwickeln, die auf ihren spezifischen Stärken wie den Meeresressourcen, dem Potenzial in Sachen erneuerbare Energien, Tourismus, Kulturerbe und Kreativwirtschaft aufbaut;</w:t>
      </w:r>
      <w:bookmarkEnd w:id="10"/>
    </w:p>
    <w:p w14:paraId="7E670409" w14:textId="77777777" w:rsidR="00532F99" w:rsidRPr="00AD4D97" w:rsidRDefault="00532F99" w:rsidP="007526DA">
      <w:pPr>
        <w:pStyle w:val="ListParagraph"/>
        <w:numPr>
          <w:ilvl w:val="0"/>
          <w:numId w:val="28"/>
        </w:numPr>
        <w:ind w:left="567" w:hanging="567"/>
      </w:pPr>
      <w:bookmarkStart w:id="11" w:name="_Toc222825823"/>
      <w:r>
        <w:lastRenderedPageBreak/>
        <w:t>hebt hervor, dass der soziale Zusammenhalt und die Entwicklung des Humankapitals für die langfristige Nachhaltigkeit der Inselgemeinschaften überaus wichtig sind. Er fordert gezielte Maßnahmen zur Linderung der Wohnungsnot, der Ungleichgewichte auf dem Arbeitsmarkt, des Qualifikationsdefizits und der Abwanderung junger Menschen, einschließlich inklusiver Bildung, guter Beschäftigungsmöglichkeiten und erschwinglicher Wohnraumlösungen, die an die besondere Lage der Inseln angepasst sind;</w:t>
      </w:r>
      <w:bookmarkEnd w:id="11"/>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r>
        <w:t xml:space="preserve">hebt hervor, dass in Inselgebieten, die unverhältnismäßig stark vom Klimawandel betroffen sind, dringend Fortschritte beim Umweltschutz und der </w:t>
      </w:r>
      <w:proofErr w:type="spellStart"/>
      <w:r>
        <w:t>Klimaresilienz</w:t>
      </w:r>
      <w:proofErr w:type="spellEnd"/>
      <w:r>
        <w:t xml:space="preserve"> erzielt werden müssen;</w:t>
      </w:r>
      <w:bookmarkEnd w:id="12"/>
    </w:p>
    <w:p w14:paraId="59AC2957" w14:textId="77777777" w:rsidR="00532F99" w:rsidRPr="00AD4D97" w:rsidRDefault="00532F99" w:rsidP="007526DA">
      <w:pPr>
        <w:pStyle w:val="ListParagraph"/>
        <w:numPr>
          <w:ilvl w:val="0"/>
          <w:numId w:val="28"/>
        </w:numPr>
        <w:ind w:left="567" w:hanging="567"/>
      </w:pPr>
      <w:bookmarkStart w:id="13" w:name="_Toc222825825"/>
      <w:r>
        <w:t xml:space="preserve">fordert die formelle Integration von Überwachung, Vorausschau und partizipativer </w:t>
      </w:r>
      <w:proofErr w:type="spellStart"/>
      <w:r>
        <w:t>Governance</w:t>
      </w:r>
      <w:proofErr w:type="spellEnd"/>
      <w:r>
        <w:t xml:space="preserve"> in die Inselpolitik und schlägt einen </w:t>
      </w:r>
      <w:r>
        <w:rPr>
          <w:b/>
        </w:rPr>
        <w:t>regelmäßigen Bericht über die Umsetzung der Inselpolitik</w:t>
      </w:r>
      <w:r>
        <w:t xml:space="preserve"> vor, um die wichtigsten demografischen, wirtschaftlichen, sozialen und ökologischen Indikatoren zu beobachten;</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r>
        <w:t>ist der Ansicht, dass die Inseln in der EU nicht länger als Randgebiete behandelt werden dürfen. Es handelt sich um Regionen, die im Hinblick auf die Souveränität, Resilienz und Innovationsfähigkeit Europas an vorderster Front stehen. Eine gezielte, systemische und rechtlich verankerte EU-Inselstrategie (</w:t>
      </w:r>
      <w:r>
        <w:rPr>
          <w:b/>
        </w:rPr>
        <w:t>Inselpakt</w:t>
      </w:r>
      <w:r>
        <w:t xml:space="preserve">) wäre von entscheidender Bedeutung, um Inseln zu Motoren für nachhaltiges Wachstum, </w:t>
      </w:r>
      <w:proofErr w:type="spellStart"/>
      <w:r>
        <w:t>Klimaresilienz</w:t>
      </w:r>
      <w:proofErr w:type="spellEnd"/>
      <w:r>
        <w:t xml:space="preserve"> und geopolitische Sicherheit zu machen. So würde sichergestellt, dass Inselgemeinwesen florieren können und gleichzeitig die strategische Autonomie und der Zusammenhalt in Europa gestärkt wird. Deutlich wurde dies kürzlich durch die geopolitisch überaus wichtige Bedeutung Grönlands für die Sicherheitsdynamik in der Arktis, die transatlantischen Beziehungen und den Wettbewerb zwischen den Großmächten sowie durch Grönlands Relevanz für die strategische Autonomie Europas im Bereich der Verteidigung.</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62A9" w14:paraId="51FA2FFC" w14:textId="77777777" w:rsidTr="00D0608D">
        <w:tc>
          <w:tcPr>
            <w:tcW w:w="1526" w:type="dxa"/>
          </w:tcPr>
          <w:p w14:paraId="549BED47" w14:textId="77777777" w:rsidR="00532F99" w:rsidRPr="005362A9" w:rsidRDefault="00532F99" w:rsidP="00D0608D">
            <w:pPr>
              <w:overflowPunct w:val="0"/>
              <w:autoSpaceDE w:val="0"/>
              <w:autoSpaceDN w:val="0"/>
              <w:adjustRightInd w:val="0"/>
              <w:ind w:right="-77"/>
              <w:textAlignment w:val="baseline"/>
              <w:rPr>
                <w:i/>
                <w:sz w:val="22"/>
                <w:szCs w:val="22"/>
              </w:rPr>
            </w:pPr>
            <w:r w:rsidRPr="005362A9">
              <w:rPr>
                <w:b/>
                <w:i/>
                <w:sz w:val="22"/>
                <w:szCs w:val="22"/>
              </w:rPr>
              <w:t>Kontakt</w:t>
            </w:r>
          </w:p>
        </w:tc>
        <w:tc>
          <w:tcPr>
            <w:tcW w:w="7688" w:type="dxa"/>
          </w:tcPr>
          <w:p w14:paraId="7CEAACF5" w14:textId="0581C1FF" w:rsidR="00532F99" w:rsidRPr="005362A9" w:rsidRDefault="00532F99" w:rsidP="00100EF9">
            <w:pPr>
              <w:overflowPunct w:val="0"/>
              <w:autoSpaceDE w:val="0"/>
              <w:autoSpaceDN w:val="0"/>
              <w:adjustRightInd w:val="0"/>
              <w:textAlignment w:val="baseline"/>
              <w:rPr>
                <w:i/>
                <w:sz w:val="22"/>
                <w:szCs w:val="22"/>
              </w:rPr>
            </w:pPr>
            <w:r w:rsidRPr="005362A9">
              <w:rPr>
                <w:i/>
                <w:sz w:val="22"/>
                <w:szCs w:val="22"/>
              </w:rPr>
              <w:t xml:space="preserve">Georgios </w:t>
            </w:r>
            <w:proofErr w:type="spellStart"/>
            <w:r w:rsidRPr="005362A9">
              <w:rPr>
                <w:i/>
                <w:sz w:val="22"/>
                <w:szCs w:val="22"/>
              </w:rPr>
              <w:t>Meleas</w:t>
            </w:r>
            <w:proofErr w:type="spellEnd"/>
          </w:p>
        </w:tc>
      </w:tr>
      <w:tr w:rsidR="00532F99" w:rsidRPr="005362A9" w14:paraId="0AEF2AEB" w14:textId="77777777" w:rsidTr="00D0608D">
        <w:tc>
          <w:tcPr>
            <w:tcW w:w="1526" w:type="dxa"/>
          </w:tcPr>
          <w:p w14:paraId="060FAF7E" w14:textId="77777777" w:rsidR="00532F99" w:rsidRPr="005362A9" w:rsidRDefault="00532F99" w:rsidP="00100EF9">
            <w:pPr>
              <w:overflowPunct w:val="0"/>
              <w:autoSpaceDE w:val="0"/>
              <w:autoSpaceDN w:val="0"/>
              <w:adjustRightInd w:val="0"/>
              <w:textAlignment w:val="baseline"/>
              <w:rPr>
                <w:i/>
                <w:sz w:val="22"/>
                <w:szCs w:val="22"/>
              </w:rPr>
            </w:pPr>
            <w:r w:rsidRPr="005362A9">
              <w:rPr>
                <w:i/>
                <w:sz w:val="22"/>
                <w:szCs w:val="22"/>
              </w:rPr>
              <w:t>Tel.</w:t>
            </w:r>
          </w:p>
        </w:tc>
        <w:tc>
          <w:tcPr>
            <w:tcW w:w="7688" w:type="dxa"/>
          </w:tcPr>
          <w:p w14:paraId="22CC1931" w14:textId="49FE5AFE" w:rsidR="00532F99" w:rsidRPr="005362A9" w:rsidRDefault="00532F99" w:rsidP="00100EF9">
            <w:pPr>
              <w:overflowPunct w:val="0"/>
              <w:autoSpaceDE w:val="0"/>
              <w:autoSpaceDN w:val="0"/>
              <w:adjustRightInd w:val="0"/>
              <w:textAlignment w:val="baseline"/>
              <w:rPr>
                <w:i/>
                <w:sz w:val="22"/>
                <w:szCs w:val="22"/>
              </w:rPr>
            </w:pPr>
            <w:r w:rsidRPr="005362A9">
              <w:rPr>
                <w:i/>
                <w:sz w:val="22"/>
                <w:szCs w:val="22"/>
              </w:rPr>
              <w:t>+32 25469795</w:t>
            </w:r>
          </w:p>
        </w:tc>
      </w:tr>
      <w:tr w:rsidR="00532F99" w:rsidRPr="005362A9" w14:paraId="20E9D1C8" w14:textId="77777777" w:rsidTr="00D0608D">
        <w:tc>
          <w:tcPr>
            <w:tcW w:w="1526" w:type="dxa"/>
          </w:tcPr>
          <w:p w14:paraId="144E431B" w14:textId="64663E9D" w:rsidR="00532F99" w:rsidRPr="005362A9" w:rsidRDefault="0037319B" w:rsidP="00100EF9">
            <w:pPr>
              <w:overflowPunct w:val="0"/>
              <w:autoSpaceDE w:val="0"/>
              <w:autoSpaceDN w:val="0"/>
              <w:adjustRightInd w:val="0"/>
              <w:textAlignment w:val="baseline"/>
              <w:rPr>
                <w:i/>
                <w:sz w:val="22"/>
                <w:szCs w:val="22"/>
              </w:rPr>
            </w:pPr>
            <w:r w:rsidRPr="005362A9">
              <w:rPr>
                <w:i/>
                <w:sz w:val="22"/>
                <w:szCs w:val="22"/>
              </w:rPr>
              <w:t>E-Mail</w:t>
            </w:r>
          </w:p>
        </w:tc>
        <w:tc>
          <w:tcPr>
            <w:tcW w:w="7688" w:type="dxa"/>
          </w:tcPr>
          <w:p w14:paraId="19710C19" w14:textId="1ECFC656" w:rsidR="00532F99" w:rsidRPr="005362A9" w:rsidRDefault="0035219E" w:rsidP="00100EF9">
            <w:pPr>
              <w:overflowPunct w:val="0"/>
              <w:autoSpaceDE w:val="0"/>
              <w:autoSpaceDN w:val="0"/>
              <w:adjustRightInd w:val="0"/>
              <w:textAlignment w:val="baseline"/>
              <w:rPr>
                <w:i/>
                <w:iCs/>
                <w:sz w:val="22"/>
                <w:szCs w:val="22"/>
              </w:rPr>
            </w:pPr>
            <w:hyperlink r:id="rId26" w:history="1">
              <w:r w:rsidR="00E235D3" w:rsidRPr="005362A9">
                <w:rPr>
                  <w:i/>
                  <w:color w:val="0000FF"/>
                  <w:sz w:val="22"/>
                  <w:szCs w:val="22"/>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718F1B93" w:rsidR="007652C3" w:rsidRPr="007652C3" w:rsidRDefault="0035219E" w:rsidP="00100EF9">
      <w:pPr>
        <w:widowControl w:val="0"/>
        <w:numPr>
          <w:ilvl w:val="0"/>
          <w:numId w:val="6"/>
        </w:numPr>
        <w:overflowPunct w:val="0"/>
        <w:autoSpaceDE w:val="0"/>
        <w:autoSpaceDN w:val="0"/>
        <w:adjustRightInd w:val="0"/>
        <w:ind w:hanging="567"/>
        <w:textAlignment w:val="baseline"/>
        <w:rPr>
          <w:b/>
          <w:i/>
          <w:iCs/>
          <w:sz w:val="28"/>
          <w:szCs w:val="28"/>
        </w:rPr>
      </w:pPr>
      <w:hyperlink r:id="rId27" w:history="1">
        <w:r w:rsidR="00E235D3">
          <w:rPr>
            <w:b/>
            <w:i/>
            <w:color w:val="0000FF"/>
            <w:sz w:val="28"/>
            <w:u w:val="single"/>
          </w:rPr>
          <w:t>Überarbeitung der Richtlinie über die Besteuerung von Tabakwaren</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7652C3" w:rsidRPr="005362A9" w14:paraId="4B4C09EE" w14:textId="77777777" w:rsidTr="00D0608D">
        <w:tc>
          <w:tcPr>
            <w:tcW w:w="1526" w:type="dxa"/>
          </w:tcPr>
          <w:p w14:paraId="074AAFB4" w14:textId="77777777" w:rsidR="007652C3" w:rsidRPr="005362A9" w:rsidRDefault="007652C3"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7547" w:type="dxa"/>
          </w:tcPr>
          <w:p w14:paraId="574348C8" w14:textId="1A21DC9A" w:rsidR="00FC4D6F" w:rsidRPr="005362A9" w:rsidRDefault="007652C3"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Matteo Carlo BORSANI (Gruppe Arbeitgeber – IT)</w:t>
            </w:r>
          </w:p>
        </w:tc>
      </w:tr>
      <w:tr w:rsidR="00205469" w:rsidRPr="005362A9" w14:paraId="6586AC35" w14:textId="77777777" w:rsidTr="005362A9">
        <w:trPr>
          <w:trHeight w:val="70"/>
        </w:trPr>
        <w:tc>
          <w:tcPr>
            <w:tcW w:w="1526" w:type="dxa"/>
          </w:tcPr>
          <w:p w14:paraId="6C41B8BD"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rPr>
            </w:pPr>
          </w:p>
        </w:tc>
        <w:tc>
          <w:tcPr>
            <w:tcW w:w="7547" w:type="dxa"/>
          </w:tcPr>
          <w:p w14:paraId="30591BA7" w14:textId="77777777" w:rsidR="00205469" w:rsidRPr="005362A9" w:rsidRDefault="00205469" w:rsidP="00100EF9">
            <w:pPr>
              <w:tabs>
                <w:tab w:val="center" w:pos="284"/>
              </w:tabs>
              <w:overflowPunct w:val="0"/>
              <w:autoSpaceDE w:val="0"/>
              <w:autoSpaceDN w:val="0"/>
              <w:adjustRightInd w:val="0"/>
              <w:ind w:left="266" w:hanging="266"/>
              <w:textAlignment w:val="baseline"/>
              <w:rPr>
                <w:bCs/>
                <w:sz w:val="22"/>
                <w:szCs w:val="22"/>
              </w:rPr>
            </w:pPr>
          </w:p>
        </w:tc>
      </w:tr>
      <w:tr w:rsidR="007652C3" w:rsidRPr="005362A9" w14:paraId="2243F74F" w14:textId="77777777" w:rsidTr="00D0608D">
        <w:tc>
          <w:tcPr>
            <w:tcW w:w="1526" w:type="dxa"/>
          </w:tcPr>
          <w:p w14:paraId="3F25D12B" w14:textId="77777777" w:rsidR="007652C3" w:rsidRPr="005362A9" w:rsidRDefault="007652C3"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Referenzdokumente</w:t>
            </w:r>
          </w:p>
        </w:tc>
        <w:tc>
          <w:tcPr>
            <w:tcW w:w="7547" w:type="dxa"/>
          </w:tcPr>
          <w:p w14:paraId="28D63311" w14:textId="2018BFB6" w:rsidR="007652C3" w:rsidRPr="005362A9" w:rsidRDefault="007652C3"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COM(2025) 580 final</w:t>
            </w:r>
          </w:p>
          <w:p w14:paraId="3C71E1DA" w14:textId="707F72B2" w:rsidR="007652C3" w:rsidRPr="005362A9" w:rsidRDefault="007652C3"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COM(2025) 581 final</w:t>
            </w:r>
          </w:p>
          <w:p w14:paraId="77F23764" w14:textId="645FFEBD" w:rsidR="007652C3" w:rsidRPr="005362A9" w:rsidRDefault="007652C3"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EESC-2025-02514-00-00-AC</w:t>
            </w:r>
          </w:p>
        </w:tc>
      </w:tr>
    </w:tbl>
    <w:p w14:paraId="24734E78" w14:textId="77777777" w:rsidR="007652C3" w:rsidRPr="00153E09" w:rsidRDefault="007652C3" w:rsidP="00100EF9">
      <w:pPr>
        <w:tabs>
          <w:tab w:val="center" w:pos="284"/>
        </w:tabs>
        <w:overflowPunct w:val="0"/>
        <w:autoSpaceDE w:val="0"/>
        <w:autoSpaceDN w:val="0"/>
        <w:adjustRightInd w:val="0"/>
        <w:ind w:left="266" w:hanging="266"/>
        <w:textAlignment w:val="baseline"/>
        <w:rPr>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761660A5" w14:textId="77777777" w:rsidR="007652C3" w:rsidRPr="005362A9" w:rsidRDefault="007652C3" w:rsidP="00100EF9">
      <w:pPr>
        <w:tabs>
          <w:tab w:val="center" w:pos="284"/>
        </w:tabs>
        <w:overflowPunct w:val="0"/>
        <w:autoSpaceDE w:val="0"/>
        <w:autoSpaceDN w:val="0"/>
        <w:adjustRightInd w:val="0"/>
        <w:ind w:left="266" w:hanging="266"/>
        <w:textAlignment w:val="baseline"/>
        <w:rPr>
          <w:bCs/>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Der EWSA:</w:t>
      </w:r>
    </w:p>
    <w:p w14:paraId="3447BDD3" w14:textId="77777777" w:rsidR="007652C3" w:rsidRPr="00205469" w:rsidRDefault="007652C3" w:rsidP="007526DA">
      <w:pPr>
        <w:pStyle w:val="ListParagraph"/>
        <w:numPr>
          <w:ilvl w:val="0"/>
          <w:numId w:val="30"/>
        </w:numPr>
        <w:ind w:left="567" w:hanging="567"/>
      </w:pPr>
      <w:r>
        <w:rPr>
          <w:b/>
        </w:rPr>
        <w:t>unterstützt</w:t>
      </w:r>
      <w:r>
        <w:t xml:space="preserve"> die Überarbeitung der Richtlinie über die Besteuerung von Tabakwaren und erkennt an, dass der Verbrauchsteuerrahmen an Marktentwicklungen, neue Produkte und Ziele im Bereich der öffentlichen Gesundheit angepasst werden muss; betont jedoch, dass die Reform verhältnismäßig, vorhersehbar und wirtschaftlich tragfähig bleiben muss;</w:t>
      </w:r>
    </w:p>
    <w:p w14:paraId="3F4A26E3" w14:textId="77777777" w:rsidR="007652C3" w:rsidRPr="00205469" w:rsidRDefault="007652C3" w:rsidP="007526DA">
      <w:pPr>
        <w:pStyle w:val="ListParagraph"/>
        <w:numPr>
          <w:ilvl w:val="0"/>
          <w:numId w:val="30"/>
        </w:numPr>
        <w:ind w:left="567" w:hanging="567"/>
      </w:pPr>
      <w:bookmarkStart w:id="15" w:name="_Toc222825827"/>
      <w:r>
        <w:rPr>
          <w:b/>
        </w:rPr>
        <w:t>warnt</w:t>
      </w:r>
      <w:r>
        <w:t xml:space="preserve"> vor abrupten oder übermäßigen Erhöhungen der Verbrauchsteuern, da diese zu einer Zunahme des illegalen Handels und in der Folge zu einem Verlust von Steuereinnahmen und zu negativen Entwicklungen im Bereich der öffentlichen Gesundheit führen könnten; </w:t>
      </w:r>
      <w:r>
        <w:rPr>
          <w:b/>
        </w:rPr>
        <w:t>empfiehlt</w:t>
      </w:r>
      <w:r>
        <w:t xml:space="preserve"> daher eine schrittweise Anpassung der Verbrauchsteuern, die mit einer verstärkten Strafverfolgung, einer verbesserten Zusammenarbeit im Zollbereich und grenzüberschreitenden Maßnahmen zur Bekämpfung des Schmuggels einhergehen sollte;</w:t>
      </w:r>
      <w:bookmarkEnd w:id="15"/>
    </w:p>
    <w:p w14:paraId="1AC2A723" w14:textId="77777777" w:rsidR="007652C3" w:rsidRPr="00205469" w:rsidRDefault="007652C3" w:rsidP="007526DA">
      <w:pPr>
        <w:pStyle w:val="ListParagraph"/>
        <w:numPr>
          <w:ilvl w:val="0"/>
          <w:numId w:val="30"/>
        </w:numPr>
        <w:ind w:left="567" w:hanging="567"/>
      </w:pPr>
      <w:bookmarkStart w:id="16" w:name="_Toc222825828"/>
      <w:r>
        <w:rPr>
          <w:b/>
        </w:rPr>
        <w:t>fordert</w:t>
      </w:r>
      <w:r>
        <w:t xml:space="preserve"> eine konsequente Anwendung einer dem Gesundheitsrisiko entsprechenden Besteuerung. Nicht brennbare Produkte und Erzeugnisse mit geringerem Risiko sollten nicht gleich besteuert werden wie brennbare Tabakerzeugnisse – dies entspricht auch dem Grundsatz „weniger Schaden, weniger Steuern“ und den Zielen von Europas Plan gegen den Krebs;</w:t>
      </w:r>
      <w:bookmarkEnd w:id="16"/>
    </w:p>
    <w:p w14:paraId="3892A6EF" w14:textId="77777777" w:rsidR="007652C3" w:rsidRPr="00205469" w:rsidRDefault="007652C3" w:rsidP="007526DA">
      <w:pPr>
        <w:pStyle w:val="ListParagraph"/>
        <w:numPr>
          <w:ilvl w:val="0"/>
          <w:numId w:val="30"/>
        </w:numPr>
        <w:ind w:left="567" w:hanging="567"/>
      </w:pPr>
      <w:bookmarkStart w:id="17" w:name="_Toc222825829"/>
      <w:r>
        <w:rPr>
          <w:b/>
        </w:rPr>
        <w:t>empfiehlt</w:t>
      </w:r>
      <w:r>
        <w:t>, die Rechtsklarheit zu verbessern und die Produktdefinitionen zu harmonisieren, insbesondere indem erhitzte Tabakerzeugnisse ausdrücklich definiert werden, sie klar von brennbaren Erzeugnissen unterschieden werden;</w:t>
      </w:r>
      <w:bookmarkEnd w:id="17"/>
    </w:p>
    <w:p w14:paraId="6D1AE1A8" w14:textId="77777777" w:rsidR="007652C3" w:rsidRPr="00205469" w:rsidRDefault="007652C3" w:rsidP="007526DA">
      <w:pPr>
        <w:pStyle w:val="ListParagraph"/>
        <w:numPr>
          <w:ilvl w:val="0"/>
          <w:numId w:val="30"/>
        </w:numPr>
        <w:ind w:left="567" w:hanging="567"/>
      </w:pPr>
      <w:bookmarkStart w:id="18" w:name="_Toc222825830"/>
      <w:r>
        <w:rPr>
          <w:b/>
        </w:rPr>
        <w:t>ersucht</w:t>
      </w:r>
      <w:r>
        <w:t xml:space="preserve"> die Kommission, die Kohärenz zwischen den Begriffsbestimmungen für verbrauchsteuerpflichtige Erzeugnisse und den in der Kombinierten Nomenklatur (KN) enthaltenen Begriffsbestimmungen zu verbessern. Dafür sollten aktualisierte Entsprechungstabellen geführt und Auslegungsleitlinien bereitgestellt werden, wenn sich Änderungen der zolltariflichen Einreihung auf die Kategorisierung von verbrauchsteuerpflichtigen Erzeugnissen auswirken;</w:t>
      </w:r>
      <w:bookmarkEnd w:id="18"/>
    </w:p>
    <w:p w14:paraId="3B4FEB22" w14:textId="77777777" w:rsidR="007652C3" w:rsidRPr="00205469" w:rsidRDefault="007652C3" w:rsidP="007526DA">
      <w:pPr>
        <w:pStyle w:val="ListParagraph"/>
        <w:numPr>
          <w:ilvl w:val="0"/>
          <w:numId w:val="30"/>
        </w:numPr>
        <w:ind w:left="567" w:hanging="567"/>
      </w:pPr>
      <w:bookmarkStart w:id="19" w:name="_Toc222825831"/>
      <w:r>
        <w:rPr>
          <w:b/>
        </w:rPr>
        <w:t>fordert</w:t>
      </w:r>
      <w:r>
        <w:t xml:space="preserve"> ausreichende Flexibilität für die Mitgliedstaaten bei den Verbrauchsteuerstrukturen, einschließlich der Möglichkeit, zwischen einer stück- und einer gewichtsabhängigen Besteuerung für erhitzte Tabakerzeugnisse zu wählen, um den nationalen Marktbedingungen Rechnung zu tragen und gleichzeitig die EU-weiten Mindeststeuersätze einzuhalten;</w:t>
      </w:r>
      <w:bookmarkEnd w:id="19"/>
    </w:p>
    <w:p w14:paraId="03FC4FFF" w14:textId="77777777" w:rsidR="007652C3" w:rsidRPr="00205469" w:rsidRDefault="007652C3" w:rsidP="007526DA">
      <w:pPr>
        <w:pStyle w:val="ListParagraph"/>
        <w:numPr>
          <w:ilvl w:val="0"/>
          <w:numId w:val="30"/>
        </w:numPr>
        <w:ind w:left="567" w:hanging="567"/>
      </w:pPr>
      <w:bookmarkStart w:id="20" w:name="_Toc222825832"/>
      <w:r>
        <w:rPr>
          <w:b/>
        </w:rPr>
        <w:t>fordert</w:t>
      </w:r>
      <w:r>
        <w:t xml:space="preserve"> eine groß angelegte Bestandsaufnahme der bestehenden Arbeitsplätze und Qualifikationen in diesem Sektor, begleitet von einer Bewertung der möglichen mittel- und langfristigen Auswirkungen des Vorschlags, insbesondere klarer Prognosen für den Bereich Beschäftigung;</w:t>
      </w:r>
      <w:bookmarkEnd w:id="20"/>
    </w:p>
    <w:p w14:paraId="0195988C" w14:textId="77777777" w:rsidR="007652C3" w:rsidRPr="00205469" w:rsidRDefault="007652C3" w:rsidP="007526DA">
      <w:pPr>
        <w:pStyle w:val="ListParagraph"/>
        <w:numPr>
          <w:ilvl w:val="0"/>
          <w:numId w:val="30"/>
        </w:numPr>
        <w:ind w:left="567" w:hanging="567"/>
      </w:pPr>
      <w:bookmarkStart w:id="21" w:name="_Toc222825833"/>
      <w:r>
        <w:rPr>
          <w:b/>
        </w:rPr>
        <w:t>fordert</w:t>
      </w:r>
      <w:r>
        <w:t xml:space="preserve"> im Einklang mit dem Subsidiaritätsprinzip und der Steuerhoheit der Mitgliedstaaten Zurückhaltung und Vorhersehbarkeit bei der Verwendung delegierter Rechtsakte, die strikt auf technische Inflationsanpassungen beschränkt sein sollten.</w:t>
      </w:r>
      <w:bookmarkEnd w:id="21"/>
    </w:p>
    <w:p w14:paraId="6309DB18" w14:textId="77777777" w:rsidR="007652C3" w:rsidRPr="00B922EA" w:rsidRDefault="007652C3" w:rsidP="00100EF9">
      <w:pPr>
        <w:ind w:left="567" w:hanging="567"/>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6"/>
      </w:tblGrid>
      <w:tr w:rsidR="007652C3" w:rsidRPr="005362A9" w14:paraId="7534B913" w14:textId="77777777" w:rsidTr="00D0608D">
        <w:tc>
          <w:tcPr>
            <w:tcW w:w="1526" w:type="dxa"/>
          </w:tcPr>
          <w:p w14:paraId="0C271651" w14:textId="77777777" w:rsidR="007652C3" w:rsidRPr="005362A9" w:rsidRDefault="007652C3" w:rsidP="00100EF9">
            <w:pPr>
              <w:overflowPunct w:val="0"/>
              <w:autoSpaceDE w:val="0"/>
              <w:autoSpaceDN w:val="0"/>
              <w:adjustRightInd w:val="0"/>
              <w:textAlignment w:val="baseline"/>
              <w:rPr>
                <w:i/>
                <w:sz w:val="22"/>
                <w:szCs w:val="22"/>
              </w:rPr>
            </w:pPr>
            <w:r w:rsidRPr="005362A9">
              <w:rPr>
                <w:b/>
                <w:i/>
                <w:sz w:val="22"/>
                <w:szCs w:val="22"/>
              </w:rPr>
              <w:t>Kontakt</w:t>
            </w:r>
          </w:p>
        </w:tc>
        <w:tc>
          <w:tcPr>
            <w:tcW w:w="7546" w:type="dxa"/>
          </w:tcPr>
          <w:p w14:paraId="528FE443" w14:textId="5FF87165" w:rsidR="007652C3" w:rsidRPr="005362A9" w:rsidRDefault="007652C3" w:rsidP="00100EF9">
            <w:pPr>
              <w:overflowPunct w:val="0"/>
              <w:autoSpaceDE w:val="0"/>
              <w:autoSpaceDN w:val="0"/>
              <w:adjustRightInd w:val="0"/>
              <w:textAlignment w:val="baseline"/>
              <w:rPr>
                <w:i/>
                <w:sz w:val="22"/>
                <w:szCs w:val="22"/>
              </w:rPr>
            </w:pPr>
            <w:proofErr w:type="spellStart"/>
            <w:r w:rsidRPr="005362A9">
              <w:rPr>
                <w:i/>
                <w:sz w:val="22"/>
                <w:szCs w:val="22"/>
              </w:rPr>
              <w:t>Jüri</w:t>
            </w:r>
            <w:proofErr w:type="spellEnd"/>
            <w:r w:rsidRPr="005362A9">
              <w:rPr>
                <w:i/>
                <w:sz w:val="22"/>
                <w:szCs w:val="22"/>
              </w:rPr>
              <w:t xml:space="preserve"> </w:t>
            </w:r>
            <w:proofErr w:type="spellStart"/>
            <w:r w:rsidRPr="005362A9">
              <w:rPr>
                <w:i/>
                <w:sz w:val="22"/>
                <w:szCs w:val="22"/>
              </w:rPr>
              <w:t>Soosaar</w:t>
            </w:r>
            <w:proofErr w:type="spellEnd"/>
          </w:p>
        </w:tc>
      </w:tr>
      <w:tr w:rsidR="007652C3" w:rsidRPr="005362A9" w14:paraId="6D9C46AC" w14:textId="77777777" w:rsidTr="00D0608D">
        <w:tc>
          <w:tcPr>
            <w:tcW w:w="1526" w:type="dxa"/>
          </w:tcPr>
          <w:p w14:paraId="02AD0CD6" w14:textId="77777777" w:rsidR="007652C3" w:rsidRPr="005362A9" w:rsidRDefault="007652C3" w:rsidP="00100EF9">
            <w:pPr>
              <w:overflowPunct w:val="0"/>
              <w:autoSpaceDE w:val="0"/>
              <w:autoSpaceDN w:val="0"/>
              <w:adjustRightInd w:val="0"/>
              <w:textAlignment w:val="baseline"/>
              <w:rPr>
                <w:i/>
                <w:sz w:val="22"/>
                <w:szCs w:val="22"/>
              </w:rPr>
            </w:pPr>
            <w:r w:rsidRPr="005362A9">
              <w:rPr>
                <w:i/>
                <w:sz w:val="22"/>
                <w:szCs w:val="22"/>
              </w:rPr>
              <w:t>Tel.</w:t>
            </w:r>
          </w:p>
        </w:tc>
        <w:tc>
          <w:tcPr>
            <w:tcW w:w="7546" w:type="dxa"/>
          </w:tcPr>
          <w:p w14:paraId="43D215D4" w14:textId="14B49C37" w:rsidR="007652C3" w:rsidRPr="005362A9" w:rsidRDefault="007652C3" w:rsidP="00100EF9">
            <w:pPr>
              <w:overflowPunct w:val="0"/>
              <w:autoSpaceDE w:val="0"/>
              <w:autoSpaceDN w:val="0"/>
              <w:adjustRightInd w:val="0"/>
              <w:textAlignment w:val="baseline"/>
              <w:rPr>
                <w:i/>
                <w:sz w:val="22"/>
                <w:szCs w:val="22"/>
              </w:rPr>
            </w:pPr>
            <w:r w:rsidRPr="005362A9">
              <w:rPr>
                <w:i/>
                <w:sz w:val="22"/>
                <w:szCs w:val="22"/>
              </w:rPr>
              <w:t>+32 25469628</w:t>
            </w:r>
          </w:p>
        </w:tc>
      </w:tr>
      <w:tr w:rsidR="007652C3" w:rsidRPr="005362A9" w14:paraId="5C3011C3" w14:textId="77777777" w:rsidTr="00D0608D">
        <w:tc>
          <w:tcPr>
            <w:tcW w:w="1526" w:type="dxa"/>
          </w:tcPr>
          <w:p w14:paraId="1F503178" w14:textId="77777777" w:rsidR="007652C3" w:rsidRPr="005362A9" w:rsidRDefault="007652C3" w:rsidP="00100EF9">
            <w:pPr>
              <w:overflowPunct w:val="0"/>
              <w:autoSpaceDE w:val="0"/>
              <w:autoSpaceDN w:val="0"/>
              <w:adjustRightInd w:val="0"/>
              <w:textAlignment w:val="baseline"/>
              <w:rPr>
                <w:i/>
                <w:sz w:val="22"/>
                <w:szCs w:val="22"/>
              </w:rPr>
            </w:pPr>
            <w:r w:rsidRPr="005362A9">
              <w:rPr>
                <w:i/>
                <w:sz w:val="22"/>
                <w:szCs w:val="22"/>
              </w:rPr>
              <w:t>E-Mail</w:t>
            </w:r>
          </w:p>
        </w:tc>
        <w:tc>
          <w:tcPr>
            <w:tcW w:w="7546" w:type="dxa"/>
          </w:tcPr>
          <w:p w14:paraId="62867B2B" w14:textId="5E2EB6F6" w:rsidR="007652C3" w:rsidRPr="005362A9" w:rsidRDefault="0035219E" w:rsidP="00100EF9">
            <w:pPr>
              <w:overflowPunct w:val="0"/>
              <w:autoSpaceDE w:val="0"/>
              <w:autoSpaceDN w:val="0"/>
              <w:adjustRightInd w:val="0"/>
              <w:textAlignment w:val="baseline"/>
              <w:rPr>
                <w:i/>
                <w:iCs/>
                <w:sz w:val="22"/>
                <w:szCs w:val="22"/>
              </w:rPr>
            </w:pPr>
            <w:hyperlink r:id="rId28" w:history="1">
              <w:r w:rsidR="00E235D3" w:rsidRPr="005362A9">
                <w:rPr>
                  <w:i/>
                  <w:color w:val="0000FF"/>
                  <w:sz w:val="22"/>
                  <w:szCs w:val="22"/>
                  <w:u w:val="single"/>
                </w:rPr>
                <w:t>Juri.Soosaar@eesc.europa.eu</w:t>
              </w:r>
            </w:hyperlink>
          </w:p>
        </w:tc>
      </w:tr>
    </w:tbl>
    <w:p w14:paraId="4982DD98" w14:textId="11429B92" w:rsidR="00302594" w:rsidRDefault="00302594" w:rsidP="00100EF9">
      <w:pPr>
        <w:jc w:val="left"/>
      </w:pPr>
    </w:p>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3103038"/>
      <w:r>
        <w:rPr>
          <w:b/>
        </w:rPr>
        <w:lastRenderedPageBreak/>
        <w:t>BESCHÄFTIGUNG, SOZIALFRAGEN, UNIONSBÜRGERSCHAFT</w:t>
      </w:r>
      <w:bookmarkEnd w:id="22"/>
      <w:bookmarkEnd w:id="23"/>
    </w:p>
    <w:p w14:paraId="4982DD9A" w14:textId="77777777" w:rsidR="004D7AC0" w:rsidRPr="00153E09" w:rsidRDefault="004D7AC0" w:rsidP="00100EF9"/>
    <w:p w14:paraId="095440CA" w14:textId="6E6558FC" w:rsidR="001653D7" w:rsidRPr="001653D7" w:rsidRDefault="0035219E" w:rsidP="00100EF9">
      <w:pPr>
        <w:widowControl w:val="0"/>
        <w:numPr>
          <w:ilvl w:val="0"/>
          <w:numId w:val="6"/>
        </w:numPr>
        <w:ind w:hanging="567"/>
        <w:rPr>
          <w:sz w:val="24"/>
          <w:szCs w:val="24"/>
        </w:rPr>
      </w:pPr>
      <w:hyperlink r:id="rId29" w:history="1">
        <w:r w:rsidR="00E235D3">
          <w:rPr>
            <w:b/>
            <w:i/>
            <w:color w:val="0000FF"/>
            <w:sz w:val="28"/>
            <w:u w:val="single"/>
          </w:rPr>
          <w:t>Unionsunterstützung in den Bereichen Asyl, Migration und Integration, innere Sicherheit sowie integrierte Grenzverwaltung und Visapolitik</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54"/>
      </w:tblGrid>
      <w:tr w:rsidR="001653D7" w:rsidRPr="005362A9" w14:paraId="47B2AE04" w14:textId="77777777" w:rsidTr="005362A9">
        <w:tc>
          <w:tcPr>
            <w:tcW w:w="2093" w:type="dxa"/>
          </w:tcPr>
          <w:p w14:paraId="0F6809D8" w14:textId="4113B348" w:rsidR="001653D7" w:rsidRPr="005362A9" w:rsidRDefault="001653D7" w:rsidP="007526DA">
            <w:pPr>
              <w:tabs>
                <w:tab w:val="center" w:pos="284"/>
              </w:tabs>
              <w:ind w:left="266" w:right="206" w:hanging="374"/>
              <w:rPr>
                <w:b/>
                <w:sz w:val="22"/>
                <w:szCs w:val="22"/>
              </w:rPr>
            </w:pPr>
            <w:r w:rsidRPr="005362A9">
              <w:rPr>
                <w:b/>
                <w:sz w:val="22"/>
                <w:szCs w:val="22"/>
              </w:rPr>
              <w:t>Berichterstatter</w:t>
            </w:r>
          </w:p>
        </w:tc>
        <w:tc>
          <w:tcPr>
            <w:tcW w:w="7054" w:type="dxa"/>
          </w:tcPr>
          <w:p w14:paraId="4C613172" w14:textId="2BD1B530" w:rsidR="001653D7" w:rsidRPr="005362A9" w:rsidRDefault="001653D7" w:rsidP="007526DA">
            <w:pPr>
              <w:tabs>
                <w:tab w:val="center" w:pos="284"/>
              </w:tabs>
              <w:ind w:left="266" w:hanging="374"/>
              <w:rPr>
                <w:sz w:val="22"/>
                <w:szCs w:val="22"/>
              </w:rPr>
            </w:pPr>
            <w:r w:rsidRPr="005362A9">
              <w:rPr>
                <w:sz w:val="22"/>
                <w:szCs w:val="22"/>
              </w:rPr>
              <w:t>José Antonio MORENO DÍAZ (Gruppe Arbeitnehmer – ES)</w:t>
            </w:r>
          </w:p>
        </w:tc>
      </w:tr>
      <w:tr w:rsidR="00205469" w:rsidRPr="005362A9" w14:paraId="60304579" w14:textId="77777777" w:rsidTr="005362A9">
        <w:tc>
          <w:tcPr>
            <w:tcW w:w="2093" w:type="dxa"/>
          </w:tcPr>
          <w:p w14:paraId="2F580098" w14:textId="77777777" w:rsidR="00205469" w:rsidRPr="005362A9" w:rsidRDefault="00205469" w:rsidP="00100EF9">
            <w:pPr>
              <w:tabs>
                <w:tab w:val="center" w:pos="284"/>
              </w:tabs>
              <w:ind w:left="266" w:hanging="374"/>
              <w:rPr>
                <w:b/>
                <w:sz w:val="22"/>
                <w:szCs w:val="22"/>
                <w:lang w:val="es-ES"/>
              </w:rPr>
            </w:pPr>
          </w:p>
        </w:tc>
        <w:tc>
          <w:tcPr>
            <w:tcW w:w="7054" w:type="dxa"/>
          </w:tcPr>
          <w:p w14:paraId="5E1B80FD" w14:textId="77777777" w:rsidR="00205469" w:rsidRPr="005362A9" w:rsidRDefault="00205469" w:rsidP="00100EF9">
            <w:pPr>
              <w:tabs>
                <w:tab w:val="center" w:pos="284"/>
              </w:tabs>
              <w:ind w:left="266" w:hanging="374"/>
              <w:rPr>
                <w:sz w:val="22"/>
                <w:szCs w:val="22"/>
                <w:lang w:val="es-ES"/>
              </w:rPr>
            </w:pPr>
          </w:p>
        </w:tc>
      </w:tr>
      <w:tr w:rsidR="001653D7" w:rsidRPr="005362A9" w14:paraId="396210B3" w14:textId="77777777" w:rsidTr="005362A9">
        <w:tc>
          <w:tcPr>
            <w:tcW w:w="2093" w:type="dxa"/>
          </w:tcPr>
          <w:p w14:paraId="2CCAB3DC" w14:textId="2720B8B9" w:rsidR="001653D7" w:rsidRPr="005362A9" w:rsidRDefault="001653D7" w:rsidP="007526DA">
            <w:pPr>
              <w:tabs>
                <w:tab w:val="center" w:pos="284"/>
              </w:tabs>
              <w:ind w:left="266" w:hanging="374"/>
              <w:rPr>
                <w:b/>
                <w:sz w:val="22"/>
                <w:szCs w:val="22"/>
              </w:rPr>
            </w:pPr>
            <w:r w:rsidRPr="005362A9">
              <w:rPr>
                <w:b/>
                <w:sz w:val="22"/>
                <w:szCs w:val="22"/>
              </w:rPr>
              <w:t>Referenzdokumente</w:t>
            </w:r>
          </w:p>
        </w:tc>
        <w:tc>
          <w:tcPr>
            <w:tcW w:w="7054" w:type="dxa"/>
          </w:tcPr>
          <w:p w14:paraId="7762C1AE" w14:textId="23946629" w:rsidR="001653D7" w:rsidRPr="005362A9" w:rsidRDefault="001653D7" w:rsidP="007526DA">
            <w:pPr>
              <w:tabs>
                <w:tab w:val="center" w:pos="284"/>
              </w:tabs>
              <w:ind w:left="266" w:hanging="374"/>
              <w:rPr>
                <w:sz w:val="22"/>
                <w:szCs w:val="22"/>
              </w:rPr>
            </w:pPr>
            <w:r w:rsidRPr="005362A9">
              <w:rPr>
                <w:sz w:val="22"/>
                <w:szCs w:val="22"/>
              </w:rPr>
              <w:t>COM(2025) 540 final</w:t>
            </w:r>
          </w:p>
          <w:p w14:paraId="22AD2A59" w14:textId="56B0125B" w:rsidR="001653D7" w:rsidRPr="005362A9" w:rsidRDefault="001653D7" w:rsidP="007526DA">
            <w:pPr>
              <w:tabs>
                <w:tab w:val="center" w:pos="284"/>
              </w:tabs>
              <w:ind w:left="266" w:hanging="374"/>
              <w:rPr>
                <w:sz w:val="22"/>
                <w:szCs w:val="22"/>
              </w:rPr>
            </w:pPr>
            <w:r w:rsidRPr="005362A9">
              <w:rPr>
                <w:sz w:val="22"/>
                <w:szCs w:val="22"/>
              </w:rPr>
              <w:t>COM(2025) 541 final</w:t>
            </w:r>
          </w:p>
          <w:p w14:paraId="63B53E3C" w14:textId="5CBBC2DD" w:rsidR="001653D7" w:rsidRPr="005362A9" w:rsidRDefault="001653D7" w:rsidP="00100EF9">
            <w:pPr>
              <w:tabs>
                <w:tab w:val="center" w:pos="284"/>
              </w:tabs>
              <w:ind w:left="266" w:hanging="374"/>
              <w:rPr>
                <w:sz w:val="22"/>
                <w:szCs w:val="22"/>
              </w:rPr>
            </w:pPr>
            <w:r w:rsidRPr="005362A9">
              <w:rPr>
                <w:sz w:val="22"/>
                <w:szCs w:val="22"/>
              </w:rPr>
              <w:t>COM(2025) 542 final</w:t>
            </w:r>
          </w:p>
          <w:p w14:paraId="683E4ECE" w14:textId="10942A06" w:rsidR="00205469" w:rsidRPr="005362A9" w:rsidRDefault="00205469" w:rsidP="00100EF9">
            <w:pPr>
              <w:tabs>
                <w:tab w:val="center" w:pos="284"/>
              </w:tabs>
              <w:ind w:left="266" w:hanging="374"/>
              <w:rPr>
                <w:sz w:val="22"/>
                <w:szCs w:val="22"/>
              </w:rPr>
            </w:pPr>
            <w:r w:rsidRPr="005362A9">
              <w:rPr>
                <w:sz w:val="22"/>
                <w:szCs w:val="22"/>
              </w:rPr>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Pr>
          <w:b/>
        </w:rPr>
        <w:t>Kernaussagen</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t>Der EWSA:</w:t>
      </w:r>
    </w:p>
    <w:p w14:paraId="2EB60443" w14:textId="77777777" w:rsidR="001653D7" w:rsidRPr="001653D7" w:rsidRDefault="001653D7" w:rsidP="007526DA">
      <w:pPr>
        <w:numPr>
          <w:ilvl w:val="0"/>
          <w:numId w:val="19"/>
        </w:numPr>
        <w:ind w:left="567" w:hanging="567"/>
        <w:contextualSpacing/>
        <w:rPr>
          <w:bCs/>
          <w:iCs/>
        </w:rPr>
      </w:pPr>
      <w:r>
        <w:t>betont, dass die EU dringend eine Einwanderungspolitik benötigt, die legale, sichere und wirksame Zugangswege für die Einwanderung in die EU bietet. Dieser Standpunkt steht im Einklang mit früheren Stellungnahmen des EWSA, in denen er betont hat, wie wichtig es ist, legale Wege in die EU zu gewährleisten, die Grundrechte von Migrantinnen und Migranten zu schützen und die Steuerung der Mobilität innerhalb der EU zu verbessern;</w:t>
      </w:r>
    </w:p>
    <w:p w14:paraId="17CE5961" w14:textId="77777777" w:rsidR="001653D7" w:rsidRPr="001653D7" w:rsidRDefault="001653D7" w:rsidP="007526DA">
      <w:pPr>
        <w:numPr>
          <w:ilvl w:val="0"/>
          <w:numId w:val="19"/>
        </w:numPr>
        <w:ind w:left="567" w:hanging="567"/>
        <w:contextualSpacing/>
        <w:rPr>
          <w:bCs/>
          <w:iCs/>
        </w:rPr>
      </w:pPr>
      <w:r>
        <w:t>merkt an, dass die drei Verordnungen zusammengenommen eine strukturelle Neuausrichtung der EU-Prioritäten und eine deutliche Verlagerung hin zu Kontrolle und Sicherheit erkennen lassen. Durch den starken Fokus auf die innere und äußere Sicherheit werden Maßnahmen zur Unterstützung der Integration und Inklusion tendenziell außer Acht gelassen; unterstreicht, dass die Migrationspolitik nicht auf einen sicherheitsorientierten Ansatz reduziert werden darf;</w:t>
      </w:r>
    </w:p>
    <w:p w14:paraId="6247AC50" w14:textId="77777777" w:rsidR="001653D7" w:rsidRPr="001653D7" w:rsidRDefault="001653D7" w:rsidP="007526DA">
      <w:pPr>
        <w:numPr>
          <w:ilvl w:val="0"/>
          <w:numId w:val="19"/>
        </w:numPr>
        <w:ind w:left="567" w:hanging="567"/>
        <w:contextualSpacing/>
        <w:rPr>
          <w:bCs/>
          <w:iCs/>
        </w:rPr>
      </w:pPr>
      <w:r>
        <w:t>betont, dass für ein gut funktionierendes Migrationssystem ein umfassendes Instrumentarium zur Steuerung der regulären Migration und zur Vermeidung von Unregelmäßigkeiten notwendig ist, das ggf. unter uneingeschränkter Einhaltung des EU-Rechts und des Völkerrechts auch Rückführungsmaßnahmen einschließt. Ein solches Instrumentarium muss aber mit Bedacht und unter Einhaltung der Grundrechte, insbesondere des Rechts auf individuellen Schutz, eingesetzt werden;</w:t>
      </w:r>
    </w:p>
    <w:p w14:paraId="72AA5D3D" w14:textId="77777777" w:rsidR="001653D7" w:rsidRPr="001653D7" w:rsidRDefault="001653D7" w:rsidP="007526DA">
      <w:pPr>
        <w:numPr>
          <w:ilvl w:val="0"/>
          <w:numId w:val="19"/>
        </w:numPr>
        <w:ind w:left="567" w:hanging="567"/>
        <w:contextualSpacing/>
        <w:rPr>
          <w:bCs/>
          <w:iCs/>
        </w:rPr>
      </w:pPr>
      <w:r>
        <w:t>hält es für wesentlich, die unabhängige Überwachung der humanitären Lage sowie der Einhaltung der Grundrechte an den Grenzen durch transparente Berichterstattungsmechanismen zu verbessern;</w:t>
      </w:r>
    </w:p>
    <w:p w14:paraId="0CC7E7BF" w14:textId="77777777" w:rsidR="001653D7" w:rsidRPr="001653D7" w:rsidRDefault="001653D7" w:rsidP="007526DA">
      <w:pPr>
        <w:numPr>
          <w:ilvl w:val="0"/>
          <w:numId w:val="19"/>
        </w:numPr>
        <w:ind w:left="567" w:hanging="567"/>
        <w:contextualSpacing/>
        <w:rPr>
          <w:bCs/>
          <w:iCs/>
        </w:rPr>
      </w:pPr>
      <w:r>
        <w:t>ist der Auffassung, dass bei den drei Verordnungen, die gemeinsam für den Zeitraum 2028–2034 angenommen wurden, ein starker Schwerpunkt auf Sicherheitsmaßnahmen und der Auslagerung von Grenzkontrollen liegt und dies Bedenken hinsichtlich einer möglichen Aushöhlung der Grundrechte aufwirft. Es muss unbedingt sichergestellt werden, dass gleichzeitig die grundlegenden Menschenrechte geschützt werden.</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1653D7" w:rsidRPr="005362A9" w14:paraId="211429B1" w14:textId="77777777" w:rsidTr="00D0608D">
        <w:tc>
          <w:tcPr>
            <w:tcW w:w="821" w:type="pct"/>
          </w:tcPr>
          <w:p w14:paraId="13CD8E19" w14:textId="77777777" w:rsidR="001653D7" w:rsidRPr="005362A9" w:rsidRDefault="001653D7" w:rsidP="00100EF9">
            <w:pPr>
              <w:rPr>
                <w:i/>
                <w:sz w:val="22"/>
                <w:szCs w:val="22"/>
              </w:rPr>
            </w:pPr>
            <w:r w:rsidRPr="005362A9">
              <w:rPr>
                <w:b/>
                <w:i/>
                <w:sz w:val="22"/>
                <w:szCs w:val="22"/>
              </w:rPr>
              <w:t>Kontakt</w:t>
            </w:r>
          </w:p>
        </w:tc>
        <w:tc>
          <w:tcPr>
            <w:tcW w:w="4179" w:type="pct"/>
          </w:tcPr>
          <w:p w14:paraId="4FD1075C" w14:textId="32E95F9F" w:rsidR="001653D7" w:rsidRPr="005362A9" w:rsidRDefault="001653D7" w:rsidP="00100EF9">
            <w:pPr>
              <w:rPr>
                <w:i/>
                <w:sz w:val="22"/>
                <w:szCs w:val="22"/>
              </w:rPr>
            </w:pPr>
            <w:r w:rsidRPr="005362A9">
              <w:rPr>
                <w:i/>
                <w:sz w:val="22"/>
                <w:szCs w:val="22"/>
              </w:rPr>
              <w:t xml:space="preserve">Gemma </w:t>
            </w:r>
            <w:proofErr w:type="spellStart"/>
            <w:r w:rsidRPr="005362A9">
              <w:rPr>
                <w:i/>
                <w:sz w:val="22"/>
                <w:szCs w:val="22"/>
              </w:rPr>
              <w:t>Amran</w:t>
            </w:r>
            <w:proofErr w:type="spellEnd"/>
          </w:p>
        </w:tc>
      </w:tr>
      <w:tr w:rsidR="001653D7" w:rsidRPr="005362A9" w14:paraId="3BC05E8A" w14:textId="77777777" w:rsidTr="00D0608D">
        <w:tc>
          <w:tcPr>
            <w:tcW w:w="821" w:type="pct"/>
          </w:tcPr>
          <w:p w14:paraId="1D9039E7" w14:textId="77777777" w:rsidR="001653D7" w:rsidRPr="005362A9" w:rsidRDefault="001653D7" w:rsidP="00100EF9">
            <w:pPr>
              <w:rPr>
                <w:i/>
                <w:sz w:val="22"/>
                <w:szCs w:val="22"/>
              </w:rPr>
            </w:pPr>
            <w:r w:rsidRPr="005362A9">
              <w:rPr>
                <w:i/>
                <w:sz w:val="22"/>
                <w:szCs w:val="22"/>
              </w:rPr>
              <w:t>Tel.</w:t>
            </w:r>
          </w:p>
        </w:tc>
        <w:tc>
          <w:tcPr>
            <w:tcW w:w="4179" w:type="pct"/>
          </w:tcPr>
          <w:p w14:paraId="410A1B26" w14:textId="0CC1E8ED" w:rsidR="001653D7" w:rsidRPr="005362A9" w:rsidRDefault="001653D7" w:rsidP="00100EF9">
            <w:pPr>
              <w:rPr>
                <w:i/>
                <w:sz w:val="22"/>
                <w:szCs w:val="22"/>
              </w:rPr>
            </w:pPr>
            <w:r w:rsidRPr="005362A9">
              <w:rPr>
                <w:i/>
                <w:sz w:val="22"/>
                <w:szCs w:val="22"/>
              </w:rPr>
              <w:t>+32 25469415</w:t>
            </w:r>
          </w:p>
        </w:tc>
      </w:tr>
      <w:tr w:rsidR="001653D7" w:rsidRPr="005362A9" w14:paraId="653F335D" w14:textId="77777777" w:rsidTr="00D0608D">
        <w:tc>
          <w:tcPr>
            <w:tcW w:w="821" w:type="pct"/>
          </w:tcPr>
          <w:p w14:paraId="5DF7B6E3" w14:textId="77777777" w:rsidR="001653D7" w:rsidRPr="005362A9" w:rsidRDefault="001653D7" w:rsidP="00100EF9">
            <w:pPr>
              <w:rPr>
                <w:i/>
                <w:sz w:val="22"/>
                <w:szCs w:val="22"/>
              </w:rPr>
            </w:pPr>
            <w:r w:rsidRPr="005362A9">
              <w:rPr>
                <w:i/>
                <w:sz w:val="22"/>
                <w:szCs w:val="22"/>
              </w:rPr>
              <w:t>E-Mail</w:t>
            </w:r>
          </w:p>
        </w:tc>
        <w:tc>
          <w:tcPr>
            <w:tcW w:w="4179" w:type="pct"/>
          </w:tcPr>
          <w:p w14:paraId="03300BBE" w14:textId="77777777" w:rsidR="001653D7" w:rsidRPr="005362A9" w:rsidRDefault="0035219E" w:rsidP="00100EF9">
            <w:pPr>
              <w:rPr>
                <w:i/>
                <w:sz w:val="22"/>
                <w:szCs w:val="22"/>
              </w:rPr>
            </w:pPr>
            <w:hyperlink r:id="rId30" w:history="1">
              <w:r w:rsidR="00E235D3" w:rsidRPr="005362A9">
                <w:rPr>
                  <w:i/>
                  <w:color w:val="0000FF"/>
                  <w:sz w:val="22"/>
                  <w:szCs w:val="22"/>
                  <w:u w:val="single"/>
                </w:rPr>
                <w:t>Gemma.Amran@eesc.europa.eu</w:t>
              </w:r>
            </w:hyperlink>
          </w:p>
        </w:tc>
      </w:tr>
    </w:tbl>
    <w:p w14:paraId="4982DDC4" w14:textId="77777777" w:rsidR="004D7AC0" w:rsidRPr="00803CA6" w:rsidRDefault="004D7AC0" w:rsidP="00100EF9">
      <w:pPr>
        <w:pStyle w:val="ListParagraph"/>
        <w:ind w:left="0"/>
      </w:pPr>
    </w:p>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3103039"/>
      <w:r>
        <w:rPr>
          <w:b/>
        </w:rPr>
        <w:lastRenderedPageBreak/>
        <w:t>VERKEHR, ENERGIE, INFRASTRUKTUREN, INFORMATIONSGESELLSCHAFT</w:t>
      </w:r>
      <w:bookmarkEnd w:id="24"/>
      <w:bookmarkEnd w:id="25"/>
      <w:bookmarkEnd w:id="26"/>
    </w:p>
    <w:p w14:paraId="4982DDC7" w14:textId="77777777" w:rsidR="004D7AC0" w:rsidRDefault="004D7AC0" w:rsidP="00100EF9"/>
    <w:p w14:paraId="33F22FD2" w14:textId="0F30A575" w:rsidR="00B55C6C" w:rsidRPr="005362A9" w:rsidRDefault="0035219E" w:rsidP="005362A9">
      <w:pPr>
        <w:widowControl w:val="0"/>
        <w:numPr>
          <w:ilvl w:val="0"/>
          <w:numId w:val="6"/>
        </w:numPr>
        <w:ind w:hanging="567"/>
        <w:jc w:val="left"/>
        <w:rPr>
          <w:sz w:val="28"/>
          <w:szCs w:val="28"/>
        </w:rPr>
      </w:pPr>
      <w:hyperlink r:id="rId31" w:history="1">
        <w:r w:rsidR="00E235D3" w:rsidRPr="005362A9">
          <w:rPr>
            <w:b/>
            <w:i/>
            <w:color w:val="0000FF"/>
            <w:sz w:val="28"/>
            <w:szCs w:val="28"/>
            <w:u w:val="single"/>
          </w:rPr>
          <w:t>Strategie europäische Biowissenschaften/Forschungs- und Technologieinfrastrukturen</w:t>
        </w:r>
        <w:r w:rsidR="005362A9" w:rsidRPr="005362A9">
          <w:rPr>
            <w:b/>
            <w:i/>
            <w:color w:val="0000FF"/>
            <w:sz w:val="28"/>
            <w:szCs w:val="28"/>
            <w:u w:val="single"/>
          </w:rPr>
          <w:t xml:space="preserve"> </w:t>
        </w:r>
        <w:r w:rsidR="00E235D3" w:rsidRPr="005362A9">
          <w:rPr>
            <w:b/>
            <w:i/>
            <w:color w:val="0000FF"/>
            <w:sz w:val="28"/>
            <w:szCs w:val="28"/>
            <w:u w:val="single"/>
          </w:rPr>
          <w:t>– Schwerpunkt seltene Krankheiten</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7276"/>
      </w:tblGrid>
      <w:tr w:rsidR="00B55C6C" w:rsidRPr="005362A9" w14:paraId="2B64E1A2" w14:textId="77777777" w:rsidTr="00D0608D">
        <w:tc>
          <w:tcPr>
            <w:tcW w:w="1673" w:type="dxa"/>
          </w:tcPr>
          <w:p w14:paraId="31E45AAF" w14:textId="77777777" w:rsidR="00B55C6C" w:rsidRPr="005362A9" w:rsidRDefault="00B55C6C" w:rsidP="00100EF9">
            <w:pPr>
              <w:tabs>
                <w:tab w:val="center" w:pos="284"/>
              </w:tabs>
              <w:ind w:left="266" w:hanging="266"/>
              <w:rPr>
                <w:b/>
                <w:sz w:val="22"/>
                <w:szCs w:val="22"/>
              </w:rPr>
            </w:pPr>
            <w:r w:rsidRPr="005362A9">
              <w:rPr>
                <w:b/>
                <w:sz w:val="22"/>
                <w:szCs w:val="22"/>
              </w:rPr>
              <w:t>Berichterstatterin</w:t>
            </w:r>
          </w:p>
        </w:tc>
        <w:tc>
          <w:tcPr>
            <w:tcW w:w="7400" w:type="dxa"/>
          </w:tcPr>
          <w:p w14:paraId="2077B4EE" w14:textId="7CFFDBD7" w:rsidR="0027149A" w:rsidRPr="005362A9" w:rsidRDefault="00B55C6C" w:rsidP="00100EF9">
            <w:pPr>
              <w:tabs>
                <w:tab w:val="center" w:pos="284"/>
              </w:tabs>
              <w:ind w:left="266" w:hanging="266"/>
              <w:rPr>
                <w:sz w:val="22"/>
                <w:szCs w:val="22"/>
              </w:rPr>
            </w:pPr>
            <w:r w:rsidRPr="005362A9">
              <w:rPr>
                <w:sz w:val="22"/>
                <w:szCs w:val="22"/>
              </w:rPr>
              <w:t>Milena ANGELOVA (Gruppe Arbeitgeber – BG)</w:t>
            </w:r>
          </w:p>
        </w:tc>
      </w:tr>
      <w:tr w:rsidR="00205469" w:rsidRPr="005362A9" w14:paraId="035AE27D" w14:textId="77777777" w:rsidTr="00D0608D">
        <w:tc>
          <w:tcPr>
            <w:tcW w:w="1673" w:type="dxa"/>
          </w:tcPr>
          <w:p w14:paraId="582588EB" w14:textId="77777777" w:rsidR="00205469" w:rsidRPr="005362A9" w:rsidRDefault="00205469" w:rsidP="00100EF9">
            <w:pPr>
              <w:tabs>
                <w:tab w:val="center" w:pos="284"/>
              </w:tabs>
              <w:ind w:left="266" w:hanging="266"/>
              <w:rPr>
                <w:b/>
                <w:sz w:val="22"/>
                <w:szCs w:val="22"/>
              </w:rPr>
            </w:pPr>
          </w:p>
        </w:tc>
        <w:tc>
          <w:tcPr>
            <w:tcW w:w="7400" w:type="dxa"/>
          </w:tcPr>
          <w:p w14:paraId="33028952" w14:textId="77777777" w:rsidR="00205469" w:rsidRPr="005362A9" w:rsidRDefault="00205469" w:rsidP="00100EF9">
            <w:pPr>
              <w:tabs>
                <w:tab w:val="center" w:pos="284"/>
              </w:tabs>
              <w:ind w:left="266" w:hanging="266"/>
              <w:rPr>
                <w:sz w:val="22"/>
                <w:szCs w:val="22"/>
              </w:rPr>
            </w:pPr>
          </w:p>
        </w:tc>
      </w:tr>
      <w:tr w:rsidR="00B55C6C" w:rsidRPr="005362A9" w14:paraId="416210B9" w14:textId="77777777" w:rsidTr="00D0608D">
        <w:tc>
          <w:tcPr>
            <w:tcW w:w="1673" w:type="dxa"/>
          </w:tcPr>
          <w:p w14:paraId="5830CF27" w14:textId="77777777" w:rsidR="00B55C6C" w:rsidRPr="005362A9" w:rsidRDefault="00B55C6C" w:rsidP="00100EF9">
            <w:pPr>
              <w:tabs>
                <w:tab w:val="center" w:pos="284"/>
              </w:tabs>
              <w:ind w:left="266" w:hanging="266"/>
              <w:rPr>
                <w:b/>
                <w:sz w:val="22"/>
                <w:szCs w:val="22"/>
              </w:rPr>
            </w:pPr>
            <w:r w:rsidRPr="005362A9">
              <w:rPr>
                <w:b/>
                <w:sz w:val="22"/>
                <w:szCs w:val="22"/>
              </w:rPr>
              <w:t>Referenzdokument</w:t>
            </w:r>
          </w:p>
        </w:tc>
        <w:tc>
          <w:tcPr>
            <w:tcW w:w="7400" w:type="dxa"/>
          </w:tcPr>
          <w:p w14:paraId="6387FA0F" w14:textId="29179DE5" w:rsidR="00B55C6C" w:rsidRPr="005362A9" w:rsidRDefault="00B55C6C" w:rsidP="00100EF9">
            <w:pPr>
              <w:tabs>
                <w:tab w:val="center" w:pos="284"/>
              </w:tabs>
              <w:ind w:left="266" w:right="-108" w:hanging="266"/>
              <w:jc w:val="left"/>
              <w:rPr>
                <w:sz w:val="22"/>
                <w:szCs w:val="22"/>
              </w:rPr>
            </w:pPr>
            <w:r w:rsidRPr="005362A9">
              <w:rPr>
                <w:sz w:val="22"/>
                <w:szCs w:val="22"/>
              </w:rPr>
              <w:t>Sondierungsstellungnahme auf Ersuchen des zyprischen EU-Ratsvorsitzes</w:t>
            </w:r>
          </w:p>
          <w:p w14:paraId="72910B0E" w14:textId="77777777" w:rsidR="00B55C6C" w:rsidRPr="005362A9" w:rsidRDefault="00B55C6C" w:rsidP="00100EF9">
            <w:pPr>
              <w:tabs>
                <w:tab w:val="center" w:pos="284"/>
              </w:tabs>
              <w:ind w:left="266" w:hanging="266"/>
              <w:rPr>
                <w:sz w:val="22"/>
                <w:szCs w:val="22"/>
              </w:rPr>
            </w:pPr>
            <w:r w:rsidRPr="005362A9">
              <w:rPr>
                <w:sz w:val="22"/>
                <w:szCs w:val="22"/>
              </w:rP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Kernaussagen</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Der EWSA:</w:t>
      </w:r>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r>
        <w:rPr>
          <w:color w:val="242424"/>
        </w:rPr>
        <w:t xml:space="preserve">begrüßt die Strategie für europäische Biowissenschaften und betont, dass Europa </w:t>
      </w:r>
      <w:r>
        <w:rPr>
          <w:b/>
          <w:color w:val="242424"/>
        </w:rPr>
        <w:t>im Bereich der Biowissenschaften</w:t>
      </w:r>
      <w:r>
        <w:rPr>
          <w:color w:val="242424"/>
        </w:rPr>
        <w:t xml:space="preserve"> (insbesondere auf dem Gebiet der seltenen Krankheiten und der Genomforschung) </w:t>
      </w:r>
      <w:r>
        <w:rPr>
          <w:b/>
          <w:color w:val="242424"/>
        </w:rPr>
        <w:t>eine weltweite Führungsrolle</w:t>
      </w:r>
      <w:r>
        <w:rPr>
          <w:color w:val="242424"/>
        </w:rPr>
        <w:t xml:space="preserve"> übernehmen kann, wenn ein </w:t>
      </w:r>
      <w:r>
        <w:rPr>
          <w:b/>
          <w:color w:val="242424"/>
        </w:rPr>
        <w:t>ganzheitlicher Ansatz</w:t>
      </w:r>
      <w:r>
        <w:rPr>
          <w:color w:val="242424"/>
        </w:rPr>
        <w:t xml:space="preserve"> verfolgt und ein förderliches Umfeld geschaffen wird.</w:t>
      </w:r>
      <w:r>
        <w:rPr>
          <w:color w:val="242424"/>
          <w:u w:val="single"/>
        </w:rPr>
        <w:t xml:space="preserve"> Dieser ganzheitliche </w:t>
      </w:r>
      <w:r>
        <w:rPr>
          <w:b/>
          <w:color w:val="242424"/>
          <w:u w:val="single"/>
        </w:rPr>
        <w:t>Ansatz</w:t>
      </w:r>
      <w:r>
        <w:rPr>
          <w:color w:val="242424"/>
          <w:u w:val="single"/>
        </w:rPr>
        <w:t xml:space="preserve"> umfasst:</w:t>
      </w:r>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umfassende wissenschaftliche und datengestützte Methoden für die Diagnose und das Verständnis der Ursachen von Krankheiten (z. B. genetische Faktoren, ungesunde Gewohnheiten und Lebensweisen, Umweltverschmutzung, Stress usw.);</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die Verbreitung von Informationen über Prävention und Frühdiagnose;</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Vorsorge und eine wirksame und zugängliche Behandlung;</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eine hochwertige Versorgung und zugängliche Unterstützungsinfrastrukturen für Patientinnen und Patienten und ihre Familien;</w:t>
      </w:r>
    </w:p>
    <w:p w14:paraId="65EEE98A" w14:textId="7EA1C342"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unterstützt die Forderung des Europäischen Parlaments, zügig einen </w:t>
      </w:r>
      <w:hyperlink r:id="rId32">
        <w:r>
          <w:rPr>
            <w:b/>
            <w:color w:val="242424"/>
            <w:u w:val="single"/>
          </w:rPr>
          <w:t>EU-Aktionsplan für seltene Krankheiten</w:t>
        </w:r>
      </w:hyperlink>
      <w:r>
        <w:t xml:space="preserve"> anzunehmen. Hierzu sollte u. a. der </w:t>
      </w:r>
      <w:hyperlink r:id="rId33">
        <w:r>
          <w:rPr>
            <w:b/>
            <w:color w:val="242424"/>
            <w:u w:val="single"/>
          </w:rPr>
          <w:t>Aufruf von Tartu für eine gesunde Lebensweise</w:t>
        </w:r>
      </w:hyperlink>
      <w:r>
        <w:t xml:space="preserve"> neu belebt und weiterentwickelt und das </w:t>
      </w:r>
      <w:hyperlink r:id="rId34">
        <w:r>
          <w:rPr>
            <w:b/>
            <w:color w:val="242424"/>
            <w:u w:val="single"/>
          </w:rPr>
          <w:t>Konzept „Eine Gesundheit“</w:t>
        </w:r>
      </w:hyperlink>
      <w:r>
        <w:t xml:space="preserve"> einbezogen werden;</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hält Forschungs- und Technologieinfrastrukturen (auch mit Schwerpunkt auf seltenen Krankheiten) für einen wichtigen Faktor für die Entwicklung der Biowissenschaften und der Langlebigkeitswirtschaft und ist der Ansicht, dass sie die </w:t>
      </w:r>
      <w:r>
        <w:rPr>
          <w:b/>
          <w:color w:val="242424"/>
        </w:rPr>
        <w:t>gesamte Kultur der Langlebigkeit</w:t>
      </w:r>
      <w:r>
        <w:rPr>
          <w:color w:val="242424"/>
        </w:rPr>
        <w:t xml:space="preserve"> (einschließlich Prävention, gesunder Ernährung, Lebenswandel, </w:t>
      </w:r>
      <w:proofErr w:type="spellStart"/>
      <w:r>
        <w:rPr>
          <w:color w:val="242424"/>
        </w:rPr>
        <w:t>Balneo</w:t>
      </w:r>
      <w:proofErr w:type="spellEnd"/>
      <w:r>
        <w:rPr>
          <w:color w:val="242424"/>
        </w:rPr>
        <w:t>-Behandlungen und Entspannung, körperlicher und geistiger Gesundheit und vieler anderer Aspekte) umfassen und über die Diagnose und Behandlung von Krankheiten hinausgehen sollten;</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empfiehlt, in allen Mitgliedstaaten </w:t>
      </w:r>
      <w:r>
        <w:rPr>
          <w:b/>
          <w:color w:val="242424"/>
        </w:rPr>
        <w:t>auf seltene Krankheiten spezialisierte Zentren für translationale Forschung</w:t>
      </w:r>
      <w:r>
        <w:rPr>
          <w:color w:val="242424"/>
        </w:rPr>
        <w:t xml:space="preserve"> einzurichten, die zur Gewährleistung der Kohärenz auf EU-Ebene koordiniert werden;</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macht deutlich, dass Europäische Partnerschaften entscheidend für die Förderung einer sinnvollen strukturierten Einbeziehung des gesamten Spektrums der Interessenträger sind und fordert formalisierte Mechanismen für deren Beteiligung.</w:t>
      </w:r>
    </w:p>
    <w:p w14:paraId="007C9EE2" w14:textId="77777777"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plädiert für eine </w:t>
      </w:r>
      <w:r>
        <w:rPr>
          <w:b/>
          <w:color w:val="242424"/>
        </w:rPr>
        <w:t>verpflichtende Vertretung von Patientenorganisationen, Sozialpartnern und Organisationen der Zivilgesellschaft in Leitungsgremien</w:t>
      </w:r>
      <w:r>
        <w:rPr>
          <w:color w:val="242424"/>
        </w:rPr>
        <w:t xml:space="preserve">, die durch eine strukturierte, transparente und systematische Einbeziehung die Festlegung von Prioritäten und Datenprotokollen, Anforderungen an die Transparenz von Entscheidungen und bei der </w:t>
      </w:r>
      <w:r>
        <w:rPr>
          <w:color w:val="242424"/>
        </w:rPr>
        <w:lastRenderedPageBreak/>
        <w:t>Datennutzung sowie ein Verfahren ermöglicht, mit dem sichergestellt wird, dass ihre Beiträge wirksam einbezogen werden.</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5362A9" w14:paraId="1B7BB807" w14:textId="77777777" w:rsidTr="00D0608D">
        <w:tc>
          <w:tcPr>
            <w:tcW w:w="1668" w:type="dxa"/>
          </w:tcPr>
          <w:p w14:paraId="28C13E10" w14:textId="77777777" w:rsidR="00B55C6C" w:rsidRPr="005362A9" w:rsidRDefault="00B55C6C" w:rsidP="00100EF9">
            <w:pPr>
              <w:rPr>
                <w:i/>
                <w:sz w:val="22"/>
                <w:szCs w:val="22"/>
              </w:rPr>
            </w:pPr>
            <w:r w:rsidRPr="005362A9">
              <w:rPr>
                <w:b/>
                <w:i/>
                <w:sz w:val="22"/>
                <w:szCs w:val="22"/>
              </w:rPr>
              <w:t>Kontakt</w:t>
            </w:r>
          </w:p>
        </w:tc>
        <w:tc>
          <w:tcPr>
            <w:tcW w:w="7404" w:type="dxa"/>
          </w:tcPr>
          <w:p w14:paraId="1876AA9B" w14:textId="77777777" w:rsidR="00B55C6C" w:rsidRPr="005362A9" w:rsidRDefault="00B55C6C" w:rsidP="00100EF9">
            <w:pPr>
              <w:rPr>
                <w:i/>
                <w:sz w:val="22"/>
                <w:szCs w:val="22"/>
              </w:rPr>
            </w:pPr>
            <w:r w:rsidRPr="005362A9">
              <w:rPr>
                <w:i/>
                <w:sz w:val="22"/>
                <w:szCs w:val="22"/>
              </w:rPr>
              <w:t xml:space="preserve">Konstantina </w:t>
            </w:r>
            <w:proofErr w:type="spellStart"/>
            <w:r w:rsidRPr="005362A9">
              <w:rPr>
                <w:i/>
                <w:sz w:val="22"/>
                <w:szCs w:val="22"/>
              </w:rPr>
              <w:t>Angelopoulou</w:t>
            </w:r>
            <w:proofErr w:type="spellEnd"/>
          </w:p>
        </w:tc>
      </w:tr>
      <w:tr w:rsidR="00B55C6C" w:rsidRPr="005362A9" w14:paraId="3A6228E8" w14:textId="77777777" w:rsidTr="00D0608D">
        <w:tc>
          <w:tcPr>
            <w:tcW w:w="1668" w:type="dxa"/>
          </w:tcPr>
          <w:p w14:paraId="744FB576" w14:textId="77777777" w:rsidR="00B55C6C" w:rsidRPr="005362A9" w:rsidRDefault="00B55C6C" w:rsidP="00100EF9">
            <w:pPr>
              <w:rPr>
                <w:i/>
                <w:sz w:val="22"/>
                <w:szCs w:val="22"/>
              </w:rPr>
            </w:pPr>
            <w:r w:rsidRPr="005362A9">
              <w:rPr>
                <w:i/>
                <w:sz w:val="22"/>
                <w:szCs w:val="22"/>
              </w:rPr>
              <w:t>Tel.</w:t>
            </w:r>
          </w:p>
        </w:tc>
        <w:tc>
          <w:tcPr>
            <w:tcW w:w="7404" w:type="dxa"/>
          </w:tcPr>
          <w:p w14:paraId="30F176AA" w14:textId="69662FEA" w:rsidR="00B55C6C" w:rsidRPr="005362A9" w:rsidRDefault="00B55C6C" w:rsidP="00100EF9">
            <w:pPr>
              <w:rPr>
                <w:i/>
                <w:sz w:val="22"/>
                <w:szCs w:val="22"/>
              </w:rPr>
            </w:pPr>
            <w:r w:rsidRPr="005362A9">
              <w:rPr>
                <w:i/>
                <w:sz w:val="22"/>
                <w:szCs w:val="22"/>
              </w:rPr>
              <w:t>+32 25469747</w:t>
            </w:r>
          </w:p>
        </w:tc>
      </w:tr>
      <w:tr w:rsidR="00B55C6C" w:rsidRPr="005362A9" w14:paraId="3F5E6411" w14:textId="77777777" w:rsidTr="00D0608D">
        <w:tc>
          <w:tcPr>
            <w:tcW w:w="1668" w:type="dxa"/>
          </w:tcPr>
          <w:p w14:paraId="62C81B41" w14:textId="1E9E1B5D" w:rsidR="00B55C6C" w:rsidRPr="005362A9" w:rsidRDefault="00256B74" w:rsidP="00100EF9">
            <w:pPr>
              <w:rPr>
                <w:i/>
                <w:sz w:val="22"/>
                <w:szCs w:val="22"/>
              </w:rPr>
            </w:pPr>
            <w:r w:rsidRPr="005362A9">
              <w:rPr>
                <w:i/>
                <w:sz w:val="22"/>
                <w:szCs w:val="22"/>
              </w:rPr>
              <w:t>E-Mail</w:t>
            </w:r>
          </w:p>
        </w:tc>
        <w:tc>
          <w:tcPr>
            <w:tcW w:w="7404" w:type="dxa"/>
          </w:tcPr>
          <w:p w14:paraId="31CA77B0" w14:textId="77777777" w:rsidR="00B55C6C" w:rsidRPr="005362A9" w:rsidRDefault="0035219E" w:rsidP="00100EF9">
            <w:pPr>
              <w:rPr>
                <w:i/>
                <w:iCs/>
                <w:sz w:val="22"/>
                <w:szCs w:val="22"/>
              </w:rPr>
            </w:pPr>
            <w:hyperlink r:id="rId35" w:history="1">
              <w:r w:rsidR="00E235D3" w:rsidRPr="005362A9">
                <w:rPr>
                  <w:i/>
                  <w:color w:val="0000FF"/>
                  <w:sz w:val="22"/>
                  <w:szCs w:val="22"/>
                  <w:u w:val="single"/>
                </w:rPr>
                <w:t>Konstantina.Angelopoulou@eesc.europa.eu</w:t>
              </w:r>
            </w:hyperlink>
          </w:p>
        </w:tc>
      </w:tr>
    </w:tbl>
    <w:p w14:paraId="4982DDF1" w14:textId="3CAFEF7D" w:rsidR="00EE1B31" w:rsidRDefault="00EE1B31" w:rsidP="00100EF9">
      <w:pPr>
        <w:pStyle w:val="ListParagraph"/>
        <w:ind w:left="0"/>
      </w:pPr>
    </w:p>
    <w:p w14:paraId="4483536B" w14:textId="77777777" w:rsidR="00EE1B31" w:rsidRDefault="00EE1B31" w:rsidP="00100EF9">
      <w:pPr>
        <w:jc w:val="left"/>
      </w:pPr>
      <w:r>
        <w:br w:type="page"/>
      </w:r>
    </w:p>
    <w:p w14:paraId="20E4C813" w14:textId="328C87C4" w:rsidR="00594237" w:rsidRPr="00594237" w:rsidRDefault="0035219E" w:rsidP="00100EF9">
      <w:pPr>
        <w:widowControl w:val="0"/>
        <w:numPr>
          <w:ilvl w:val="0"/>
          <w:numId w:val="6"/>
        </w:numPr>
        <w:overflowPunct w:val="0"/>
        <w:autoSpaceDE w:val="0"/>
        <w:autoSpaceDN w:val="0"/>
        <w:adjustRightInd w:val="0"/>
        <w:ind w:hanging="567"/>
        <w:textAlignment w:val="baseline"/>
        <w:rPr>
          <w:sz w:val="20"/>
          <w:szCs w:val="20"/>
        </w:rPr>
      </w:pPr>
      <w:hyperlink r:id="rId36" w:history="1">
        <w:r w:rsidR="00E235D3">
          <w:rPr>
            <w:b/>
            <w:i/>
            <w:color w:val="0000FF"/>
            <w:sz w:val="28"/>
            <w:u w:val="single"/>
          </w:rPr>
          <w:t>Energieverbund und Stromnetze</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7276"/>
      </w:tblGrid>
      <w:tr w:rsidR="00594237" w:rsidRPr="005362A9" w14:paraId="0B3E8F32" w14:textId="77777777" w:rsidTr="00D0608D">
        <w:tc>
          <w:tcPr>
            <w:tcW w:w="1668" w:type="dxa"/>
          </w:tcPr>
          <w:p w14:paraId="3305D113" w14:textId="77777777" w:rsidR="00594237" w:rsidRPr="005362A9" w:rsidRDefault="00594237"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7405" w:type="dxa"/>
          </w:tcPr>
          <w:p w14:paraId="01328C57" w14:textId="544140E5" w:rsidR="00F172E5" w:rsidRPr="005362A9" w:rsidRDefault="00594237"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Christophe BÉGUINET (Gruppe Arbeitnehmer – FR)</w:t>
            </w:r>
          </w:p>
        </w:tc>
      </w:tr>
      <w:tr w:rsidR="00205469" w:rsidRPr="005362A9" w14:paraId="4D1871B6" w14:textId="77777777" w:rsidTr="00D0608D">
        <w:tc>
          <w:tcPr>
            <w:tcW w:w="1668" w:type="dxa"/>
          </w:tcPr>
          <w:p w14:paraId="589D2486"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rPr>
            </w:pPr>
          </w:p>
        </w:tc>
        <w:tc>
          <w:tcPr>
            <w:tcW w:w="7405" w:type="dxa"/>
          </w:tcPr>
          <w:p w14:paraId="1F8F0751" w14:textId="77777777" w:rsidR="00205469" w:rsidRPr="005362A9" w:rsidRDefault="00205469" w:rsidP="00100EF9">
            <w:pPr>
              <w:tabs>
                <w:tab w:val="center" w:pos="284"/>
              </w:tabs>
              <w:overflowPunct w:val="0"/>
              <w:autoSpaceDE w:val="0"/>
              <w:autoSpaceDN w:val="0"/>
              <w:adjustRightInd w:val="0"/>
              <w:ind w:left="266" w:hanging="266"/>
              <w:textAlignment w:val="baseline"/>
              <w:rPr>
                <w:sz w:val="22"/>
                <w:szCs w:val="22"/>
              </w:rPr>
            </w:pPr>
          </w:p>
        </w:tc>
      </w:tr>
      <w:tr w:rsidR="00594237" w:rsidRPr="005362A9" w14:paraId="57747D28" w14:textId="77777777" w:rsidTr="00D0608D">
        <w:tc>
          <w:tcPr>
            <w:tcW w:w="1668" w:type="dxa"/>
          </w:tcPr>
          <w:p w14:paraId="7A081D5F" w14:textId="1DA4EDF6" w:rsidR="00594237" w:rsidRPr="005362A9" w:rsidRDefault="00594237"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w:t>
            </w:r>
          </w:p>
        </w:tc>
        <w:tc>
          <w:tcPr>
            <w:tcW w:w="7405" w:type="dxa"/>
          </w:tcPr>
          <w:p w14:paraId="245BB14C" w14:textId="0A43048D" w:rsidR="00594237" w:rsidRPr="005362A9" w:rsidRDefault="00594237"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Sondierungsstellungnahme auf Ersuchen des zyprischen Ratsvorsitzes der EU</w:t>
            </w:r>
          </w:p>
          <w:p w14:paraId="6CAD8281" w14:textId="77777777" w:rsidR="00594237" w:rsidRPr="005362A9" w:rsidRDefault="00594237"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Der EWSA:</w:t>
      </w:r>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betont, dass der europäische Stromsektor in der Lage sein muss, den Bedarf des Stromnetzes auf EU-Ebene und in den Partnerländern zu planen. Die Grundlage sollte dabei ein gemeinsames Energieszenario bilden, das von der Kommission und den nationalen Netzbetreibern entwickelt wird;</w:t>
      </w:r>
    </w:p>
    <w:p w14:paraId="61E86BFD"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stellt fest, dass der Wert von Verbundnetzen entweder unter dem Gesichtspunkt der zwei Ländern zugutekommenden Vorteile im Rahmen eines bilateralen Ansatzes oder bezogen auf das Streben nach einem Gesamtnutzen für das System über die beiden am Verbundnetz beteiligten Länder hinaus betrachtet werden sollte. Für diesen zweiten Fall müssen die Agentur der Europäischen Union für die Zusammenarbeit der Energieregulierungsbehörden (ACER), die nationalen Regulierungsbehörden und die Netzbetreiber zusammenarbeiten, um neue Wirtschaftsmodelle zu entwickeln;</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unterstreicht, dass effiziente Verbundnetze einen Ausbau der entsprechenden nationalen Infrastrukturen voraussetzen, insbesondere auf Ebene der Übertragungs- und Verteilernetzbetreiber. Die Schaffung von Verbundkapazitäten muss als Gelegenheit genutzt werden, Europa in Bezug auf die Stromnetze solidarischer zu machen;</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weist darauf hin, dass eine wirtschaftliche Optimierung des europäischen Stromnetzes einen flächendeckenden Einbau intelligenter Zähler, weitere zusätzliche Investitionen in die Übertragungs- und Verteilernetze und die Bereitstellung von Energieflussdaten erfordert;</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erachtet es als Priorität, die Sicherheit des Stromnetzes gegenüber den Auswirkungen des Klimawandels, physischen Angriffen, Sabotageakten, Cyberrisiken und Systemausgleichsrisiken zu gewährleisten;</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fordert, vorrangig die vorhandenen Infrastrukturen zu optimieren, bevor die Entwicklung neuer Infrastrukturen in Erwägung gezogen wird.</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594237" w:rsidRPr="005362A9" w14:paraId="0AB1B93A" w14:textId="77777777" w:rsidTr="00D0608D">
        <w:tc>
          <w:tcPr>
            <w:tcW w:w="1668" w:type="dxa"/>
          </w:tcPr>
          <w:p w14:paraId="07D8992D" w14:textId="77777777" w:rsidR="00594237" w:rsidRPr="005362A9" w:rsidRDefault="00594237" w:rsidP="00100EF9">
            <w:pPr>
              <w:overflowPunct w:val="0"/>
              <w:autoSpaceDE w:val="0"/>
              <w:autoSpaceDN w:val="0"/>
              <w:adjustRightInd w:val="0"/>
              <w:textAlignment w:val="baseline"/>
              <w:rPr>
                <w:i/>
                <w:sz w:val="22"/>
                <w:szCs w:val="22"/>
              </w:rPr>
            </w:pPr>
            <w:r w:rsidRPr="005362A9">
              <w:rPr>
                <w:b/>
                <w:i/>
                <w:sz w:val="22"/>
                <w:szCs w:val="22"/>
              </w:rPr>
              <w:t>Kontakt</w:t>
            </w:r>
          </w:p>
        </w:tc>
        <w:tc>
          <w:tcPr>
            <w:tcW w:w="7512" w:type="dxa"/>
          </w:tcPr>
          <w:p w14:paraId="1B78F73E" w14:textId="78914975" w:rsidR="00594237" w:rsidRPr="005362A9" w:rsidRDefault="00594237" w:rsidP="00100EF9">
            <w:pPr>
              <w:overflowPunct w:val="0"/>
              <w:autoSpaceDE w:val="0"/>
              <w:autoSpaceDN w:val="0"/>
              <w:adjustRightInd w:val="0"/>
              <w:textAlignment w:val="baseline"/>
              <w:rPr>
                <w:i/>
                <w:sz w:val="22"/>
                <w:szCs w:val="22"/>
              </w:rPr>
            </w:pPr>
            <w:r w:rsidRPr="005362A9">
              <w:rPr>
                <w:i/>
                <w:sz w:val="22"/>
                <w:szCs w:val="22"/>
              </w:rPr>
              <w:t>Giorgia Bordignon</w:t>
            </w:r>
          </w:p>
        </w:tc>
      </w:tr>
      <w:tr w:rsidR="00594237" w:rsidRPr="005362A9" w14:paraId="6912C935" w14:textId="77777777" w:rsidTr="00D0608D">
        <w:tc>
          <w:tcPr>
            <w:tcW w:w="1668" w:type="dxa"/>
          </w:tcPr>
          <w:p w14:paraId="5F1BA648" w14:textId="77777777" w:rsidR="00594237" w:rsidRPr="005362A9" w:rsidRDefault="00594237" w:rsidP="00100EF9">
            <w:pPr>
              <w:overflowPunct w:val="0"/>
              <w:autoSpaceDE w:val="0"/>
              <w:autoSpaceDN w:val="0"/>
              <w:adjustRightInd w:val="0"/>
              <w:textAlignment w:val="baseline"/>
              <w:rPr>
                <w:i/>
                <w:sz w:val="22"/>
                <w:szCs w:val="22"/>
              </w:rPr>
            </w:pPr>
            <w:r w:rsidRPr="005362A9">
              <w:rPr>
                <w:i/>
                <w:sz w:val="22"/>
                <w:szCs w:val="22"/>
              </w:rPr>
              <w:t>Tel.</w:t>
            </w:r>
          </w:p>
        </w:tc>
        <w:tc>
          <w:tcPr>
            <w:tcW w:w="7512" w:type="dxa"/>
          </w:tcPr>
          <w:p w14:paraId="42C70B8C" w14:textId="0FF6B91B" w:rsidR="00594237" w:rsidRPr="005362A9" w:rsidRDefault="00594237" w:rsidP="00100EF9">
            <w:pPr>
              <w:overflowPunct w:val="0"/>
              <w:autoSpaceDE w:val="0"/>
              <w:autoSpaceDN w:val="0"/>
              <w:adjustRightInd w:val="0"/>
              <w:textAlignment w:val="baseline"/>
              <w:rPr>
                <w:i/>
                <w:sz w:val="22"/>
                <w:szCs w:val="22"/>
              </w:rPr>
            </w:pPr>
            <w:r w:rsidRPr="005362A9">
              <w:rPr>
                <w:i/>
                <w:sz w:val="22"/>
                <w:szCs w:val="22"/>
              </w:rPr>
              <w:t>+32 25468535</w:t>
            </w:r>
          </w:p>
        </w:tc>
      </w:tr>
      <w:tr w:rsidR="00594237" w:rsidRPr="005362A9" w14:paraId="2BBC59B6" w14:textId="77777777" w:rsidTr="00D0608D">
        <w:tc>
          <w:tcPr>
            <w:tcW w:w="1668" w:type="dxa"/>
          </w:tcPr>
          <w:p w14:paraId="10BDDDCF" w14:textId="77777777" w:rsidR="00594237" w:rsidRPr="005362A9" w:rsidRDefault="00594237" w:rsidP="00100EF9">
            <w:pPr>
              <w:overflowPunct w:val="0"/>
              <w:autoSpaceDE w:val="0"/>
              <w:autoSpaceDN w:val="0"/>
              <w:adjustRightInd w:val="0"/>
              <w:textAlignment w:val="baseline"/>
              <w:rPr>
                <w:i/>
                <w:sz w:val="22"/>
                <w:szCs w:val="22"/>
              </w:rPr>
            </w:pPr>
            <w:r w:rsidRPr="005362A9">
              <w:rPr>
                <w:i/>
                <w:sz w:val="22"/>
                <w:szCs w:val="22"/>
              </w:rPr>
              <w:t>E-Mail</w:t>
            </w:r>
          </w:p>
        </w:tc>
        <w:tc>
          <w:tcPr>
            <w:tcW w:w="7512" w:type="dxa"/>
          </w:tcPr>
          <w:p w14:paraId="5EF302B9" w14:textId="77777777" w:rsidR="00594237" w:rsidRPr="005362A9" w:rsidRDefault="0035219E" w:rsidP="00100EF9">
            <w:pPr>
              <w:overflowPunct w:val="0"/>
              <w:autoSpaceDE w:val="0"/>
              <w:autoSpaceDN w:val="0"/>
              <w:adjustRightInd w:val="0"/>
              <w:textAlignment w:val="baseline"/>
              <w:rPr>
                <w:i/>
                <w:sz w:val="22"/>
                <w:szCs w:val="22"/>
              </w:rPr>
            </w:pPr>
            <w:hyperlink r:id="rId37" w:history="1">
              <w:r w:rsidR="00E235D3" w:rsidRPr="005362A9">
                <w:rPr>
                  <w:i/>
                  <w:color w:val="0000FF"/>
                  <w:sz w:val="22"/>
                  <w:szCs w:val="22"/>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103040"/>
      <w:r>
        <w:rPr>
          <w:b/>
        </w:rPr>
        <w:lastRenderedPageBreak/>
        <w:t>LANDWIRTSCHAFT, LÄNDLICHE ENTWICKLUNG, UMWELT</w:t>
      </w:r>
      <w:bookmarkEnd w:id="27"/>
      <w:bookmarkEnd w:id="28"/>
      <w:bookmarkEnd w:id="29"/>
    </w:p>
    <w:p w14:paraId="4982DE20" w14:textId="77777777" w:rsidR="004D7AC0" w:rsidRDefault="004D7AC0" w:rsidP="00100EF9"/>
    <w:p w14:paraId="2C76C141" w14:textId="0727FF4D" w:rsidR="00621347" w:rsidRPr="00621347" w:rsidRDefault="0035219E" w:rsidP="00100EF9">
      <w:pPr>
        <w:widowControl w:val="0"/>
        <w:numPr>
          <w:ilvl w:val="0"/>
          <w:numId w:val="6"/>
        </w:numPr>
        <w:overflowPunct w:val="0"/>
        <w:autoSpaceDE w:val="0"/>
        <w:autoSpaceDN w:val="0"/>
        <w:adjustRightInd w:val="0"/>
        <w:ind w:hanging="567"/>
        <w:textAlignment w:val="baseline"/>
        <w:rPr>
          <w:i/>
          <w:iCs/>
          <w:sz w:val="28"/>
          <w:szCs w:val="28"/>
        </w:rPr>
      </w:pPr>
      <w:hyperlink r:id="rId38" w:history="1">
        <w:r w:rsidR="00E235D3">
          <w:rPr>
            <w:b/>
            <w:i/>
            <w:color w:val="0000FF"/>
            <w:sz w:val="28"/>
            <w:u w:val="single"/>
          </w:rPr>
          <w:t>Fahrplan für Naturgutschriften</w:t>
        </w:r>
      </w:hyperlink>
    </w:p>
    <w:p w14:paraId="62E0B68C" w14:textId="77777777" w:rsidR="00621347" w:rsidRPr="005362A9"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621347" w:rsidRPr="005362A9" w14:paraId="5980278B" w14:textId="77777777" w:rsidTr="00D0608D">
        <w:tc>
          <w:tcPr>
            <w:tcW w:w="898" w:type="pct"/>
          </w:tcPr>
          <w:p w14:paraId="61C81431" w14:textId="77777777" w:rsidR="00621347" w:rsidRPr="005362A9" w:rsidRDefault="00621347"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4102" w:type="pct"/>
          </w:tcPr>
          <w:p w14:paraId="53BB74E4" w14:textId="19992D32" w:rsidR="00621347" w:rsidRPr="005362A9" w:rsidRDefault="00621347"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Arnaud SCHWARTZ (Gruppe Organisationen der Zivilgesellschaft – FR)</w:t>
            </w:r>
          </w:p>
        </w:tc>
      </w:tr>
      <w:tr w:rsidR="00621347" w:rsidRPr="005362A9" w14:paraId="0CEBEBE7" w14:textId="77777777" w:rsidTr="00D0608D">
        <w:tc>
          <w:tcPr>
            <w:tcW w:w="898" w:type="pct"/>
          </w:tcPr>
          <w:p w14:paraId="2479DBBC" w14:textId="77777777" w:rsidR="00621347" w:rsidRPr="005362A9" w:rsidRDefault="00621347"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Ko-Berichterstatter</w:t>
            </w:r>
          </w:p>
        </w:tc>
        <w:tc>
          <w:tcPr>
            <w:tcW w:w="4102" w:type="pct"/>
          </w:tcPr>
          <w:p w14:paraId="71EF85C6" w14:textId="36F8549C" w:rsidR="00630779" w:rsidRPr="005362A9" w:rsidRDefault="00621347" w:rsidP="00100EF9">
            <w:pPr>
              <w:tabs>
                <w:tab w:val="center" w:pos="284"/>
              </w:tabs>
              <w:overflowPunct w:val="0"/>
              <w:autoSpaceDE w:val="0"/>
              <w:autoSpaceDN w:val="0"/>
              <w:adjustRightInd w:val="0"/>
              <w:ind w:left="266" w:right="-3091" w:hanging="266"/>
              <w:textAlignment w:val="baseline"/>
              <w:rPr>
                <w:sz w:val="22"/>
                <w:szCs w:val="22"/>
              </w:rPr>
            </w:pPr>
            <w:proofErr w:type="spellStart"/>
            <w:r w:rsidRPr="005362A9">
              <w:rPr>
                <w:sz w:val="22"/>
                <w:szCs w:val="22"/>
              </w:rPr>
              <w:t>Teppo</w:t>
            </w:r>
            <w:proofErr w:type="spellEnd"/>
            <w:r w:rsidRPr="005362A9">
              <w:rPr>
                <w:sz w:val="22"/>
                <w:szCs w:val="22"/>
              </w:rPr>
              <w:t xml:space="preserve"> SÄKKINEN (Gruppe Arbeitgeber – FI)</w:t>
            </w:r>
          </w:p>
        </w:tc>
      </w:tr>
      <w:tr w:rsidR="00205469" w:rsidRPr="005362A9" w14:paraId="778CD321" w14:textId="77777777" w:rsidTr="00D0608D">
        <w:tc>
          <w:tcPr>
            <w:tcW w:w="898" w:type="pct"/>
          </w:tcPr>
          <w:p w14:paraId="7759C9B9" w14:textId="77777777" w:rsidR="00205469" w:rsidRPr="005362A9" w:rsidRDefault="00205469" w:rsidP="00100EF9">
            <w:pPr>
              <w:tabs>
                <w:tab w:val="center" w:pos="284"/>
              </w:tabs>
              <w:overflowPunct w:val="0"/>
              <w:autoSpaceDE w:val="0"/>
              <w:autoSpaceDN w:val="0"/>
              <w:adjustRightInd w:val="0"/>
              <w:ind w:left="266" w:hanging="266"/>
              <w:textAlignment w:val="baseline"/>
              <w:rPr>
                <w:b/>
                <w:sz w:val="22"/>
                <w:szCs w:val="22"/>
                <w:lang w:val="en-GB"/>
              </w:rPr>
            </w:pPr>
          </w:p>
        </w:tc>
        <w:tc>
          <w:tcPr>
            <w:tcW w:w="4102" w:type="pct"/>
          </w:tcPr>
          <w:p w14:paraId="4A9CAC5A" w14:textId="77777777" w:rsidR="00205469" w:rsidRPr="005362A9" w:rsidRDefault="00205469" w:rsidP="00100EF9">
            <w:pPr>
              <w:tabs>
                <w:tab w:val="center" w:pos="284"/>
              </w:tabs>
              <w:overflowPunct w:val="0"/>
              <w:autoSpaceDE w:val="0"/>
              <w:autoSpaceDN w:val="0"/>
              <w:adjustRightInd w:val="0"/>
              <w:ind w:left="266" w:right="-3091" w:hanging="266"/>
              <w:textAlignment w:val="baseline"/>
              <w:rPr>
                <w:sz w:val="22"/>
                <w:szCs w:val="22"/>
              </w:rPr>
            </w:pPr>
          </w:p>
        </w:tc>
      </w:tr>
      <w:tr w:rsidR="00621347" w:rsidRPr="005362A9" w14:paraId="27481885" w14:textId="77777777" w:rsidTr="00D0608D">
        <w:tc>
          <w:tcPr>
            <w:tcW w:w="898" w:type="pct"/>
          </w:tcPr>
          <w:p w14:paraId="51C5B0D8" w14:textId="77777777" w:rsidR="00621347" w:rsidRPr="005362A9" w:rsidRDefault="00621347"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Referenzdokumente</w:t>
            </w:r>
          </w:p>
        </w:tc>
        <w:tc>
          <w:tcPr>
            <w:tcW w:w="4102" w:type="pct"/>
          </w:tcPr>
          <w:p w14:paraId="72CD413C" w14:textId="352FF01B" w:rsidR="00CC7D10" w:rsidRPr="005362A9" w:rsidRDefault="00124E6A"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COM(2025) 374 final</w:t>
            </w:r>
          </w:p>
          <w:p w14:paraId="281E2397" w14:textId="6410C7C8" w:rsidR="00621347" w:rsidRPr="005362A9" w:rsidRDefault="00621347" w:rsidP="00100EF9">
            <w:pPr>
              <w:tabs>
                <w:tab w:val="center" w:pos="284"/>
              </w:tabs>
              <w:overflowPunct w:val="0"/>
              <w:autoSpaceDE w:val="0"/>
              <w:autoSpaceDN w:val="0"/>
              <w:adjustRightInd w:val="0"/>
              <w:ind w:left="266" w:right="-3091" w:hanging="266"/>
              <w:textAlignment w:val="baseline"/>
              <w:rPr>
                <w:sz w:val="22"/>
                <w:szCs w:val="22"/>
              </w:rPr>
            </w:pPr>
            <w:r w:rsidRPr="005362A9">
              <w:rPr>
                <w:sz w:val="22"/>
                <w:szCs w:val="22"/>
              </w:rP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Der Europäische Wirtschafts- und Sozialausschuss (EWSA) fordert die Europäische Kommission auf,</w:t>
      </w:r>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r>
        <w:t>sicherzustellen, dass die im Globalen Biodiversitätsrahmen festgelegten Finanzierungsziele für die biologische Vielfalt erreicht werden. Dies erfordert eine ausreichende, stabile und rechtzeitige öffentliche Finanzierung, auch aus dem EU-Haushalt, und die schrittweise Abschaffung von umweltschädlichen Subventionen wie Subventionen für fossile Brennstoffe. Mithilfe von Naturgutschriften lässt sich diese Finanzierungslücke schließen und können private Finanzmittel mobilisiert werden, die öffentliche Mittel ergänzen, aber nicht ersetzen sollten;</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r>
        <w:t>die Umweltvorschriften und Grundprinzipien durchzusetzen, denn sie sind ein wirksames Instrument im Hinblick auf die Erreichung der Biodiversitätsziele, die Schließung der Finanzierungslücke und einen vertrauenswürdigen Rahmen für Naturgutschriften;</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r>
        <w:t>dafür zu sorgen, dass der Rahmen für Naturgutschriften auf strengen Grundsätzen zur Gewährleistung einer hohen Integrität beruht, dass er der Abhilfemaßnahmenhierarchie und anderen Umwelt-, Klima- und Sozialschutzmaßnahmen Rechnung trägt und dass er systematisch dazu dient, zu bewerten, ob Projekte diesen Anforderungen entsprechen. Die verwendeten Methoden sollten ganzheitlich und wissenschaftlich fundiert sein und auf einem ökologisch integrierten, ergebnisorientierten Ansatz beruhen;</w:t>
      </w:r>
      <w:bookmarkEnd w:id="35"/>
    </w:p>
    <w:p w14:paraId="6AA0E980" w14:textId="011DCE8C" w:rsidR="00621347" w:rsidRPr="00F43315" w:rsidRDefault="00621347" w:rsidP="007526DA">
      <w:pPr>
        <w:pStyle w:val="ListParagraph"/>
        <w:numPr>
          <w:ilvl w:val="0"/>
          <w:numId w:val="29"/>
        </w:numPr>
        <w:ind w:left="567" w:hanging="578"/>
        <w:rPr>
          <w:szCs w:val="20"/>
        </w:rPr>
      </w:pPr>
      <w:bookmarkStart w:id="36" w:name="_Toc222825840"/>
      <w:r>
        <w:t xml:space="preserve">sicherzustellen, dass der </w:t>
      </w:r>
      <w:proofErr w:type="spellStart"/>
      <w:r>
        <w:t>Governance</w:t>
      </w:r>
      <w:proofErr w:type="spellEnd"/>
      <w:r>
        <w:t>-Rahmen für den Naturgutschriftenmarkt wissenschaftlich fundiert, inklusiv, transparent und partizipativ ist. Hierbei sollte ein besonderer Schwerpunkt auf Akteure gelegt werden, die einen Beitrag dazu leisten können, die Natur wiederherzustellen und zu erhalten, sowie auf schutzbedürftige und marginalisierte Gruppen wie junge Menschen, Frauen, ländliche Gemeinschaften und indigene Völker. Ein transparentes und faires Datenmanagement und -eigentum sollte gewährleistet werden;</w:t>
      </w:r>
      <w:bookmarkEnd w:id="36"/>
    </w:p>
    <w:p w14:paraId="3A2AC039" w14:textId="2F75D698" w:rsidR="00621347" w:rsidRPr="00F43315" w:rsidRDefault="00621347" w:rsidP="007526DA">
      <w:pPr>
        <w:pStyle w:val="ListParagraph"/>
        <w:numPr>
          <w:ilvl w:val="0"/>
          <w:numId w:val="29"/>
        </w:numPr>
        <w:ind w:left="567" w:hanging="578"/>
        <w:rPr>
          <w:szCs w:val="20"/>
        </w:rPr>
      </w:pPr>
      <w:bookmarkStart w:id="37" w:name="_Toc222825841"/>
      <w:r>
        <w:t>sorgfältig zu prüfen, ob eine Richtlinie oder eine Verordnung erforderlich ist, da Naturgutschriften freiwillig bleiben, aber zugleich strengen Regeln und Kriterien unterliegen sollten. Der Rahmen sollte sich in erster Linie auf positive Beiträge konzentrieren, während die Nutzung von Ausgleichsmaßnahmen im Ermessen der Mitgliedstaaten liegen sollte, um zu vermeiden, dass bestehende ehrgeizige Initiativen auf nationaler Ebene untergraben werden.</w:t>
      </w:r>
      <w:bookmarkEnd w:id="37"/>
    </w:p>
    <w:p w14:paraId="151D13B1" w14:textId="3080CBDB" w:rsidR="00621347" w:rsidRPr="00F43315" w:rsidRDefault="00621347" w:rsidP="007526DA">
      <w:pPr>
        <w:pStyle w:val="ListParagraph"/>
        <w:numPr>
          <w:ilvl w:val="0"/>
          <w:numId w:val="29"/>
        </w:numPr>
        <w:ind w:left="567" w:hanging="578"/>
        <w:rPr>
          <w:szCs w:val="20"/>
        </w:rPr>
      </w:pPr>
      <w:bookmarkStart w:id="38" w:name="_Toc222825842"/>
      <w:r>
        <w:t>Klarheit hinsichtlich der Abstimmung von Naturgutschriften mit anderen Politikbereichen wie der GAP zu schaffen. Naturgutschriften müssen so konzipiert werden, dass sich Bioökonomie, Kreislaufwirtschaft, nachhaltige Lebensmittelerzeugung und Forstwirtschaft in der EU optimal entwickeln können. Mit dem Rahmen sollte insbesondere kleinen Akteuren aus der Praxis möglichst kein unnötiger zusätzlicher Verwaltungsaufwand auferlegt und zugleich für hohe Integrität und einen wissenschaftlich fundierten Ansatz gesorgt werden;</w:t>
      </w:r>
      <w:bookmarkEnd w:id="38"/>
    </w:p>
    <w:p w14:paraId="17891DA2" w14:textId="173A8059" w:rsidR="00621347" w:rsidRPr="00F43315" w:rsidRDefault="00621347" w:rsidP="007526DA">
      <w:pPr>
        <w:pStyle w:val="ListParagraph"/>
        <w:numPr>
          <w:ilvl w:val="0"/>
          <w:numId w:val="29"/>
        </w:numPr>
        <w:ind w:left="567" w:hanging="578"/>
        <w:rPr>
          <w:szCs w:val="20"/>
        </w:rPr>
      </w:pPr>
      <w:bookmarkStart w:id="39" w:name="_Toc222825843"/>
      <w:r>
        <w:lastRenderedPageBreak/>
        <w:t>dafür zu sorgen, dass Naturgutschriften nicht zur Kommerzialisierung der Natur führen. Landnahme und Spekulation sollten um jeden Preis verhindert werden. Naturgutschriften sollten Integrität und einer gerechten Verteilung der Gewinne stets Vorrang vor kurzfristiger Rentabilität einräumen und zur Verringerung von Ungleichheiten beitragen;</w:t>
      </w:r>
      <w:bookmarkEnd w:id="39"/>
    </w:p>
    <w:p w14:paraId="02428967" w14:textId="77777777" w:rsidR="00621347" w:rsidRPr="00F43315" w:rsidRDefault="00621347" w:rsidP="007526DA">
      <w:pPr>
        <w:pStyle w:val="ListParagraph"/>
        <w:numPr>
          <w:ilvl w:val="0"/>
          <w:numId w:val="29"/>
        </w:numPr>
        <w:ind w:left="567" w:hanging="578"/>
        <w:rPr>
          <w:szCs w:val="20"/>
        </w:rPr>
      </w:pPr>
      <w:bookmarkStart w:id="40" w:name="_Toc222825844"/>
      <w:r>
        <w:t xml:space="preserve">bei Projekten außerhalb der EU Vorsicht walten zu lassen und zu berücksichtigen, dass die in Europa entwickelten Methoden und </w:t>
      </w:r>
      <w:proofErr w:type="spellStart"/>
      <w:r>
        <w:t>Governance</w:t>
      </w:r>
      <w:proofErr w:type="spellEnd"/>
      <w:r>
        <w:t>-Rahmen möglicherweise für die sozialen, kulturellen, rechtlichen, politischen und ökologischen Gegebenheiten im Ausland ungeeignet sind. Zugleich sollte dafür gesorgt werden, dass sich ihre Wertschöpfungsketten außerhalb der EU positiv auf die Natur auswirken.</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5362A9" w14:paraId="4C4EEF76" w14:textId="77777777" w:rsidTr="00D0608D">
        <w:tc>
          <w:tcPr>
            <w:tcW w:w="898" w:type="pct"/>
          </w:tcPr>
          <w:p w14:paraId="3AF62EF9" w14:textId="77777777" w:rsidR="00621347" w:rsidRPr="005362A9" w:rsidRDefault="00621347" w:rsidP="00100EF9">
            <w:pPr>
              <w:overflowPunct w:val="0"/>
              <w:autoSpaceDE w:val="0"/>
              <w:autoSpaceDN w:val="0"/>
              <w:adjustRightInd w:val="0"/>
              <w:textAlignment w:val="baseline"/>
              <w:rPr>
                <w:i/>
                <w:sz w:val="22"/>
                <w:szCs w:val="22"/>
              </w:rPr>
            </w:pPr>
            <w:r w:rsidRPr="005362A9">
              <w:rPr>
                <w:b/>
                <w:i/>
                <w:sz w:val="22"/>
                <w:szCs w:val="22"/>
              </w:rPr>
              <w:t>Kontakt</w:t>
            </w:r>
          </w:p>
        </w:tc>
        <w:tc>
          <w:tcPr>
            <w:tcW w:w="4102" w:type="pct"/>
          </w:tcPr>
          <w:p w14:paraId="1174E3AC" w14:textId="582EC194" w:rsidR="00621347" w:rsidRPr="005362A9" w:rsidRDefault="00621347" w:rsidP="00100EF9">
            <w:pPr>
              <w:overflowPunct w:val="0"/>
              <w:autoSpaceDE w:val="0"/>
              <w:autoSpaceDN w:val="0"/>
              <w:adjustRightInd w:val="0"/>
              <w:textAlignment w:val="baseline"/>
              <w:rPr>
                <w:i/>
                <w:sz w:val="22"/>
                <w:szCs w:val="22"/>
              </w:rPr>
            </w:pPr>
            <w:r w:rsidRPr="005362A9">
              <w:rPr>
                <w:i/>
                <w:sz w:val="22"/>
                <w:szCs w:val="22"/>
              </w:rPr>
              <w:t xml:space="preserve">Gaia </w:t>
            </w:r>
            <w:proofErr w:type="spellStart"/>
            <w:r w:rsidRPr="005362A9">
              <w:rPr>
                <w:i/>
                <w:sz w:val="22"/>
                <w:szCs w:val="22"/>
              </w:rPr>
              <w:t>Bottoni</w:t>
            </w:r>
            <w:proofErr w:type="spellEnd"/>
          </w:p>
        </w:tc>
      </w:tr>
      <w:tr w:rsidR="00621347" w:rsidRPr="005362A9" w14:paraId="60C3DC59" w14:textId="77777777" w:rsidTr="00D0608D">
        <w:tc>
          <w:tcPr>
            <w:tcW w:w="898" w:type="pct"/>
          </w:tcPr>
          <w:p w14:paraId="0B4561A1" w14:textId="77777777" w:rsidR="00621347" w:rsidRPr="005362A9" w:rsidRDefault="00621347" w:rsidP="00100EF9">
            <w:pPr>
              <w:overflowPunct w:val="0"/>
              <w:autoSpaceDE w:val="0"/>
              <w:autoSpaceDN w:val="0"/>
              <w:adjustRightInd w:val="0"/>
              <w:textAlignment w:val="baseline"/>
              <w:rPr>
                <w:i/>
                <w:sz w:val="22"/>
                <w:szCs w:val="22"/>
              </w:rPr>
            </w:pPr>
            <w:r w:rsidRPr="005362A9">
              <w:rPr>
                <w:i/>
                <w:sz w:val="22"/>
                <w:szCs w:val="22"/>
              </w:rPr>
              <w:t>Tel.</w:t>
            </w:r>
          </w:p>
        </w:tc>
        <w:tc>
          <w:tcPr>
            <w:tcW w:w="4102" w:type="pct"/>
          </w:tcPr>
          <w:p w14:paraId="7FBF1635" w14:textId="73B5954C" w:rsidR="00621347" w:rsidRPr="005362A9" w:rsidRDefault="00621347" w:rsidP="00100EF9">
            <w:pPr>
              <w:overflowPunct w:val="0"/>
              <w:autoSpaceDE w:val="0"/>
              <w:autoSpaceDN w:val="0"/>
              <w:adjustRightInd w:val="0"/>
              <w:textAlignment w:val="baseline"/>
              <w:rPr>
                <w:i/>
                <w:sz w:val="22"/>
                <w:szCs w:val="22"/>
              </w:rPr>
            </w:pPr>
            <w:r w:rsidRPr="005362A9">
              <w:rPr>
                <w:i/>
                <w:sz w:val="22"/>
                <w:szCs w:val="22"/>
              </w:rPr>
              <w:t>+32 25469447</w:t>
            </w:r>
          </w:p>
        </w:tc>
      </w:tr>
      <w:tr w:rsidR="00621347" w:rsidRPr="005362A9" w14:paraId="5D7F6D2E" w14:textId="77777777" w:rsidTr="00D0608D">
        <w:tc>
          <w:tcPr>
            <w:tcW w:w="898" w:type="pct"/>
          </w:tcPr>
          <w:p w14:paraId="54E92E27" w14:textId="77777777" w:rsidR="00621347" w:rsidRPr="005362A9" w:rsidRDefault="00621347" w:rsidP="00100EF9">
            <w:pPr>
              <w:overflowPunct w:val="0"/>
              <w:autoSpaceDE w:val="0"/>
              <w:autoSpaceDN w:val="0"/>
              <w:adjustRightInd w:val="0"/>
              <w:textAlignment w:val="baseline"/>
              <w:rPr>
                <w:i/>
                <w:sz w:val="22"/>
                <w:szCs w:val="22"/>
              </w:rPr>
            </w:pPr>
            <w:r w:rsidRPr="005362A9">
              <w:rPr>
                <w:i/>
                <w:sz w:val="22"/>
                <w:szCs w:val="22"/>
              </w:rPr>
              <w:t>E-Mail</w:t>
            </w:r>
          </w:p>
        </w:tc>
        <w:tc>
          <w:tcPr>
            <w:tcW w:w="4102" w:type="pct"/>
          </w:tcPr>
          <w:p w14:paraId="109C769F" w14:textId="6021F70A" w:rsidR="00621347" w:rsidRPr="005362A9" w:rsidRDefault="0035219E" w:rsidP="00100EF9">
            <w:pPr>
              <w:overflowPunct w:val="0"/>
              <w:autoSpaceDE w:val="0"/>
              <w:autoSpaceDN w:val="0"/>
              <w:adjustRightInd w:val="0"/>
              <w:textAlignment w:val="baseline"/>
              <w:rPr>
                <w:i/>
                <w:sz w:val="22"/>
                <w:szCs w:val="22"/>
              </w:rPr>
            </w:pPr>
            <w:hyperlink r:id="rId39" w:history="1">
              <w:r w:rsidR="00E235D3" w:rsidRPr="005362A9">
                <w:rPr>
                  <w:i/>
                  <w:color w:val="0000FF"/>
                  <w:sz w:val="22"/>
                  <w:szCs w:val="22"/>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103041"/>
      <w:r>
        <w:rPr>
          <w:b/>
          <w:color w:val="222A35" w:themeColor="text2" w:themeShade="80"/>
        </w:rPr>
        <w:lastRenderedPageBreak/>
        <w:t>BERATENDE KOMMISSION FÜR DEN INDUSTRIELLEN WANDEL</w:t>
      </w:r>
      <w:bookmarkEnd w:id="41"/>
    </w:p>
    <w:p w14:paraId="713E272F" w14:textId="77777777" w:rsidR="006D2C8A" w:rsidRDefault="006D2C8A" w:rsidP="00100EF9"/>
    <w:p w14:paraId="3CC91A48" w14:textId="77009B70" w:rsidR="003534E0" w:rsidRPr="00153E09" w:rsidRDefault="0035219E" w:rsidP="00100EF9">
      <w:pPr>
        <w:widowControl w:val="0"/>
        <w:numPr>
          <w:ilvl w:val="0"/>
          <w:numId w:val="6"/>
        </w:numPr>
        <w:overflowPunct w:val="0"/>
        <w:autoSpaceDE w:val="0"/>
        <w:autoSpaceDN w:val="0"/>
        <w:adjustRightInd w:val="0"/>
        <w:ind w:hanging="567"/>
        <w:textAlignment w:val="baseline"/>
        <w:rPr>
          <w:sz w:val="20"/>
          <w:szCs w:val="20"/>
        </w:rPr>
      </w:pPr>
      <w:hyperlink r:id="rId40" w:history="1">
        <w:r w:rsidR="003534E0">
          <w:rPr>
            <w:b/>
            <w:i/>
            <w:color w:val="0000FF"/>
            <w:sz w:val="28"/>
            <w:u w:val="single"/>
          </w:rPr>
          <w:t>Änderung der Verordnung (EU) 2024/1252 (Verordnung zu kritischen Rohstoffen)</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7179"/>
      </w:tblGrid>
      <w:tr w:rsidR="00153E09" w:rsidRPr="005362A9" w14:paraId="65A34AAF" w14:textId="77777777" w:rsidTr="00205469">
        <w:tc>
          <w:tcPr>
            <w:tcW w:w="1701" w:type="dxa"/>
          </w:tcPr>
          <w:p w14:paraId="111B4B02" w14:textId="6AC41F6C" w:rsidR="00153E09" w:rsidRPr="005362A9" w:rsidRDefault="00153E09" w:rsidP="00100EF9">
            <w:pPr>
              <w:overflowPunct w:val="0"/>
              <w:autoSpaceDE w:val="0"/>
              <w:autoSpaceDN w:val="0"/>
              <w:adjustRightInd w:val="0"/>
              <w:textAlignment w:val="baseline"/>
              <w:rPr>
                <w:b/>
              </w:rPr>
            </w:pPr>
            <w:r w:rsidRPr="005362A9">
              <w:rPr>
                <w:b/>
              </w:rPr>
              <w:t>Referenzdokumente</w:t>
            </w:r>
          </w:p>
        </w:tc>
        <w:tc>
          <w:tcPr>
            <w:tcW w:w="7372" w:type="dxa"/>
          </w:tcPr>
          <w:p w14:paraId="0221ADAC" w14:textId="77777777" w:rsidR="00153E09" w:rsidRPr="005362A9" w:rsidRDefault="00153E09" w:rsidP="00100EF9">
            <w:pPr>
              <w:tabs>
                <w:tab w:val="center" w:pos="284"/>
              </w:tabs>
              <w:overflowPunct w:val="0"/>
              <w:autoSpaceDE w:val="0"/>
              <w:autoSpaceDN w:val="0"/>
              <w:adjustRightInd w:val="0"/>
              <w:textAlignment w:val="baseline"/>
              <w:rPr>
                <w:bCs/>
              </w:rPr>
            </w:pPr>
            <w:r w:rsidRPr="005362A9">
              <w:t>COM(2025) 946 final</w:t>
            </w:r>
          </w:p>
          <w:p w14:paraId="5F1938C2" w14:textId="40D8E2D3" w:rsidR="00153E09" w:rsidRPr="005362A9" w:rsidRDefault="00153E09" w:rsidP="00100EF9">
            <w:pPr>
              <w:tabs>
                <w:tab w:val="center" w:pos="284"/>
              </w:tabs>
              <w:overflowPunct w:val="0"/>
              <w:autoSpaceDE w:val="0"/>
              <w:autoSpaceDN w:val="0"/>
              <w:adjustRightInd w:val="0"/>
              <w:textAlignment w:val="baseline"/>
              <w:rPr>
                <w:b/>
              </w:rPr>
            </w:pPr>
            <w:r w:rsidRPr="005362A9">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rPr>
      </w:pPr>
      <w:r>
        <w:t xml:space="preserve">Da der Ausschuss dem Vorschlag vorbehaltlos zustimmt und sich bereits in seiner </w:t>
      </w:r>
      <w:hyperlink r:id="rId41" w:history="1">
        <w:r>
          <w:rPr>
            <w:color w:val="0000FF"/>
            <w:u w:val="single"/>
          </w:rPr>
          <w:t>früheren Stellungnahme vom 12. Juli 2023 zu der Verordnung zu kritischen Rohstoffen</w:t>
        </w:r>
      </w:hyperlink>
      <w:r>
        <w:t xml:space="preserve"> zu dieser Thematik geäußert hat, hat er beschlossen, eine befürwortende Stellungnahme abzugeben und auf den Standpunkt zu verweisen, den er in der vorgenannten Stellungnahme vertreten hat.</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7585"/>
      </w:tblGrid>
      <w:tr w:rsidR="003534E0" w:rsidRPr="005362A9" w14:paraId="1ABE88A2" w14:textId="77777777" w:rsidTr="007526DA">
        <w:tc>
          <w:tcPr>
            <w:tcW w:w="804" w:type="pct"/>
          </w:tcPr>
          <w:p w14:paraId="148D5606" w14:textId="77777777" w:rsidR="003534E0" w:rsidRPr="005362A9" w:rsidRDefault="003534E0" w:rsidP="005362A9">
            <w:pPr>
              <w:overflowPunct w:val="0"/>
              <w:autoSpaceDE w:val="0"/>
              <w:autoSpaceDN w:val="0"/>
              <w:adjustRightInd w:val="0"/>
              <w:textAlignment w:val="baseline"/>
              <w:rPr>
                <w:i/>
                <w:sz w:val="22"/>
                <w:szCs w:val="22"/>
              </w:rPr>
            </w:pPr>
            <w:r w:rsidRPr="005362A9">
              <w:rPr>
                <w:b/>
                <w:i/>
                <w:sz w:val="22"/>
                <w:szCs w:val="22"/>
              </w:rPr>
              <w:t>Kontakt</w:t>
            </w:r>
          </w:p>
        </w:tc>
        <w:tc>
          <w:tcPr>
            <w:tcW w:w="4196" w:type="pct"/>
          </w:tcPr>
          <w:p w14:paraId="0D29E18D" w14:textId="5491D9AB" w:rsidR="003534E0" w:rsidRPr="005362A9" w:rsidRDefault="003534E0" w:rsidP="007526DA">
            <w:pPr>
              <w:overflowPunct w:val="0"/>
              <w:autoSpaceDE w:val="0"/>
              <w:autoSpaceDN w:val="0"/>
              <w:adjustRightInd w:val="0"/>
              <w:ind w:hanging="110"/>
              <w:textAlignment w:val="baseline"/>
              <w:rPr>
                <w:i/>
                <w:sz w:val="22"/>
                <w:szCs w:val="22"/>
              </w:rPr>
            </w:pPr>
            <w:r w:rsidRPr="005362A9">
              <w:rPr>
                <w:i/>
                <w:sz w:val="22"/>
                <w:szCs w:val="22"/>
              </w:rPr>
              <w:t xml:space="preserve">Adam </w:t>
            </w:r>
            <w:proofErr w:type="spellStart"/>
            <w:r w:rsidRPr="005362A9">
              <w:rPr>
                <w:i/>
                <w:sz w:val="22"/>
                <w:szCs w:val="22"/>
              </w:rPr>
              <w:t>Dorywalski</w:t>
            </w:r>
            <w:proofErr w:type="spellEnd"/>
          </w:p>
        </w:tc>
      </w:tr>
      <w:tr w:rsidR="003534E0" w:rsidRPr="005362A9" w14:paraId="29310390" w14:textId="77777777" w:rsidTr="007526DA">
        <w:tc>
          <w:tcPr>
            <w:tcW w:w="804" w:type="pct"/>
          </w:tcPr>
          <w:p w14:paraId="1A8C815A" w14:textId="77777777" w:rsidR="003534E0" w:rsidRPr="005362A9" w:rsidRDefault="003534E0" w:rsidP="005362A9">
            <w:pPr>
              <w:overflowPunct w:val="0"/>
              <w:autoSpaceDE w:val="0"/>
              <w:autoSpaceDN w:val="0"/>
              <w:adjustRightInd w:val="0"/>
              <w:textAlignment w:val="baseline"/>
              <w:rPr>
                <w:i/>
                <w:sz w:val="22"/>
                <w:szCs w:val="22"/>
              </w:rPr>
            </w:pPr>
            <w:r w:rsidRPr="005362A9">
              <w:rPr>
                <w:i/>
                <w:sz w:val="22"/>
                <w:szCs w:val="22"/>
              </w:rPr>
              <w:t>Tel.</w:t>
            </w:r>
          </w:p>
        </w:tc>
        <w:tc>
          <w:tcPr>
            <w:tcW w:w="4196" w:type="pct"/>
          </w:tcPr>
          <w:p w14:paraId="1B4B0CA6" w14:textId="23FF8050" w:rsidR="003534E0" w:rsidRPr="005362A9" w:rsidRDefault="003534E0" w:rsidP="007526DA">
            <w:pPr>
              <w:overflowPunct w:val="0"/>
              <w:autoSpaceDE w:val="0"/>
              <w:autoSpaceDN w:val="0"/>
              <w:adjustRightInd w:val="0"/>
              <w:ind w:hanging="110"/>
              <w:textAlignment w:val="baseline"/>
              <w:rPr>
                <w:i/>
                <w:sz w:val="22"/>
                <w:szCs w:val="22"/>
              </w:rPr>
            </w:pPr>
            <w:r w:rsidRPr="005362A9">
              <w:rPr>
                <w:i/>
                <w:sz w:val="22"/>
                <w:szCs w:val="22"/>
              </w:rPr>
              <w:t>+32 25469397</w:t>
            </w:r>
          </w:p>
        </w:tc>
      </w:tr>
      <w:tr w:rsidR="003534E0" w:rsidRPr="005362A9" w14:paraId="4800E009" w14:textId="77777777" w:rsidTr="007526DA">
        <w:tc>
          <w:tcPr>
            <w:tcW w:w="804" w:type="pct"/>
          </w:tcPr>
          <w:p w14:paraId="58627B2F" w14:textId="77777777" w:rsidR="003534E0" w:rsidRPr="005362A9" w:rsidRDefault="003534E0" w:rsidP="005362A9">
            <w:pPr>
              <w:overflowPunct w:val="0"/>
              <w:autoSpaceDE w:val="0"/>
              <w:autoSpaceDN w:val="0"/>
              <w:adjustRightInd w:val="0"/>
              <w:textAlignment w:val="baseline"/>
              <w:rPr>
                <w:i/>
                <w:sz w:val="22"/>
                <w:szCs w:val="22"/>
              </w:rPr>
            </w:pPr>
            <w:r w:rsidRPr="005362A9">
              <w:rPr>
                <w:i/>
                <w:sz w:val="22"/>
                <w:szCs w:val="22"/>
              </w:rPr>
              <w:t>E-Mail</w:t>
            </w:r>
          </w:p>
        </w:tc>
        <w:tc>
          <w:tcPr>
            <w:tcW w:w="4196" w:type="pct"/>
          </w:tcPr>
          <w:p w14:paraId="551CAC0A" w14:textId="548021BC" w:rsidR="00E25EB4" w:rsidRPr="005362A9" w:rsidRDefault="0035219E" w:rsidP="007526DA">
            <w:pPr>
              <w:overflowPunct w:val="0"/>
              <w:autoSpaceDE w:val="0"/>
              <w:autoSpaceDN w:val="0"/>
              <w:adjustRightInd w:val="0"/>
              <w:ind w:hanging="110"/>
              <w:textAlignment w:val="baseline"/>
              <w:rPr>
                <w:sz w:val="22"/>
                <w:szCs w:val="22"/>
              </w:rPr>
            </w:pPr>
            <w:hyperlink r:id="rId42" w:history="1">
              <w:r w:rsidR="003534E0" w:rsidRPr="005362A9">
                <w:rPr>
                  <w:i/>
                  <w:color w:val="0000FF"/>
                  <w:sz w:val="22"/>
                  <w:szCs w:val="22"/>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6377872A" w:rsidR="00E25EB4" w:rsidRPr="00E25EB4" w:rsidRDefault="0035219E"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rPr>
      </w:pPr>
      <w:hyperlink r:id="rId43" w:tooltip="Stärkung der strategischen Autonomie der EU und Entwicklung einer grüneren und blauen Wirtschaft: das Potenzial der Natrium-Ionen-Batterieherstellung" w:history="1">
        <w:r w:rsidR="00E235D3">
          <w:rPr>
            <w:b/>
            <w:i/>
            <w:color w:val="0000FF"/>
            <w:sz w:val="28"/>
            <w:u w:val="single"/>
          </w:rPr>
          <w:t>Stärkung der strategischen Autonomie der EU und Entwicklung einer grüneren und blauen Wirtschaft: das Potenzial der Natrium-Ionen-Batterieherstellung</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E25EB4" w:rsidRPr="005362A9" w14:paraId="0E750117" w14:textId="77777777" w:rsidTr="005362A9">
        <w:tc>
          <w:tcPr>
            <w:tcW w:w="2093" w:type="dxa"/>
          </w:tcPr>
          <w:p w14:paraId="1BC9C1DD" w14:textId="77777777" w:rsidR="00E25EB4" w:rsidRPr="005362A9" w:rsidRDefault="00E25EB4"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Berichterstatter</w:t>
            </w:r>
          </w:p>
        </w:tc>
        <w:tc>
          <w:tcPr>
            <w:tcW w:w="7196" w:type="dxa"/>
          </w:tcPr>
          <w:p w14:paraId="261F00F8" w14:textId="77777777" w:rsidR="00E25EB4" w:rsidRPr="005362A9" w:rsidRDefault="00E25EB4"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Paul RÜBIG (Gruppe Arbeitgeber – AT)</w:t>
            </w:r>
          </w:p>
        </w:tc>
      </w:tr>
      <w:tr w:rsidR="00E25EB4" w:rsidRPr="005362A9" w14:paraId="7E321F8F" w14:textId="77777777" w:rsidTr="005362A9">
        <w:tc>
          <w:tcPr>
            <w:tcW w:w="2093" w:type="dxa"/>
          </w:tcPr>
          <w:p w14:paraId="39B77E69" w14:textId="77777777" w:rsidR="00E25EB4" w:rsidRPr="005362A9" w:rsidRDefault="00E25EB4"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Ko-Berichterstatter</w:t>
            </w:r>
          </w:p>
        </w:tc>
        <w:tc>
          <w:tcPr>
            <w:tcW w:w="7196" w:type="dxa"/>
          </w:tcPr>
          <w:p w14:paraId="4F795EAE" w14:textId="7B894B11" w:rsidR="00E25EB4" w:rsidRPr="005362A9" w:rsidRDefault="00E25EB4"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Hervé JEANNIN (Kat. 2 – FR)</w:t>
            </w:r>
          </w:p>
        </w:tc>
      </w:tr>
      <w:tr w:rsidR="00E25EB4" w:rsidRPr="005362A9" w14:paraId="4AD82EE5" w14:textId="77777777" w:rsidTr="005362A9">
        <w:tc>
          <w:tcPr>
            <w:tcW w:w="9289" w:type="dxa"/>
            <w:gridSpan w:val="2"/>
          </w:tcPr>
          <w:p w14:paraId="63F1B5CC" w14:textId="77777777" w:rsidR="00E25EB4" w:rsidRPr="005362A9" w:rsidRDefault="00E25EB4" w:rsidP="00100EF9">
            <w:pPr>
              <w:tabs>
                <w:tab w:val="center" w:pos="284"/>
              </w:tabs>
              <w:overflowPunct w:val="0"/>
              <w:autoSpaceDE w:val="0"/>
              <w:autoSpaceDN w:val="0"/>
              <w:adjustRightInd w:val="0"/>
              <w:ind w:left="266" w:hanging="266"/>
              <w:textAlignment w:val="baseline"/>
              <w:rPr>
                <w:sz w:val="22"/>
                <w:szCs w:val="22"/>
              </w:rPr>
            </w:pPr>
          </w:p>
        </w:tc>
      </w:tr>
      <w:tr w:rsidR="00E25EB4" w:rsidRPr="005362A9" w14:paraId="758D199D" w14:textId="77777777" w:rsidTr="005362A9">
        <w:tc>
          <w:tcPr>
            <w:tcW w:w="2093" w:type="dxa"/>
          </w:tcPr>
          <w:p w14:paraId="628BF496" w14:textId="1BBD7898" w:rsidR="00E25EB4" w:rsidRPr="005362A9" w:rsidRDefault="00E25EB4" w:rsidP="00100EF9">
            <w:pPr>
              <w:tabs>
                <w:tab w:val="center" w:pos="284"/>
              </w:tabs>
              <w:overflowPunct w:val="0"/>
              <w:autoSpaceDE w:val="0"/>
              <w:autoSpaceDN w:val="0"/>
              <w:adjustRightInd w:val="0"/>
              <w:ind w:left="266" w:hanging="266"/>
              <w:textAlignment w:val="baseline"/>
              <w:rPr>
                <w:b/>
                <w:sz w:val="22"/>
                <w:szCs w:val="22"/>
              </w:rPr>
            </w:pPr>
            <w:r w:rsidRPr="005362A9">
              <w:rPr>
                <w:b/>
                <w:sz w:val="22"/>
                <w:szCs w:val="22"/>
              </w:rPr>
              <w:t>Referenzdokument</w:t>
            </w:r>
          </w:p>
        </w:tc>
        <w:tc>
          <w:tcPr>
            <w:tcW w:w="7196" w:type="dxa"/>
          </w:tcPr>
          <w:p w14:paraId="1AC738BE" w14:textId="11F7A673" w:rsidR="001A58BD" w:rsidRPr="005362A9" w:rsidRDefault="00043E7B"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Sondierungsstellungnahme auf Ersuchen der Europäischen Kommission</w:t>
            </w:r>
          </w:p>
          <w:p w14:paraId="2E32FFD3" w14:textId="1F51A8D8" w:rsidR="00E25EB4" w:rsidRPr="005362A9" w:rsidRDefault="00E25EB4" w:rsidP="00100EF9">
            <w:pPr>
              <w:tabs>
                <w:tab w:val="center" w:pos="284"/>
              </w:tabs>
              <w:overflowPunct w:val="0"/>
              <w:autoSpaceDE w:val="0"/>
              <w:autoSpaceDN w:val="0"/>
              <w:adjustRightInd w:val="0"/>
              <w:ind w:left="266" w:hanging="266"/>
              <w:textAlignment w:val="baseline"/>
              <w:rPr>
                <w:sz w:val="22"/>
                <w:szCs w:val="22"/>
              </w:rPr>
            </w:pPr>
            <w:r w:rsidRPr="005362A9">
              <w:rPr>
                <w:sz w:val="22"/>
                <w:szCs w:val="22"/>
              </w:rP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Kernaussagen</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Der EWSA:</w:t>
      </w:r>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betrachtet Natrium-Ionen-Batterien als strategische Technologie und sieht für Europa eine echte Chance, sich bei sogenannten Salzwasserbatteriesystemen eine technologische Führungsposition zu sichern;</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hebt das Potenzial von Natrium-Ionen-Batterien als Wegbereiter für die industriepolitischen Ziele der EU hervor: Sie unterstützen die Ziele des europäischen Grünen Deals und des europäischen Blauen Deals und können entscheidend zur Verwirklichung einer strategischen Autonomie beitragen; der Bau von Gigafabriken für Natrium-Ionen-Batterien in Europa würde der Wettbewerbsfähigkeit dienen und die Entstehung neuer Arbeitsplätze in der gesamten Wertschöpfungskette fördern;</w:t>
      </w:r>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betont, dass Natrium-Ionen-Batterien ganz aus europäischen Rohstoffen hergestellt werden können, da Natrium in Europa reichlich vorrätig ist und ein wachsendes Potenzial für eine europäische Entsalzungsindustrie besteht, wodurch der Einsatz kritischer Rohstoffe verringert werden kann;</w:t>
      </w:r>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fordert entschlossene und koordinierte Maßnahmen der EU zur Schaffung einer wettbewerbsfähigen Industrie für die Herstellung von Natrium-Sodium-Batterien, da diese Batterien weltweit auf dem Vormarsch sind und Europa Gefahr läuft, weiter ins Hintertreffen zu geraten;</w:t>
      </w:r>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empfiehlt, den Pfad für die Industrie sowohl für Lithium- als auch für Natrium-Ionen-Batterien zu aktualisieren, dazu gehören auch ein Fahrplan zu den Bedürfnissen von Arbeitskräften sowie gesellschaftlichen Bedürfnissen und Investitionen in Kompetenzen, die Mobilität der Arbeitskräfte und die Einbeziehung strategischer KMU;</w:t>
      </w:r>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dringt darauf, dass es wichtig ist, politisches Schubladendenken zu überwinden und die wichtigsten EU-Strategien (Kompass für Wettbewerbsfähigkeit, Strategie der Union zur Krisenvorsorge, Aktionsplan für die Kreislaufwirtschaft und </w:t>
      </w:r>
      <w:proofErr w:type="spellStart"/>
      <w:r>
        <w:t>Wasserresilienzstrategie</w:t>
      </w:r>
      <w:proofErr w:type="spellEnd"/>
      <w:r>
        <w:t xml:space="preserve">) anzugleichen, um eine europäische Wertschöpfungskette für Natrium-Sodium-Batterien zu entwickeln, die den strategischen Zielen Europas dient;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empfiehlt Investitionshilfen, Steuergutschriften für die Hersteller, gezielte Ausschreibungen für Projekte sowie Investitionsgutscheine für die Zusammenarbeit der Industrie mit Forschungs- und Technologieorganisationen;</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lastRenderedPageBreak/>
        <w:t xml:space="preserve">fordert Flexibilität bei der öffentlichen Unterstützung, um eine vorzeitige Bindung an bestimmte Technologien zu vermeiden, und eine von Regierungen und Industrie gemeinsam finanzierte, stärkere kooperative </w:t>
      </w:r>
      <w:proofErr w:type="spellStart"/>
      <w:r>
        <w:t>FuE</w:t>
      </w:r>
      <w:proofErr w:type="spellEnd"/>
      <w:r>
        <w:t>;</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erkennt das Potenzial an, das die Umwandlung derzeit ungenutzter oder stillgelegter Industriestandorte in Gigafabriken für Natrium-Ionen-Batterien für eine effiziente und umweltfreundliche Nutzung der bestehenden Infrastruktur birgt;</w:t>
      </w:r>
    </w:p>
    <w:p w14:paraId="5946BDB2" w14:textId="77777777"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weist darauf hin, dass umweltgerechte Gestaltung und Recycling fester Bestandteil dieses Zweigs der verarbeitenden Industrie sein und eine kreislauforientierte Wertschöpfungskette für Natrium-Ionen-Batterien fördern müssen.</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38"/>
      </w:tblGrid>
      <w:tr w:rsidR="00E25EB4" w:rsidRPr="005362A9" w14:paraId="3DADE2B6" w14:textId="77777777" w:rsidTr="005362A9">
        <w:tc>
          <w:tcPr>
            <w:tcW w:w="1242" w:type="dxa"/>
          </w:tcPr>
          <w:p w14:paraId="16410084" w14:textId="77777777" w:rsidR="00E25EB4" w:rsidRPr="005362A9" w:rsidRDefault="00E25EB4" w:rsidP="00100EF9">
            <w:pPr>
              <w:overflowPunct w:val="0"/>
              <w:autoSpaceDE w:val="0"/>
              <w:autoSpaceDN w:val="0"/>
              <w:adjustRightInd w:val="0"/>
              <w:textAlignment w:val="baseline"/>
              <w:rPr>
                <w:i/>
                <w:sz w:val="22"/>
                <w:szCs w:val="22"/>
              </w:rPr>
            </w:pPr>
            <w:r w:rsidRPr="005362A9">
              <w:rPr>
                <w:b/>
                <w:i/>
                <w:sz w:val="22"/>
                <w:szCs w:val="22"/>
              </w:rPr>
              <w:t>Kontakt</w:t>
            </w:r>
          </w:p>
        </w:tc>
        <w:tc>
          <w:tcPr>
            <w:tcW w:w="7938" w:type="dxa"/>
          </w:tcPr>
          <w:p w14:paraId="56BD77E8" w14:textId="5D11D232" w:rsidR="00E25EB4" w:rsidRPr="005362A9" w:rsidRDefault="00E25EB4" w:rsidP="00100EF9">
            <w:pPr>
              <w:overflowPunct w:val="0"/>
              <w:autoSpaceDE w:val="0"/>
              <w:autoSpaceDN w:val="0"/>
              <w:adjustRightInd w:val="0"/>
              <w:textAlignment w:val="baseline"/>
              <w:rPr>
                <w:bCs/>
                <w:i/>
                <w:sz w:val="22"/>
                <w:szCs w:val="22"/>
              </w:rPr>
            </w:pPr>
            <w:r w:rsidRPr="005362A9">
              <w:rPr>
                <w:i/>
                <w:sz w:val="22"/>
                <w:szCs w:val="22"/>
              </w:rPr>
              <w:t>Luís Barbosa E Silva</w:t>
            </w:r>
          </w:p>
        </w:tc>
      </w:tr>
      <w:tr w:rsidR="00E25EB4" w:rsidRPr="005362A9" w14:paraId="6AE7CB28" w14:textId="77777777" w:rsidTr="005362A9">
        <w:tc>
          <w:tcPr>
            <w:tcW w:w="1242" w:type="dxa"/>
          </w:tcPr>
          <w:p w14:paraId="52DF3B61" w14:textId="77777777" w:rsidR="00E25EB4" w:rsidRPr="005362A9" w:rsidRDefault="00E25EB4" w:rsidP="00100EF9">
            <w:pPr>
              <w:overflowPunct w:val="0"/>
              <w:autoSpaceDE w:val="0"/>
              <w:autoSpaceDN w:val="0"/>
              <w:adjustRightInd w:val="0"/>
              <w:textAlignment w:val="baseline"/>
              <w:rPr>
                <w:i/>
                <w:sz w:val="22"/>
                <w:szCs w:val="22"/>
              </w:rPr>
            </w:pPr>
            <w:r w:rsidRPr="005362A9">
              <w:rPr>
                <w:i/>
                <w:sz w:val="22"/>
                <w:szCs w:val="22"/>
              </w:rPr>
              <w:t>Tel.</w:t>
            </w:r>
          </w:p>
        </w:tc>
        <w:tc>
          <w:tcPr>
            <w:tcW w:w="7938" w:type="dxa"/>
          </w:tcPr>
          <w:p w14:paraId="58F5DB38" w14:textId="05F56609" w:rsidR="00E25EB4" w:rsidRPr="005362A9" w:rsidRDefault="00E25EB4" w:rsidP="00100EF9">
            <w:pPr>
              <w:overflowPunct w:val="0"/>
              <w:autoSpaceDE w:val="0"/>
              <w:autoSpaceDN w:val="0"/>
              <w:adjustRightInd w:val="0"/>
              <w:textAlignment w:val="baseline"/>
              <w:rPr>
                <w:i/>
                <w:sz w:val="22"/>
                <w:szCs w:val="22"/>
              </w:rPr>
            </w:pPr>
            <w:r w:rsidRPr="005362A9">
              <w:rPr>
                <w:i/>
                <w:sz w:val="22"/>
                <w:szCs w:val="22"/>
              </w:rPr>
              <w:t>+32 25468846</w:t>
            </w:r>
          </w:p>
        </w:tc>
      </w:tr>
      <w:tr w:rsidR="00E25EB4" w:rsidRPr="005362A9" w14:paraId="7DB45FE9" w14:textId="77777777" w:rsidTr="005362A9">
        <w:trPr>
          <w:trHeight w:val="244"/>
        </w:trPr>
        <w:tc>
          <w:tcPr>
            <w:tcW w:w="1242" w:type="dxa"/>
          </w:tcPr>
          <w:p w14:paraId="5969B93D" w14:textId="77777777" w:rsidR="00E25EB4" w:rsidRPr="005362A9" w:rsidRDefault="00E25EB4" w:rsidP="00100EF9">
            <w:pPr>
              <w:overflowPunct w:val="0"/>
              <w:autoSpaceDE w:val="0"/>
              <w:autoSpaceDN w:val="0"/>
              <w:adjustRightInd w:val="0"/>
              <w:textAlignment w:val="baseline"/>
              <w:rPr>
                <w:i/>
                <w:sz w:val="22"/>
                <w:szCs w:val="22"/>
              </w:rPr>
            </w:pPr>
            <w:r w:rsidRPr="005362A9">
              <w:rPr>
                <w:i/>
                <w:sz w:val="22"/>
                <w:szCs w:val="22"/>
              </w:rPr>
              <w:t>E-Mail</w:t>
            </w:r>
          </w:p>
        </w:tc>
        <w:tc>
          <w:tcPr>
            <w:tcW w:w="7938" w:type="dxa"/>
          </w:tcPr>
          <w:p w14:paraId="47F42ECE" w14:textId="789F877A" w:rsidR="00187E31" w:rsidRPr="005362A9" w:rsidRDefault="0035219E" w:rsidP="00100EF9">
            <w:pPr>
              <w:overflowPunct w:val="0"/>
              <w:autoSpaceDE w:val="0"/>
              <w:autoSpaceDN w:val="0"/>
              <w:adjustRightInd w:val="0"/>
              <w:textAlignment w:val="baseline"/>
              <w:rPr>
                <w:i/>
                <w:iCs/>
                <w:sz w:val="22"/>
                <w:szCs w:val="22"/>
              </w:rPr>
            </w:pPr>
            <w:hyperlink r:id="rId44" w:history="1">
              <w:r w:rsidR="00E235D3" w:rsidRPr="005362A9">
                <w:rPr>
                  <w:i/>
                  <w:color w:val="0000FF"/>
                  <w:sz w:val="22"/>
                  <w:szCs w:val="22"/>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fldSimple w:instr=" NUMPAGES ">
      <w:r w:rsidR="00E235D3">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fldSimple w:instr=" NUMPAGES ">
      <w:r w:rsidR="007526DA">
        <w:t>15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364"/>
    <w:rsid w:val="00010A4D"/>
    <w:rsid w:val="00033D01"/>
    <w:rsid w:val="00043E7B"/>
    <w:rsid w:val="000516E2"/>
    <w:rsid w:val="000638B5"/>
    <w:rsid w:val="00063DFF"/>
    <w:rsid w:val="000D394D"/>
    <w:rsid w:val="00100EF9"/>
    <w:rsid w:val="0011706B"/>
    <w:rsid w:val="00120A45"/>
    <w:rsid w:val="00124E6A"/>
    <w:rsid w:val="001313E0"/>
    <w:rsid w:val="00153E09"/>
    <w:rsid w:val="001653D7"/>
    <w:rsid w:val="00167743"/>
    <w:rsid w:val="00187E31"/>
    <w:rsid w:val="001A1F1F"/>
    <w:rsid w:val="001A58BD"/>
    <w:rsid w:val="001A7538"/>
    <w:rsid w:val="001E391D"/>
    <w:rsid w:val="00205469"/>
    <w:rsid w:val="00210CBF"/>
    <w:rsid w:val="00250B70"/>
    <w:rsid w:val="00256B74"/>
    <w:rsid w:val="0027149A"/>
    <w:rsid w:val="00274F1A"/>
    <w:rsid w:val="0027678C"/>
    <w:rsid w:val="002A5636"/>
    <w:rsid w:val="002B7981"/>
    <w:rsid w:val="002D77C8"/>
    <w:rsid w:val="002F4AD1"/>
    <w:rsid w:val="00302594"/>
    <w:rsid w:val="003066BE"/>
    <w:rsid w:val="003066E2"/>
    <w:rsid w:val="003227CC"/>
    <w:rsid w:val="00326237"/>
    <w:rsid w:val="00340FA5"/>
    <w:rsid w:val="003452F9"/>
    <w:rsid w:val="0035219E"/>
    <w:rsid w:val="003534E0"/>
    <w:rsid w:val="0037319B"/>
    <w:rsid w:val="0037722B"/>
    <w:rsid w:val="003B6923"/>
    <w:rsid w:val="003E1B8B"/>
    <w:rsid w:val="003F326D"/>
    <w:rsid w:val="003F4F92"/>
    <w:rsid w:val="003F66F7"/>
    <w:rsid w:val="003F79EF"/>
    <w:rsid w:val="00416286"/>
    <w:rsid w:val="00426372"/>
    <w:rsid w:val="0043191A"/>
    <w:rsid w:val="00462F24"/>
    <w:rsid w:val="004A5CD7"/>
    <w:rsid w:val="004C4CDB"/>
    <w:rsid w:val="004C6DA8"/>
    <w:rsid w:val="004D1319"/>
    <w:rsid w:val="004D7AC0"/>
    <w:rsid w:val="00527B47"/>
    <w:rsid w:val="00532089"/>
    <w:rsid w:val="00532F99"/>
    <w:rsid w:val="005362A9"/>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E284A"/>
    <w:rsid w:val="007F578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5EB4"/>
    <w:rsid w:val="00E77899"/>
    <w:rsid w:val="00EE1B31"/>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3" Type="http://schemas.openxmlformats.org/officeDocument/2006/relationships/customXml" Target="../customXml/item3.xml"/><Relationship Id="rId21" Type="http://schemas.openxmlformats.org/officeDocument/2006/relationships/hyperlink" Target="https://www.eesc.europa.eu/de/our-work/opinions-information-reports/opinions/eppo-and-olaf-access-vat-information-union-level" TargetMode="External"/><Relationship Id="rId34" Type="http://schemas.openxmlformats.org/officeDocument/2006/relationships/hyperlink" Target="https://health.ec.europa.eu/one-health/overview_en?prefLang=de"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e/our-work/opinions-information-reports/opinions/island-dimension-european-cohesion-competitiveness-and-sustainable-development-policies" TargetMode="External"/><Relationship Id="rId33" Type="http://schemas.openxmlformats.org/officeDocument/2006/relationships/hyperlink" Target="https://health.ec.europa.eu/publications/tartu-call-healthy-lifestyle-joint-actions-promote-healthy-lifestyles_en?prefLang=de" TargetMode="External"/><Relationship Id="rId38" Type="http://schemas.openxmlformats.org/officeDocument/2006/relationships/hyperlink" Target="https://www.eesc.europa.eu/de/our-work/opinions-information-reports/opinions/roadmap-towards-nature-credits"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esc.europa.eu/de/our-work/opinions-information-reports/opinions/union-support-asylum-migration-and-integration-internal-security-and-integrated-border-management-and-visa-policy" TargetMode="External"/><Relationship Id="rId41" Type="http://schemas.openxmlformats.org/officeDocument/2006/relationships/hyperlink" Target="https://eur-lex.europa.eu/legal-content/DE/TXT/?uri=CELEX%3A52023AE1573&amp;qid=177066864909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de/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de/our-work/opinions-information-reports/opinions/2026-european-semester-autumn-packag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de/our-work/opinions-information-reports/opinions/energy-connectivity-electricity-grid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de/our-work/opinions-information-reports/opinions/european-life-science-strategy-along-strategy-research-and-technology-infrastructures-focus-treatment-rare-diseases"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de/our-work/opinions-information-reports/opinions/revision-tobacco-taxation-directive"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de/our-work/opinions-information-reports/opinions/enhancing-eu-strategic-autonomy-and-developing-greener-and-bluer-economy-potential-sodium-battery-manufacturing-sector"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VP3JK3XSEPRV-2087481956-3317</_dlc_DocId>
    <_dlc_DocIdUrl xmlns="7d640e6d-779c-472f-a269-6b546787f1c9">
      <Url>http://dm/eesc/2026/_layouts/15/DocIdRedir.aspx?ID=VP3JK3XSEPRV-2087481956-3317</Url>
      <Description>VP3JK3XSEPRV-2087481956-3317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Jonnek Holger</DisplayName>
        <AccountId>1455</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3.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903AA68D-A662-42B1-92CC-E2C79E356592}"/>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verabschiedeten Stellungnahmen - 603. Plenartagung - Februar 2026</dc:title>
  <dc:subject>ADMIN</dc:subject>
  <dc:creator/>
  <cp:keywords>COR-EESC-2022-02583-00-00-ADMIN-TRA-EN</cp:keywords>
  <dc:description>Rapporteur:  - Original language: EN - Date of document: 20/05/2022 - Date of meeting:  - External documents:  - Administrator:  SUCIU Serban</dc:description>
  <cp:lastModifiedBy/>
  <cp:revision>13</cp:revision>
  <dcterms:created xsi:type="dcterms:W3CDTF">2026-02-26T08:13:00Z</dcterms:created>
  <dcterms:modified xsi:type="dcterms:W3CDTF">2026-03-04T08:15:00Z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9a4420a2-0274-47e9-acee-94efa57520a4</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18;#TCD|cd9d6eb6-3f4f-424a-b2d1-57c9d450eaaf;#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11;#DE|f6b31e5a-26fa-4935-b661-318e46daf27e</vt:lpwstr>
  </property>
  <property fmtid="{D5CDD505-2E9C-101B-9397-08002B2CF9AE}" pid="33" name="AvailableTranslations_0">
    <vt:lpwstr>EN|f2175f21-25d7-44a3-96da-d6a61b075e1b</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