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DD4D" w14:textId="581B6D6C" w:rsidR="004D7AC0" w:rsidRPr="008646BA" w:rsidRDefault="00B81C54" w:rsidP="00100EF9">
      <w:pPr>
        <w:jc w:val="center"/>
      </w:pPr>
      <w:r>
        <w:rPr>
          <w:noProof/>
        </w:rPr>
        <w:drawing>
          <wp:inline distT="0" distB="0" distL="0" distR="0" wp14:anchorId="7C17F3B0" wp14:editId="047D7E5F">
            <wp:extent cx="1792605" cy="1239520"/>
            <wp:effectExtent l="0" t="0" r="0" b="0"/>
            <wp:docPr id="486926810" name="Picture 1" title="EESCLogo_B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26810" name="Picture 1" title="EESCLogo_B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82DE48" wp14:editId="2F41A5A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DE54" w14:textId="77777777" w:rsidR="004D7AC0" w:rsidRPr="00260E65" w:rsidRDefault="004D7AC0" w:rsidP="004D7A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2DE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4982DE54" w14:textId="77777777" w:rsidR="004D7AC0" w:rsidRPr="00260E65" w:rsidRDefault="004D7AC0" w:rsidP="004D7A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BG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2DD4E" w14:textId="77777777" w:rsidR="004D7AC0" w:rsidRPr="008646BA" w:rsidRDefault="004D7AC0" w:rsidP="00100EF9">
      <w:pPr>
        <w:rPr>
          <w:lang w:val="en-GB"/>
        </w:rPr>
      </w:pPr>
    </w:p>
    <w:p w14:paraId="4982DD4F" w14:textId="7AA8E975" w:rsidR="004D7AC0" w:rsidRPr="008646BA" w:rsidRDefault="004D7AC0" w:rsidP="00100EF9">
      <w:pPr>
        <w:jc w:val="right"/>
      </w:pPr>
      <w:r>
        <w:t>Брюксел, 4 март 2026 г.</w:t>
      </w:r>
    </w:p>
    <w:p w14:paraId="4982DD50" w14:textId="77777777" w:rsidR="004D7AC0" w:rsidRPr="008646BA" w:rsidRDefault="004D7AC0" w:rsidP="00100EF9">
      <w:pPr>
        <w:rPr>
          <w:lang w:val="en-GB"/>
        </w:rPr>
      </w:pPr>
    </w:p>
    <w:p w14:paraId="4982DD51" w14:textId="77777777" w:rsidR="004D7AC0" w:rsidRPr="008646BA" w:rsidRDefault="004D7AC0" w:rsidP="00100EF9">
      <w:pPr>
        <w:rPr>
          <w:lang w:val="en-GB"/>
        </w:rPr>
      </w:pPr>
    </w:p>
    <w:p w14:paraId="4982DD52" w14:textId="77777777" w:rsidR="004D7AC0" w:rsidRPr="008646BA" w:rsidRDefault="004D7AC0" w:rsidP="00100EF9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="004D7AC0" w:rsidRPr="008646BA" w14:paraId="4982DD59" w14:textId="77777777" w:rsidTr="00600C84">
        <w:tc>
          <w:tcPr>
            <w:tcW w:w="9289" w:type="dxa"/>
            <w:tcBorders>
              <w:bottom w:val="double" w:sz="4" w:space="0" w:color="auto"/>
            </w:tcBorders>
          </w:tcPr>
          <w:p w14:paraId="4982DD53" w14:textId="5E869ADC" w:rsidR="003066BE" w:rsidRPr="008646BA" w:rsidRDefault="004C4CDB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603-та ПЛЕНАРНА СЕСИЯ</w:t>
            </w:r>
          </w:p>
          <w:p w14:paraId="4982DD54" w14:textId="77777777" w:rsidR="003066BE" w:rsidRPr="008646BA" w:rsidRDefault="003066BE" w:rsidP="00100EF9">
            <w:pPr>
              <w:snapToGrid w:val="0"/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4982DD55" w14:textId="6CEFC9D4" w:rsidR="003066BE" w:rsidRPr="008646BA" w:rsidRDefault="003066E2" w:rsidP="00100EF9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18—19 февруари 2026 г.</w:t>
            </w:r>
          </w:p>
          <w:p w14:paraId="4982DD56" w14:textId="77777777" w:rsidR="003066BE" w:rsidRPr="008646BA" w:rsidRDefault="003066BE" w:rsidP="00100EF9">
            <w:pPr>
              <w:snapToGrid w:val="0"/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4982DD57" w14:textId="5A35E792" w:rsidR="004D7AC0" w:rsidRPr="008646BA" w:rsidRDefault="00754027" w:rsidP="00100EF9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ОБОБЩЕНИЕ НА ПРИЕТИТЕ СТАНОВИЩА, РЕЗОЛЮЦИИ И ИНФОРМАЦИОННИ ДОКЛАДИ / ДОКЛАДИ ЗА ОЦЕНКА</w:t>
            </w:r>
          </w:p>
          <w:p w14:paraId="4982DD58" w14:textId="77777777" w:rsidR="004D7AC0" w:rsidRPr="008646BA" w:rsidRDefault="004D7AC0" w:rsidP="00100EF9">
            <w:pPr>
              <w:snapToGrid w:val="0"/>
              <w:rPr>
                <w:lang w:val="en-GB"/>
              </w:rPr>
            </w:pPr>
          </w:p>
        </w:tc>
      </w:tr>
      <w:tr w:rsidR="004D7AC0" w:rsidRPr="008646BA" w14:paraId="4982DD5F" w14:textId="77777777" w:rsidTr="00600C84">
        <w:tc>
          <w:tcPr>
            <w:tcW w:w="9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2DD5A" w14:textId="1C015D6B" w:rsidR="004D7AC0" w:rsidRPr="008646BA" w:rsidRDefault="004D7AC0" w:rsidP="00100EF9">
            <w:pPr>
              <w:snapToGrid w:val="0"/>
              <w:jc w:val="center"/>
            </w:pPr>
            <w:r>
              <w:t>Настоящият документ е достъпен на всички официални езици на Европейския съюз на уебсайта на ЕИСК на следния адрес:</w:t>
            </w:r>
            <w:r>
              <w:br/>
            </w:r>
            <w:r>
              <w:br/>
            </w:r>
            <w:hyperlink r:id="rId13" w:history="1">
              <w:r>
                <w:rPr>
                  <w:rStyle w:val="Hyperlink"/>
                </w:rPr>
                <w:t>https://www.eesc.europa.eu/bg/our-work/opinions-information-reports/plenary-session-summaries</w:t>
              </w:r>
            </w:hyperlink>
          </w:p>
          <w:p w14:paraId="4982DD5B" w14:textId="77777777" w:rsidR="004D7AC0" w:rsidRPr="008646BA" w:rsidRDefault="004D7AC0" w:rsidP="00100EF9">
            <w:pPr>
              <w:snapToGrid w:val="0"/>
              <w:jc w:val="center"/>
              <w:rPr>
                <w:lang w:val="en-GB"/>
              </w:rPr>
            </w:pPr>
          </w:p>
          <w:p w14:paraId="4982DD5C" w14:textId="77777777" w:rsidR="004D7AC0" w:rsidRPr="008646BA" w:rsidRDefault="004D7AC0" w:rsidP="00100EF9">
            <w:pPr>
              <w:snapToGrid w:val="0"/>
              <w:jc w:val="center"/>
              <w:rPr>
                <w:rFonts w:eastAsia="SimSun"/>
                <w:lang w:val="en-GB"/>
              </w:rPr>
            </w:pPr>
          </w:p>
          <w:p w14:paraId="4982DD5D" w14:textId="1B97A8B6" w:rsidR="004D7AC0" w:rsidRPr="008646BA" w:rsidRDefault="004D7AC0" w:rsidP="00100EF9">
            <w:pPr>
              <w:snapToGrid w:val="0"/>
              <w:jc w:val="center"/>
            </w:pPr>
            <w:r>
              <w:t>Изброените становища могат да бъдат намерени онлайн чрез търсачката на ЕИСК:</w:t>
            </w:r>
            <w:r>
              <w:br/>
            </w:r>
            <w:r>
              <w:br/>
            </w:r>
            <w:hyperlink r:id="rId14" w:history="1">
              <w:r>
                <w:rPr>
                  <w:rStyle w:val="Hyperlink"/>
                </w:rPr>
                <w:t>https://dmsearch.eesc.europa.eu/search/opinion</w:t>
              </w:r>
            </w:hyperlink>
          </w:p>
          <w:p w14:paraId="4982DD5E" w14:textId="77777777" w:rsidR="004D7AC0" w:rsidRPr="008646BA" w:rsidRDefault="004D7AC0" w:rsidP="00100EF9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4982DD60" w14:textId="77777777" w:rsidR="004D7AC0" w:rsidRPr="008646BA" w:rsidRDefault="004D7AC0" w:rsidP="00100EF9">
      <w:pPr>
        <w:rPr>
          <w:lang w:val="en-GB"/>
        </w:rPr>
      </w:pPr>
    </w:p>
    <w:p w14:paraId="4982DD61" w14:textId="77777777" w:rsidR="004D7AC0" w:rsidRPr="008646BA" w:rsidRDefault="004D7AC0" w:rsidP="00100EF9">
      <w:pPr>
        <w:rPr>
          <w:lang w:val="en-GB"/>
        </w:rPr>
      </w:pPr>
    </w:p>
    <w:p w14:paraId="4982DD62" w14:textId="77777777" w:rsidR="004D7AC0" w:rsidRPr="008646BA" w:rsidRDefault="004D7AC0" w:rsidP="00100EF9">
      <w:pPr>
        <w:rPr>
          <w:lang w:val="en-GB"/>
        </w:rPr>
        <w:sectPr w:rsidR="004D7AC0" w:rsidRPr="008646BA" w:rsidSect="00153E0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4982DD63" w14:textId="77777777" w:rsidR="004D7AC0" w:rsidRPr="008646BA" w:rsidRDefault="004D7AC0" w:rsidP="00100EF9">
      <w:pPr>
        <w:rPr>
          <w:b/>
        </w:rPr>
      </w:pPr>
      <w:r>
        <w:rPr>
          <w:b/>
        </w:rPr>
        <w:lastRenderedPageBreak/>
        <w:t>Съдържание: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82DD64" w14:textId="77777777" w:rsidR="004D7AC0" w:rsidRPr="008646BA" w:rsidRDefault="004D7AC0" w:rsidP="00100EF9">
          <w:pPr>
            <w:pStyle w:val="TOCHeading"/>
            <w:spacing w:before="0" w:line="288" w:lineRule="auto"/>
            <w:rPr>
              <w:rFonts w:ascii="Times New Roman" w:hAnsi="Times New Roman" w:cs="Times New Roman"/>
              <w:color w:val="auto"/>
              <w:sz w:val="22"/>
              <w:szCs w:val="22"/>
              <w:lang w:val="en-GB"/>
            </w:rPr>
          </w:pPr>
        </w:p>
        <w:p w14:paraId="77D5779D" w14:textId="1D3DAC80" w:rsidR="009A2561" w:rsidRDefault="004D7AC0" w:rsidP="009A2561">
          <w:pPr>
            <w:pStyle w:val="TOC1"/>
            <w:tabs>
              <w:tab w:val="left" w:pos="480"/>
              <w:tab w:val="right" w:leader="dot" w:pos="9063"/>
            </w:tabs>
            <w:ind w:left="480" w:hanging="48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r w:rsidRPr="008646BA">
            <w:fldChar w:fldCharType="begin"/>
          </w:r>
          <w:r w:rsidRPr="008646BA">
            <w:instrText xml:space="preserve"> TOC \o "1-3" \h \z \u </w:instrText>
          </w:r>
          <w:r w:rsidRPr="008646BA">
            <w:fldChar w:fldCharType="separate"/>
          </w:r>
          <w:hyperlink w:anchor="_Toc223509355" w:history="1">
            <w:r w:rsidR="009A2561" w:rsidRPr="006C3E1A">
              <w:rPr>
                <w:rStyle w:val="Hyperlink"/>
                <w:bCs/>
                <w:noProof/>
              </w:rPr>
              <w:t>1.</w:t>
            </w:r>
            <w:r w:rsidR="009A256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BE" w:eastAsia="fr-BE"/>
                <w14:ligatures w14:val="standardContextual"/>
              </w:rPr>
              <w:tab/>
            </w:r>
            <w:r w:rsidR="009A2561" w:rsidRPr="006C3E1A">
              <w:rPr>
                <w:rStyle w:val="Hyperlink"/>
                <w:b/>
                <w:noProof/>
              </w:rPr>
              <w:t>ИКОНОМИЧЕСКИ И ПАРИЧЕН СЪЮЗ, ИКОНОМИЧЕСКО И СОЦИАЛНО СБЛИЖАВАНЕ</w:t>
            </w:r>
            <w:r w:rsidR="009A2561">
              <w:rPr>
                <w:noProof/>
                <w:webHidden/>
              </w:rPr>
              <w:tab/>
            </w:r>
            <w:r w:rsidR="009A2561">
              <w:rPr>
                <w:noProof/>
                <w:webHidden/>
              </w:rPr>
              <w:fldChar w:fldCharType="begin"/>
            </w:r>
            <w:r w:rsidR="009A2561">
              <w:rPr>
                <w:noProof/>
                <w:webHidden/>
              </w:rPr>
              <w:instrText xml:space="preserve"> PAGEREF _Toc223509355 \h </w:instrText>
            </w:r>
            <w:r w:rsidR="009A2561">
              <w:rPr>
                <w:noProof/>
                <w:webHidden/>
              </w:rPr>
            </w:r>
            <w:r w:rsidR="009A2561">
              <w:rPr>
                <w:noProof/>
                <w:webHidden/>
              </w:rPr>
              <w:fldChar w:fldCharType="separate"/>
            </w:r>
            <w:r w:rsidR="009A2561">
              <w:rPr>
                <w:noProof/>
                <w:webHidden/>
              </w:rPr>
              <w:t>3</w:t>
            </w:r>
            <w:r w:rsidR="009A2561">
              <w:rPr>
                <w:noProof/>
                <w:webHidden/>
              </w:rPr>
              <w:fldChar w:fldCharType="end"/>
            </w:r>
          </w:hyperlink>
        </w:p>
        <w:p w14:paraId="535AACF5" w14:textId="04D3F7A2" w:rsidR="009A2561" w:rsidRDefault="009A2561">
          <w:pPr>
            <w:pStyle w:val="TOC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223509356" w:history="1">
            <w:r w:rsidRPr="006C3E1A">
              <w:rPr>
                <w:rStyle w:val="Hyperlink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BE" w:eastAsia="fr-BE"/>
                <w14:ligatures w14:val="standardContextual"/>
              </w:rPr>
              <w:tab/>
            </w:r>
            <w:r w:rsidRPr="006C3E1A">
              <w:rPr>
                <w:rStyle w:val="Hyperlink"/>
                <w:b/>
                <w:noProof/>
              </w:rPr>
              <w:t>ЗАЕТОСТ, СОЦИАЛНИ ВЪПРОСИ И ГРАЖДАНСТВО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_Toc223509356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A14A2" w14:textId="02920A0A" w:rsidR="009A2561" w:rsidRDefault="009A2561" w:rsidP="009A2561">
          <w:pPr>
            <w:pStyle w:val="TOC1"/>
            <w:tabs>
              <w:tab w:val="left" w:pos="480"/>
              <w:tab w:val="right" w:leader="dot" w:pos="9063"/>
            </w:tabs>
            <w:ind w:left="480" w:hanging="48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223509357" w:history="1">
            <w:r w:rsidRPr="006C3E1A">
              <w:rPr>
                <w:rStyle w:val="Hyperlink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BE" w:eastAsia="fr-BE"/>
                <w14:ligatures w14:val="standardContextual"/>
              </w:rPr>
              <w:tab/>
            </w:r>
            <w:r w:rsidRPr="006C3E1A">
              <w:rPr>
                <w:rStyle w:val="Hyperlink"/>
                <w:b/>
                <w:noProof/>
              </w:rPr>
              <w:t>ТРАНСПОРТ, ЕНЕРГЕТИКА, ИНФРАСТРУКТУРИ, ИНФОРМАЦИОННО ОБЩЕСТВО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_Toc223509357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67EB2" w14:textId="5869D2BD" w:rsidR="009A2561" w:rsidRDefault="009A2561">
          <w:pPr>
            <w:pStyle w:val="TOC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223509358" w:history="1">
            <w:r w:rsidRPr="006C3E1A">
              <w:rPr>
                <w:rStyle w:val="Hyperlink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BE" w:eastAsia="fr-BE"/>
                <w14:ligatures w14:val="standardContextual"/>
              </w:rPr>
              <w:tab/>
            </w:r>
            <w:r w:rsidRPr="006C3E1A">
              <w:rPr>
                <w:rStyle w:val="Hyperlink"/>
                <w:b/>
                <w:noProof/>
              </w:rPr>
              <w:t>ЗЕМЕДЕЛИЕ, РАЗВИТИЕ НА СЕЛСКИТЕ РАЙОНИ, ОКОЛНА СРЕДА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_Toc223509358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71F19" w14:textId="51E499D5" w:rsidR="009A2561" w:rsidRDefault="009A2561">
          <w:pPr>
            <w:pStyle w:val="TOC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BE" w:eastAsia="fr-BE"/>
              <w14:ligatures w14:val="standardContextual"/>
            </w:rPr>
          </w:pPr>
          <w:hyperlink w:anchor="_Toc223509359" w:history="1">
            <w:r w:rsidRPr="006C3E1A">
              <w:rPr>
                <w:rStyle w:val="Hyperlink"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BE" w:eastAsia="fr-BE"/>
                <w14:ligatures w14:val="standardContextual"/>
              </w:rPr>
              <w:tab/>
            </w:r>
            <w:r w:rsidRPr="006C3E1A">
              <w:rPr>
                <w:rStyle w:val="Hyperlink"/>
                <w:b/>
                <w:noProof/>
              </w:rPr>
              <w:t>КОНСУЛТАТИВНА КОМИСИЯ ПО ИНДУСТРИАЛНИ ПРОМЕНИ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_Toc223509359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2DD6A" w14:textId="7890D0E7" w:rsidR="004D7AC0" w:rsidRPr="008646BA" w:rsidRDefault="004D7AC0" w:rsidP="00100EF9">
          <w:r w:rsidRPr="008646BA">
            <w:rPr>
              <w:b/>
            </w:rPr>
            <w:fldChar w:fldCharType="end"/>
          </w:r>
        </w:p>
      </w:sdtContent>
    </w:sdt>
    <w:p w14:paraId="4982DD6B" w14:textId="77777777" w:rsidR="004D7AC0" w:rsidRPr="008646BA" w:rsidRDefault="004D7AC0" w:rsidP="00100EF9">
      <w:pPr>
        <w:rPr>
          <w:lang w:val="en-GB"/>
        </w:rPr>
      </w:pPr>
    </w:p>
    <w:p w14:paraId="4982DD6C" w14:textId="77777777" w:rsidR="004D7AC0" w:rsidRPr="008646BA" w:rsidRDefault="004D7AC0" w:rsidP="00100EF9">
      <w:pPr>
        <w:jc w:val="left"/>
      </w:pPr>
      <w:r>
        <w:br w:type="page"/>
      </w:r>
    </w:p>
    <w:p w14:paraId="4982DD6D" w14:textId="77777777" w:rsidR="004D7AC0" w:rsidRPr="008646BA" w:rsidRDefault="004D7AC0" w:rsidP="00100EF9">
      <w:pPr>
        <w:pStyle w:val="Heading1"/>
        <w:rPr>
          <w:b/>
        </w:rPr>
      </w:pPr>
      <w:bookmarkStart w:id="0" w:name="_Toc223509355"/>
      <w:r>
        <w:rPr>
          <w:b/>
        </w:rPr>
        <w:lastRenderedPageBreak/>
        <w:t>ИКОНОМИЧЕСКИ И ПАРИЧЕН СЪЮЗ, ИКОНОМИЧЕСКО И СОЦИАЛНО СБЛИЖАВАНЕ</w:t>
      </w:r>
      <w:bookmarkEnd w:id="0"/>
    </w:p>
    <w:p w14:paraId="4982DD97" w14:textId="77777777" w:rsidR="004D7AC0" w:rsidRPr="008646BA" w:rsidRDefault="004D7AC0" w:rsidP="00100EF9">
      <w:pPr>
        <w:pStyle w:val="ListParagraph"/>
        <w:ind w:left="0"/>
        <w:rPr>
          <w:lang w:val="en-GB"/>
        </w:rPr>
      </w:pPr>
    </w:p>
    <w:p w14:paraId="14BFA1D1" w14:textId="7A8FF54E" w:rsidR="001A1F1F" w:rsidRPr="008646BA" w:rsidRDefault="008646BA" w:rsidP="00100EF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21" w:history="1">
        <w:r>
          <w:rPr>
            <w:b/>
            <w:i/>
            <w:color w:val="0000FF"/>
            <w:sz w:val="28"/>
            <w:u w:val="single"/>
          </w:rPr>
          <w:t>Достъп на Европейската прокуратура и OLAF до информация за ДДС на равнището на Съюза</w:t>
        </w:r>
      </w:hyperlink>
    </w:p>
    <w:p w14:paraId="16AF8D1E" w14:textId="77777777" w:rsidR="001A1F1F" w:rsidRPr="008646BA" w:rsidRDefault="001A1F1F" w:rsidP="00100EF9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i/>
          <w:iCs/>
          <w:sz w:val="20"/>
          <w:szCs w:val="20"/>
          <w:lang w:val="en-GB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30"/>
      </w:tblGrid>
      <w:tr w:rsidR="001A1F1F" w:rsidRPr="008646BA" w14:paraId="0C010C9C" w14:textId="77777777" w:rsidTr="00453645">
        <w:tc>
          <w:tcPr>
            <w:tcW w:w="0" w:type="auto"/>
          </w:tcPr>
          <w:p w14:paraId="67C58898" w14:textId="77777777" w:rsidR="001A1F1F" w:rsidRPr="008646BA" w:rsidRDefault="001A1F1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Докладчик</w:t>
            </w:r>
          </w:p>
        </w:tc>
        <w:tc>
          <w:tcPr>
            <w:tcW w:w="0" w:type="auto"/>
          </w:tcPr>
          <w:p w14:paraId="2016211D" w14:textId="05A91267" w:rsidR="001A1F1F" w:rsidRPr="008646BA" w:rsidRDefault="001A1F1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Justyna</w:t>
            </w:r>
            <w:proofErr w:type="spellEnd"/>
            <w:r>
              <w:t xml:space="preserve"> Kalina </w:t>
            </w:r>
            <w:proofErr w:type="spellStart"/>
            <w:r>
              <w:t>Ochędzan</w:t>
            </w:r>
            <w:proofErr w:type="spellEnd"/>
            <w:r>
              <w:t xml:space="preserve"> (група „Организации на гражданското общество“ — PL)</w:t>
            </w:r>
          </w:p>
        </w:tc>
      </w:tr>
      <w:tr w:rsidR="00205469" w:rsidRPr="008646BA" w14:paraId="2E27DAF9" w14:textId="77777777" w:rsidTr="00453645">
        <w:tc>
          <w:tcPr>
            <w:tcW w:w="0" w:type="auto"/>
          </w:tcPr>
          <w:p w14:paraId="2C056183" w14:textId="77777777" w:rsidR="00205469" w:rsidRPr="008646BA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en-GB"/>
              </w:rPr>
            </w:pPr>
          </w:p>
        </w:tc>
        <w:tc>
          <w:tcPr>
            <w:tcW w:w="0" w:type="auto"/>
          </w:tcPr>
          <w:p w14:paraId="657AAC10" w14:textId="77777777" w:rsidR="00205469" w:rsidRPr="008646BA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lang w:val="en-GB"/>
              </w:rPr>
            </w:pPr>
          </w:p>
        </w:tc>
      </w:tr>
      <w:tr w:rsidR="001A1F1F" w:rsidRPr="008646BA" w14:paraId="7FD540DB" w14:textId="77777777" w:rsidTr="00453645">
        <w:tc>
          <w:tcPr>
            <w:tcW w:w="0" w:type="auto"/>
          </w:tcPr>
          <w:p w14:paraId="1F4D838E" w14:textId="0EE217C2" w:rsidR="001A1F1F" w:rsidRPr="008646BA" w:rsidRDefault="001A1F1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Отправни документи</w:t>
            </w:r>
          </w:p>
        </w:tc>
        <w:tc>
          <w:tcPr>
            <w:tcW w:w="0" w:type="auto"/>
          </w:tcPr>
          <w:p w14:paraId="7BBCB1FA" w14:textId="42339DFC" w:rsidR="001A1F1F" w:rsidRPr="008646BA" w:rsidRDefault="001A1F1F" w:rsidP="00100EF9">
            <w:pPr>
              <w:tabs>
                <w:tab w:val="center" w:pos="321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COM(2025) 685 </w:t>
            </w:r>
            <w:proofErr w:type="spellStart"/>
            <w:r>
              <w:t>final</w:t>
            </w:r>
            <w:proofErr w:type="spellEnd"/>
          </w:p>
          <w:p w14:paraId="1104CA65" w14:textId="51409899" w:rsidR="001A1F1F" w:rsidRPr="008646BA" w:rsidRDefault="001A1F1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EESC-2025-04282-00-00-AC</w:t>
            </w:r>
          </w:p>
        </w:tc>
      </w:tr>
    </w:tbl>
    <w:p w14:paraId="33260C4B" w14:textId="77777777" w:rsidR="001A1F1F" w:rsidRPr="008646BA" w:rsidRDefault="001A1F1F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55B2611A" w14:textId="77777777" w:rsidR="001A1F1F" w:rsidRPr="008646BA" w:rsidRDefault="001A1F1F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Основни аспекти</w:t>
      </w:r>
    </w:p>
    <w:p w14:paraId="374403B4" w14:textId="77777777" w:rsidR="001A1F1F" w:rsidRPr="008646BA" w:rsidRDefault="001A1F1F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74EE163" w14:textId="77777777" w:rsidR="001A1F1F" w:rsidRPr="008646BA" w:rsidRDefault="001A1F1F" w:rsidP="00100EF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ЕИСК:</w:t>
      </w:r>
    </w:p>
    <w:p w14:paraId="2A48351A" w14:textId="77777777" w:rsidR="001A1F1F" w:rsidRPr="008646BA" w:rsidRDefault="001A1F1F" w:rsidP="007526DA">
      <w:pPr>
        <w:pStyle w:val="ListParagraph"/>
        <w:numPr>
          <w:ilvl w:val="0"/>
          <w:numId w:val="27"/>
        </w:numPr>
        <w:ind w:left="567" w:hanging="567"/>
      </w:pPr>
      <w:bookmarkStart w:id="1" w:name="_Toc222825813"/>
      <w:r>
        <w:t xml:space="preserve">напълно </w:t>
      </w:r>
      <w:r>
        <w:rPr>
          <w:b/>
        </w:rPr>
        <w:t>подкрепя</w:t>
      </w:r>
      <w:r>
        <w:t xml:space="preserve"> усилията на Комисията за насърчаване на по-широк и цялостен подход за борба с измамите с ДДС, като се предостави възможност на Европейската прокуратура и на Европейската служба за борба с измамите (OLAF) за достъп до данни за данъка върху добавената стойност (ДДС) съгласно Регламент (ЕС) № 904/2010 на Съвета;</w:t>
      </w:r>
      <w:bookmarkEnd w:id="1"/>
    </w:p>
    <w:p w14:paraId="2F29EED4" w14:textId="77777777" w:rsidR="001A1F1F" w:rsidRPr="008646BA" w:rsidRDefault="001A1F1F" w:rsidP="007526DA">
      <w:pPr>
        <w:pStyle w:val="ListParagraph"/>
        <w:numPr>
          <w:ilvl w:val="0"/>
          <w:numId w:val="27"/>
        </w:numPr>
        <w:ind w:left="567" w:hanging="567"/>
      </w:pPr>
      <w:bookmarkStart w:id="2" w:name="_Toc222825814"/>
      <w:r>
        <w:rPr>
          <w:b/>
        </w:rPr>
        <w:t>признава</w:t>
      </w:r>
      <w:r>
        <w:t>, че за да се води борба с най-значимите форми на измами с ДДС, е необходимо да се даде възможност на компетентните органи бързо да събират, използват и съпоставят свързана с ДДС информация в множество държави членки, като по този начин се намалят забавянията в реакцията на компетентните данъчни органи по отношение на измамни дейности;</w:t>
      </w:r>
      <w:bookmarkEnd w:id="2"/>
    </w:p>
    <w:p w14:paraId="76BC0052" w14:textId="77777777" w:rsidR="001A1F1F" w:rsidRPr="008646BA" w:rsidRDefault="001A1F1F" w:rsidP="007526DA">
      <w:pPr>
        <w:pStyle w:val="ListParagraph"/>
        <w:numPr>
          <w:ilvl w:val="0"/>
          <w:numId w:val="27"/>
        </w:numPr>
        <w:ind w:left="567" w:hanging="567"/>
      </w:pPr>
      <w:bookmarkStart w:id="3" w:name="_Toc222825815"/>
      <w:r>
        <w:rPr>
          <w:b/>
        </w:rPr>
        <w:t>оценява факта</w:t>
      </w:r>
      <w:r>
        <w:t xml:space="preserve">, че предложението на Комисията следва последваща оценка на правилата, приложими съгласно Регламент (ЕС) № 904/2010 на Съвета, като се взема предвид обратната информация, предоставена от държавите членки. ЕИСК </w:t>
      </w:r>
      <w:r>
        <w:rPr>
          <w:b/>
        </w:rPr>
        <w:t>посочва</w:t>
      </w:r>
      <w:r>
        <w:t>, че не е извършена оценка на въздействието във връзка с настоящото предложение, въпреки че признава, че това се дължи на спешното искане от страна на държавите членки;</w:t>
      </w:r>
      <w:bookmarkEnd w:id="3"/>
    </w:p>
    <w:p w14:paraId="25654AAB" w14:textId="77777777" w:rsidR="001A1F1F" w:rsidRPr="008646BA" w:rsidRDefault="001A1F1F" w:rsidP="007526DA">
      <w:pPr>
        <w:pStyle w:val="ListParagraph"/>
        <w:numPr>
          <w:ilvl w:val="0"/>
          <w:numId w:val="27"/>
        </w:numPr>
        <w:ind w:left="567" w:hanging="567"/>
      </w:pPr>
      <w:bookmarkStart w:id="4" w:name="_Toc222825816"/>
      <w:r>
        <w:rPr>
          <w:b/>
        </w:rPr>
        <w:t>приветства</w:t>
      </w:r>
      <w:r>
        <w:t xml:space="preserve"> намерението на Комисията да подобри сътрудничеството между съответните органи, които се борят с измамите с ДДС, включително възможността за подобряване на сътрудничеството между Европол и Еврофиск в рамките на Регламент (ЕС) № 904/2010 на Съвета, и настоятелно призовава за по-нататъшно засилване на структурираното сътрудничество между всички компетентни органи в държавите членки.</w:t>
      </w:r>
      <w:bookmarkEnd w:id="4"/>
    </w:p>
    <w:p w14:paraId="39EE45C8" w14:textId="77777777" w:rsidR="001A1F1F" w:rsidRPr="008646BA" w:rsidRDefault="001A1F1F" w:rsidP="00100EF9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2628"/>
      </w:tblGrid>
      <w:tr w:rsidR="001A1F1F" w:rsidRPr="008646BA" w14:paraId="33327B63" w14:textId="77777777" w:rsidTr="00453645">
        <w:tc>
          <w:tcPr>
            <w:tcW w:w="0" w:type="auto"/>
          </w:tcPr>
          <w:p w14:paraId="04F7E453" w14:textId="77777777" w:rsidR="001A1F1F" w:rsidRPr="008646BA" w:rsidRDefault="001A1F1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За контакти</w:t>
            </w:r>
          </w:p>
        </w:tc>
        <w:tc>
          <w:tcPr>
            <w:tcW w:w="0" w:type="auto"/>
          </w:tcPr>
          <w:p w14:paraId="34FEEF63" w14:textId="62F84E0C" w:rsidR="001A1F1F" w:rsidRPr="008646BA" w:rsidRDefault="001A1F1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Jüri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Soosaar</w:t>
            </w:r>
            <w:proofErr w:type="spellEnd"/>
          </w:p>
        </w:tc>
      </w:tr>
      <w:tr w:rsidR="001A1F1F" w:rsidRPr="008646BA" w14:paraId="7DA1B58C" w14:textId="77777777" w:rsidTr="00453645">
        <w:tc>
          <w:tcPr>
            <w:tcW w:w="0" w:type="auto"/>
          </w:tcPr>
          <w:p w14:paraId="32B45750" w14:textId="77777777" w:rsidR="001A1F1F" w:rsidRPr="008646BA" w:rsidRDefault="001A1F1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Тел.</w:t>
            </w:r>
          </w:p>
        </w:tc>
        <w:tc>
          <w:tcPr>
            <w:tcW w:w="0" w:type="auto"/>
          </w:tcPr>
          <w:p w14:paraId="4B866371" w14:textId="51149591" w:rsidR="001A1F1F" w:rsidRPr="008646BA" w:rsidRDefault="001A1F1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+32 25469628</w:t>
            </w:r>
          </w:p>
        </w:tc>
      </w:tr>
      <w:tr w:rsidR="001A1F1F" w:rsidRPr="008646BA" w14:paraId="3A08DF12" w14:textId="77777777" w:rsidTr="00453645">
        <w:tc>
          <w:tcPr>
            <w:tcW w:w="0" w:type="auto"/>
          </w:tcPr>
          <w:p w14:paraId="3FBEB159" w14:textId="77777777" w:rsidR="001A1F1F" w:rsidRPr="008646BA" w:rsidRDefault="001A1F1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Електронен адрес</w:t>
            </w:r>
          </w:p>
        </w:tc>
        <w:tc>
          <w:tcPr>
            <w:tcW w:w="0" w:type="auto"/>
          </w:tcPr>
          <w:p w14:paraId="11A675FB" w14:textId="6C9D3BCE" w:rsidR="001A1F1F" w:rsidRPr="008646BA" w:rsidRDefault="008646BA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22" w:history="1">
              <w:r>
                <w:rPr>
                  <w:i/>
                  <w:color w:val="0000FF"/>
                  <w:u w:val="single"/>
                </w:rPr>
                <w:t>Juri.Soosaar@eesc.europa.eu</w:t>
              </w:r>
            </w:hyperlink>
          </w:p>
        </w:tc>
      </w:tr>
    </w:tbl>
    <w:p w14:paraId="78F085C8" w14:textId="47013726" w:rsidR="00627FDF" w:rsidRPr="008646BA" w:rsidRDefault="00627FDF" w:rsidP="00100EF9">
      <w:pPr>
        <w:pStyle w:val="ListParagraph"/>
        <w:ind w:left="0"/>
        <w:rPr>
          <w:lang w:val="en-GB"/>
        </w:rPr>
      </w:pPr>
    </w:p>
    <w:p w14:paraId="14AD7ACF" w14:textId="77777777" w:rsidR="00627FDF" w:rsidRPr="008646BA" w:rsidRDefault="00627FDF" w:rsidP="00100EF9">
      <w:pPr>
        <w:jc w:val="left"/>
      </w:pPr>
      <w:r>
        <w:br w:type="page"/>
      </w:r>
    </w:p>
    <w:p w14:paraId="5B5A0FF1" w14:textId="5E0F27E5" w:rsidR="00627FDF" w:rsidRPr="008646BA" w:rsidRDefault="008646BA" w:rsidP="00100EF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0"/>
          <w:szCs w:val="20"/>
        </w:rPr>
      </w:pPr>
      <w:hyperlink r:id="rId23" w:history="1">
        <w:r>
          <w:rPr>
            <w:b/>
            <w:i/>
            <w:color w:val="0000FF"/>
            <w:sz w:val="28"/>
            <w:u w:val="single"/>
          </w:rPr>
          <w:t>Европейски семестър за 2026 г. — есенен пакет</w:t>
        </w:r>
      </w:hyperlink>
    </w:p>
    <w:p w14:paraId="2922872A" w14:textId="77777777" w:rsidR="00627FDF" w:rsidRPr="008646BA" w:rsidRDefault="00627FDF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tbl>
      <w:tblPr>
        <w:tblStyle w:val="TableGrid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100"/>
      </w:tblGrid>
      <w:tr w:rsidR="00627FDF" w:rsidRPr="008646BA" w14:paraId="59DBBD6A" w14:textId="77777777" w:rsidTr="00453645">
        <w:tc>
          <w:tcPr>
            <w:tcW w:w="0" w:type="auto"/>
          </w:tcPr>
          <w:p w14:paraId="2CA81E57" w14:textId="77777777" w:rsidR="00627FDF" w:rsidRPr="008646BA" w:rsidRDefault="00627FD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Докладчик</w:t>
            </w:r>
          </w:p>
        </w:tc>
        <w:tc>
          <w:tcPr>
            <w:tcW w:w="0" w:type="auto"/>
          </w:tcPr>
          <w:p w14:paraId="48A0BF67" w14:textId="3FE90B23" w:rsidR="00627FDF" w:rsidRPr="008646BA" w:rsidRDefault="00627FD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proofErr w:type="spellStart"/>
            <w:r>
              <w:t>Luca</w:t>
            </w:r>
            <w:proofErr w:type="spellEnd"/>
            <w:r>
              <w:t xml:space="preserve"> JAHIER (група „Организации на гражданското общество“ — IT)</w:t>
            </w:r>
          </w:p>
        </w:tc>
      </w:tr>
      <w:tr w:rsidR="00205469" w:rsidRPr="008646BA" w14:paraId="6A4A7A00" w14:textId="77777777" w:rsidTr="00453645">
        <w:tc>
          <w:tcPr>
            <w:tcW w:w="0" w:type="auto"/>
          </w:tcPr>
          <w:p w14:paraId="12EA3C9E" w14:textId="77777777" w:rsidR="00205469" w:rsidRPr="008646BA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en-GB"/>
              </w:rPr>
            </w:pPr>
          </w:p>
        </w:tc>
        <w:tc>
          <w:tcPr>
            <w:tcW w:w="0" w:type="auto"/>
          </w:tcPr>
          <w:p w14:paraId="3F242FCC" w14:textId="77777777" w:rsidR="00205469" w:rsidRPr="008646BA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bCs/>
                <w:lang w:val="en-GB"/>
              </w:rPr>
            </w:pPr>
          </w:p>
        </w:tc>
      </w:tr>
      <w:tr w:rsidR="00627FDF" w:rsidRPr="008646BA" w14:paraId="261B2615" w14:textId="77777777" w:rsidTr="00453645">
        <w:tc>
          <w:tcPr>
            <w:tcW w:w="0" w:type="auto"/>
          </w:tcPr>
          <w:p w14:paraId="5DFE7408" w14:textId="6FA9C295" w:rsidR="00627FDF" w:rsidRPr="008646BA" w:rsidRDefault="00627FD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Отправни документи</w:t>
            </w:r>
          </w:p>
        </w:tc>
        <w:tc>
          <w:tcPr>
            <w:tcW w:w="0" w:type="auto"/>
          </w:tcPr>
          <w:p w14:paraId="05B63FA9" w14:textId="3576FDD2" w:rsidR="00627FDF" w:rsidRPr="008646BA" w:rsidRDefault="00627FD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 xml:space="preserve">COM(2025) 955 </w:t>
            </w:r>
            <w:proofErr w:type="spellStart"/>
            <w:r>
              <w:t>final</w:t>
            </w:r>
            <w:proofErr w:type="spellEnd"/>
          </w:p>
          <w:p w14:paraId="3BB4E753" w14:textId="77777777" w:rsidR="00627FDF" w:rsidRPr="008646BA" w:rsidRDefault="00627FDF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EESC-2025-03794-00-00-AC</w:t>
            </w:r>
          </w:p>
        </w:tc>
      </w:tr>
    </w:tbl>
    <w:p w14:paraId="7A90BFAE" w14:textId="77777777" w:rsidR="00627FDF" w:rsidRPr="008646BA" w:rsidRDefault="00627FDF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1E165E10" w14:textId="77777777" w:rsidR="00627FDF" w:rsidRPr="008646BA" w:rsidRDefault="00627FDF" w:rsidP="00100EF9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Основни аспекти</w:t>
      </w:r>
    </w:p>
    <w:p w14:paraId="6A1E467B" w14:textId="77777777" w:rsidR="002F4AD1" w:rsidRPr="008646BA" w:rsidRDefault="002F4AD1" w:rsidP="00100EF9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5B235C5C" w14:textId="77777777" w:rsidR="00627FDF" w:rsidRPr="008646BA" w:rsidRDefault="00627FDF" w:rsidP="00100EF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ЕИСК:</w:t>
      </w:r>
    </w:p>
    <w:p w14:paraId="769B1960" w14:textId="77777777" w:rsidR="00627FDF" w:rsidRPr="008646BA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изразява съжаление, че Комисията отново се въздържа от представяне на </w:t>
      </w:r>
      <w:r>
        <w:rPr>
          <w:b/>
        </w:rPr>
        <w:t>годишния обзор на устойчивия растеж (ГОУР</w:t>
      </w:r>
      <w:r>
        <w:t xml:space="preserve">), и подчертава, че </w:t>
      </w:r>
      <w:r>
        <w:rPr>
          <w:b/>
        </w:rPr>
        <w:t>устойчивият икономически растеж</w:t>
      </w:r>
      <w:r>
        <w:t xml:space="preserve"> е необходимо условие, за да може Европа да изпълни многобройните си ангажименти; приветства </w:t>
      </w:r>
      <w:r>
        <w:rPr>
          <w:b/>
        </w:rPr>
        <w:t>Европейския макроикономически доклад,</w:t>
      </w:r>
      <w:r>
        <w:t xml:space="preserve"> който предоставя задълбочено проучване на основните структурни предизвикателства, пред които е изправен ЕС, и новата препоръка относно човешкия капитал, която е елемент от решаващо значение за преодоляване на технологичните различия в ЕС, като се взема предвид и демографското предизвикателство пред ЕС;</w:t>
      </w:r>
    </w:p>
    <w:p w14:paraId="37295D8E" w14:textId="77777777" w:rsidR="00627FDF" w:rsidRPr="008646BA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отново повтаря призива си за </w:t>
      </w:r>
      <w:r>
        <w:rPr>
          <w:b/>
        </w:rPr>
        <w:t>по-сериозен общ фискален капацитет</w:t>
      </w:r>
      <w:r>
        <w:t>, подпомаган от целенасочени емисии на съвместен дълг, за да се помогне за преодоляване на този нарастващ недостиг на публичните инвестиции, и за постоянни инструменти за макроикономическо стабилизиране с цел справяне със сътресенията въз основа на опита с Европейския инструмент за временна подкрепа с цел смекчаване на рисковете от безработица при извънредни обстоятелства (SURE), което би трябвало да се прави постоянно;</w:t>
      </w:r>
    </w:p>
    <w:p w14:paraId="48F6D6CB" w14:textId="77777777" w:rsidR="00627FDF" w:rsidRPr="008646BA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продължава да бъде обезпокоен от </w:t>
      </w:r>
      <w:r>
        <w:rPr>
          <w:b/>
        </w:rPr>
        <w:t>разпокъсаността на финансовите пазари на ЕС</w:t>
      </w:r>
      <w:r>
        <w:t xml:space="preserve"> и призовава Комисията да направи оценка дали </w:t>
      </w:r>
      <w:r>
        <w:rPr>
          <w:b/>
        </w:rPr>
        <w:t>набор от инструменти на равнището на ЕС, еквивалентни на закона за подобряване на националните пазари на ценни книжа в САЩ (NSMIA)</w:t>
      </w:r>
      <w:r>
        <w:t>, би могъл да опрости трансграничния достъп до пазара, да намали разпокъсаността по отношение на спазването на изискванията и да подкрепи по-задълбочени, по-ефикасни и по-ликвидни пазари, като същевременно се поддържа необходимото равнище на сигурност, което се поддържа понастоящем.</w:t>
      </w:r>
    </w:p>
    <w:p w14:paraId="409B0B27" w14:textId="77777777" w:rsidR="00627FDF" w:rsidRPr="008646BA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отново призовава Комисията спешно </w:t>
      </w:r>
      <w:r>
        <w:rPr>
          <w:b/>
        </w:rPr>
        <w:t>да преразгледа набора от предложени показатели за наблюдение на процедурата при макроикономически дисбаланси (ПМД)</w:t>
      </w:r>
      <w:r>
        <w:t>. Наблюдаването на развитието на комбинираното използване вместо придържането към отделни показатели може да бъде част от решението, за да се подобри наборът от показатели относно ПМД;</w:t>
      </w:r>
    </w:p>
    <w:p w14:paraId="1707B61B" w14:textId="77777777" w:rsidR="00627FDF" w:rsidRPr="008646BA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счита, че е необходимо </w:t>
      </w:r>
      <w:r>
        <w:rPr>
          <w:b/>
        </w:rPr>
        <w:t>по-рационализирано използване на набора от социални показатели, преразгледания набор от показатели по ПМД и преразгледаната методология за анализ на устойчивостта на обслужването на дълга, допълнени от</w:t>
      </w:r>
      <w:r>
        <w:t xml:space="preserve"> новите </w:t>
      </w:r>
      <w:r>
        <w:rPr>
          <w:b/>
        </w:rPr>
        <w:t>показатели за благосъстоянието</w:t>
      </w:r>
      <w:r>
        <w:t>, предложени от Съвместния изследователски център (JRC);</w:t>
      </w:r>
    </w:p>
    <w:p w14:paraId="1DE1E29B" w14:textId="41C3C73A" w:rsidR="00627FDF" w:rsidRPr="008646BA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Отправя искане към Комисията да третира</w:t>
      </w:r>
      <w:r>
        <w:rPr>
          <w:b/>
        </w:rPr>
        <w:t xml:space="preserve"> рамката за социална конвергенция на същото равнище като тази за фискална конвергенция и да формулира ясни препоръки</w:t>
      </w:r>
      <w:r>
        <w:t xml:space="preserve"> съответно за всяка държава членка в следващите специфични за всяка държава препоръки; призовава Комисията да предложи конкретни стимули за </w:t>
      </w:r>
      <w:r>
        <w:lastRenderedPageBreak/>
        <w:t>държавите</w:t>
      </w:r>
      <w:r w:rsidR="00453645">
        <w:rPr>
          <w:lang w:val="en-US"/>
        </w:rPr>
        <w:t> </w:t>
      </w:r>
      <w:r>
        <w:t xml:space="preserve">членки, за да увеличат използването на </w:t>
      </w:r>
      <w:r>
        <w:rPr>
          <w:b/>
        </w:rPr>
        <w:t>клаузата за гъвкавост за социални инвестиции</w:t>
      </w:r>
      <w:r>
        <w:t>;</w:t>
      </w:r>
    </w:p>
    <w:p w14:paraId="7DBF2201" w14:textId="77777777" w:rsidR="00627FDF" w:rsidRPr="008646BA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отново призовава за </w:t>
      </w:r>
      <w:r>
        <w:rPr>
          <w:b/>
        </w:rPr>
        <w:t>задълбочен анализ и изясняване на обявените връзки между европейския семестър, Инструмента за координация на конкурентоспособността</w:t>
      </w:r>
      <w:r>
        <w:t xml:space="preserve"> и предложената бъдеща </w:t>
      </w:r>
      <w:r>
        <w:rPr>
          <w:b/>
        </w:rPr>
        <w:t>многогодишна финансова рамка (МФР)</w:t>
      </w:r>
      <w:r>
        <w:t xml:space="preserve">; </w:t>
      </w:r>
    </w:p>
    <w:p w14:paraId="28888E6E" w14:textId="77777777" w:rsidR="00627FDF" w:rsidRPr="008646BA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призовава </w:t>
      </w:r>
      <w:r>
        <w:rPr>
          <w:b/>
        </w:rPr>
        <w:t>Европейския парламент да въведе</w:t>
      </w:r>
      <w:r>
        <w:t xml:space="preserve"> — както в случая с Механизма за възстановяване и устойчивост (МВУ) — </w:t>
      </w:r>
      <w:r>
        <w:rPr>
          <w:b/>
        </w:rPr>
        <w:t>постоянна комисия за наблюдение и оценка на икономическите и бюджетните въпроси за „новия“ Европейски семестър, за изпълнението и годишната оценка на средносрочните фискално-структурни планове, специфичните за всяка държава препоръки и техните конкретни взаимни връзки с бъдещите планове за национално и регионално партньорство</w:t>
      </w:r>
      <w:r>
        <w:t>, (НРП);</w:t>
      </w:r>
    </w:p>
    <w:p w14:paraId="19CCD46D" w14:textId="77777777" w:rsidR="00627FDF" w:rsidRPr="008646BA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призовава Комисията да </w:t>
      </w:r>
      <w:r>
        <w:rPr>
          <w:b/>
        </w:rPr>
        <w:t>разглежда клаузата за дерогация като временен инструмент за извънредни ситуации,</w:t>
      </w:r>
      <w:r>
        <w:t xml:space="preserve"> а не като заместител на последователна дългосрочна фискална стратегия и стратегия за растеж, и призовава Комисията да </w:t>
      </w:r>
      <w:r>
        <w:rPr>
          <w:b/>
        </w:rPr>
        <w:t>направи оценка на нарастващата роля на разходите за отбрана за устойчивия растеж на ЕС</w:t>
      </w:r>
      <w:r>
        <w:t xml:space="preserve"> и неговото въздействие върху заетостта и бъдещата фискална стабилност;</w:t>
      </w:r>
    </w:p>
    <w:p w14:paraId="61FE117E" w14:textId="77777777" w:rsidR="00627FDF" w:rsidRPr="008646BA" w:rsidRDefault="00627FDF" w:rsidP="007526DA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отново призовава за</w:t>
      </w:r>
      <w:r>
        <w:rPr>
          <w:b/>
        </w:rPr>
        <w:t xml:space="preserve"> по-активно, структурирано и значимо участие на социалните партньори и организациите на гражданското общество на европейско, национално и местно равнище</w:t>
      </w:r>
      <w:r>
        <w:t xml:space="preserve"> при изпълнението на цикъла на семестъра.</w:t>
      </w:r>
    </w:p>
    <w:p w14:paraId="6AF1FBF1" w14:textId="77777777" w:rsidR="00627FDF" w:rsidRPr="008646BA" w:rsidRDefault="00627FDF" w:rsidP="00100EF9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  <w:iCs/>
          <w:lang w:val="en-GB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930"/>
      </w:tblGrid>
      <w:tr w:rsidR="00627FDF" w:rsidRPr="008C53E3" w14:paraId="52F142FB" w14:textId="77777777" w:rsidTr="008C53E3">
        <w:tc>
          <w:tcPr>
            <w:tcW w:w="0" w:type="auto"/>
          </w:tcPr>
          <w:p w14:paraId="605B3F57" w14:textId="77777777" w:rsidR="00627FDF" w:rsidRPr="008C53E3" w:rsidRDefault="00627FD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C53E3">
              <w:rPr>
                <w:b/>
                <w:i/>
                <w:sz w:val="22"/>
                <w:szCs w:val="22"/>
              </w:rPr>
              <w:t>За контакти</w:t>
            </w:r>
          </w:p>
        </w:tc>
        <w:tc>
          <w:tcPr>
            <w:tcW w:w="0" w:type="auto"/>
          </w:tcPr>
          <w:p w14:paraId="2799D0F0" w14:textId="77777777" w:rsidR="00627FDF" w:rsidRPr="008C53E3" w:rsidRDefault="00627FD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C53E3">
              <w:rPr>
                <w:i/>
                <w:sz w:val="22"/>
                <w:szCs w:val="22"/>
              </w:rPr>
              <w:t xml:space="preserve">Anna </w:t>
            </w:r>
            <w:proofErr w:type="spellStart"/>
            <w:r w:rsidRPr="008C53E3">
              <w:rPr>
                <w:i/>
                <w:sz w:val="22"/>
                <w:szCs w:val="22"/>
              </w:rPr>
              <w:t>Pantazi</w:t>
            </w:r>
            <w:proofErr w:type="spellEnd"/>
          </w:p>
        </w:tc>
      </w:tr>
      <w:tr w:rsidR="00627FDF" w:rsidRPr="008C53E3" w14:paraId="2AECF76E" w14:textId="77777777" w:rsidTr="008C53E3">
        <w:tc>
          <w:tcPr>
            <w:tcW w:w="0" w:type="auto"/>
          </w:tcPr>
          <w:p w14:paraId="0CA36F14" w14:textId="77777777" w:rsidR="00627FDF" w:rsidRPr="008C53E3" w:rsidRDefault="00627FD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C53E3">
              <w:rPr>
                <w:i/>
                <w:sz w:val="22"/>
                <w:szCs w:val="22"/>
              </w:rPr>
              <w:t>Тел.</w:t>
            </w:r>
          </w:p>
        </w:tc>
        <w:tc>
          <w:tcPr>
            <w:tcW w:w="0" w:type="auto"/>
          </w:tcPr>
          <w:p w14:paraId="74E90836" w14:textId="1D42CC9B" w:rsidR="00627FDF" w:rsidRPr="008C53E3" w:rsidRDefault="00627FD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C53E3">
              <w:rPr>
                <w:i/>
                <w:sz w:val="22"/>
                <w:szCs w:val="22"/>
              </w:rPr>
              <w:t>+32 25469231</w:t>
            </w:r>
          </w:p>
        </w:tc>
      </w:tr>
      <w:tr w:rsidR="00627FDF" w:rsidRPr="008C53E3" w14:paraId="03A39DE3" w14:textId="77777777" w:rsidTr="008C53E3">
        <w:tc>
          <w:tcPr>
            <w:tcW w:w="0" w:type="auto"/>
          </w:tcPr>
          <w:p w14:paraId="5FDCFB85" w14:textId="77777777" w:rsidR="00627FDF" w:rsidRPr="008C53E3" w:rsidRDefault="00627FDF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8C53E3">
              <w:rPr>
                <w:i/>
                <w:sz w:val="22"/>
                <w:szCs w:val="22"/>
              </w:rPr>
              <w:t>Електронен адрес</w:t>
            </w:r>
          </w:p>
        </w:tc>
        <w:tc>
          <w:tcPr>
            <w:tcW w:w="0" w:type="auto"/>
          </w:tcPr>
          <w:p w14:paraId="3BA9FEE0" w14:textId="21B5BAE1" w:rsidR="00627FDF" w:rsidRPr="008C53E3" w:rsidRDefault="008646BA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r:id="rId24" w:history="1">
              <w:r w:rsidRPr="008C53E3">
                <w:rPr>
                  <w:i/>
                  <w:color w:val="0000FF"/>
                  <w:sz w:val="22"/>
                  <w:szCs w:val="22"/>
                  <w:u w:val="single"/>
                </w:rPr>
                <w:t>Anna.Pantazi@eesc.europa.eu</w:t>
              </w:r>
            </w:hyperlink>
          </w:p>
        </w:tc>
      </w:tr>
    </w:tbl>
    <w:p w14:paraId="69D261DC" w14:textId="6E0384BF" w:rsidR="00557848" w:rsidRPr="008646BA" w:rsidRDefault="00557848" w:rsidP="00100EF9">
      <w:pPr>
        <w:pStyle w:val="ListParagraph"/>
        <w:ind w:left="0"/>
        <w:rPr>
          <w:lang w:val="en-GB"/>
        </w:rPr>
      </w:pPr>
    </w:p>
    <w:p w14:paraId="18087D90" w14:textId="77777777" w:rsidR="00557848" w:rsidRPr="008646BA" w:rsidRDefault="00557848" w:rsidP="00100EF9">
      <w:pPr>
        <w:jc w:val="left"/>
      </w:pPr>
      <w:r>
        <w:br w:type="page"/>
      </w:r>
    </w:p>
    <w:p w14:paraId="1CFC3C7D" w14:textId="46E35801" w:rsidR="00532F99" w:rsidRPr="008646BA" w:rsidRDefault="008646BA" w:rsidP="00100E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25" w:history="1">
        <w:r>
          <w:rPr>
            <w:b/>
            <w:i/>
            <w:color w:val="0000FF"/>
            <w:sz w:val="28"/>
            <w:u w:val="single"/>
          </w:rPr>
          <w:t>Островното измерение в европейските политики за сближаване, конкурентоспособност и устойчиво развитие</w:t>
        </w:r>
      </w:hyperlink>
    </w:p>
    <w:p w14:paraId="6D45E35E" w14:textId="77777777" w:rsidR="00153E09" w:rsidRPr="008646BA" w:rsidRDefault="00153E09" w:rsidP="00100EF9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lang w:val="en-GB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7117"/>
      </w:tblGrid>
      <w:tr w:rsidR="00532F99" w:rsidRPr="008C53E3" w14:paraId="67745AC7" w14:textId="77777777" w:rsidTr="008C53E3">
        <w:tc>
          <w:tcPr>
            <w:tcW w:w="0" w:type="auto"/>
          </w:tcPr>
          <w:p w14:paraId="61C2DFEA" w14:textId="77777777" w:rsidR="00532F99" w:rsidRPr="008C53E3" w:rsidRDefault="00532F9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8C53E3">
              <w:rPr>
                <w:b/>
                <w:sz w:val="22"/>
                <w:szCs w:val="22"/>
              </w:rPr>
              <w:t>Докладчик</w:t>
            </w:r>
          </w:p>
        </w:tc>
        <w:tc>
          <w:tcPr>
            <w:tcW w:w="0" w:type="auto"/>
          </w:tcPr>
          <w:p w14:paraId="1D4B2919" w14:textId="013947C3" w:rsidR="00153E09" w:rsidRPr="008C53E3" w:rsidRDefault="00532F9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8C53E3">
              <w:rPr>
                <w:sz w:val="22"/>
                <w:szCs w:val="22"/>
              </w:rPr>
              <w:t>Ioannis VARDAKASTANIS (група „Организации на гражданското общество“ — EL)</w:t>
            </w:r>
          </w:p>
        </w:tc>
      </w:tr>
      <w:tr w:rsidR="00205469" w:rsidRPr="008C53E3" w14:paraId="1E28C030" w14:textId="77777777" w:rsidTr="008C53E3">
        <w:tc>
          <w:tcPr>
            <w:tcW w:w="0" w:type="auto"/>
          </w:tcPr>
          <w:p w14:paraId="6556B0F0" w14:textId="77777777" w:rsidR="00205469" w:rsidRPr="008C53E3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9CED0B0" w14:textId="77777777" w:rsidR="00205469" w:rsidRPr="008C53E3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22"/>
                <w:szCs w:val="22"/>
                <w:lang w:val="en-GB"/>
              </w:rPr>
            </w:pPr>
          </w:p>
        </w:tc>
      </w:tr>
      <w:tr w:rsidR="00532F99" w:rsidRPr="008C53E3" w14:paraId="6B1B0BDA" w14:textId="77777777" w:rsidTr="008C53E3">
        <w:tc>
          <w:tcPr>
            <w:tcW w:w="0" w:type="auto"/>
          </w:tcPr>
          <w:p w14:paraId="2C89221D" w14:textId="77777777" w:rsidR="00532F99" w:rsidRPr="008C53E3" w:rsidRDefault="00532F9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8C53E3">
              <w:rPr>
                <w:b/>
                <w:sz w:val="22"/>
                <w:szCs w:val="22"/>
              </w:rPr>
              <w:t>Отправни документи</w:t>
            </w:r>
          </w:p>
        </w:tc>
        <w:tc>
          <w:tcPr>
            <w:tcW w:w="0" w:type="auto"/>
          </w:tcPr>
          <w:p w14:paraId="23EE8050" w14:textId="0AD297F8" w:rsidR="00532F99" w:rsidRPr="008C53E3" w:rsidRDefault="00532F99" w:rsidP="00100EF9">
            <w:pPr>
              <w:tabs>
                <w:tab w:val="center" w:pos="3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3E3">
              <w:rPr>
                <w:sz w:val="22"/>
                <w:szCs w:val="22"/>
              </w:rPr>
              <w:t>проучвателно становище по искане на кипърското председателство на Съвета на ЕС</w:t>
            </w:r>
          </w:p>
          <w:p w14:paraId="0FBD455F" w14:textId="4C1CCA1A" w:rsidR="00532F99" w:rsidRPr="008C53E3" w:rsidRDefault="00532F9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8C53E3">
              <w:rPr>
                <w:sz w:val="22"/>
                <w:szCs w:val="22"/>
              </w:rPr>
              <w:t>EESC-2025-03598-00-00-AC</w:t>
            </w:r>
          </w:p>
        </w:tc>
      </w:tr>
    </w:tbl>
    <w:p w14:paraId="68AC2034" w14:textId="77777777" w:rsidR="00153E09" w:rsidRPr="008646BA" w:rsidRDefault="00153E09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07A288D5" w14:textId="6C112457" w:rsidR="00532F99" w:rsidRPr="008646BA" w:rsidRDefault="00532F99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Основни аспекти</w:t>
      </w:r>
    </w:p>
    <w:p w14:paraId="016816BE" w14:textId="77777777" w:rsidR="00532F99" w:rsidRPr="008646BA" w:rsidRDefault="00532F99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113D35D1" w14:textId="77777777" w:rsidR="00532F99" w:rsidRPr="008646BA" w:rsidRDefault="00532F99" w:rsidP="00100EF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ЕИСК:</w:t>
      </w:r>
    </w:p>
    <w:p w14:paraId="4843EC5E" w14:textId="77777777" w:rsidR="00532F99" w:rsidRPr="008646BA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5" w:name="_Toc222825817"/>
      <w:r>
        <w:t xml:space="preserve">счита, че островите в ЕС са изправени пред </w:t>
      </w:r>
      <w:r>
        <w:rPr>
          <w:u w:val="single"/>
        </w:rPr>
        <w:t>постоянни структурни неблагоприятни условия</w:t>
      </w:r>
      <w:r>
        <w:t>, т.е. географски, икономически, демографски и свързани с климата ограничения като изолация, топене на леда, високи транспортни и енергийни разходи, натиск върху жилищното настаняване, недостиг на работна ръка и прекомерно разчитане на туризма;</w:t>
      </w:r>
      <w:bookmarkEnd w:id="5"/>
    </w:p>
    <w:p w14:paraId="70CF9AE7" w14:textId="77777777" w:rsidR="00532F99" w:rsidRPr="008646BA" w:rsidRDefault="00532F99" w:rsidP="007526DA">
      <w:pPr>
        <w:pStyle w:val="ListParagraph"/>
        <w:numPr>
          <w:ilvl w:val="0"/>
          <w:numId w:val="28"/>
        </w:numPr>
        <w:ind w:left="567" w:hanging="567"/>
        <w:rPr>
          <w:u w:val="single"/>
        </w:rPr>
      </w:pPr>
      <w:bookmarkStart w:id="6" w:name="_Toc222825818"/>
      <w:r>
        <w:t>счита, че островите са от съществено значение за геополитическото позициониране на ЕС, управлението на миграцията, морската сигурност и енергийния преход. Морските екосистеми и изключителните икономически зони (ИИЗ) са в основата на синята икономика и целите в областта на биологичното разнообразие. Въпреки признаването им в Договорите на ЕС и политическите изявления, уникалните предизвикателства на островите не са разгледани по подходящ начин в секторните политики на ЕС. Островите имат потенциала да бъдат лаборатории за иновации и устойчивост, като демонстрират решения за адаптиране към изменението на климата, възобновяема енергия, опазване на морската среда и устойчив туризъм;</w:t>
      </w:r>
      <w:bookmarkEnd w:id="6"/>
    </w:p>
    <w:p w14:paraId="67767811" w14:textId="77777777" w:rsidR="00532F99" w:rsidRPr="008646BA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7" w:name="_Toc222825819"/>
      <w:r>
        <w:rPr>
          <w:u w:val="single"/>
        </w:rPr>
        <w:t>признава, че е необходим системен подход</w:t>
      </w:r>
      <w:r>
        <w:t>. За ефективната политика на ЕС за островите и островните територии като цяло (включително най-отдалечените региони и езерните райони) са необходими интегрирани, междусекторни стратегии, насочени към свързаността, икономическата диверсификация, социалното сближаване, екологичната, социалната и икономическата издръжливост и геополитическата подготвеност;</w:t>
      </w:r>
      <w:bookmarkEnd w:id="7"/>
    </w:p>
    <w:p w14:paraId="46E91099" w14:textId="77777777" w:rsidR="00532F99" w:rsidRPr="008646BA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8" w:name="_Toc222825820"/>
      <w:r>
        <w:t xml:space="preserve">призовава за създаването на специална стратегия на Съюза за островите </w:t>
      </w:r>
      <w:r>
        <w:rPr>
          <w:b/>
        </w:rPr>
        <w:t>(Пакт за островите)</w:t>
      </w:r>
      <w:r>
        <w:t xml:space="preserve">, подкрепена от специална законодателна рамка </w:t>
      </w:r>
      <w:r>
        <w:rPr>
          <w:b/>
        </w:rPr>
        <w:t>(Акт за островите)</w:t>
      </w:r>
      <w:r>
        <w:t xml:space="preserve">. Тази рамка следва да бъде придружена от официална стратегия и да предвижда ефективното прилагане на </w:t>
      </w:r>
      <w:r>
        <w:rPr>
          <w:b/>
        </w:rPr>
        <w:t>„клауза за островния характер“</w:t>
      </w:r>
      <w:r>
        <w:t xml:space="preserve"> с оглед на систематичното интегриране на специфичните нужди и ограничения на островите в политиките на Съюза в областта на сближаването, транспорта, енергетиката, държавната помощ, околната среда и морското дело;</w:t>
      </w:r>
      <w:bookmarkEnd w:id="8"/>
    </w:p>
    <w:p w14:paraId="762E910D" w14:textId="77777777" w:rsidR="00532F99" w:rsidRPr="008646BA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9" w:name="_Toc222825821"/>
      <w:r>
        <w:t xml:space="preserve">подчертава, че подобряването на свързаността и инфраструктурата в островните територии е от съществено значение за териториалното сближаване, и призовава за подобряване на транспортните системи и системите за обществена мобилност, по-добра цифрова свързаност и по-устойчиви енергийни мрежи, с ясен акцент върху </w:t>
      </w:r>
      <w:proofErr w:type="spellStart"/>
      <w:r>
        <w:t>декарбонизацията</w:t>
      </w:r>
      <w:proofErr w:type="spellEnd"/>
      <w:r>
        <w:t xml:space="preserve"> и енергийната автономност;</w:t>
      </w:r>
      <w:bookmarkEnd w:id="9"/>
    </w:p>
    <w:p w14:paraId="737F86E5" w14:textId="77777777" w:rsidR="00532F99" w:rsidRPr="008646BA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10" w:name="_Toc222825822"/>
      <w:r>
        <w:t xml:space="preserve">подчертава, че островните региони следва да диверсифицират икономиките си чрез развитие на устойчива и конкурентоспособна синя икономика, която се основава на </w:t>
      </w:r>
      <w:r>
        <w:lastRenderedPageBreak/>
        <w:t>техните уникални активи, като морските ресурси, потенциала за производство на енергия от възобновяеми източници, туризма, културното наследство и творческите индустрии;</w:t>
      </w:r>
      <w:bookmarkEnd w:id="10"/>
    </w:p>
    <w:p w14:paraId="7E670409" w14:textId="77777777" w:rsidR="00532F99" w:rsidRPr="008646BA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11" w:name="_Toc222825823"/>
      <w:r>
        <w:t>подчертава, че социалното сближаване и развитието на човешкия капитал са от основно значение за дългосрочната устойчивост на островните общности. Комитетът призовава за целенасочени политики за справяне с недостига на жилища, несъответствията на пазара на труда, недостига на умения и изходящата миграция на младите хора, които да включват приобщаващо образование, възможности за качествена заетост и решения за жилища на достъпни цени, адаптирани към специфичните характеристики на островите;</w:t>
      </w:r>
      <w:bookmarkEnd w:id="11"/>
    </w:p>
    <w:p w14:paraId="5112CF6B" w14:textId="77777777" w:rsidR="00532F99" w:rsidRPr="008646BA" w:rsidRDefault="00532F99" w:rsidP="007526DA">
      <w:pPr>
        <w:pStyle w:val="ListParagraph"/>
        <w:numPr>
          <w:ilvl w:val="0"/>
          <w:numId w:val="28"/>
        </w:numPr>
        <w:ind w:left="567" w:hanging="567"/>
        <w:rPr>
          <w:sz w:val="24"/>
          <w:szCs w:val="24"/>
        </w:rPr>
      </w:pPr>
      <w:bookmarkStart w:id="12" w:name="_Toc222825824"/>
      <w:r>
        <w:t>изтъква, че е наложително да се постигне напредък в опазването на околната среда и издръжливостта спрямо изменението на климата в островните територии, които са непропорционално изложени на изменението на климата;</w:t>
      </w:r>
      <w:bookmarkEnd w:id="12"/>
    </w:p>
    <w:p w14:paraId="59AC2957" w14:textId="77777777" w:rsidR="00532F99" w:rsidRPr="008646BA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13" w:name="_Toc222825825"/>
      <w:r>
        <w:t xml:space="preserve">призовава за официално интегриране на мониторинга, прогнозирането и основаното на участието управление в политиките за островите и предлага да се изготвя </w:t>
      </w:r>
      <w:r>
        <w:rPr>
          <w:b/>
        </w:rPr>
        <w:t>редовен доклад за изпълнението на политиката за островите</w:t>
      </w:r>
      <w:r>
        <w:t>, за да се проследяват ключови демографски, икономически, социални и екологични показатели;</w:t>
      </w:r>
      <w:bookmarkEnd w:id="13"/>
      <w:r>
        <w:t xml:space="preserve"> </w:t>
      </w:r>
    </w:p>
    <w:p w14:paraId="3CBAD6E8" w14:textId="77777777" w:rsidR="00532F99" w:rsidRPr="008646BA" w:rsidRDefault="00532F99" w:rsidP="007526DA">
      <w:pPr>
        <w:pStyle w:val="ListParagraph"/>
        <w:numPr>
          <w:ilvl w:val="0"/>
          <w:numId w:val="28"/>
        </w:numPr>
        <w:ind w:left="567" w:hanging="567"/>
      </w:pPr>
      <w:bookmarkStart w:id="14" w:name="_Toc222825826"/>
      <w:r>
        <w:t xml:space="preserve">счита, че островите в ЕС вече не трябва да се третират като периферни територии. Те са региони от първостепенно значение за суверенитета, устойчивостта и капацитета за иновации на Европа. Една целенасочена, систематична и заложена в правото стратегия на ЕС за островите </w:t>
      </w:r>
      <w:r>
        <w:rPr>
          <w:b/>
        </w:rPr>
        <w:t>(Пакт за островите)</w:t>
      </w:r>
      <w:r>
        <w:t xml:space="preserve"> ще бъде от съществено значение за превръщането на островите в двигатели на устойчивия растеж, издръжливостта спрямо изменението на климата и геополитическата сигурност, за да се гарантира, че островните общности могат да просперират, като същевременно се укрепят стратегическата автономност и сближаването на Европа. Това наскоро беше изтъкнато от централната геополитическа роля на Гренландия в динамиката на сигурността в Арктика, трансатлантическите отношения и конкуренцията между големите сили, както и от нейното значение за стратегическата автономност на Европа в областта на отбраната.</w:t>
      </w:r>
      <w:bookmarkEnd w:id="14"/>
    </w:p>
    <w:p w14:paraId="66D35620" w14:textId="77777777" w:rsidR="00532F99" w:rsidRPr="008646BA" w:rsidRDefault="00532F99" w:rsidP="00100EF9">
      <w:pPr>
        <w:ind w:left="284" w:hanging="284"/>
        <w:rPr>
          <w:bCs/>
          <w:iCs/>
          <w:lang w:val="en-GB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248"/>
      </w:tblGrid>
      <w:tr w:rsidR="00532F99" w:rsidRPr="005A42D9" w14:paraId="51FA2FFC" w14:textId="77777777" w:rsidTr="005A42D9">
        <w:tc>
          <w:tcPr>
            <w:tcW w:w="0" w:type="auto"/>
          </w:tcPr>
          <w:p w14:paraId="549BED47" w14:textId="77777777" w:rsidR="00532F99" w:rsidRPr="005A42D9" w:rsidRDefault="00532F99" w:rsidP="00D0608D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i/>
                <w:sz w:val="22"/>
                <w:szCs w:val="22"/>
              </w:rPr>
            </w:pPr>
            <w:r w:rsidRPr="005A42D9">
              <w:rPr>
                <w:b/>
                <w:i/>
                <w:sz w:val="22"/>
                <w:szCs w:val="22"/>
              </w:rPr>
              <w:t>За контакт</w:t>
            </w:r>
          </w:p>
        </w:tc>
        <w:tc>
          <w:tcPr>
            <w:tcW w:w="0" w:type="auto"/>
          </w:tcPr>
          <w:p w14:paraId="7CEAACF5" w14:textId="0581C1FF" w:rsidR="00532F99" w:rsidRPr="005A42D9" w:rsidRDefault="00532F99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proofErr w:type="spellStart"/>
            <w:r w:rsidRPr="005A42D9">
              <w:rPr>
                <w:i/>
                <w:sz w:val="22"/>
                <w:szCs w:val="22"/>
              </w:rPr>
              <w:t>Georgios</w:t>
            </w:r>
            <w:proofErr w:type="spellEnd"/>
            <w:r w:rsidRPr="005A42D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2D9">
              <w:rPr>
                <w:i/>
                <w:sz w:val="22"/>
                <w:szCs w:val="22"/>
              </w:rPr>
              <w:t>Meleas</w:t>
            </w:r>
            <w:proofErr w:type="spellEnd"/>
          </w:p>
        </w:tc>
      </w:tr>
      <w:tr w:rsidR="00532F99" w:rsidRPr="005A42D9" w14:paraId="0AEF2AEB" w14:textId="77777777" w:rsidTr="005A42D9">
        <w:tc>
          <w:tcPr>
            <w:tcW w:w="0" w:type="auto"/>
          </w:tcPr>
          <w:p w14:paraId="060FAF7E" w14:textId="77777777" w:rsidR="00532F99" w:rsidRPr="005A42D9" w:rsidRDefault="00532F99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A42D9">
              <w:rPr>
                <w:i/>
                <w:sz w:val="22"/>
                <w:szCs w:val="22"/>
              </w:rPr>
              <w:t>Тел.</w:t>
            </w:r>
          </w:p>
        </w:tc>
        <w:tc>
          <w:tcPr>
            <w:tcW w:w="0" w:type="auto"/>
          </w:tcPr>
          <w:p w14:paraId="22CC1931" w14:textId="49FE5AFE" w:rsidR="00532F99" w:rsidRPr="005A42D9" w:rsidRDefault="00532F99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A42D9">
              <w:rPr>
                <w:i/>
                <w:sz w:val="22"/>
                <w:szCs w:val="22"/>
              </w:rPr>
              <w:t>+32 25469795</w:t>
            </w:r>
          </w:p>
        </w:tc>
      </w:tr>
      <w:tr w:rsidR="00532F99" w:rsidRPr="005A42D9" w14:paraId="20E9D1C8" w14:textId="77777777" w:rsidTr="005A42D9">
        <w:tc>
          <w:tcPr>
            <w:tcW w:w="0" w:type="auto"/>
          </w:tcPr>
          <w:p w14:paraId="144E431B" w14:textId="64663E9D" w:rsidR="00532F99" w:rsidRPr="005A42D9" w:rsidRDefault="0037319B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A42D9">
              <w:rPr>
                <w:i/>
                <w:sz w:val="22"/>
                <w:szCs w:val="22"/>
              </w:rPr>
              <w:t>Електронен адрес</w:t>
            </w:r>
          </w:p>
        </w:tc>
        <w:tc>
          <w:tcPr>
            <w:tcW w:w="0" w:type="auto"/>
          </w:tcPr>
          <w:p w14:paraId="19710C19" w14:textId="07DDB6B1" w:rsidR="00532F99" w:rsidRPr="005A42D9" w:rsidRDefault="008646BA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r:id="rId26" w:history="1">
              <w:r w:rsidRPr="005A42D9">
                <w:rPr>
                  <w:i/>
                  <w:color w:val="0000FF"/>
                  <w:sz w:val="22"/>
                  <w:szCs w:val="22"/>
                  <w:u w:val="single"/>
                </w:rPr>
                <w:t>Georgios.Meleas@eesc.europa.eu</w:t>
              </w:r>
            </w:hyperlink>
          </w:p>
        </w:tc>
      </w:tr>
    </w:tbl>
    <w:p w14:paraId="3016994A" w14:textId="77777777" w:rsidR="007652C3" w:rsidRPr="008646BA" w:rsidRDefault="007652C3" w:rsidP="00100EF9">
      <w:pPr>
        <w:pStyle w:val="ListParagraph"/>
        <w:ind w:left="0"/>
        <w:rPr>
          <w:lang w:val="en-GB"/>
        </w:rPr>
      </w:pPr>
    </w:p>
    <w:p w14:paraId="28F747AB" w14:textId="77777777" w:rsidR="007652C3" w:rsidRPr="008646BA" w:rsidRDefault="007652C3" w:rsidP="00100EF9">
      <w:pPr>
        <w:jc w:val="left"/>
      </w:pPr>
      <w:r>
        <w:br w:type="page"/>
      </w:r>
    </w:p>
    <w:p w14:paraId="71EC6247" w14:textId="72521374" w:rsidR="007652C3" w:rsidRPr="008646BA" w:rsidRDefault="008646BA" w:rsidP="00100E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r:id="rId27" w:history="1">
        <w:r>
          <w:rPr>
            <w:b/>
            <w:i/>
            <w:color w:val="0000FF"/>
            <w:sz w:val="28"/>
            <w:u w:val="single"/>
          </w:rPr>
          <w:t>Преразглеждане на директивата за данъчното облагане на тютюневите изделия</w:t>
        </w:r>
      </w:hyperlink>
    </w:p>
    <w:p w14:paraId="14832C64" w14:textId="77777777" w:rsidR="007652C3" w:rsidRPr="008646BA" w:rsidRDefault="007652C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sz w:val="16"/>
          <w:szCs w:val="16"/>
          <w:lang w:val="en-GB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5198"/>
      </w:tblGrid>
      <w:tr w:rsidR="007652C3" w:rsidRPr="005A42D9" w14:paraId="4B4C09EE" w14:textId="77777777" w:rsidTr="005A42D9">
        <w:tc>
          <w:tcPr>
            <w:tcW w:w="0" w:type="auto"/>
          </w:tcPr>
          <w:p w14:paraId="074AAFB4" w14:textId="77777777" w:rsidR="007652C3" w:rsidRPr="005A42D9" w:rsidRDefault="007652C3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A42D9">
              <w:rPr>
                <w:b/>
                <w:sz w:val="22"/>
                <w:szCs w:val="22"/>
              </w:rPr>
              <w:t>Докладчик</w:t>
            </w:r>
          </w:p>
        </w:tc>
        <w:tc>
          <w:tcPr>
            <w:tcW w:w="0" w:type="auto"/>
          </w:tcPr>
          <w:p w14:paraId="574348C8" w14:textId="1A21DC9A" w:rsidR="00FC4D6F" w:rsidRPr="005A42D9" w:rsidRDefault="007652C3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A42D9">
              <w:rPr>
                <w:sz w:val="22"/>
                <w:szCs w:val="22"/>
              </w:rPr>
              <w:t xml:space="preserve">Matteo </w:t>
            </w:r>
            <w:proofErr w:type="spellStart"/>
            <w:r w:rsidRPr="005A42D9">
              <w:rPr>
                <w:sz w:val="22"/>
                <w:szCs w:val="22"/>
              </w:rPr>
              <w:t>Carlo</w:t>
            </w:r>
            <w:proofErr w:type="spellEnd"/>
            <w:r w:rsidRPr="005A42D9">
              <w:rPr>
                <w:sz w:val="22"/>
                <w:szCs w:val="22"/>
              </w:rPr>
              <w:t xml:space="preserve"> BORSANI (група „Работодатели“ — IT)</w:t>
            </w:r>
          </w:p>
        </w:tc>
      </w:tr>
      <w:tr w:rsidR="00205469" w:rsidRPr="005A42D9" w14:paraId="6586AC35" w14:textId="77777777" w:rsidTr="005A42D9">
        <w:tc>
          <w:tcPr>
            <w:tcW w:w="0" w:type="auto"/>
          </w:tcPr>
          <w:p w14:paraId="6C41B8BD" w14:textId="77777777" w:rsidR="00205469" w:rsidRPr="005A42D9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0591BA7" w14:textId="77777777" w:rsidR="00205469" w:rsidRPr="005A42D9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22"/>
                <w:szCs w:val="22"/>
                <w:lang w:val="en-GB"/>
              </w:rPr>
            </w:pPr>
          </w:p>
        </w:tc>
      </w:tr>
      <w:tr w:rsidR="007652C3" w:rsidRPr="005A42D9" w14:paraId="2243F74F" w14:textId="77777777" w:rsidTr="005A42D9">
        <w:tc>
          <w:tcPr>
            <w:tcW w:w="0" w:type="auto"/>
          </w:tcPr>
          <w:p w14:paraId="3F25D12B" w14:textId="77777777" w:rsidR="007652C3" w:rsidRPr="005A42D9" w:rsidRDefault="007652C3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5A42D9">
              <w:rPr>
                <w:b/>
                <w:sz w:val="22"/>
                <w:szCs w:val="22"/>
              </w:rPr>
              <w:t>Отправни документи</w:t>
            </w:r>
          </w:p>
        </w:tc>
        <w:tc>
          <w:tcPr>
            <w:tcW w:w="0" w:type="auto"/>
          </w:tcPr>
          <w:p w14:paraId="28D63311" w14:textId="2018BFB6" w:rsidR="007652C3" w:rsidRPr="005A42D9" w:rsidRDefault="007652C3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A42D9">
              <w:rPr>
                <w:sz w:val="22"/>
                <w:szCs w:val="22"/>
              </w:rPr>
              <w:t xml:space="preserve">COM(2025) 580 </w:t>
            </w:r>
            <w:proofErr w:type="spellStart"/>
            <w:r w:rsidRPr="005A42D9">
              <w:rPr>
                <w:sz w:val="22"/>
                <w:szCs w:val="22"/>
              </w:rPr>
              <w:t>final</w:t>
            </w:r>
            <w:proofErr w:type="spellEnd"/>
          </w:p>
          <w:p w14:paraId="3C71E1DA" w14:textId="707F72B2" w:rsidR="007652C3" w:rsidRPr="005A42D9" w:rsidRDefault="007652C3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A42D9">
              <w:rPr>
                <w:sz w:val="22"/>
                <w:szCs w:val="22"/>
              </w:rPr>
              <w:t xml:space="preserve">COM(2025) 581 </w:t>
            </w:r>
            <w:proofErr w:type="spellStart"/>
            <w:r w:rsidRPr="005A42D9">
              <w:rPr>
                <w:sz w:val="22"/>
                <w:szCs w:val="22"/>
              </w:rPr>
              <w:t>final</w:t>
            </w:r>
            <w:proofErr w:type="spellEnd"/>
          </w:p>
          <w:p w14:paraId="77F23764" w14:textId="645FFEBD" w:rsidR="007652C3" w:rsidRPr="005A42D9" w:rsidRDefault="007652C3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5A42D9">
              <w:rPr>
                <w:sz w:val="22"/>
                <w:szCs w:val="22"/>
              </w:rPr>
              <w:t>EESC-2025-02514-00-00-AC</w:t>
            </w:r>
          </w:p>
        </w:tc>
      </w:tr>
    </w:tbl>
    <w:p w14:paraId="24734E78" w14:textId="77777777" w:rsidR="007652C3" w:rsidRPr="008646BA" w:rsidRDefault="007652C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14:paraId="769610FB" w14:textId="77777777" w:rsidR="007652C3" w:rsidRPr="008646BA" w:rsidRDefault="007652C3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Основни аспекти</w:t>
      </w:r>
    </w:p>
    <w:p w14:paraId="761660A5" w14:textId="77777777" w:rsidR="007652C3" w:rsidRPr="008646BA" w:rsidRDefault="007652C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sz w:val="16"/>
          <w:szCs w:val="16"/>
          <w:lang w:val="en-GB"/>
        </w:rPr>
      </w:pPr>
    </w:p>
    <w:p w14:paraId="538696B2" w14:textId="77777777" w:rsidR="007652C3" w:rsidRPr="008646BA" w:rsidRDefault="007652C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iCs/>
        </w:rPr>
      </w:pPr>
      <w:r>
        <w:t>ЕИСК:</w:t>
      </w:r>
    </w:p>
    <w:p w14:paraId="3447BDD3" w14:textId="77777777" w:rsidR="007652C3" w:rsidRPr="008646BA" w:rsidRDefault="007652C3" w:rsidP="007526DA">
      <w:pPr>
        <w:pStyle w:val="ListParagraph"/>
        <w:numPr>
          <w:ilvl w:val="0"/>
          <w:numId w:val="30"/>
        </w:numPr>
        <w:ind w:left="567" w:hanging="567"/>
      </w:pPr>
      <w:r>
        <w:rPr>
          <w:b/>
        </w:rPr>
        <w:t>подкрепя</w:t>
      </w:r>
      <w:r>
        <w:t xml:space="preserve"> преразглеждането на директивата за данъчното облагане на тютюневите изделия, като признава необходимостта от адаптиране на акцизната рамка към развитието на пазара, новите продукти и целите в областта на общественото здраве, и същевременно подчертава, че реформата трябва да остане пропорционална, предвидима и икономически устойчива;</w:t>
      </w:r>
    </w:p>
    <w:p w14:paraId="3F4A26E3" w14:textId="77777777" w:rsidR="007652C3" w:rsidRPr="008646BA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15" w:name="_Toc222825827"/>
      <w:r>
        <w:rPr>
          <w:b/>
        </w:rPr>
        <w:t>предупреждава</w:t>
      </w:r>
      <w:r>
        <w:t xml:space="preserve">, че съществува риск резките или прекомерни увеличения на акцизите да подхранят/да дадат тласък на незаконната търговия, да подкопаят фискалните приходи и да отслабят резултатите в областта на общественото здраве; поради това </w:t>
      </w:r>
      <w:r>
        <w:rPr>
          <w:b/>
        </w:rPr>
        <w:t>препоръчва</w:t>
      </w:r>
      <w:r>
        <w:t xml:space="preserve"> акцизните корекции да бъдат постепенни и да бъдат съпътствани от засилено прилагане, митническо сътрудничество и трансгранични мерки за борба с контрабандата;</w:t>
      </w:r>
      <w:bookmarkEnd w:id="15"/>
    </w:p>
    <w:p w14:paraId="1AC2A723" w14:textId="77777777" w:rsidR="007652C3" w:rsidRPr="008646BA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16" w:name="_Toc222825828"/>
      <w:r>
        <w:rPr>
          <w:b/>
        </w:rPr>
        <w:t>призовава</w:t>
      </w:r>
      <w:r>
        <w:t xml:space="preserve"> за последователно прилагане на съобразено с риска данъчно облагане, като се гарантира, че негоримите продукти и продуктите с намален риск не се облагат с данъци по същия начин като горимите тютюневи изделия, в съответствие с принципа „по-малко вреда, по-малко данъци“ и целите на Европейския план за борба с рака;</w:t>
      </w:r>
      <w:bookmarkEnd w:id="16"/>
    </w:p>
    <w:p w14:paraId="3892A6EF" w14:textId="77777777" w:rsidR="007652C3" w:rsidRPr="008646BA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17" w:name="_Toc222825829"/>
      <w:r>
        <w:rPr>
          <w:b/>
        </w:rPr>
        <w:t>препоръчва</w:t>
      </w:r>
      <w:r>
        <w:t xml:space="preserve"> да се подобри правната яснота и хармонизирането на определенията на продуктите, по-специално чрез изрично дефиниране на „</w:t>
      </w:r>
      <w:proofErr w:type="spellStart"/>
      <w:r>
        <w:t>нагреваемите</w:t>
      </w:r>
      <w:proofErr w:type="spellEnd"/>
      <w:r>
        <w:t xml:space="preserve"> тютюневи изделия“, като ясно ги разграничи от „горимите продукти“;</w:t>
      </w:r>
      <w:bookmarkEnd w:id="17"/>
    </w:p>
    <w:p w14:paraId="6D1AE1A8" w14:textId="77777777" w:rsidR="007652C3" w:rsidRPr="008646BA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18" w:name="_Toc222825830"/>
      <w:r>
        <w:rPr>
          <w:b/>
        </w:rPr>
        <w:t>изисква от</w:t>
      </w:r>
      <w:r>
        <w:t xml:space="preserve"> Комисията да подобри съгласуваността между определенията за акцизите и Комбинираната номенклатура (КН), като поддържа актуализирани таблици за съответствие и предоставя тълкувателни насоки, когато промени в митническите класификации засягат категоризацията на акцизите;</w:t>
      </w:r>
      <w:bookmarkEnd w:id="18"/>
    </w:p>
    <w:p w14:paraId="3B4FEB22" w14:textId="77777777" w:rsidR="007652C3" w:rsidRPr="008646BA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19" w:name="_Toc222825831"/>
      <w:r>
        <w:rPr>
          <w:b/>
        </w:rPr>
        <w:t>призовава</w:t>
      </w:r>
      <w:r>
        <w:t xml:space="preserve"> на държавите членки да бъде предоставена достатъчна степен на гъвкавост по отношение на структурата на акцизите, включително възможността за </w:t>
      </w:r>
      <w:proofErr w:type="spellStart"/>
      <w:r>
        <w:t>нагреваемите</w:t>
      </w:r>
      <w:proofErr w:type="spellEnd"/>
      <w:r>
        <w:t xml:space="preserve"> тютюневи изделия да избират между данъчно облагане на база единица или на база тегло, за да се отразят националните пазарни условия, като същевременно се спазват минималните нива в целия ЕС;</w:t>
      </w:r>
      <w:bookmarkEnd w:id="19"/>
    </w:p>
    <w:p w14:paraId="03FC4FFF" w14:textId="77777777" w:rsidR="007652C3" w:rsidRPr="008646BA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20" w:name="_Toc222825832"/>
      <w:r>
        <w:rPr>
          <w:b/>
        </w:rPr>
        <w:t>призовава</w:t>
      </w:r>
      <w:r>
        <w:t xml:space="preserve"> да се извърши цялостно и подробно картографиране на съществуващите работни места и умения в сектора, заедно с оценка на средносрочните и дългосрочните сценарии, свързани с предложението, и разработването на ясни прогнози за неговото въздействие върху заетостта;</w:t>
      </w:r>
      <w:bookmarkEnd w:id="20"/>
    </w:p>
    <w:p w14:paraId="0195988C" w14:textId="77777777" w:rsidR="007652C3" w:rsidRPr="008646BA" w:rsidRDefault="007652C3" w:rsidP="007526DA">
      <w:pPr>
        <w:pStyle w:val="ListParagraph"/>
        <w:numPr>
          <w:ilvl w:val="0"/>
          <w:numId w:val="30"/>
        </w:numPr>
        <w:ind w:left="567" w:hanging="567"/>
      </w:pPr>
      <w:bookmarkStart w:id="21" w:name="_Toc222825833"/>
      <w:r>
        <w:rPr>
          <w:b/>
        </w:rPr>
        <w:t>призовава</w:t>
      </w:r>
      <w:r>
        <w:t xml:space="preserve"> за предвидимо и ограничено използване на делегирани актове, строго ограничени до технически корекции във връзка с инфлацията в съответствие със субсидиарността и фискалния суверенитет на държавите членки.</w:t>
      </w:r>
      <w:bookmarkEnd w:id="21"/>
    </w:p>
    <w:p w14:paraId="6309DB18" w14:textId="77777777" w:rsidR="007652C3" w:rsidRPr="008646BA" w:rsidRDefault="007652C3" w:rsidP="00100EF9">
      <w:pPr>
        <w:ind w:left="567" w:hanging="567"/>
        <w:rPr>
          <w:lang w:val="en-GB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869"/>
      </w:tblGrid>
      <w:tr w:rsidR="007652C3" w:rsidRPr="005A42D9" w14:paraId="7534B913" w14:textId="77777777" w:rsidTr="005A42D9">
        <w:tc>
          <w:tcPr>
            <w:tcW w:w="0" w:type="auto"/>
          </w:tcPr>
          <w:p w14:paraId="0C271651" w14:textId="77777777" w:rsidR="007652C3" w:rsidRPr="005A42D9" w:rsidRDefault="007652C3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A42D9">
              <w:rPr>
                <w:b/>
                <w:i/>
                <w:sz w:val="22"/>
                <w:szCs w:val="22"/>
              </w:rPr>
              <w:t>За контакти</w:t>
            </w:r>
          </w:p>
        </w:tc>
        <w:tc>
          <w:tcPr>
            <w:tcW w:w="0" w:type="auto"/>
          </w:tcPr>
          <w:p w14:paraId="528FE443" w14:textId="5FF87165" w:rsidR="007652C3" w:rsidRPr="005A42D9" w:rsidRDefault="007652C3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proofErr w:type="spellStart"/>
            <w:r w:rsidRPr="005A42D9">
              <w:rPr>
                <w:i/>
                <w:sz w:val="22"/>
                <w:szCs w:val="22"/>
              </w:rPr>
              <w:t>Jüri</w:t>
            </w:r>
            <w:proofErr w:type="spellEnd"/>
            <w:r w:rsidRPr="005A42D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2D9">
              <w:rPr>
                <w:i/>
                <w:sz w:val="22"/>
                <w:szCs w:val="22"/>
              </w:rPr>
              <w:t>Soosaar</w:t>
            </w:r>
            <w:proofErr w:type="spellEnd"/>
          </w:p>
        </w:tc>
      </w:tr>
      <w:tr w:rsidR="007652C3" w:rsidRPr="005A42D9" w14:paraId="6D9C46AC" w14:textId="77777777" w:rsidTr="005A42D9">
        <w:tc>
          <w:tcPr>
            <w:tcW w:w="0" w:type="auto"/>
          </w:tcPr>
          <w:p w14:paraId="02AD0CD6" w14:textId="77777777" w:rsidR="007652C3" w:rsidRPr="005A42D9" w:rsidRDefault="007652C3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A42D9">
              <w:rPr>
                <w:i/>
                <w:sz w:val="22"/>
                <w:szCs w:val="22"/>
              </w:rPr>
              <w:t>Тел.</w:t>
            </w:r>
          </w:p>
        </w:tc>
        <w:tc>
          <w:tcPr>
            <w:tcW w:w="0" w:type="auto"/>
          </w:tcPr>
          <w:p w14:paraId="43D215D4" w14:textId="14B49C37" w:rsidR="007652C3" w:rsidRPr="005A42D9" w:rsidRDefault="007652C3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A42D9">
              <w:rPr>
                <w:i/>
                <w:sz w:val="22"/>
                <w:szCs w:val="22"/>
              </w:rPr>
              <w:t>+32 25469628</w:t>
            </w:r>
          </w:p>
        </w:tc>
      </w:tr>
      <w:tr w:rsidR="007652C3" w:rsidRPr="005A42D9" w14:paraId="5C3011C3" w14:textId="77777777" w:rsidTr="005A42D9">
        <w:tc>
          <w:tcPr>
            <w:tcW w:w="0" w:type="auto"/>
          </w:tcPr>
          <w:p w14:paraId="1F503178" w14:textId="77777777" w:rsidR="007652C3" w:rsidRPr="005A42D9" w:rsidRDefault="007652C3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5A42D9">
              <w:rPr>
                <w:i/>
                <w:sz w:val="22"/>
                <w:szCs w:val="22"/>
              </w:rPr>
              <w:t>Електронен адрес</w:t>
            </w:r>
          </w:p>
        </w:tc>
        <w:tc>
          <w:tcPr>
            <w:tcW w:w="0" w:type="auto"/>
          </w:tcPr>
          <w:p w14:paraId="62867B2B" w14:textId="7BDD4CAE" w:rsidR="007652C3" w:rsidRPr="005A42D9" w:rsidRDefault="008646BA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r:id="rId28" w:history="1">
              <w:r w:rsidRPr="005A42D9">
                <w:rPr>
                  <w:i/>
                  <w:color w:val="0000FF"/>
                  <w:sz w:val="22"/>
                  <w:szCs w:val="22"/>
                  <w:u w:val="single"/>
                </w:rPr>
                <w:t>Juri.Soosaar@eesc.europa.eu</w:t>
              </w:r>
            </w:hyperlink>
          </w:p>
        </w:tc>
      </w:tr>
    </w:tbl>
    <w:p w14:paraId="4982DD98" w14:textId="11429B92" w:rsidR="00302594" w:rsidRPr="008646BA" w:rsidRDefault="00302594" w:rsidP="00100EF9">
      <w:pPr>
        <w:jc w:val="left"/>
        <w:rPr>
          <w:lang w:val="en-GB"/>
        </w:rPr>
      </w:pPr>
    </w:p>
    <w:p w14:paraId="4356DB93" w14:textId="77777777" w:rsidR="00302594" w:rsidRPr="008646BA" w:rsidRDefault="00302594" w:rsidP="00100EF9">
      <w:pPr>
        <w:jc w:val="left"/>
      </w:pPr>
      <w:r>
        <w:br w:type="page"/>
      </w:r>
    </w:p>
    <w:p w14:paraId="4982DD99" w14:textId="77777777" w:rsidR="004D7AC0" w:rsidRPr="008646BA" w:rsidRDefault="004D7AC0" w:rsidP="00100EF9">
      <w:pPr>
        <w:pStyle w:val="Heading1"/>
        <w:rPr>
          <w:b/>
        </w:rPr>
      </w:pPr>
      <w:bookmarkStart w:id="22" w:name="_Toc75527081"/>
      <w:bookmarkStart w:id="23" w:name="_Toc223509356"/>
      <w:r>
        <w:rPr>
          <w:b/>
        </w:rPr>
        <w:lastRenderedPageBreak/>
        <w:t>ЗАЕТОСТ, СОЦИАЛНИ ВЪПРОСИ И ГРАЖДАНСТВО</w:t>
      </w:r>
      <w:bookmarkEnd w:id="22"/>
      <w:bookmarkEnd w:id="23"/>
    </w:p>
    <w:p w14:paraId="4982DD9A" w14:textId="77777777" w:rsidR="004D7AC0" w:rsidRPr="008646BA" w:rsidRDefault="004D7AC0" w:rsidP="00100EF9">
      <w:pPr>
        <w:rPr>
          <w:lang w:val="en-GB"/>
        </w:rPr>
      </w:pPr>
    </w:p>
    <w:p w14:paraId="095440CA" w14:textId="19FD72D8" w:rsidR="001653D7" w:rsidRPr="008646BA" w:rsidRDefault="008646BA" w:rsidP="00100EF9">
      <w:pPr>
        <w:widowControl w:val="0"/>
        <w:numPr>
          <w:ilvl w:val="0"/>
          <w:numId w:val="6"/>
        </w:numPr>
        <w:ind w:hanging="567"/>
        <w:rPr>
          <w:sz w:val="24"/>
          <w:szCs w:val="24"/>
        </w:rPr>
      </w:pPr>
      <w:hyperlink r:id="rId29" w:history="1">
        <w:r>
          <w:rPr>
            <w:b/>
            <w:i/>
            <w:color w:val="0000FF"/>
            <w:sz w:val="28"/>
            <w:u w:val="single"/>
          </w:rPr>
          <w:t>Подкрепа от Съюза по отношение на убежището, миграцията и интеграцията, вътрешната сигурност и интегрираното управление на границите и общата визова политика</w:t>
        </w:r>
      </w:hyperlink>
    </w:p>
    <w:p w14:paraId="00463498" w14:textId="77777777" w:rsidR="001653D7" w:rsidRPr="008646BA" w:rsidRDefault="001653D7" w:rsidP="00100EF9">
      <w:pPr>
        <w:tabs>
          <w:tab w:val="center" w:pos="284"/>
        </w:tabs>
        <w:ind w:left="266" w:hanging="266"/>
        <w:rPr>
          <w:b/>
          <w:sz w:val="20"/>
          <w:szCs w:val="20"/>
          <w:lang w:val="en-GB"/>
        </w:rPr>
      </w:pPr>
    </w:p>
    <w:tbl>
      <w:tblPr>
        <w:tblStyle w:val="TableGrid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1"/>
        <w:gridCol w:w="5425"/>
      </w:tblGrid>
      <w:tr w:rsidR="001653D7" w:rsidRPr="005A42D9" w14:paraId="47B2AE04" w14:textId="77777777" w:rsidTr="005A42D9">
        <w:tc>
          <w:tcPr>
            <w:tcW w:w="0" w:type="auto"/>
          </w:tcPr>
          <w:p w14:paraId="0F6809D8" w14:textId="4113B348" w:rsidR="001653D7" w:rsidRPr="005A42D9" w:rsidRDefault="001653D7" w:rsidP="007526DA">
            <w:pPr>
              <w:tabs>
                <w:tab w:val="center" w:pos="284"/>
              </w:tabs>
              <w:ind w:left="266" w:right="206" w:hanging="374"/>
              <w:rPr>
                <w:b/>
                <w:sz w:val="22"/>
                <w:szCs w:val="22"/>
              </w:rPr>
            </w:pPr>
            <w:r w:rsidRPr="005A42D9">
              <w:rPr>
                <w:b/>
                <w:sz w:val="22"/>
                <w:szCs w:val="22"/>
              </w:rPr>
              <w:t>Докладчик</w:t>
            </w:r>
          </w:p>
        </w:tc>
        <w:tc>
          <w:tcPr>
            <w:tcW w:w="0" w:type="auto"/>
          </w:tcPr>
          <w:p w14:paraId="4C613172" w14:textId="2BD1B530" w:rsidR="001653D7" w:rsidRPr="005A42D9" w:rsidRDefault="001653D7" w:rsidP="007526DA">
            <w:pPr>
              <w:tabs>
                <w:tab w:val="center" w:pos="284"/>
              </w:tabs>
              <w:ind w:left="266" w:hanging="374"/>
              <w:rPr>
                <w:sz w:val="22"/>
                <w:szCs w:val="22"/>
              </w:rPr>
            </w:pPr>
            <w:proofErr w:type="spellStart"/>
            <w:r w:rsidRPr="005A42D9">
              <w:rPr>
                <w:sz w:val="22"/>
                <w:szCs w:val="22"/>
              </w:rPr>
              <w:t>José</w:t>
            </w:r>
            <w:proofErr w:type="spellEnd"/>
            <w:r w:rsidRPr="005A42D9">
              <w:rPr>
                <w:sz w:val="22"/>
                <w:szCs w:val="22"/>
              </w:rPr>
              <w:t xml:space="preserve"> </w:t>
            </w:r>
            <w:proofErr w:type="spellStart"/>
            <w:r w:rsidRPr="005A42D9">
              <w:rPr>
                <w:sz w:val="22"/>
                <w:szCs w:val="22"/>
              </w:rPr>
              <w:t>Antonio</w:t>
            </w:r>
            <w:proofErr w:type="spellEnd"/>
            <w:r w:rsidRPr="005A42D9">
              <w:rPr>
                <w:sz w:val="22"/>
                <w:szCs w:val="22"/>
              </w:rPr>
              <w:t xml:space="preserve"> MORENO DÍAZ (група „Работници“ — ES)</w:t>
            </w:r>
          </w:p>
        </w:tc>
      </w:tr>
      <w:tr w:rsidR="00205469" w:rsidRPr="005A42D9" w14:paraId="60304579" w14:textId="77777777" w:rsidTr="005A42D9">
        <w:tc>
          <w:tcPr>
            <w:tcW w:w="0" w:type="auto"/>
          </w:tcPr>
          <w:p w14:paraId="2F580098" w14:textId="77777777" w:rsidR="00205469" w:rsidRPr="005A42D9" w:rsidRDefault="00205469" w:rsidP="00100EF9">
            <w:pPr>
              <w:tabs>
                <w:tab w:val="center" w:pos="284"/>
              </w:tabs>
              <w:ind w:left="266" w:hanging="374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E1B80FD" w14:textId="77777777" w:rsidR="00205469" w:rsidRPr="005A42D9" w:rsidRDefault="00205469" w:rsidP="00100EF9">
            <w:pPr>
              <w:tabs>
                <w:tab w:val="center" w:pos="284"/>
              </w:tabs>
              <w:ind w:left="266" w:hanging="374"/>
              <w:rPr>
                <w:sz w:val="22"/>
                <w:szCs w:val="22"/>
                <w:lang w:val="en-GB"/>
              </w:rPr>
            </w:pPr>
          </w:p>
        </w:tc>
      </w:tr>
      <w:tr w:rsidR="001653D7" w:rsidRPr="005A42D9" w14:paraId="396210B3" w14:textId="77777777" w:rsidTr="005A42D9">
        <w:tc>
          <w:tcPr>
            <w:tcW w:w="0" w:type="auto"/>
          </w:tcPr>
          <w:p w14:paraId="2CCAB3DC" w14:textId="2720B8B9" w:rsidR="001653D7" w:rsidRPr="005A42D9" w:rsidRDefault="001653D7" w:rsidP="007526DA">
            <w:pPr>
              <w:tabs>
                <w:tab w:val="center" w:pos="284"/>
              </w:tabs>
              <w:ind w:left="266" w:hanging="374"/>
              <w:rPr>
                <w:b/>
                <w:sz w:val="22"/>
                <w:szCs w:val="22"/>
              </w:rPr>
            </w:pPr>
            <w:r w:rsidRPr="005A42D9">
              <w:rPr>
                <w:b/>
                <w:sz w:val="22"/>
                <w:szCs w:val="22"/>
              </w:rPr>
              <w:t>Отправни документи</w:t>
            </w:r>
          </w:p>
        </w:tc>
        <w:tc>
          <w:tcPr>
            <w:tcW w:w="0" w:type="auto"/>
          </w:tcPr>
          <w:p w14:paraId="7762C1AE" w14:textId="23946629" w:rsidR="001653D7" w:rsidRPr="005A42D9" w:rsidRDefault="001653D7" w:rsidP="007526DA">
            <w:pPr>
              <w:tabs>
                <w:tab w:val="center" w:pos="284"/>
              </w:tabs>
              <w:ind w:left="266" w:hanging="374"/>
              <w:rPr>
                <w:sz w:val="22"/>
                <w:szCs w:val="22"/>
              </w:rPr>
            </w:pPr>
            <w:r w:rsidRPr="005A42D9">
              <w:rPr>
                <w:sz w:val="22"/>
                <w:szCs w:val="22"/>
              </w:rPr>
              <w:t xml:space="preserve">COM(2025) 540 </w:t>
            </w:r>
            <w:proofErr w:type="spellStart"/>
            <w:r w:rsidRPr="005A42D9">
              <w:rPr>
                <w:sz w:val="22"/>
                <w:szCs w:val="22"/>
              </w:rPr>
              <w:t>final</w:t>
            </w:r>
            <w:proofErr w:type="spellEnd"/>
          </w:p>
          <w:p w14:paraId="22AD2A59" w14:textId="56B0125B" w:rsidR="001653D7" w:rsidRPr="005A42D9" w:rsidRDefault="001653D7" w:rsidP="007526DA">
            <w:pPr>
              <w:tabs>
                <w:tab w:val="center" w:pos="284"/>
              </w:tabs>
              <w:ind w:left="266" w:hanging="374"/>
              <w:rPr>
                <w:sz w:val="22"/>
                <w:szCs w:val="22"/>
              </w:rPr>
            </w:pPr>
            <w:r w:rsidRPr="005A42D9">
              <w:rPr>
                <w:sz w:val="22"/>
                <w:szCs w:val="22"/>
              </w:rPr>
              <w:t xml:space="preserve">COM(2025) 541 </w:t>
            </w:r>
            <w:proofErr w:type="spellStart"/>
            <w:r w:rsidRPr="005A42D9">
              <w:rPr>
                <w:sz w:val="22"/>
                <w:szCs w:val="22"/>
              </w:rPr>
              <w:t>final</w:t>
            </w:r>
            <w:proofErr w:type="spellEnd"/>
          </w:p>
          <w:p w14:paraId="63B53E3C" w14:textId="5CBBC2DD" w:rsidR="001653D7" w:rsidRPr="005A42D9" w:rsidRDefault="001653D7" w:rsidP="00100EF9">
            <w:pPr>
              <w:tabs>
                <w:tab w:val="center" w:pos="284"/>
              </w:tabs>
              <w:ind w:left="266" w:hanging="374"/>
              <w:rPr>
                <w:sz w:val="22"/>
                <w:szCs w:val="22"/>
              </w:rPr>
            </w:pPr>
            <w:r w:rsidRPr="005A42D9">
              <w:rPr>
                <w:sz w:val="22"/>
                <w:szCs w:val="22"/>
              </w:rPr>
              <w:t xml:space="preserve">COM(2025) 542 </w:t>
            </w:r>
            <w:proofErr w:type="spellStart"/>
            <w:r w:rsidRPr="005A42D9">
              <w:rPr>
                <w:sz w:val="22"/>
                <w:szCs w:val="22"/>
              </w:rPr>
              <w:t>final</w:t>
            </w:r>
            <w:proofErr w:type="spellEnd"/>
          </w:p>
          <w:p w14:paraId="683E4ECE" w14:textId="10942A06" w:rsidR="00205469" w:rsidRPr="005A42D9" w:rsidRDefault="00205469" w:rsidP="00100EF9">
            <w:pPr>
              <w:tabs>
                <w:tab w:val="center" w:pos="284"/>
              </w:tabs>
              <w:ind w:left="266" w:hanging="374"/>
              <w:rPr>
                <w:sz w:val="22"/>
                <w:szCs w:val="22"/>
              </w:rPr>
            </w:pPr>
            <w:r w:rsidRPr="005A42D9">
              <w:rPr>
                <w:sz w:val="22"/>
                <w:szCs w:val="22"/>
              </w:rPr>
              <w:t>EESC-2025-03434-00-00-AC</w:t>
            </w:r>
          </w:p>
        </w:tc>
      </w:tr>
    </w:tbl>
    <w:p w14:paraId="0460B2E8" w14:textId="77777777" w:rsidR="001653D7" w:rsidRPr="008646BA" w:rsidRDefault="001653D7" w:rsidP="00100EF9">
      <w:pPr>
        <w:tabs>
          <w:tab w:val="center" w:pos="284"/>
        </w:tabs>
        <w:ind w:left="266" w:hanging="266"/>
        <w:rPr>
          <w:sz w:val="20"/>
          <w:szCs w:val="20"/>
          <w:lang w:val="en-GB"/>
        </w:rPr>
      </w:pPr>
    </w:p>
    <w:p w14:paraId="0CBC1DF0" w14:textId="77777777" w:rsidR="001653D7" w:rsidRPr="008646BA" w:rsidRDefault="001653D7" w:rsidP="00100EF9">
      <w:pPr>
        <w:keepNext/>
        <w:keepLines/>
        <w:tabs>
          <w:tab w:val="center" w:pos="284"/>
        </w:tabs>
        <w:ind w:left="266" w:hanging="266"/>
        <w:rPr>
          <w:b/>
        </w:rPr>
      </w:pPr>
      <w:r>
        <w:rPr>
          <w:b/>
        </w:rPr>
        <w:t>Основни аспекти</w:t>
      </w:r>
    </w:p>
    <w:p w14:paraId="27D547BF" w14:textId="77777777" w:rsidR="001653D7" w:rsidRPr="008646BA" w:rsidRDefault="001653D7" w:rsidP="00100EF9">
      <w:pPr>
        <w:keepNext/>
        <w:keepLines/>
        <w:tabs>
          <w:tab w:val="center" w:pos="284"/>
        </w:tabs>
        <w:ind w:left="266" w:hanging="266"/>
        <w:rPr>
          <w:bCs/>
          <w:sz w:val="20"/>
          <w:szCs w:val="20"/>
          <w:lang w:val="en-GB"/>
        </w:rPr>
      </w:pPr>
    </w:p>
    <w:p w14:paraId="3C2E2FC5" w14:textId="77777777" w:rsidR="001653D7" w:rsidRPr="008646BA" w:rsidRDefault="001653D7" w:rsidP="00100EF9">
      <w:pPr>
        <w:rPr>
          <w:bCs/>
          <w:iCs/>
        </w:rPr>
      </w:pPr>
      <w:r>
        <w:t>ЕИСК:</w:t>
      </w:r>
    </w:p>
    <w:p w14:paraId="2EB60443" w14:textId="77777777" w:rsidR="001653D7" w:rsidRPr="008646BA" w:rsidRDefault="001653D7" w:rsidP="007526DA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подчертава спешната необходимост от създаване на имиграционна политика, която да осигурява законни, безопасни и ефективни канали за достъп до ЕС. Тази позиция е в съответствие с предишните му становища, в които ЕИСК изтъкна, че е важно да се гарантират законни пътища за влизане в ЕС, да се защитят основните права на мигрантите и да се подобри управлението на мобилността в рамките на ЕС;</w:t>
      </w:r>
    </w:p>
    <w:p w14:paraId="17CE5961" w14:textId="77777777" w:rsidR="001653D7" w:rsidRPr="008646BA" w:rsidRDefault="001653D7" w:rsidP="007526DA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отбелязва, че трите регламента, взети заедно, разкриват структурна промяна на приоритетите на ЕС с подчертано преориентиране към контрола и сигурността. Силният акцент върху сигурността, както вътрешна, така и външна, обикновено е за сметка на мерките за подкрепа на интеграцията и приобщаването. ЕИСК подчертава, че миграционната политика не може да бъде сведена до подход, основан на сигурността;</w:t>
      </w:r>
    </w:p>
    <w:p w14:paraId="6247AC50" w14:textId="77777777" w:rsidR="001653D7" w:rsidRPr="008646BA" w:rsidRDefault="001653D7" w:rsidP="007526DA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отбелязва, че за доброто функциониране на миграционната система, включително връщането, когато е приложимо и в пълно съответствие с правото на ЕС и международното право, е важно наличието на пълен набор от средства и инструменти за управление на законната и предотвратяване на незаконната миграция. Тяхното прилагане обаче трябва да бъде внимателно балансирано, като се зачитат основните права, по-специално правото на индивидуална защита;</w:t>
      </w:r>
    </w:p>
    <w:p w14:paraId="72AA5D3D" w14:textId="77777777" w:rsidR="001653D7" w:rsidRPr="008646BA" w:rsidRDefault="001653D7" w:rsidP="007526DA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счита, че е от съществено значение да се подобрят механизмите за независим мониторинг на основните права и хуманитарните условия по границите чрез прозрачни механизми за докладване;</w:t>
      </w:r>
    </w:p>
    <w:p w14:paraId="0CC7E7BF" w14:textId="77777777" w:rsidR="001653D7" w:rsidRPr="008646BA" w:rsidRDefault="001653D7" w:rsidP="007526DA">
      <w:pPr>
        <w:numPr>
          <w:ilvl w:val="0"/>
          <w:numId w:val="19"/>
        </w:numPr>
        <w:ind w:left="567" w:hanging="567"/>
        <w:contextualSpacing/>
        <w:rPr>
          <w:bCs/>
          <w:iCs/>
        </w:rPr>
      </w:pPr>
      <w:r>
        <w:t>счита, че трите регламента, приети заедно за периода 2028—2034 г., поставят силен акцент върху мерките за сигурност и възлагането на граничния контрол на външни изпълнители и пораждат опасения относно потенциалните рискове за основните права. От съществено значение е да се гарантира, че същевременно са защитени основните права на човека.</w:t>
      </w:r>
    </w:p>
    <w:p w14:paraId="6C124427" w14:textId="77777777" w:rsidR="001653D7" w:rsidRPr="008646BA" w:rsidRDefault="001653D7" w:rsidP="00100EF9">
      <w:pPr>
        <w:widowControl w:val="0"/>
        <w:ind w:left="709"/>
        <w:rPr>
          <w:sz w:val="20"/>
          <w:lang w:val="en-GB"/>
        </w:rPr>
      </w:pP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76"/>
      </w:tblGrid>
      <w:tr w:rsidR="001653D7" w:rsidRPr="005A42D9" w14:paraId="211429B1" w14:textId="77777777" w:rsidTr="005A42D9">
        <w:tc>
          <w:tcPr>
            <w:tcW w:w="0" w:type="auto"/>
          </w:tcPr>
          <w:p w14:paraId="13CD8E19" w14:textId="77777777" w:rsidR="001653D7" w:rsidRPr="005A42D9" w:rsidRDefault="001653D7" w:rsidP="00100EF9">
            <w:pPr>
              <w:rPr>
                <w:i/>
                <w:sz w:val="22"/>
                <w:szCs w:val="22"/>
              </w:rPr>
            </w:pPr>
            <w:r w:rsidRPr="005A42D9">
              <w:rPr>
                <w:b/>
                <w:i/>
                <w:sz w:val="22"/>
                <w:szCs w:val="22"/>
              </w:rPr>
              <w:t>За контакти</w:t>
            </w:r>
          </w:p>
        </w:tc>
        <w:tc>
          <w:tcPr>
            <w:tcW w:w="0" w:type="auto"/>
          </w:tcPr>
          <w:p w14:paraId="4FD1075C" w14:textId="32E95F9F" w:rsidR="001653D7" w:rsidRPr="005A42D9" w:rsidRDefault="001653D7" w:rsidP="00100EF9">
            <w:pPr>
              <w:rPr>
                <w:i/>
                <w:sz w:val="22"/>
                <w:szCs w:val="22"/>
              </w:rPr>
            </w:pPr>
            <w:proofErr w:type="spellStart"/>
            <w:r w:rsidRPr="005A42D9">
              <w:rPr>
                <w:i/>
                <w:sz w:val="22"/>
                <w:szCs w:val="22"/>
              </w:rPr>
              <w:t>Gemma</w:t>
            </w:r>
            <w:proofErr w:type="spellEnd"/>
            <w:r w:rsidRPr="005A42D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2D9">
              <w:rPr>
                <w:i/>
                <w:sz w:val="22"/>
                <w:szCs w:val="22"/>
              </w:rPr>
              <w:t>Amran</w:t>
            </w:r>
            <w:proofErr w:type="spellEnd"/>
          </w:p>
        </w:tc>
      </w:tr>
      <w:tr w:rsidR="001653D7" w:rsidRPr="005A42D9" w14:paraId="3BC05E8A" w14:textId="77777777" w:rsidTr="005A42D9">
        <w:tc>
          <w:tcPr>
            <w:tcW w:w="0" w:type="auto"/>
          </w:tcPr>
          <w:p w14:paraId="1D9039E7" w14:textId="77777777" w:rsidR="001653D7" w:rsidRPr="005A42D9" w:rsidRDefault="001653D7" w:rsidP="00100EF9">
            <w:pPr>
              <w:rPr>
                <w:i/>
                <w:sz w:val="22"/>
                <w:szCs w:val="22"/>
              </w:rPr>
            </w:pPr>
            <w:r w:rsidRPr="005A42D9">
              <w:rPr>
                <w:i/>
                <w:sz w:val="22"/>
                <w:szCs w:val="22"/>
              </w:rPr>
              <w:t>Тел.</w:t>
            </w:r>
          </w:p>
        </w:tc>
        <w:tc>
          <w:tcPr>
            <w:tcW w:w="0" w:type="auto"/>
          </w:tcPr>
          <w:p w14:paraId="410A1B26" w14:textId="0CC1E8ED" w:rsidR="001653D7" w:rsidRPr="005A42D9" w:rsidRDefault="001653D7" w:rsidP="00100EF9">
            <w:pPr>
              <w:rPr>
                <w:i/>
                <w:sz w:val="22"/>
                <w:szCs w:val="22"/>
              </w:rPr>
            </w:pPr>
            <w:r w:rsidRPr="005A42D9">
              <w:rPr>
                <w:i/>
                <w:sz w:val="22"/>
                <w:szCs w:val="22"/>
              </w:rPr>
              <w:t>+32 25469415</w:t>
            </w:r>
          </w:p>
        </w:tc>
      </w:tr>
      <w:tr w:rsidR="001653D7" w:rsidRPr="005A42D9" w14:paraId="653F335D" w14:textId="77777777" w:rsidTr="005A42D9">
        <w:tc>
          <w:tcPr>
            <w:tcW w:w="0" w:type="auto"/>
          </w:tcPr>
          <w:p w14:paraId="5DF7B6E3" w14:textId="77777777" w:rsidR="001653D7" w:rsidRPr="005A42D9" w:rsidRDefault="001653D7" w:rsidP="00100EF9">
            <w:pPr>
              <w:rPr>
                <w:i/>
                <w:sz w:val="22"/>
                <w:szCs w:val="22"/>
              </w:rPr>
            </w:pPr>
            <w:r w:rsidRPr="005A42D9">
              <w:rPr>
                <w:i/>
                <w:sz w:val="22"/>
                <w:szCs w:val="22"/>
              </w:rPr>
              <w:t>Електронен адрес</w:t>
            </w:r>
          </w:p>
        </w:tc>
        <w:tc>
          <w:tcPr>
            <w:tcW w:w="0" w:type="auto"/>
          </w:tcPr>
          <w:p w14:paraId="03300BBE" w14:textId="3DC04A47" w:rsidR="001653D7" w:rsidRPr="005A42D9" w:rsidRDefault="008646BA" w:rsidP="00100EF9">
            <w:pPr>
              <w:rPr>
                <w:i/>
                <w:sz w:val="22"/>
                <w:szCs w:val="22"/>
              </w:rPr>
            </w:pPr>
            <w:hyperlink r:id="rId30" w:history="1">
              <w:r w:rsidRPr="005A42D9">
                <w:rPr>
                  <w:i/>
                  <w:color w:val="0000FF"/>
                  <w:sz w:val="22"/>
                  <w:szCs w:val="22"/>
                  <w:u w:val="single"/>
                </w:rPr>
                <w:t>Gemma.Amran@eesc.europa.eu</w:t>
              </w:r>
            </w:hyperlink>
          </w:p>
        </w:tc>
      </w:tr>
    </w:tbl>
    <w:p w14:paraId="4982DDC4" w14:textId="77777777" w:rsidR="004D7AC0" w:rsidRPr="005A42D9" w:rsidRDefault="004D7AC0" w:rsidP="00100EF9">
      <w:pPr>
        <w:pStyle w:val="ListParagraph"/>
        <w:ind w:left="0"/>
        <w:rPr>
          <w:sz w:val="10"/>
          <w:szCs w:val="10"/>
          <w:lang w:val="en-GB"/>
        </w:rPr>
      </w:pPr>
    </w:p>
    <w:p w14:paraId="4982DDC5" w14:textId="77777777" w:rsidR="004D7AC0" w:rsidRPr="008646BA" w:rsidRDefault="004D7AC0" w:rsidP="00100EF9">
      <w:pPr>
        <w:jc w:val="left"/>
      </w:pPr>
      <w:r>
        <w:br w:type="page"/>
      </w:r>
    </w:p>
    <w:p w14:paraId="4982DDC6" w14:textId="77777777" w:rsidR="004D7AC0" w:rsidRPr="008646BA" w:rsidRDefault="004D7AC0" w:rsidP="00100EF9">
      <w:pPr>
        <w:pStyle w:val="Heading1"/>
        <w:rPr>
          <w:b/>
        </w:rPr>
      </w:pPr>
      <w:bookmarkStart w:id="24" w:name="_Toc24617160"/>
      <w:bookmarkStart w:id="25" w:name="_Toc75527082"/>
      <w:bookmarkStart w:id="26" w:name="_Toc223509357"/>
      <w:r>
        <w:rPr>
          <w:b/>
        </w:rPr>
        <w:lastRenderedPageBreak/>
        <w:t>ТРАНСПОРТ, ЕНЕРГЕТИКА, ИНФРАСТРУКТУРИ, ИНФОРМАЦИОННО ОБЩЕСТВО</w:t>
      </w:r>
      <w:bookmarkEnd w:id="24"/>
      <w:bookmarkEnd w:id="25"/>
      <w:bookmarkEnd w:id="26"/>
    </w:p>
    <w:p w14:paraId="4982DDC7" w14:textId="77777777" w:rsidR="004D7AC0" w:rsidRPr="008646BA" w:rsidRDefault="004D7AC0" w:rsidP="00100EF9">
      <w:pPr>
        <w:rPr>
          <w:lang w:val="en-GB"/>
        </w:rPr>
      </w:pPr>
    </w:p>
    <w:p w14:paraId="33F22FD2" w14:textId="1633EE68" w:rsidR="00B55C6C" w:rsidRPr="008646BA" w:rsidRDefault="008646BA" w:rsidP="00100EF9">
      <w:pPr>
        <w:widowControl w:val="0"/>
        <w:numPr>
          <w:ilvl w:val="0"/>
          <w:numId w:val="6"/>
        </w:numPr>
        <w:ind w:hanging="567"/>
        <w:rPr>
          <w:sz w:val="24"/>
          <w:szCs w:val="24"/>
        </w:rPr>
      </w:pPr>
      <w:hyperlink r:id="rId31" w:history="1">
        <w:r>
          <w:rPr>
            <w:b/>
            <w:i/>
            <w:color w:val="0000FF"/>
            <w:sz w:val="24"/>
            <w:u w:val="single"/>
          </w:rPr>
          <w:t>Стратегия за европейските науки за живата природа и стратегия за научноизследователските и технологичните инфраструктури с акцент върху лечението на редките заболявания</w:t>
        </w:r>
      </w:hyperlink>
    </w:p>
    <w:p w14:paraId="6D214F19" w14:textId="77777777" w:rsidR="00B55C6C" w:rsidRPr="008646BA" w:rsidRDefault="00B55C6C" w:rsidP="00100EF9">
      <w:pPr>
        <w:tabs>
          <w:tab w:val="center" w:pos="284"/>
        </w:tabs>
        <w:ind w:left="266" w:hanging="266"/>
        <w:rPr>
          <w:b/>
          <w:lang w:val="en-GB"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7093"/>
      </w:tblGrid>
      <w:tr w:rsidR="00B55C6C" w:rsidRPr="00662539" w14:paraId="2B64E1A2" w14:textId="77777777" w:rsidTr="00662539">
        <w:tc>
          <w:tcPr>
            <w:tcW w:w="0" w:type="auto"/>
          </w:tcPr>
          <w:p w14:paraId="31E45AAF" w14:textId="77777777" w:rsidR="00B55C6C" w:rsidRPr="00662539" w:rsidRDefault="00B55C6C" w:rsidP="00100EF9">
            <w:pPr>
              <w:tabs>
                <w:tab w:val="center" w:pos="284"/>
              </w:tabs>
              <w:ind w:left="266" w:hanging="266"/>
              <w:rPr>
                <w:b/>
                <w:sz w:val="22"/>
                <w:szCs w:val="22"/>
              </w:rPr>
            </w:pPr>
            <w:r w:rsidRPr="00662539">
              <w:rPr>
                <w:b/>
                <w:sz w:val="22"/>
                <w:szCs w:val="22"/>
              </w:rPr>
              <w:t>Докладчик</w:t>
            </w:r>
          </w:p>
        </w:tc>
        <w:tc>
          <w:tcPr>
            <w:tcW w:w="0" w:type="auto"/>
          </w:tcPr>
          <w:p w14:paraId="2077B4EE" w14:textId="7CFFDBD7" w:rsidR="0027149A" w:rsidRPr="00662539" w:rsidRDefault="00B55C6C" w:rsidP="00100EF9">
            <w:pPr>
              <w:tabs>
                <w:tab w:val="center" w:pos="284"/>
              </w:tabs>
              <w:ind w:left="266" w:hanging="266"/>
              <w:rPr>
                <w:sz w:val="22"/>
                <w:szCs w:val="22"/>
              </w:rPr>
            </w:pPr>
            <w:r w:rsidRPr="00662539">
              <w:rPr>
                <w:sz w:val="22"/>
                <w:szCs w:val="22"/>
              </w:rPr>
              <w:t>Милена АНГЕЛОВА (група „Работодатели“ — BG)</w:t>
            </w:r>
          </w:p>
        </w:tc>
      </w:tr>
      <w:tr w:rsidR="00205469" w:rsidRPr="00662539" w14:paraId="035AE27D" w14:textId="77777777" w:rsidTr="00662539">
        <w:tc>
          <w:tcPr>
            <w:tcW w:w="0" w:type="auto"/>
          </w:tcPr>
          <w:p w14:paraId="582588EB" w14:textId="77777777" w:rsidR="00205469" w:rsidRPr="00662539" w:rsidRDefault="00205469" w:rsidP="00100EF9">
            <w:pPr>
              <w:tabs>
                <w:tab w:val="center" w:pos="284"/>
              </w:tabs>
              <w:ind w:left="266" w:hanging="266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3028952" w14:textId="77777777" w:rsidR="00205469" w:rsidRPr="00662539" w:rsidRDefault="00205469" w:rsidP="00100EF9">
            <w:pPr>
              <w:tabs>
                <w:tab w:val="center" w:pos="284"/>
              </w:tabs>
              <w:ind w:left="266" w:hanging="266"/>
              <w:rPr>
                <w:sz w:val="22"/>
                <w:szCs w:val="22"/>
                <w:lang w:val="en-GB"/>
              </w:rPr>
            </w:pPr>
          </w:p>
        </w:tc>
      </w:tr>
      <w:tr w:rsidR="00B55C6C" w:rsidRPr="00662539" w14:paraId="416210B9" w14:textId="77777777" w:rsidTr="00662539">
        <w:tc>
          <w:tcPr>
            <w:tcW w:w="0" w:type="auto"/>
          </w:tcPr>
          <w:p w14:paraId="5830CF27" w14:textId="77777777" w:rsidR="00B55C6C" w:rsidRPr="00662539" w:rsidRDefault="00B55C6C" w:rsidP="00100EF9">
            <w:pPr>
              <w:tabs>
                <w:tab w:val="center" w:pos="284"/>
              </w:tabs>
              <w:ind w:left="266" w:hanging="266"/>
              <w:rPr>
                <w:b/>
                <w:sz w:val="22"/>
                <w:szCs w:val="22"/>
              </w:rPr>
            </w:pPr>
            <w:r w:rsidRPr="00662539">
              <w:rPr>
                <w:b/>
                <w:sz w:val="22"/>
                <w:szCs w:val="22"/>
              </w:rPr>
              <w:t>Отправни документи</w:t>
            </w:r>
          </w:p>
        </w:tc>
        <w:tc>
          <w:tcPr>
            <w:tcW w:w="0" w:type="auto"/>
          </w:tcPr>
          <w:p w14:paraId="6387FA0F" w14:textId="29179DE5" w:rsidR="00B55C6C" w:rsidRPr="00662539" w:rsidRDefault="00B55C6C" w:rsidP="00100EF9">
            <w:pPr>
              <w:tabs>
                <w:tab w:val="center" w:pos="284"/>
              </w:tabs>
              <w:ind w:left="266" w:right="-108" w:hanging="266"/>
              <w:jc w:val="left"/>
              <w:rPr>
                <w:sz w:val="22"/>
                <w:szCs w:val="22"/>
              </w:rPr>
            </w:pPr>
            <w:r w:rsidRPr="00662539">
              <w:rPr>
                <w:sz w:val="22"/>
                <w:szCs w:val="22"/>
              </w:rPr>
              <w:t>проучвателно становище по искане на кипърското председателство на Съвета на ЕС</w:t>
            </w:r>
          </w:p>
          <w:p w14:paraId="72910B0E" w14:textId="77777777" w:rsidR="00B55C6C" w:rsidRPr="00662539" w:rsidRDefault="00B55C6C" w:rsidP="00100EF9">
            <w:pPr>
              <w:tabs>
                <w:tab w:val="center" w:pos="284"/>
              </w:tabs>
              <w:ind w:left="266" w:hanging="266"/>
              <w:rPr>
                <w:sz w:val="22"/>
                <w:szCs w:val="22"/>
              </w:rPr>
            </w:pPr>
            <w:r w:rsidRPr="00662539">
              <w:rPr>
                <w:sz w:val="22"/>
                <w:szCs w:val="22"/>
              </w:rPr>
              <w:t>EESC-2025-03652-00-00-AC</w:t>
            </w:r>
          </w:p>
        </w:tc>
      </w:tr>
    </w:tbl>
    <w:p w14:paraId="6A284DC4" w14:textId="77777777" w:rsidR="00B55C6C" w:rsidRPr="008646BA" w:rsidRDefault="00B55C6C" w:rsidP="00100EF9">
      <w:pPr>
        <w:keepNext/>
        <w:keepLines/>
        <w:tabs>
          <w:tab w:val="center" w:pos="284"/>
        </w:tabs>
        <w:ind w:left="266" w:hanging="266"/>
        <w:rPr>
          <w:b/>
          <w:bCs/>
          <w:lang w:val="en-GB"/>
        </w:rPr>
      </w:pPr>
    </w:p>
    <w:p w14:paraId="273C39C3" w14:textId="46817AE1" w:rsidR="00B55C6C" w:rsidRPr="008646BA" w:rsidRDefault="00B55C6C" w:rsidP="00100EF9">
      <w:pPr>
        <w:keepNext/>
        <w:keepLines/>
        <w:tabs>
          <w:tab w:val="center" w:pos="284"/>
        </w:tabs>
        <w:ind w:left="266" w:hanging="266"/>
        <w:rPr>
          <w:b/>
          <w:bCs/>
        </w:rPr>
      </w:pPr>
      <w:r>
        <w:rPr>
          <w:b/>
        </w:rPr>
        <w:t>Основни аспекти</w:t>
      </w:r>
    </w:p>
    <w:p w14:paraId="4C80B459" w14:textId="77777777" w:rsidR="00B55C6C" w:rsidRPr="008646BA" w:rsidRDefault="00B55C6C" w:rsidP="00100EF9">
      <w:pPr>
        <w:keepNext/>
        <w:keepLines/>
        <w:tabs>
          <w:tab w:val="center" w:pos="284"/>
        </w:tabs>
        <w:ind w:left="266" w:hanging="266"/>
        <w:rPr>
          <w:b/>
          <w:lang w:val="en-GB"/>
        </w:rPr>
      </w:pPr>
    </w:p>
    <w:p w14:paraId="00939141" w14:textId="77777777" w:rsidR="00B55C6C" w:rsidRPr="008646BA" w:rsidRDefault="00B55C6C" w:rsidP="00100EF9">
      <w:r>
        <w:t>ЕИСК:</w:t>
      </w:r>
    </w:p>
    <w:p w14:paraId="383812B3" w14:textId="77777777" w:rsidR="00B55C6C" w:rsidRPr="008646BA" w:rsidRDefault="00B55C6C" w:rsidP="007526DA">
      <w:pPr>
        <w:numPr>
          <w:ilvl w:val="0"/>
          <w:numId w:val="20"/>
        </w:numPr>
        <w:shd w:val="clear" w:color="auto" w:fill="FFFFFF" w:themeFill="background1"/>
        <w:ind w:left="567" w:hanging="567"/>
        <w:contextualSpacing/>
        <w:rPr>
          <w:rFonts w:ascii="Calibri" w:hAnsi="Calibri"/>
          <w:color w:val="242424"/>
          <w:u w:val="single"/>
        </w:rPr>
      </w:pPr>
      <w:r>
        <w:rPr>
          <w:color w:val="242424"/>
        </w:rPr>
        <w:t xml:space="preserve">приветства стратегията за европейските науки за живата природа и подчертава, че гарантирането на </w:t>
      </w:r>
      <w:r>
        <w:rPr>
          <w:b/>
          <w:color w:val="242424"/>
        </w:rPr>
        <w:t>цялостен подход</w:t>
      </w:r>
      <w:r>
        <w:rPr>
          <w:color w:val="242424"/>
        </w:rPr>
        <w:t xml:space="preserve"> и благоприятстваща среда може да превърне Европа в </w:t>
      </w:r>
      <w:r>
        <w:rPr>
          <w:b/>
          <w:color w:val="242424"/>
        </w:rPr>
        <w:t>глобален лидер в науките за живата природа</w:t>
      </w:r>
      <w:r>
        <w:rPr>
          <w:color w:val="242424"/>
        </w:rPr>
        <w:t xml:space="preserve"> (по-специално в областта на редките заболявания и </w:t>
      </w:r>
      <w:proofErr w:type="spellStart"/>
      <w:r>
        <w:rPr>
          <w:color w:val="242424"/>
        </w:rPr>
        <w:t>геномиката</w:t>
      </w:r>
      <w:proofErr w:type="spellEnd"/>
      <w:r>
        <w:rPr>
          <w:color w:val="242424"/>
        </w:rPr>
        <w:t>).</w:t>
      </w:r>
      <w:r>
        <w:rPr>
          <w:color w:val="242424"/>
          <w:u w:val="single"/>
        </w:rPr>
        <w:t xml:space="preserve"> Този </w:t>
      </w:r>
      <w:r>
        <w:rPr>
          <w:b/>
          <w:color w:val="242424"/>
          <w:u w:val="single"/>
        </w:rPr>
        <w:t>подход</w:t>
      </w:r>
      <w:r>
        <w:rPr>
          <w:color w:val="242424"/>
          <w:u w:val="single"/>
        </w:rPr>
        <w:t xml:space="preserve"> включва:</w:t>
      </w:r>
    </w:p>
    <w:p w14:paraId="5A323DAF" w14:textId="746DCEF3" w:rsidR="00B55C6C" w:rsidRPr="008646BA" w:rsidRDefault="00B55C6C" w:rsidP="007526DA">
      <w:pPr>
        <w:numPr>
          <w:ilvl w:val="1"/>
          <w:numId w:val="26"/>
        </w:numPr>
        <w:shd w:val="clear" w:color="auto" w:fill="FFFFFF" w:themeFill="background1"/>
        <w:ind w:left="851" w:hanging="284"/>
        <w:contextualSpacing/>
        <w:rPr>
          <w:rFonts w:ascii="Calibri" w:hAnsi="Calibri"/>
          <w:color w:val="242424"/>
          <w:u w:val="single"/>
        </w:rPr>
      </w:pPr>
      <w:r>
        <w:rPr>
          <w:color w:val="242424"/>
          <w:u w:val="single"/>
        </w:rPr>
        <w:t>всеобхватни научни и основани на данни методи за диагностициране и разбиране на причините за заболяванията (напр. генетични фактори, нездравословни навици и начин на живот, замърсяване, стрес и др.);</w:t>
      </w:r>
    </w:p>
    <w:p w14:paraId="54755404" w14:textId="5C9C4720" w:rsidR="00B55C6C" w:rsidRPr="008646BA" w:rsidRDefault="00B55C6C" w:rsidP="007526DA">
      <w:pPr>
        <w:numPr>
          <w:ilvl w:val="1"/>
          <w:numId w:val="26"/>
        </w:numPr>
        <w:shd w:val="clear" w:color="auto" w:fill="FFFFFF" w:themeFill="background1"/>
        <w:ind w:left="851" w:hanging="284"/>
        <w:contextualSpacing/>
        <w:rPr>
          <w:rFonts w:ascii="Calibri" w:hAnsi="Calibri"/>
          <w:color w:val="242424"/>
          <w:u w:val="single"/>
        </w:rPr>
      </w:pPr>
      <w:r>
        <w:rPr>
          <w:color w:val="242424"/>
          <w:u w:val="single"/>
        </w:rPr>
        <w:t>разпространяване на информация относно профилактиката и ранната диагностика;</w:t>
      </w:r>
    </w:p>
    <w:p w14:paraId="3424F771" w14:textId="30D8CD98" w:rsidR="00B55C6C" w:rsidRPr="008646BA" w:rsidRDefault="00B55C6C" w:rsidP="007526DA">
      <w:pPr>
        <w:numPr>
          <w:ilvl w:val="1"/>
          <w:numId w:val="26"/>
        </w:numPr>
        <w:shd w:val="clear" w:color="auto" w:fill="FFFFFF" w:themeFill="background1"/>
        <w:ind w:left="851" w:hanging="284"/>
        <w:contextualSpacing/>
        <w:rPr>
          <w:color w:val="242424"/>
          <w:u w:val="single"/>
        </w:rPr>
      </w:pPr>
      <w:r>
        <w:rPr>
          <w:color w:val="242424"/>
          <w:u w:val="single"/>
        </w:rPr>
        <w:t>скрининг, ефективно и достъпно лечение;</w:t>
      </w:r>
    </w:p>
    <w:p w14:paraId="093589AA" w14:textId="77777777" w:rsidR="00B55C6C" w:rsidRPr="008646BA" w:rsidRDefault="00B55C6C" w:rsidP="007526DA">
      <w:pPr>
        <w:numPr>
          <w:ilvl w:val="1"/>
          <w:numId w:val="26"/>
        </w:numPr>
        <w:shd w:val="clear" w:color="auto" w:fill="FFFFFF" w:themeFill="background1"/>
        <w:ind w:left="851" w:hanging="284"/>
        <w:contextualSpacing/>
        <w:rPr>
          <w:color w:val="242424"/>
          <w:u w:val="single"/>
        </w:rPr>
      </w:pPr>
      <w:r>
        <w:rPr>
          <w:color w:val="242424"/>
          <w:u w:val="single"/>
        </w:rPr>
        <w:t>висококачествени грижи и достъпна инфраструктура за подкрепа на пациентите и техните семейства;</w:t>
      </w:r>
    </w:p>
    <w:p w14:paraId="65EEE98A" w14:textId="1882DD39" w:rsidR="00B55C6C" w:rsidRPr="008646BA" w:rsidRDefault="00B55C6C" w:rsidP="007526DA">
      <w:pPr>
        <w:numPr>
          <w:ilvl w:val="0"/>
          <w:numId w:val="20"/>
        </w:numPr>
        <w:shd w:val="clear" w:color="auto" w:fill="FFFFFF" w:themeFill="background1"/>
        <w:ind w:left="567" w:hanging="567"/>
        <w:contextualSpacing/>
        <w:rPr>
          <w:color w:val="242424"/>
          <w:u w:val="single"/>
        </w:rPr>
      </w:pPr>
      <w:r>
        <w:rPr>
          <w:color w:val="242424"/>
        </w:rPr>
        <w:t xml:space="preserve">подкрепя призива на Европейския парламент за бързо приемане на </w:t>
      </w:r>
      <w:hyperlink r:id="rId32">
        <w:r>
          <w:rPr>
            <w:b/>
            <w:color w:val="242424"/>
            <w:u w:val="single"/>
          </w:rPr>
          <w:t>Европейски план за действие за редките заболявания</w:t>
        </w:r>
      </w:hyperlink>
      <w:r>
        <w:rPr>
          <w:color w:val="242424"/>
        </w:rPr>
        <w:t xml:space="preserve">, включително чрез подновяване и по-нататъшно развитие на </w:t>
      </w:r>
      <w:hyperlink r:id="rId33">
        <w:r>
          <w:rPr>
            <w:b/>
            <w:color w:val="242424"/>
            <w:u w:val="single"/>
          </w:rPr>
          <w:t>призива от Тарту за здравословен начин на живот</w:t>
        </w:r>
      </w:hyperlink>
      <w:r>
        <w:rPr>
          <w:color w:val="242424"/>
        </w:rPr>
        <w:t xml:space="preserve"> и възприемане на подхода </w:t>
      </w:r>
      <w:hyperlink r:id="rId34">
        <w:r>
          <w:rPr>
            <w:b/>
            <w:color w:val="242424"/>
            <w:u w:val="single"/>
          </w:rPr>
          <w:t>„Едно здраве“</w:t>
        </w:r>
      </w:hyperlink>
      <w:r>
        <w:t>;</w:t>
      </w:r>
    </w:p>
    <w:p w14:paraId="19824879" w14:textId="1ECCBA6F" w:rsidR="00B55C6C" w:rsidRPr="008646BA" w:rsidRDefault="00B55C6C" w:rsidP="007526DA">
      <w:pPr>
        <w:numPr>
          <w:ilvl w:val="0"/>
          <w:numId w:val="22"/>
        </w:numPr>
        <w:shd w:val="clear" w:color="auto" w:fill="FFFFFF" w:themeFill="background1"/>
        <w:ind w:left="567" w:hanging="567"/>
        <w:contextualSpacing/>
        <w:rPr>
          <w:b/>
          <w:bCs/>
          <w:color w:val="242424"/>
        </w:rPr>
      </w:pPr>
      <w:r>
        <w:rPr>
          <w:color w:val="242424"/>
        </w:rPr>
        <w:t xml:space="preserve">счита, че научноизследователската и технологичната инфраструктура (включително предназначената за редките заболявания) е от ключово значение за развитието на науките за живата природа и икономиката на дълголетието и че тя следва да включва </w:t>
      </w:r>
      <w:r>
        <w:rPr>
          <w:b/>
          <w:color w:val="242424"/>
        </w:rPr>
        <w:t>цялата култура на дълголетие</w:t>
      </w:r>
      <w:r>
        <w:rPr>
          <w:color w:val="242424"/>
        </w:rPr>
        <w:t xml:space="preserve"> (включително профилактика, здравословно хранене, начин на живот, балнеолечение и отдих, физическото и психичното здраве и много други елементи), без да се ограничава до диагностицирането и лечението на заболяванията;</w:t>
      </w:r>
    </w:p>
    <w:p w14:paraId="36230EAB" w14:textId="2F18E6C1" w:rsidR="00B55C6C" w:rsidRPr="008646BA" w:rsidRDefault="00B55C6C" w:rsidP="007526DA">
      <w:pPr>
        <w:numPr>
          <w:ilvl w:val="0"/>
          <w:numId w:val="22"/>
        </w:numPr>
        <w:shd w:val="clear" w:color="auto" w:fill="FFFFFF" w:themeFill="background1"/>
        <w:ind w:left="567" w:hanging="567"/>
        <w:contextualSpacing/>
        <w:rPr>
          <w:color w:val="242424"/>
        </w:rPr>
      </w:pPr>
      <w:r>
        <w:rPr>
          <w:color w:val="242424"/>
        </w:rPr>
        <w:t xml:space="preserve">препоръчва създаването на </w:t>
      </w:r>
      <w:r>
        <w:rPr>
          <w:b/>
          <w:color w:val="242424"/>
        </w:rPr>
        <w:t>транслационни центрове, специализирани в областта на редките заболявания, във всяка държава членка</w:t>
      </w:r>
      <w:r>
        <w:rPr>
          <w:color w:val="242424"/>
        </w:rPr>
        <w:t>, координирани на равнището на ЕС с цел съгласуваност;</w:t>
      </w:r>
    </w:p>
    <w:p w14:paraId="79F67F3F" w14:textId="695936F4" w:rsidR="00B55C6C" w:rsidRPr="008646BA" w:rsidRDefault="00B55C6C" w:rsidP="007526DA">
      <w:pPr>
        <w:numPr>
          <w:ilvl w:val="0"/>
          <w:numId w:val="22"/>
        </w:numPr>
        <w:shd w:val="clear" w:color="auto" w:fill="FFFFFF" w:themeFill="background1"/>
        <w:ind w:left="567" w:hanging="567"/>
        <w:contextualSpacing/>
        <w:rPr>
          <w:color w:val="242424"/>
        </w:rPr>
      </w:pPr>
      <w:r>
        <w:rPr>
          <w:color w:val="242424"/>
        </w:rPr>
        <w:t>подчертава, че европейските партньорства са от жизненоважно значение за насърчаването на съдържателна и структурирана ангажираност на целия спектър от заинтересовани страни, и отправя искане за създаването на официални механизми за тяхното участие;</w:t>
      </w:r>
    </w:p>
    <w:p w14:paraId="007C9EE2" w14:textId="77777777" w:rsidR="00B55C6C" w:rsidRPr="008646BA" w:rsidRDefault="00B55C6C" w:rsidP="007526DA">
      <w:pPr>
        <w:numPr>
          <w:ilvl w:val="0"/>
          <w:numId w:val="22"/>
        </w:numPr>
        <w:shd w:val="clear" w:color="auto" w:fill="FFFFFF" w:themeFill="background1"/>
        <w:ind w:left="567" w:hanging="567"/>
        <w:contextualSpacing/>
        <w:rPr>
          <w:color w:val="242424"/>
        </w:rPr>
      </w:pPr>
      <w:r>
        <w:rPr>
          <w:color w:val="242424"/>
        </w:rPr>
        <w:lastRenderedPageBreak/>
        <w:t xml:space="preserve">се застъпва за </w:t>
      </w:r>
      <w:r>
        <w:rPr>
          <w:b/>
          <w:color w:val="242424"/>
        </w:rPr>
        <w:t>задължително представителство на организациите на пациентите, социалните партньори и гражданското общество в управителните органи</w:t>
      </w:r>
      <w:r>
        <w:rPr>
          <w:color w:val="242424"/>
        </w:rPr>
        <w:t>, което чрез структурирано, прозрачно и систематично участие ще даде възможност за определяне на приоритетите и протоколите за данните, изискванията за прозрачност на решенията и използването на данните, както и механизъм, който да гарантира ефективно интегриране на техния принос.</w:t>
      </w:r>
    </w:p>
    <w:p w14:paraId="47E7F57B" w14:textId="77777777" w:rsidR="00B55C6C" w:rsidRPr="008646BA" w:rsidRDefault="00B55C6C" w:rsidP="00100EF9">
      <w:pPr>
        <w:ind w:left="720"/>
        <w:rPr>
          <w:lang w:val="en-GB"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4103"/>
      </w:tblGrid>
      <w:tr w:rsidR="00B55C6C" w:rsidRPr="00662539" w14:paraId="1B7BB807" w14:textId="77777777" w:rsidTr="00662539">
        <w:tc>
          <w:tcPr>
            <w:tcW w:w="0" w:type="auto"/>
          </w:tcPr>
          <w:p w14:paraId="28C13E10" w14:textId="77777777" w:rsidR="00B55C6C" w:rsidRPr="00662539" w:rsidRDefault="00B55C6C" w:rsidP="00100EF9">
            <w:pPr>
              <w:rPr>
                <w:i/>
                <w:sz w:val="22"/>
                <w:szCs w:val="22"/>
              </w:rPr>
            </w:pPr>
            <w:r w:rsidRPr="00662539">
              <w:rPr>
                <w:b/>
                <w:i/>
                <w:sz w:val="22"/>
                <w:szCs w:val="22"/>
              </w:rPr>
              <w:t>За контакти</w:t>
            </w:r>
          </w:p>
        </w:tc>
        <w:tc>
          <w:tcPr>
            <w:tcW w:w="0" w:type="auto"/>
          </w:tcPr>
          <w:p w14:paraId="1876AA9B" w14:textId="77777777" w:rsidR="00B55C6C" w:rsidRPr="00662539" w:rsidRDefault="00B55C6C" w:rsidP="00100EF9">
            <w:pPr>
              <w:rPr>
                <w:i/>
                <w:sz w:val="22"/>
                <w:szCs w:val="22"/>
              </w:rPr>
            </w:pPr>
            <w:proofErr w:type="spellStart"/>
            <w:r w:rsidRPr="00662539">
              <w:rPr>
                <w:i/>
                <w:sz w:val="22"/>
                <w:szCs w:val="22"/>
              </w:rPr>
              <w:t>Konstantina</w:t>
            </w:r>
            <w:proofErr w:type="spellEnd"/>
            <w:r w:rsidRPr="0066253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62539">
              <w:rPr>
                <w:i/>
                <w:sz w:val="22"/>
                <w:szCs w:val="22"/>
              </w:rPr>
              <w:t>Angelopoulou</w:t>
            </w:r>
            <w:proofErr w:type="spellEnd"/>
          </w:p>
        </w:tc>
      </w:tr>
      <w:tr w:rsidR="00B55C6C" w:rsidRPr="00662539" w14:paraId="3A6228E8" w14:textId="77777777" w:rsidTr="00662539">
        <w:tc>
          <w:tcPr>
            <w:tcW w:w="0" w:type="auto"/>
          </w:tcPr>
          <w:p w14:paraId="744FB576" w14:textId="77777777" w:rsidR="00B55C6C" w:rsidRPr="00662539" w:rsidRDefault="00B55C6C" w:rsidP="00100EF9">
            <w:pPr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Тел.</w:t>
            </w:r>
          </w:p>
        </w:tc>
        <w:tc>
          <w:tcPr>
            <w:tcW w:w="0" w:type="auto"/>
          </w:tcPr>
          <w:p w14:paraId="30F176AA" w14:textId="69662FEA" w:rsidR="00B55C6C" w:rsidRPr="00662539" w:rsidRDefault="00B55C6C" w:rsidP="00100EF9">
            <w:pPr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+32 25469747</w:t>
            </w:r>
          </w:p>
        </w:tc>
      </w:tr>
      <w:tr w:rsidR="00B55C6C" w:rsidRPr="00662539" w14:paraId="3F5E6411" w14:textId="77777777" w:rsidTr="00662539">
        <w:tc>
          <w:tcPr>
            <w:tcW w:w="0" w:type="auto"/>
          </w:tcPr>
          <w:p w14:paraId="62C81B41" w14:textId="1E9E1B5D" w:rsidR="00B55C6C" w:rsidRPr="00662539" w:rsidRDefault="00256B74" w:rsidP="00100EF9">
            <w:pPr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Електронен адрес</w:t>
            </w:r>
          </w:p>
        </w:tc>
        <w:tc>
          <w:tcPr>
            <w:tcW w:w="0" w:type="auto"/>
          </w:tcPr>
          <w:p w14:paraId="31CA77B0" w14:textId="57EDA77C" w:rsidR="00B55C6C" w:rsidRPr="00662539" w:rsidRDefault="008646BA" w:rsidP="00100EF9">
            <w:pPr>
              <w:rPr>
                <w:i/>
                <w:iCs/>
                <w:sz w:val="22"/>
                <w:szCs w:val="22"/>
              </w:rPr>
            </w:pPr>
            <w:hyperlink r:id="rId35" w:history="1">
              <w:r w:rsidRPr="00662539">
                <w:rPr>
                  <w:i/>
                  <w:color w:val="0000FF"/>
                  <w:sz w:val="22"/>
                  <w:szCs w:val="22"/>
                  <w:u w:val="single"/>
                </w:rPr>
                <w:t>Konstantina.Angelopoulou@eesc.europa.eu</w:t>
              </w:r>
            </w:hyperlink>
          </w:p>
        </w:tc>
      </w:tr>
    </w:tbl>
    <w:p w14:paraId="4982DDF1" w14:textId="3CAFEF7D" w:rsidR="00EE1B31" w:rsidRPr="008646BA" w:rsidRDefault="00EE1B31" w:rsidP="00100EF9">
      <w:pPr>
        <w:pStyle w:val="ListParagraph"/>
        <w:ind w:left="0"/>
        <w:rPr>
          <w:lang w:val="en-GB"/>
        </w:rPr>
      </w:pPr>
    </w:p>
    <w:p w14:paraId="4483536B" w14:textId="77777777" w:rsidR="00EE1B31" w:rsidRPr="008646BA" w:rsidRDefault="00EE1B31" w:rsidP="00100EF9">
      <w:pPr>
        <w:jc w:val="left"/>
      </w:pPr>
      <w:r>
        <w:br w:type="page"/>
      </w:r>
    </w:p>
    <w:p w14:paraId="20E4C813" w14:textId="3B4337ED" w:rsidR="00594237" w:rsidRPr="008646BA" w:rsidRDefault="008646BA" w:rsidP="00100E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36" w:history="1">
        <w:r>
          <w:rPr>
            <w:b/>
            <w:i/>
            <w:color w:val="0000FF"/>
            <w:sz w:val="28"/>
            <w:u w:val="single"/>
          </w:rPr>
          <w:t>Енергийна свързаност, електроенергийни мрежи</w:t>
        </w:r>
      </w:hyperlink>
    </w:p>
    <w:p w14:paraId="03DC3C66" w14:textId="77777777" w:rsidR="00594237" w:rsidRPr="008646BA" w:rsidRDefault="00594237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7107"/>
      </w:tblGrid>
      <w:tr w:rsidR="00594237" w:rsidRPr="00662539" w14:paraId="0B3E8F32" w14:textId="77777777" w:rsidTr="00662539">
        <w:tc>
          <w:tcPr>
            <w:tcW w:w="0" w:type="auto"/>
          </w:tcPr>
          <w:p w14:paraId="3305D113" w14:textId="77777777" w:rsidR="00594237" w:rsidRPr="00662539" w:rsidRDefault="0059423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662539">
              <w:rPr>
                <w:b/>
                <w:sz w:val="22"/>
                <w:szCs w:val="22"/>
              </w:rPr>
              <w:t>Докладчик</w:t>
            </w:r>
          </w:p>
        </w:tc>
        <w:tc>
          <w:tcPr>
            <w:tcW w:w="0" w:type="auto"/>
          </w:tcPr>
          <w:p w14:paraId="01328C57" w14:textId="544140E5" w:rsidR="00F172E5" w:rsidRPr="00662539" w:rsidRDefault="0059423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662539">
              <w:rPr>
                <w:sz w:val="22"/>
                <w:szCs w:val="22"/>
              </w:rPr>
              <w:t>Christophe BÉGUINET (група „Работници“ — FR)</w:t>
            </w:r>
          </w:p>
        </w:tc>
      </w:tr>
      <w:tr w:rsidR="00205469" w:rsidRPr="00662539" w14:paraId="4D1871B6" w14:textId="77777777" w:rsidTr="00662539">
        <w:tc>
          <w:tcPr>
            <w:tcW w:w="0" w:type="auto"/>
          </w:tcPr>
          <w:p w14:paraId="589D2486" w14:textId="77777777" w:rsidR="00205469" w:rsidRPr="00662539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F8F0751" w14:textId="77777777" w:rsidR="00205469" w:rsidRPr="00662539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  <w:lang w:val="en-GB"/>
              </w:rPr>
            </w:pPr>
          </w:p>
        </w:tc>
      </w:tr>
      <w:tr w:rsidR="00594237" w:rsidRPr="00662539" w14:paraId="57747D28" w14:textId="77777777" w:rsidTr="00662539">
        <w:tc>
          <w:tcPr>
            <w:tcW w:w="0" w:type="auto"/>
          </w:tcPr>
          <w:p w14:paraId="7A081D5F" w14:textId="1DA4EDF6" w:rsidR="00594237" w:rsidRPr="00662539" w:rsidRDefault="0059423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662539">
              <w:rPr>
                <w:b/>
                <w:sz w:val="22"/>
                <w:szCs w:val="22"/>
              </w:rPr>
              <w:t>Отправни документи</w:t>
            </w:r>
          </w:p>
        </w:tc>
        <w:tc>
          <w:tcPr>
            <w:tcW w:w="0" w:type="auto"/>
          </w:tcPr>
          <w:p w14:paraId="245BB14C" w14:textId="0A43048D" w:rsidR="00594237" w:rsidRPr="00662539" w:rsidRDefault="0059423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662539">
              <w:rPr>
                <w:sz w:val="22"/>
                <w:szCs w:val="22"/>
              </w:rPr>
              <w:t>проучвателно становище по искане на кипърското председателство на Съвета на ЕС</w:t>
            </w:r>
          </w:p>
          <w:p w14:paraId="6CAD8281" w14:textId="77777777" w:rsidR="00594237" w:rsidRPr="00662539" w:rsidRDefault="0059423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662539">
              <w:rPr>
                <w:sz w:val="22"/>
                <w:szCs w:val="22"/>
              </w:rPr>
              <w:t>EESC-2025-03570-00-00-AC</w:t>
            </w:r>
          </w:p>
        </w:tc>
      </w:tr>
    </w:tbl>
    <w:p w14:paraId="2AF24FC2" w14:textId="77777777" w:rsidR="00594237" w:rsidRPr="008646BA" w:rsidRDefault="00594237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14:paraId="2CEA925B" w14:textId="77777777" w:rsidR="00594237" w:rsidRPr="008646BA" w:rsidRDefault="00594237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Основни аспекти</w:t>
      </w:r>
    </w:p>
    <w:p w14:paraId="3DFD6E79" w14:textId="77777777" w:rsidR="00594237" w:rsidRPr="008646BA" w:rsidRDefault="00594237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6A6D3353" w14:textId="0A952B50" w:rsidR="002D77C8" w:rsidRPr="008646BA" w:rsidRDefault="00594237" w:rsidP="00100EF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ЕИСК:</w:t>
      </w:r>
    </w:p>
    <w:p w14:paraId="646A6D1A" w14:textId="77777777" w:rsidR="00594237" w:rsidRPr="008646BA" w:rsidRDefault="00594237" w:rsidP="007526DA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подчертава, че европейският електроенергиен сектор трябва да разполага с капацитет за планиране на нуждите на електроенергийната система на равнището на ЕС и в държавите партньори въз основа на общ енергиен сценарий, определен от Комисията и националните системни оператори;</w:t>
      </w:r>
    </w:p>
    <w:p w14:paraId="61E86BFD" w14:textId="77777777" w:rsidR="00594237" w:rsidRPr="008646BA" w:rsidRDefault="00594237" w:rsidP="007526DA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отбелязва, че стойността на междусистемните връзки следва да се разглежда или от гледна точка на ползата, споделена между две държави, в двустранен подход, или от гледна точка на търсенето на обща полза за системата извън двете държави, в които се намира междусистемната връзка. В този втори случай трябва да се появят нови икономически модели в резултат на сътрудничеството между Агенцията за сътрудничество между регулаторите на енергия (ACER), националните регулатори и операторите на мрежи;</w:t>
      </w:r>
    </w:p>
    <w:p w14:paraId="2C83B82E" w14:textId="77777777" w:rsidR="00594237" w:rsidRPr="008646BA" w:rsidRDefault="00594237" w:rsidP="007526DA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подчертава, че за да бъдат ефективни междусистемните връзки, тяхното развитие трябва да бъде придружено от развитието на съответните национални инфраструктури, особено на равнището на операторите на преносни системи и на операторите на разпределителни системи. Създаването на междусистемен капацитет трябва да бъде възможност за насърчаване на европейската солидарност по отношение на електроенергийните мрежи;</w:t>
      </w:r>
    </w:p>
    <w:p w14:paraId="543D8C6F" w14:textId="77777777" w:rsidR="00594237" w:rsidRPr="008646BA" w:rsidRDefault="00594237" w:rsidP="007526DA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посочва, че икономическата оптимизация на европейската електроенергийна система изисква широкомащабно инсталиране на интелигентни измервателни уреди, още допълнителни инвестиции в преносни и разпределителни мрежи и осигуряване на достъп до данните за енергийния поток;</w:t>
      </w:r>
    </w:p>
    <w:p w14:paraId="5841625A" w14:textId="77777777" w:rsidR="00594237" w:rsidRPr="008646BA" w:rsidRDefault="00594237" w:rsidP="007526DA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отдава приоритет на сигурността на електроенергийната система във връзка с последиците от изменение на климата, физическите атаки, саботажите, кибернетичните рискове и риска, свързан с балансирането на системата;</w:t>
      </w:r>
    </w:p>
    <w:p w14:paraId="5F670357" w14:textId="77777777" w:rsidR="00594237" w:rsidRPr="008646BA" w:rsidRDefault="00594237" w:rsidP="007526DA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призовава оптимизирането на съществуващата инфраструктура да се разглежда като приоритет, преди да се обмисля развитието на нова инфраструктура.</w:t>
      </w:r>
    </w:p>
    <w:p w14:paraId="7F7D5FFE" w14:textId="77777777" w:rsidR="00594237" w:rsidRPr="008646BA" w:rsidRDefault="00594237" w:rsidP="00100EF9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4079"/>
      </w:tblGrid>
      <w:tr w:rsidR="00594237" w:rsidRPr="00662539" w14:paraId="0AB1B93A" w14:textId="77777777" w:rsidTr="00662539">
        <w:tc>
          <w:tcPr>
            <w:tcW w:w="0" w:type="auto"/>
          </w:tcPr>
          <w:p w14:paraId="07D8992D" w14:textId="77777777" w:rsidR="00594237" w:rsidRPr="00662539" w:rsidRDefault="0059423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b/>
                <w:i/>
                <w:sz w:val="22"/>
                <w:szCs w:val="22"/>
              </w:rPr>
              <w:t>За контакт</w:t>
            </w:r>
          </w:p>
        </w:tc>
        <w:tc>
          <w:tcPr>
            <w:tcW w:w="0" w:type="auto"/>
          </w:tcPr>
          <w:p w14:paraId="1B78F73E" w14:textId="78914975" w:rsidR="00594237" w:rsidRPr="00662539" w:rsidRDefault="0059423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proofErr w:type="spellStart"/>
            <w:r w:rsidRPr="00662539">
              <w:rPr>
                <w:i/>
                <w:sz w:val="22"/>
                <w:szCs w:val="22"/>
              </w:rPr>
              <w:t>Giorgia</w:t>
            </w:r>
            <w:proofErr w:type="spellEnd"/>
            <w:r w:rsidRPr="0066253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62539">
              <w:rPr>
                <w:i/>
                <w:sz w:val="22"/>
                <w:szCs w:val="22"/>
              </w:rPr>
              <w:t>Bordignon</w:t>
            </w:r>
            <w:proofErr w:type="spellEnd"/>
          </w:p>
        </w:tc>
      </w:tr>
      <w:tr w:rsidR="00594237" w:rsidRPr="00662539" w14:paraId="6912C935" w14:textId="77777777" w:rsidTr="00662539">
        <w:tc>
          <w:tcPr>
            <w:tcW w:w="0" w:type="auto"/>
          </w:tcPr>
          <w:p w14:paraId="5F1BA648" w14:textId="77777777" w:rsidR="00594237" w:rsidRPr="00662539" w:rsidRDefault="0059423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Тел.</w:t>
            </w:r>
          </w:p>
        </w:tc>
        <w:tc>
          <w:tcPr>
            <w:tcW w:w="0" w:type="auto"/>
          </w:tcPr>
          <w:p w14:paraId="42C70B8C" w14:textId="0FF6B91B" w:rsidR="00594237" w:rsidRPr="00662539" w:rsidRDefault="0059423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+32 25468535</w:t>
            </w:r>
          </w:p>
        </w:tc>
      </w:tr>
      <w:tr w:rsidR="00594237" w:rsidRPr="00662539" w14:paraId="2BBC59B6" w14:textId="77777777" w:rsidTr="00662539">
        <w:tc>
          <w:tcPr>
            <w:tcW w:w="0" w:type="auto"/>
          </w:tcPr>
          <w:p w14:paraId="10BDDDCF" w14:textId="77777777" w:rsidR="00594237" w:rsidRPr="00662539" w:rsidRDefault="0059423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Електронен адрес</w:t>
            </w:r>
          </w:p>
        </w:tc>
        <w:tc>
          <w:tcPr>
            <w:tcW w:w="0" w:type="auto"/>
          </w:tcPr>
          <w:p w14:paraId="5EF302B9" w14:textId="56C72554" w:rsidR="00594237" w:rsidRPr="00662539" w:rsidRDefault="008646BA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r:id="rId37" w:history="1">
              <w:r w:rsidRPr="00662539">
                <w:rPr>
                  <w:i/>
                  <w:color w:val="0000FF"/>
                  <w:sz w:val="22"/>
                  <w:szCs w:val="22"/>
                  <w:u w:val="single"/>
                </w:rPr>
                <w:t>GiorgiaAndrea.Bordignon@eesc.europa.eu</w:t>
              </w:r>
            </w:hyperlink>
          </w:p>
        </w:tc>
      </w:tr>
    </w:tbl>
    <w:p w14:paraId="79D0072B" w14:textId="77777777" w:rsidR="004D7AC0" w:rsidRPr="008646BA" w:rsidRDefault="004D7AC0" w:rsidP="00100EF9">
      <w:pPr>
        <w:pStyle w:val="ListParagraph"/>
        <w:ind w:left="0"/>
        <w:rPr>
          <w:lang w:val="en-GB"/>
        </w:rPr>
      </w:pPr>
    </w:p>
    <w:p w14:paraId="4982DDF2" w14:textId="77777777" w:rsidR="004D7AC0" w:rsidRPr="008646BA" w:rsidRDefault="004D7AC0" w:rsidP="00100EF9">
      <w:pPr>
        <w:jc w:val="left"/>
      </w:pPr>
      <w:r>
        <w:br w:type="page"/>
      </w:r>
    </w:p>
    <w:p w14:paraId="4982DE1F" w14:textId="77777777" w:rsidR="004D7AC0" w:rsidRPr="008646BA" w:rsidRDefault="004D7AC0" w:rsidP="00100EF9">
      <w:pPr>
        <w:pStyle w:val="Heading1"/>
        <w:rPr>
          <w:b/>
        </w:rPr>
      </w:pPr>
      <w:bookmarkStart w:id="27" w:name="_Toc70322234"/>
      <w:bookmarkStart w:id="28" w:name="_Toc75527084"/>
      <w:bookmarkStart w:id="29" w:name="_Toc223509358"/>
      <w:r>
        <w:rPr>
          <w:b/>
        </w:rPr>
        <w:lastRenderedPageBreak/>
        <w:t>ЗЕМЕДЕЛИЕ, РАЗВИТИЕ НА СЕЛСКИТЕ РАЙОНИ, ОКОЛНА СРЕДА</w:t>
      </w:r>
      <w:bookmarkEnd w:id="27"/>
      <w:bookmarkEnd w:id="28"/>
      <w:bookmarkEnd w:id="29"/>
    </w:p>
    <w:p w14:paraId="4982DE20" w14:textId="77777777" w:rsidR="004D7AC0" w:rsidRPr="008646BA" w:rsidRDefault="004D7AC0" w:rsidP="00100EF9">
      <w:pPr>
        <w:rPr>
          <w:lang w:val="en-GB"/>
        </w:rPr>
      </w:pPr>
    </w:p>
    <w:p w14:paraId="2C76C141" w14:textId="7F431F1B" w:rsidR="00621347" w:rsidRPr="008646BA" w:rsidRDefault="008646BA" w:rsidP="00100E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8"/>
          <w:szCs w:val="28"/>
        </w:rPr>
      </w:pPr>
      <w:hyperlink r:id="rId38" w:history="1">
        <w:r>
          <w:rPr>
            <w:b/>
            <w:i/>
            <w:color w:val="0000FF"/>
            <w:sz w:val="28"/>
            <w:u w:val="single"/>
          </w:rPr>
          <w:t>Пътна карта за природните кредити</w:t>
        </w:r>
      </w:hyperlink>
    </w:p>
    <w:p w14:paraId="62E0B68C" w14:textId="77777777" w:rsidR="00621347" w:rsidRPr="008646BA" w:rsidRDefault="00621347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4432"/>
      </w:tblGrid>
      <w:tr w:rsidR="00621347" w:rsidRPr="00662539" w14:paraId="5980278B" w14:textId="77777777" w:rsidTr="00662539">
        <w:tc>
          <w:tcPr>
            <w:tcW w:w="0" w:type="auto"/>
          </w:tcPr>
          <w:p w14:paraId="61C81431" w14:textId="77777777" w:rsidR="00621347" w:rsidRPr="00662539" w:rsidRDefault="0062134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662539">
              <w:rPr>
                <w:b/>
                <w:sz w:val="22"/>
                <w:szCs w:val="22"/>
              </w:rPr>
              <w:t>Докладчик</w:t>
            </w:r>
          </w:p>
        </w:tc>
        <w:tc>
          <w:tcPr>
            <w:tcW w:w="0" w:type="auto"/>
          </w:tcPr>
          <w:p w14:paraId="53BB74E4" w14:textId="19992D32" w:rsidR="00621347" w:rsidRPr="00662539" w:rsidRDefault="0062134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proofErr w:type="spellStart"/>
            <w:r w:rsidRPr="00662539">
              <w:rPr>
                <w:sz w:val="22"/>
                <w:szCs w:val="22"/>
              </w:rPr>
              <w:t>Arnaud</w:t>
            </w:r>
            <w:proofErr w:type="spellEnd"/>
            <w:r w:rsidRPr="00662539">
              <w:rPr>
                <w:sz w:val="22"/>
                <w:szCs w:val="22"/>
              </w:rPr>
              <w:t xml:space="preserve"> SCHWARTZ (група „Организации на гражданското общество“ — FR)</w:t>
            </w:r>
          </w:p>
        </w:tc>
      </w:tr>
      <w:tr w:rsidR="00621347" w:rsidRPr="00662539" w14:paraId="0CEBEBE7" w14:textId="77777777" w:rsidTr="00662539">
        <w:tc>
          <w:tcPr>
            <w:tcW w:w="0" w:type="auto"/>
          </w:tcPr>
          <w:p w14:paraId="2479DBBC" w14:textId="77777777" w:rsidR="00621347" w:rsidRPr="00662539" w:rsidRDefault="0062134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662539">
              <w:rPr>
                <w:b/>
                <w:sz w:val="22"/>
                <w:szCs w:val="22"/>
              </w:rPr>
              <w:t>Съдокладчик</w:t>
            </w:r>
          </w:p>
        </w:tc>
        <w:tc>
          <w:tcPr>
            <w:tcW w:w="0" w:type="auto"/>
          </w:tcPr>
          <w:p w14:paraId="71EF85C6" w14:textId="36F8549C" w:rsidR="00630779" w:rsidRPr="00662539" w:rsidRDefault="0062134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proofErr w:type="spellStart"/>
            <w:r w:rsidRPr="00662539">
              <w:rPr>
                <w:sz w:val="22"/>
                <w:szCs w:val="22"/>
              </w:rPr>
              <w:t>Teppo</w:t>
            </w:r>
            <w:proofErr w:type="spellEnd"/>
            <w:r w:rsidRPr="00662539">
              <w:rPr>
                <w:sz w:val="22"/>
                <w:szCs w:val="22"/>
              </w:rPr>
              <w:t xml:space="preserve"> SÄKKINEN (група „Работодатели“ — FI)</w:t>
            </w:r>
          </w:p>
        </w:tc>
      </w:tr>
      <w:tr w:rsidR="00205469" w:rsidRPr="00662539" w14:paraId="778CD321" w14:textId="77777777" w:rsidTr="00662539">
        <w:tc>
          <w:tcPr>
            <w:tcW w:w="0" w:type="auto"/>
          </w:tcPr>
          <w:p w14:paraId="7759C9B9" w14:textId="77777777" w:rsidR="00205469" w:rsidRPr="00662539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A9CAC5A" w14:textId="77777777" w:rsidR="00205469" w:rsidRPr="00662539" w:rsidRDefault="0020546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  <w:lang w:val="en-GB"/>
              </w:rPr>
            </w:pPr>
          </w:p>
        </w:tc>
      </w:tr>
      <w:tr w:rsidR="00621347" w:rsidRPr="00662539" w14:paraId="27481885" w14:textId="77777777" w:rsidTr="00662539">
        <w:tc>
          <w:tcPr>
            <w:tcW w:w="0" w:type="auto"/>
          </w:tcPr>
          <w:p w14:paraId="51C5B0D8" w14:textId="77777777" w:rsidR="00621347" w:rsidRPr="00662539" w:rsidRDefault="0062134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662539">
              <w:rPr>
                <w:b/>
                <w:sz w:val="22"/>
                <w:szCs w:val="22"/>
              </w:rPr>
              <w:t>Отправни документи</w:t>
            </w:r>
          </w:p>
        </w:tc>
        <w:tc>
          <w:tcPr>
            <w:tcW w:w="0" w:type="auto"/>
          </w:tcPr>
          <w:p w14:paraId="72CD413C" w14:textId="352FF01B" w:rsidR="00CC7D10" w:rsidRPr="00662539" w:rsidRDefault="00124E6A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662539">
              <w:rPr>
                <w:sz w:val="22"/>
                <w:szCs w:val="22"/>
              </w:rPr>
              <w:t xml:space="preserve">COM(2025) 374 </w:t>
            </w:r>
            <w:proofErr w:type="spellStart"/>
            <w:r w:rsidRPr="00662539">
              <w:rPr>
                <w:sz w:val="22"/>
                <w:szCs w:val="22"/>
              </w:rPr>
              <w:t>final</w:t>
            </w:r>
            <w:proofErr w:type="spellEnd"/>
          </w:p>
          <w:p w14:paraId="281E2397" w14:textId="6410C7C8" w:rsidR="00621347" w:rsidRPr="00662539" w:rsidRDefault="00621347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  <w:rPr>
                <w:sz w:val="22"/>
                <w:szCs w:val="22"/>
              </w:rPr>
            </w:pPr>
            <w:r w:rsidRPr="00662539">
              <w:rPr>
                <w:sz w:val="22"/>
                <w:szCs w:val="22"/>
              </w:rPr>
              <w:t>EESC-2025-03041-00-00-AC</w:t>
            </w:r>
          </w:p>
        </w:tc>
      </w:tr>
    </w:tbl>
    <w:p w14:paraId="13E176CB" w14:textId="77777777" w:rsidR="00621347" w:rsidRPr="008646BA" w:rsidRDefault="00621347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B97005E" w14:textId="77777777" w:rsidR="00621347" w:rsidRPr="008646BA" w:rsidRDefault="00621347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Основни аспекти</w:t>
      </w:r>
    </w:p>
    <w:p w14:paraId="7AF5FFF2" w14:textId="77777777" w:rsidR="00621347" w:rsidRPr="008646BA" w:rsidRDefault="00621347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A68D309" w14:textId="77777777" w:rsidR="00621347" w:rsidRPr="008646BA" w:rsidRDefault="00621347" w:rsidP="00100EF9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ЕИСК призовава Европейската комисия:</w:t>
      </w:r>
    </w:p>
    <w:p w14:paraId="3274DE4E" w14:textId="0652F3F9" w:rsidR="00621347" w:rsidRPr="008646BA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0" w:name="_Toc222988740"/>
      <w:bookmarkStart w:id="31" w:name="_Toc222989237"/>
      <w:bookmarkStart w:id="32" w:name="_Toc222989275"/>
      <w:bookmarkStart w:id="33" w:name="_Toc222825837"/>
      <w:bookmarkEnd w:id="30"/>
      <w:bookmarkEnd w:id="31"/>
      <w:bookmarkEnd w:id="32"/>
      <w:r>
        <w:t>да гарантира постигането на целите за финансиране на биологичното разнообразие, определени в глобалната рамка за биологичното разнообразие. Това изисква достатъчно, стабилно и навременно публично финансиране, включително от бюджета на ЕС, и постепенно премахване на вредните за околната среда субсидии като тези за изкопаемите горива. Природните кредити могат да бъдат инструмент за преодоляване на недостига на финансиране и за мобилизиране на частно финансиране, който допълва, но не заменя публичните средства;</w:t>
      </w:r>
      <w:bookmarkEnd w:id="33"/>
    </w:p>
    <w:p w14:paraId="48812E9A" w14:textId="77777777" w:rsidR="00621347" w:rsidRPr="008646BA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4" w:name="_Toc222825838"/>
      <w:r>
        <w:t>да привежда в изпълнение законодателството и основните принципи в областта на околната среда като ефективен инструмент за гарантиране на постигането на целите в областта на биологичното разнообразие, преодоляване на недостига на финансиране и като основа за надеждна рамка за природни кредити;</w:t>
      </w:r>
      <w:bookmarkEnd w:id="34"/>
    </w:p>
    <w:p w14:paraId="1EE5A2BD" w14:textId="6CCEB5F0" w:rsidR="00621347" w:rsidRPr="008646BA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5" w:name="_Toc222825839"/>
      <w:r>
        <w:t>да гарантира, че рамката за природните кредити се основава на строги принципи за висока степен на надеждност, наред с йерархията на мерките за смекчаване и други гаранции за околната среда и климата и социални гаранции, и систематично да оценява съответствието на проектите с тях. Следва да се използват холистични и научни методики, които да се основават на екологично интегриран, основан на резултатите подход;</w:t>
      </w:r>
      <w:bookmarkEnd w:id="35"/>
    </w:p>
    <w:p w14:paraId="6AA0E980" w14:textId="011DCE8C" w:rsidR="00621347" w:rsidRPr="008646BA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6" w:name="_Toc222825840"/>
      <w:r>
        <w:t>да гарантира, че рамката за управление на пазара на природни кредити е научно обоснована, приобщаваща, прозрачна и основана на участието, със силен акцент върху включването на участниците с потенциал за възстановяване и опазване на природата, както и уязвимите и маргинализираните групи като младите хора, жените, селските общности и коренното население. Следва да се гарантира прозрачно и справедливо управление на данните и собствеността върху тях;</w:t>
      </w:r>
      <w:bookmarkEnd w:id="36"/>
    </w:p>
    <w:p w14:paraId="3A2AC039" w14:textId="2F75D698" w:rsidR="00621347" w:rsidRPr="008646BA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7" w:name="_Toc222825841"/>
      <w:r>
        <w:t>да подходи внимателно към необходимостта от директива или регламент, тъй като създаването на природни кредити следва да остане доброволно, като същевременно се спазват строги правила и критерии. Рамката следва да се съсредоточи главно върху положителния принос, а използването на компенсации следва да бъде оставено на решението на държавите членки, за да не се подкопават съществуващите амбициозни инициативи на национално равнище;</w:t>
      </w:r>
      <w:bookmarkEnd w:id="37"/>
    </w:p>
    <w:p w14:paraId="151D13B1" w14:textId="3080CBDB" w:rsidR="00621347" w:rsidRPr="008646BA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8" w:name="_Toc222825842"/>
      <w:r>
        <w:t xml:space="preserve">да изясни привеждането на природните кредити в съответствие с други политики, например ОСП. Природните кредити трябва да бъдат формирани по начин, който да позволява на биоикономиката, кръговата икономика, устойчивото производство на храни </w:t>
      </w:r>
      <w:r>
        <w:lastRenderedPageBreak/>
        <w:t>и горското стопанство да процъфтяват в ЕС. Следва да се избягва добавянето на ненужна административна тежест за практикуващите специалисти, особено за дребномащабните, като същевременно се гарантират висока почтеност и научнообоснован подход;</w:t>
      </w:r>
      <w:bookmarkEnd w:id="38"/>
    </w:p>
    <w:p w14:paraId="17891DA2" w14:textId="173A8059" w:rsidR="00621347" w:rsidRPr="008646BA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39" w:name="_Toc222825843"/>
      <w:r>
        <w:t>да гарантира, че природните кредити не водят до комерсиализация на природата. Заграбването и спекулациите със земя следва да се предотвратяват на всяка цена. Природните кредити следва винаги да дават приоритет на почтеността пред краткосрочната рентабилност, както и на справедливото разпределение на ползите и да спомагат за намаляване на неравенствата;</w:t>
      </w:r>
      <w:bookmarkEnd w:id="39"/>
    </w:p>
    <w:p w14:paraId="02428967" w14:textId="77777777" w:rsidR="00621347" w:rsidRPr="008646BA" w:rsidRDefault="00621347" w:rsidP="007526DA">
      <w:pPr>
        <w:pStyle w:val="ListParagraph"/>
        <w:numPr>
          <w:ilvl w:val="0"/>
          <w:numId w:val="29"/>
        </w:numPr>
        <w:ind w:left="567" w:hanging="578"/>
        <w:rPr>
          <w:szCs w:val="20"/>
        </w:rPr>
      </w:pPr>
      <w:bookmarkStart w:id="40" w:name="_Toc222825844"/>
      <w:r>
        <w:t>да се ангажира предпазливо с проекти извън ЕС, като се има предвид, че методиките и рамките за управление, разработени в Европа, може да не отговарят на социалния, културния, правния, политическия и екологичния контекст в страни извън ЕС, като същевременно генерират положително въздействие върху природата във веригите за създаване на стойност извън ЕС.</w:t>
      </w:r>
      <w:bookmarkEnd w:id="40"/>
    </w:p>
    <w:p w14:paraId="4D9DD4B6" w14:textId="77777777" w:rsidR="00621347" w:rsidRPr="008646BA" w:rsidRDefault="00621347" w:rsidP="00100EF9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881"/>
      </w:tblGrid>
      <w:tr w:rsidR="00621347" w:rsidRPr="00662539" w14:paraId="4C4EEF76" w14:textId="77777777" w:rsidTr="00662539">
        <w:tc>
          <w:tcPr>
            <w:tcW w:w="0" w:type="auto"/>
          </w:tcPr>
          <w:p w14:paraId="3AF62EF9" w14:textId="77777777" w:rsidR="00621347" w:rsidRPr="00662539" w:rsidRDefault="0062134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b/>
                <w:i/>
                <w:sz w:val="22"/>
                <w:szCs w:val="22"/>
              </w:rPr>
              <w:t>За контакти</w:t>
            </w:r>
          </w:p>
        </w:tc>
        <w:tc>
          <w:tcPr>
            <w:tcW w:w="0" w:type="auto"/>
          </w:tcPr>
          <w:p w14:paraId="1174E3AC" w14:textId="582EC194" w:rsidR="00621347" w:rsidRPr="00662539" w:rsidRDefault="0062134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proofErr w:type="spellStart"/>
            <w:r w:rsidRPr="00662539">
              <w:rPr>
                <w:i/>
                <w:sz w:val="22"/>
                <w:szCs w:val="22"/>
              </w:rPr>
              <w:t>Gaia</w:t>
            </w:r>
            <w:proofErr w:type="spellEnd"/>
            <w:r w:rsidRPr="0066253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62539">
              <w:rPr>
                <w:i/>
                <w:sz w:val="22"/>
                <w:szCs w:val="22"/>
              </w:rPr>
              <w:t>Bottoni</w:t>
            </w:r>
            <w:proofErr w:type="spellEnd"/>
          </w:p>
        </w:tc>
      </w:tr>
      <w:tr w:rsidR="00621347" w:rsidRPr="00662539" w14:paraId="60C3DC59" w14:textId="77777777" w:rsidTr="00662539">
        <w:tc>
          <w:tcPr>
            <w:tcW w:w="0" w:type="auto"/>
          </w:tcPr>
          <w:p w14:paraId="0B4561A1" w14:textId="77777777" w:rsidR="00621347" w:rsidRPr="00662539" w:rsidRDefault="0062134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Тел.</w:t>
            </w:r>
          </w:p>
        </w:tc>
        <w:tc>
          <w:tcPr>
            <w:tcW w:w="0" w:type="auto"/>
          </w:tcPr>
          <w:p w14:paraId="7FBF1635" w14:textId="73B5954C" w:rsidR="00621347" w:rsidRPr="00662539" w:rsidRDefault="0062134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+32 25469447</w:t>
            </w:r>
          </w:p>
        </w:tc>
      </w:tr>
      <w:tr w:rsidR="00621347" w:rsidRPr="00662539" w14:paraId="5D7F6D2E" w14:textId="77777777" w:rsidTr="00662539">
        <w:tc>
          <w:tcPr>
            <w:tcW w:w="0" w:type="auto"/>
          </w:tcPr>
          <w:p w14:paraId="54E92E27" w14:textId="77777777" w:rsidR="00621347" w:rsidRPr="00662539" w:rsidRDefault="00621347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Електронен адрес</w:t>
            </w:r>
          </w:p>
        </w:tc>
        <w:tc>
          <w:tcPr>
            <w:tcW w:w="0" w:type="auto"/>
          </w:tcPr>
          <w:p w14:paraId="109C769F" w14:textId="0FD9D7A7" w:rsidR="00621347" w:rsidRPr="00662539" w:rsidRDefault="008646BA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r:id="rId39" w:history="1">
              <w:r w:rsidRPr="00662539">
                <w:rPr>
                  <w:i/>
                  <w:color w:val="0000FF"/>
                  <w:sz w:val="22"/>
                  <w:szCs w:val="22"/>
                  <w:u w:val="single"/>
                </w:rPr>
                <w:t>Gaia.Bottoni@eesc.europa.eu</w:t>
              </w:r>
            </w:hyperlink>
          </w:p>
        </w:tc>
      </w:tr>
    </w:tbl>
    <w:p w14:paraId="715DB2BD" w14:textId="77777777" w:rsidR="007F5784" w:rsidRPr="008646BA" w:rsidRDefault="007F5784" w:rsidP="00100EF9">
      <w:pPr>
        <w:jc w:val="left"/>
      </w:pPr>
      <w:r>
        <w:br w:type="page"/>
      </w:r>
    </w:p>
    <w:p w14:paraId="528C73AA" w14:textId="46DE726B" w:rsidR="006D2C8A" w:rsidRPr="008646BA" w:rsidRDefault="006D2C8A" w:rsidP="00100EF9">
      <w:pPr>
        <w:pStyle w:val="Heading1"/>
        <w:rPr>
          <w:b/>
        </w:rPr>
      </w:pPr>
      <w:bookmarkStart w:id="41" w:name="_Toc223509359"/>
      <w:r>
        <w:rPr>
          <w:b/>
          <w:color w:val="222A35" w:themeColor="text2" w:themeShade="80"/>
        </w:rPr>
        <w:lastRenderedPageBreak/>
        <w:t>КОНСУЛТАТИВНА КОМИСИЯ ПО ИНДУСТРИАЛНИ ПРОМЕНИ</w:t>
      </w:r>
      <w:bookmarkEnd w:id="41"/>
    </w:p>
    <w:p w14:paraId="713E272F" w14:textId="77777777" w:rsidR="006D2C8A" w:rsidRPr="008646BA" w:rsidRDefault="006D2C8A" w:rsidP="00100EF9">
      <w:pPr>
        <w:rPr>
          <w:lang w:val="en-GB"/>
        </w:rPr>
      </w:pPr>
    </w:p>
    <w:p w14:paraId="3CC91A48" w14:textId="439476AB" w:rsidR="003534E0" w:rsidRPr="008646BA" w:rsidRDefault="008646BA" w:rsidP="00100EF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40" w:history="1">
        <w:r>
          <w:rPr>
            <w:b/>
            <w:i/>
            <w:color w:val="0000FF"/>
            <w:sz w:val="28"/>
            <w:u w:val="single"/>
          </w:rPr>
          <w:t>Изменение на Регламент (ЕС) 2024/1252 (Европейски законодателен акт за суровините от критично значение)</w:t>
        </w:r>
      </w:hyperlink>
    </w:p>
    <w:p w14:paraId="4BAFD485" w14:textId="77777777" w:rsidR="009277D3" w:rsidRPr="008646BA" w:rsidRDefault="009277D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2856"/>
      </w:tblGrid>
      <w:tr w:rsidR="00153E09" w:rsidRPr="00662539" w14:paraId="65A34AAF" w14:textId="77777777" w:rsidTr="00662539">
        <w:tc>
          <w:tcPr>
            <w:tcW w:w="0" w:type="auto"/>
          </w:tcPr>
          <w:p w14:paraId="111B4B02" w14:textId="6AC41F6C" w:rsidR="00153E09" w:rsidRPr="00662539" w:rsidRDefault="00153E09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662539">
              <w:rPr>
                <w:b/>
              </w:rPr>
              <w:t>Отправни документи</w:t>
            </w:r>
          </w:p>
        </w:tc>
        <w:tc>
          <w:tcPr>
            <w:tcW w:w="0" w:type="auto"/>
          </w:tcPr>
          <w:p w14:paraId="0221ADAC" w14:textId="77777777" w:rsidR="00153E09" w:rsidRPr="00662539" w:rsidRDefault="00153E0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662539">
              <w:t xml:space="preserve">COM(2025) 946 </w:t>
            </w:r>
            <w:proofErr w:type="spellStart"/>
            <w:r w:rsidRPr="00662539">
              <w:t>final</w:t>
            </w:r>
            <w:proofErr w:type="spellEnd"/>
          </w:p>
          <w:p w14:paraId="5F1938C2" w14:textId="40D8E2D3" w:rsidR="00153E09" w:rsidRPr="00662539" w:rsidRDefault="00153E09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662539">
              <w:t>EESC-2026-00393-00-00-AC</w:t>
            </w:r>
          </w:p>
        </w:tc>
      </w:tr>
    </w:tbl>
    <w:p w14:paraId="185B6A63" w14:textId="77777777" w:rsidR="009277D3" w:rsidRPr="008646BA" w:rsidRDefault="009277D3" w:rsidP="00100EF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0D51E678" w14:textId="77777777" w:rsidR="003534E0" w:rsidRPr="008646BA" w:rsidRDefault="003534E0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Основни аспекти</w:t>
      </w:r>
    </w:p>
    <w:p w14:paraId="1A032EB0" w14:textId="77777777" w:rsidR="003534E0" w:rsidRPr="008646BA" w:rsidRDefault="003534E0" w:rsidP="00100EF9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0722C60C" w14:textId="641ADB2A" w:rsidR="003534E0" w:rsidRPr="008646BA" w:rsidRDefault="003534E0" w:rsidP="00100EF9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 xml:space="preserve">Тъй като прецени, че съдържанието на предложението е напълно задоволително и предвид факта, че вече изрази позицията си по този въпрос в </w:t>
      </w:r>
      <w:hyperlink r:id="rId41" w:history="1">
        <w:r>
          <w:rPr>
            <w:color w:val="0000FF"/>
            <w:u w:val="single"/>
          </w:rPr>
          <w:t>предходното си становище относно законодателния акт за суровините от критично значение</w:t>
        </w:r>
      </w:hyperlink>
      <w:r>
        <w:t>, прието на 12 юли 2023 г., Комитетът реши да приеме положително становище по предложения текст и да се позове на позицията, изразена в горепосочения документ.</w:t>
      </w:r>
    </w:p>
    <w:p w14:paraId="2B63EAC7" w14:textId="3C6C9A7D" w:rsidR="00950272" w:rsidRPr="008646BA" w:rsidRDefault="00950272" w:rsidP="00100EF9">
      <w:pPr>
        <w:widowControl w:val="0"/>
        <w:overflowPunct w:val="0"/>
        <w:autoSpaceDE w:val="0"/>
        <w:autoSpaceDN w:val="0"/>
        <w:adjustRightInd w:val="0"/>
        <w:ind w:left="709" w:hanging="709"/>
        <w:textAlignment w:val="baseline"/>
        <w:rPr>
          <w:szCs w:val="20"/>
          <w:lang w:val="en-GB"/>
        </w:rPr>
      </w:pP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3211"/>
      </w:tblGrid>
      <w:tr w:rsidR="003534E0" w:rsidRPr="00662539" w14:paraId="1ABE88A2" w14:textId="77777777" w:rsidTr="00662539">
        <w:tc>
          <w:tcPr>
            <w:tcW w:w="0" w:type="auto"/>
          </w:tcPr>
          <w:p w14:paraId="148D5606" w14:textId="77777777" w:rsidR="003534E0" w:rsidRPr="00662539" w:rsidRDefault="003534E0" w:rsidP="007526DA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b/>
                <w:i/>
                <w:sz w:val="22"/>
                <w:szCs w:val="22"/>
              </w:rPr>
              <w:t>За контакти</w:t>
            </w:r>
          </w:p>
        </w:tc>
        <w:tc>
          <w:tcPr>
            <w:tcW w:w="0" w:type="auto"/>
          </w:tcPr>
          <w:p w14:paraId="0D29E18D" w14:textId="5491D9AB" w:rsidR="003534E0" w:rsidRPr="00662539" w:rsidRDefault="003534E0" w:rsidP="007526DA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sz w:val="22"/>
                <w:szCs w:val="22"/>
              </w:rPr>
            </w:pPr>
            <w:proofErr w:type="spellStart"/>
            <w:r w:rsidRPr="00662539">
              <w:rPr>
                <w:i/>
                <w:sz w:val="22"/>
                <w:szCs w:val="22"/>
              </w:rPr>
              <w:t>Adam</w:t>
            </w:r>
            <w:proofErr w:type="spellEnd"/>
            <w:r w:rsidRPr="0066253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62539">
              <w:rPr>
                <w:i/>
                <w:sz w:val="22"/>
                <w:szCs w:val="22"/>
              </w:rPr>
              <w:t>Dorywalski</w:t>
            </w:r>
            <w:proofErr w:type="spellEnd"/>
          </w:p>
        </w:tc>
      </w:tr>
      <w:tr w:rsidR="003534E0" w:rsidRPr="00662539" w14:paraId="29310390" w14:textId="77777777" w:rsidTr="00662539">
        <w:tc>
          <w:tcPr>
            <w:tcW w:w="0" w:type="auto"/>
          </w:tcPr>
          <w:p w14:paraId="1A8C815A" w14:textId="77777777" w:rsidR="003534E0" w:rsidRPr="00662539" w:rsidRDefault="003534E0" w:rsidP="007526DA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Тел.</w:t>
            </w:r>
          </w:p>
        </w:tc>
        <w:tc>
          <w:tcPr>
            <w:tcW w:w="0" w:type="auto"/>
          </w:tcPr>
          <w:p w14:paraId="1B4B0CA6" w14:textId="23FF8050" w:rsidR="003534E0" w:rsidRPr="00662539" w:rsidRDefault="003534E0" w:rsidP="007526DA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+32 25469397</w:t>
            </w:r>
          </w:p>
        </w:tc>
      </w:tr>
      <w:tr w:rsidR="003534E0" w:rsidRPr="00662539" w14:paraId="4800E009" w14:textId="77777777" w:rsidTr="00662539">
        <w:tc>
          <w:tcPr>
            <w:tcW w:w="0" w:type="auto"/>
          </w:tcPr>
          <w:p w14:paraId="58627B2F" w14:textId="77777777" w:rsidR="003534E0" w:rsidRPr="00662539" w:rsidRDefault="003534E0" w:rsidP="007526DA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Електронен адрес</w:t>
            </w:r>
          </w:p>
        </w:tc>
        <w:tc>
          <w:tcPr>
            <w:tcW w:w="0" w:type="auto"/>
          </w:tcPr>
          <w:p w14:paraId="551CAC0A" w14:textId="1DEE2ABA" w:rsidR="00E25EB4" w:rsidRPr="00662539" w:rsidRDefault="008646BA" w:rsidP="007526DA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sz w:val="22"/>
                <w:szCs w:val="22"/>
              </w:rPr>
            </w:pPr>
            <w:hyperlink r:id="rId42" w:history="1">
              <w:r w:rsidRPr="00662539">
                <w:rPr>
                  <w:i/>
                  <w:color w:val="0000FF"/>
                  <w:sz w:val="22"/>
                  <w:szCs w:val="22"/>
                  <w:u w:val="single"/>
                </w:rPr>
                <w:t>Adam.Dorywalski@eesc.europa.eu</w:t>
              </w:r>
            </w:hyperlink>
          </w:p>
        </w:tc>
      </w:tr>
    </w:tbl>
    <w:p w14:paraId="3FA9F92E" w14:textId="77777777" w:rsidR="00E25EB4" w:rsidRPr="008646BA" w:rsidRDefault="00E25EB4" w:rsidP="00100EF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  <w:lang w:val="en-GB"/>
        </w:rPr>
      </w:pPr>
    </w:p>
    <w:p w14:paraId="5D7A6973" w14:textId="77777777" w:rsidR="004C4CDB" w:rsidRPr="008646BA" w:rsidRDefault="004C4CDB" w:rsidP="00100EF9">
      <w:pPr>
        <w:jc w:val="left"/>
      </w:pPr>
      <w:r>
        <w:br w:type="page"/>
      </w:r>
    </w:p>
    <w:p w14:paraId="4E1C48EE" w14:textId="2A11F9DC" w:rsidR="00E25EB4" w:rsidRPr="008646BA" w:rsidRDefault="008646BA" w:rsidP="00100EF9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contextualSpacing/>
        <w:jc w:val="left"/>
        <w:textAlignment w:val="baseline"/>
        <w:rPr>
          <w:rFonts w:ascii="Calibri" w:hAnsi="Calibri"/>
          <w:b/>
          <w:bCs/>
        </w:rPr>
      </w:pPr>
      <w:hyperlink r:id="rId43" w:tooltip="Укрепване на стратегическата автономност на ЕС и развитие на по-екологична и по-синя икономика: потенциалът на сектора за производство на натриеви батерии" w:history="1">
        <w:r>
          <w:rPr>
            <w:b/>
            <w:i/>
            <w:color w:val="0000FF"/>
            <w:sz w:val="28"/>
            <w:u w:val="single"/>
          </w:rPr>
          <w:t>Укрепване на стратегическата автономност на ЕС и развитие на по-екологична и по-синя икономика: потенциалът на сектора за производство на натриево-йонни батерии</w:t>
        </w:r>
      </w:hyperlink>
    </w:p>
    <w:p w14:paraId="2E26A662" w14:textId="77777777" w:rsidR="00E25EB4" w:rsidRPr="008646BA" w:rsidRDefault="00E25EB4" w:rsidP="00100EF9">
      <w:pPr>
        <w:widowControl w:val="0"/>
        <w:ind w:left="567"/>
        <w:contextualSpacing/>
        <w:jc w:val="left"/>
        <w:rPr>
          <w:lang w:val="en-GB"/>
        </w:rPr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6043"/>
      </w:tblGrid>
      <w:tr w:rsidR="00E25EB4" w:rsidRPr="00662539" w14:paraId="0E750117" w14:textId="77777777" w:rsidTr="00662539">
        <w:tc>
          <w:tcPr>
            <w:tcW w:w="0" w:type="auto"/>
          </w:tcPr>
          <w:p w14:paraId="1BC9C1DD" w14:textId="77777777" w:rsidR="00E25EB4" w:rsidRPr="00662539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662539">
              <w:rPr>
                <w:b/>
                <w:sz w:val="22"/>
                <w:szCs w:val="22"/>
              </w:rPr>
              <w:t>Докладчик</w:t>
            </w:r>
          </w:p>
        </w:tc>
        <w:tc>
          <w:tcPr>
            <w:tcW w:w="0" w:type="auto"/>
          </w:tcPr>
          <w:p w14:paraId="261F00F8" w14:textId="77777777" w:rsidR="00E25EB4" w:rsidRPr="00662539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proofErr w:type="spellStart"/>
            <w:r w:rsidRPr="00662539">
              <w:rPr>
                <w:sz w:val="22"/>
                <w:szCs w:val="22"/>
              </w:rPr>
              <w:t>Paul</w:t>
            </w:r>
            <w:proofErr w:type="spellEnd"/>
            <w:r w:rsidRPr="00662539">
              <w:rPr>
                <w:sz w:val="22"/>
                <w:szCs w:val="22"/>
              </w:rPr>
              <w:t xml:space="preserve"> RÜBIG (група „Работодатели“ — AT)</w:t>
            </w:r>
          </w:p>
        </w:tc>
      </w:tr>
      <w:tr w:rsidR="00E25EB4" w:rsidRPr="00662539" w14:paraId="7E321F8F" w14:textId="77777777" w:rsidTr="00662539">
        <w:tc>
          <w:tcPr>
            <w:tcW w:w="0" w:type="auto"/>
          </w:tcPr>
          <w:p w14:paraId="39B77E69" w14:textId="77777777" w:rsidR="00E25EB4" w:rsidRPr="00662539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662539">
              <w:rPr>
                <w:b/>
                <w:sz w:val="22"/>
                <w:szCs w:val="22"/>
              </w:rPr>
              <w:t>Съдокладчик</w:t>
            </w:r>
          </w:p>
        </w:tc>
        <w:tc>
          <w:tcPr>
            <w:tcW w:w="0" w:type="auto"/>
          </w:tcPr>
          <w:p w14:paraId="4F795EAE" w14:textId="7B894B11" w:rsidR="00E25EB4" w:rsidRPr="00662539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proofErr w:type="spellStart"/>
            <w:r w:rsidRPr="00662539">
              <w:rPr>
                <w:sz w:val="22"/>
                <w:szCs w:val="22"/>
              </w:rPr>
              <w:t>Hervé</w:t>
            </w:r>
            <w:proofErr w:type="spellEnd"/>
            <w:r w:rsidRPr="00662539">
              <w:rPr>
                <w:sz w:val="22"/>
                <w:szCs w:val="22"/>
              </w:rPr>
              <w:t xml:space="preserve"> JEANNIN (кат. 2 — FR)</w:t>
            </w:r>
          </w:p>
        </w:tc>
      </w:tr>
      <w:tr w:rsidR="00E25EB4" w:rsidRPr="00662539" w14:paraId="4AD82EE5" w14:textId="77777777" w:rsidTr="00662539">
        <w:tc>
          <w:tcPr>
            <w:tcW w:w="0" w:type="auto"/>
            <w:gridSpan w:val="2"/>
          </w:tcPr>
          <w:p w14:paraId="63F1B5CC" w14:textId="77777777" w:rsidR="00E25EB4" w:rsidRPr="00662539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  <w:lang w:val="en-GB"/>
              </w:rPr>
            </w:pPr>
          </w:p>
        </w:tc>
      </w:tr>
      <w:tr w:rsidR="00E25EB4" w:rsidRPr="00662539" w14:paraId="758D199D" w14:textId="77777777" w:rsidTr="00662539">
        <w:tc>
          <w:tcPr>
            <w:tcW w:w="0" w:type="auto"/>
          </w:tcPr>
          <w:p w14:paraId="628BF496" w14:textId="1BBD7898" w:rsidR="00E25EB4" w:rsidRPr="00662539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662539">
              <w:rPr>
                <w:b/>
                <w:sz w:val="22"/>
                <w:szCs w:val="22"/>
              </w:rPr>
              <w:t>Отправни документи</w:t>
            </w:r>
          </w:p>
        </w:tc>
        <w:tc>
          <w:tcPr>
            <w:tcW w:w="0" w:type="auto"/>
          </w:tcPr>
          <w:p w14:paraId="1AC738BE" w14:textId="11F7A673" w:rsidR="001A58BD" w:rsidRPr="00662539" w:rsidRDefault="00043E7B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662539">
              <w:rPr>
                <w:sz w:val="22"/>
                <w:szCs w:val="22"/>
              </w:rPr>
              <w:t>Проучвателно становище по искане на Европейската комисия</w:t>
            </w:r>
          </w:p>
          <w:p w14:paraId="2E32FFD3" w14:textId="1F51A8D8" w:rsidR="00E25EB4" w:rsidRPr="00662539" w:rsidRDefault="00E25EB4" w:rsidP="00100E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662539">
              <w:rPr>
                <w:sz w:val="22"/>
                <w:szCs w:val="22"/>
              </w:rPr>
              <w:t>EESC-2025-02464-00-00-AC</w:t>
            </w:r>
          </w:p>
        </w:tc>
      </w:tr>
    </w:tbl>
    <w:p w14:paraId="270F2408" w14:textId="77777777" w:rsidR="00153E09" w:rsidRPr="008646BA" w:rsidRDefault="00153E09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25E8D43C" w14:textId="53EC308B" w:rsidR="00E25EB4" w:rsidRPr="008646BA" w:rsidRDefault="00E25EB4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Основни аспекти</w:t>
      </w:r>
    </w:p>
    <w:p w14:paraId="7022CF32" w14:textId="77777777" w:rsidR="00E25EB4" w:rsidRPr="008646BA" w:rsidRDefault="00E25EB4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0273A35C" w14:textId="77777777" w:rsidR="00E25EB4" w:rsidRPr="008646BA" w:rsidRDefault="00E25EB4" w:rsidP="00100EF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  <w:r>
        <w:t>ЕИСК:</w:t>
      </w:r>
    </w:p>
    <w:p w14:paraId="4A4FDC20" w14:textId="77777777" w:rsidR="00E25EB4" w:rsidRPr="008646B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счита, че натриевите батерии са стратегическа технология и че Европа има голям потенциал да се превърне в лидер в технологиите за натриеви батерии със солена вода.</w:t>
      </w:r>
    </w:p>
    <w:p w14:paraId="74BCA385" w14:textId="77777777" w:rsidR="00E25EB4" w:rsidRPr="008646B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 xml:space="preserve">подчертава, че натриевите батерии имат потенциал, тъй като улесняват постигането на целите на промишлената политика на ЕС — като допринасят за постигането на целите на Европейския зелен пакт и Европейския син пакт и като ключови инструменти за постигане на стратегическа автономност — и че изграждането на </w:t>
      </w:r>
      <w:proofErr w:type="spellStart"/>
      <w:r>
        <w:t>гигафабрики</w:t>
      </w:r>
      <w:proofErr w:type="spellEnd"/>
      <w:r>
        <w:t xml:space="preserve"> за такива батерии в Европа би повишило конкурентоспособността и би създало работни места по цялата верига за създаване на стойност;</w:t>
      </w:r>
    </w:p>
    <w:p w14:paraId="03DA14BD" w14:textId="77777777" w:rsidR="00E25EB4" w:rsidRPr="008646B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подчертава, че натриевите батерии могат да се произвеждат изцяло от европейски суровини, тъй като на континента има изобилие от натрий, и че възможностите на европейската промишленост за обезсоляване нарастват, което ще позволи намаляване на използването на суровини от критично значение;</w:t>
      </w:r>
    </w:p>
    <w:p w14:paraId="605A4E08" w14:textId="77777777" w:rsidR="00E25EB4" w:rsidRPr="008646B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призовава за решителни и координирани действия на ЕС за създаване на конкурентоспособен сектор за производство на натриеви батерии, тъй като технология за тяхното производство напредва в световен мащаб и Европа рискува да изостане още повече;</w:t>
      </w:r>
    </w:p>
    <w:p w14:paraId="03706BAA" w14:textId="77777777" w:rsidR="00E25EB4" w:rsidRPr="008646B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препоръчва актуализиране на промишления път както за литиеви, така и за натриеви батерии, което следва да включва пътна карта, насочена към трудовите и социалните нужди, и да предвижда инвестиции в умения, мобилност на работната сила и стратегическо участие на МСП;</w:t>
      </w:r>
    </w:p>
    <w:p w14:paraId="0ADF1BAC" w14:textId="77777777" w:rsidR="00E25EB4" w:rsidRPr="008646B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 xml:space="preserve">настоява, че е важно да се премахне разделението на политиките и да се съгласуват ключови стратегии на ЕС (компас за конкурентоспособността, стратегия за Съюз на подготвеност, план за действие за кръговата икономика и стратегия за устойчивост на водните ресурси), за да се разработи европейска верига за създаване на стойност в сектора на натриевите батерии, която да служи на стратегическите цели на Европа; </w:t>
      </w:r>
    </w:p>
    <w:p w14:paraId="2C3550D4" w14:textId="77777777" w:rsidR="00E25EB4" w:rsidRPr="008646B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333333"/>
        </w:rPr>
      </w:pPr>
      <w:r>
        <w:t>препоръчва инвестиционни субсидии, данъчни кредити за производство, целеви покани за представяне на проекти, инвестиционни ваучери за промишлено сътрудничество с организации за научни изследвания и технологии;</w:t>
      </w:r>
    </w:p>
    <w:p w14:paraId="146AA976" w14:textId="77777777" w:rsidR="00E25EB4" w:rsidRPr="008646B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призовава за гъвкавост при публичната подкрепа, за да се избегне преждевременното обвързване с определени технологии, и за по-силно сътрудничество в областта на </w:t>
      </w:r>
      <w:r>
        <w:lastRenderedPageBreak/>
        <w:t>научноизследователската и развойна дейност, съфинансирана от правителствата и индустрията;</w:t>
      </w:r>
    </w:p>
    <w:p w14:paraId="5AF3E28A" w14:textId="77777777" w:rsidR="00E25EB4" w:rsidRPr="008646B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признава потенциала на преустройството на промишлени обекти, които в момента са неизползвани или се закриват, в </w:t>
      </w:r>
      <w:proofErr w:type="spellStart"/>
      <w:r>
        <w:t>гигафабрики</w:t>
      </w:r>
      <w:proofErr w:type="spellEnd"/>
      <w:r>
        <w:t xml:space="preserve"> за натриеви батерии, като ефективно и екологосъобразно използване на съществуващата инфраструктура;</w:t>
      </w:r>
    </w:p>
    <w:p w14:paraId="5946BDB2" w14:textId="77777777" w:rsidR="00E25EB4" w:rsidRPr="008646BA" w:rsidRDefault="00E25EB4" w:rsidP="007526DA">
      <w:pPr>
        <w:numPr>
          <w:ilvl w:val="0"/>
          <w:numId w:val="24"/>
        </w:numPr>
        <w:shd w:val="clear" w:color="auto" w:fill="FEFEFE"/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признава, че екопроектирането и рециклирането трябва да бъдат неразделна част при това производство, като насърчава кръгова верига за създаване на стойност в сектора на натриевите батерии.</w:t>
      </w:r>
    </w:p>
    <w:p w14:paraId="339FD87D" w14:textId="77777777" w:rsidR="00E25EB4" w:rsidRPr="008646BA" w:rsidRDefault="00E25EB4" w:rsidP="00100EF9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492"/>
      </w:tblGrid>
      <w:tr w:rsidR="00E25EB4" w:rsidRPr="00662539" w14:paraId="3DADE2B6" w14:textId="77777777" w:rsidTr="00662539">
        <w:tc>
          <w:tcPr>
            <w:tcW w:w="0" w:type="auto"/>
          </w:tcPr>
          <w:p w14:paraId="16410084" w14:textId="77777777" w:rsidR="00E25EB4" w:rsidRPr="00662539" w:rsidRDefault="00E25EB4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b/>
                <w:i/>
                <w:sz w:val="22"/>
                <w:szCs w:val="22"/>
              </w:rPr>
              <w:t>За контакти</w:t>
            </w:r>
          </w:p>
        </w:tc>
        <w:tc>
          <w:tcPr>
            <w:tcW w:w="0" w:type="auto"/>
          </w:tcPr>
          <w:p w14:paraId="56BD77E8" w14:textId="5D11D232" w:rsidR="00E25EB4" w:rsidRPr="00662539" w:rsidRDefault="00E25EB4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proofErr w:type="spellStart"/>
            <w:r w:rsidRPr="00662539">
              <w:rPr>
                <w:i/>
                <w:sz w:val="22"/>
                <w:szCs w:val="22"/>
              </w:rPr>
              <w:t>Luís</w:t>
            </w:r>
            <w:proofErr w:type="spellEnd"/>
            <w:r w:rsidRPr="0066253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62539">
              <w:rPr>
                <w:i/>
                <w:sz w:val="22"/>
                <w:szCs w:val="22"/>
              </w:rPr>
              <w:t>Barbosa</w:t>
            </w:r>
            <w:proofErr w:type="spellEnd"/>
            <w:r w:rsidRPr="00662539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662539">
              <w:rPr>
                <w:i/>
                <w:sz w:val="22"/>
                <w:szCs w:val="22"/>
              </w:rPr>
              <w:t>Silva</w:t>
            </w:r>
            <w:proofErr w:type="spellEnd"/>
          </w:p>
        </w:tc>
      </w:tr>
      <w:tr w:rsidR="00E25EB4" w:rsidRPr="00662539" w14:paraId="6AE7CB28" w14:textId="77777777" w:rsidTr="00662539">
        <w:tc>
          <w:tcPr>
            <w:tcW w:w="0" w:type="auto"/>
          </w:tcPr>
          <w:p w14:paraId="52DF3B61" w14:textId="77777777" w:rsidR="00E25EB4" w:rsidRPr="00662539" w:rsidRDefault="00E25EB4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Тел.</w:t>
            </w:r>
          </w:p>
        </w:tc>
        <w:tc>
          <w:tcPr>
            <w:tcW w:w="0" w:type="auto"/>
          </w:tcPr>
          <w:p w14:paraId="58F5DB38" w14:textId="05F56609" w:rsidR="00E25EB4" w:rsidRPr="00662539" w:rsidRDefault="00E25EB4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+32 25468846</w:t>
            </w:r>
          </w:p>
        </w:tc>
      </w:tr>
      <w:tr w:rsidR="00E25EB4" w:rsidRPr="00662539" w14:paraId="7DB45FE9" w14:textId="77777777" w:rsidTr="00662539">
        <w:trPr>
          <w:trHeight w:val="244"/>
        </w:trPr>
        <w:tc>
          <w:tcPr>
            <w:tcW w:w="0" w:type="auto"/>
          </w:tcPr>
          <w:p w14:paraId="5969B93D" w14:textId="77777777" w:rsidR="00E25EB4" w:rsidRPr="00662539" w:rsidRDefault="00E25EB4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62539">
              <w:rPr>
                <w:i/>
                <w:sz w:val="22"/>
                <w:szCs w:val="22"/>
              </w:rPr>
              <w:t>Електронен адрес</w:t>
            </w:r>
          </w:p>
        </w:tc>
        <w:tc>
          <w:tcPr>
            <w:tcW w:w="0" w:type="auto"/>
          </w:tcPr>
          <w:p w14:paraId="47F42ECE" w14:textId="5A004CF2" w:rsidR="00187E31" w:rsidRPr="00662539" w:rsidRDefault="008646BA" w:rsidP="00100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r:id="rId44" w:history="1">
              <w:r w:rsidRPr="00662539">
                <w:rPr>
                  <w:i/>
                  <w:color w:val="0000FF"/>
                  <w:sz w:val="22"/>
                  <w:szCs w:val="22"/>
                  <w:u w:val="single"/>
                </w:rPr>
                <w:t>Luis.BarbosaESilva@eesc.europa.eu</w:t>
              </w:r>
            </w:hyperlink>
          </w:p>
        </w:tc>
      </w:tr>
    </w:tbl>
    <w:p w14:paraId="2E28EF19" w14:textId="299918AB" w:rsidR="000D394D" w:rsidRPr="008646BA" w:rsidRDefault="00E25EB4" w:rsidP="00100EF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>
        <w:t>_____________</w:t>
      </w:r>
    </w:p>
    <w:sectPr w:rsidR="000D394D" w:rsidRPr="008646BA" w:rsidSect="00153E09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D88F" w14:textId="77777777" w:rsidR="00711298" w:rsidRDefault="00711298" w:rsidP="00B518C9">
      <w:pPr>
        <w:spacing w:line="240" w:lineRule="auto"/>
      </w:pPr>
      <w:r>
        <w:separator/>
      </w:r>
    </w:p>
  </w:endnote>
  <w:endnote w:type="continuationSeparator" w:id="0">
    <w:p w14:paraId="276450BF" w14:textId="77777777" w:rsidR="00711298" w:rsidRDefault="00711298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A344" w14:textId="77777777" w:rsidR="00153E09" w:rsidRPr="00153E09" w:rsidRDefault="00153E09" w:rsidP="00153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DE51" w14:textId="1EF32E47" w:rsidR="00B518C9" w:rsidRPr="00153E09" w:rsidRDefault="00153E09" w:rsidP="00153E09">
    <w:pPr>
      <w:pStyle w:val="Footer"/>
    </w:pPr>
    <w:r>
      <w:t xml:space="preserve">EESC-2026-00247-00-00-TCD-TRA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E235D3">
      <w:t>1</w:t>
    </w:r>
    <w:r>
      <w:fldChar w:fldCharType="end"/>
    </w:r>
    <w:r>
      <w:t>/</w:t>
    </w:r>
    <w:r w:rsidR="00E235D3">
      <w:fldChar w:fldCharType="begin"/>
    </w:r>
    <w:r w:rsidR="00E235D3">
      <w:instrText xml:space="preserve"> NUMPAGES </w:instrText>
    </w:r>
    <w:r w:rsidR="00E235D3">
      <w:fldChar w:fldCharType="separate"/>
    </w:r>
    <w:r w:rsidR="00E235D3">
      <w:rPr>
        <w:noProof/>
      </w:rPr>
      <w:t>15</w:t>
    </w:r>
    <w:r w:rsidR="00E235D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42C2" w14:textId="77777777" w:rsidR="00153E09" w:rsidRPr="00153E09" w:rsidRDefault="00153E09" w:rsidP="00153E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E809" w14:textId="77777777" w:rsidR="00153E09" w:rsidRPr="00153E09" w:rsidRDefault="00153E09" w:rsidP="00153E0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7402" w14:textId="0C6B551C" w:rsidR="00153E09" w:rsidRPr="00153E09" w:rsidRDefault="00153E09" w:rsidP="00153E09">
    <w:pPr>
      <w:pStyle w:val="Footer"/>
    </w:pPr>
    <w:r>
      <w:t xml:space="preserve">EESC-2026-00247-00-00-TCD-TRA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7526DA">
      <w:t>15</w:t>
    </w:r>
    <w:r>
      <w:fldChar w:fldCharType="end"/>
    </w:r>
    <w:r>
      <w:t>/</w:t>
    </w:r>
    <w:r w:rsidR="007526DA">
      <w:fldChar w:fldCharType="begin"/>
    </w:r>
    <w:r w:rsidR="007526DA">
      <w:instrText xml:space="preserve"> NUMPAGES </w:instrText>
    </w:r>
    <w:r w:rsidR="007526DA">
      <w:fldChar w:fldCharType="separate"/>
    </w:r>
    <w:r w:rsidR="007526DA">
      <w:rPr>
        <w:noProof/>
      </w:rPr>
      <w:t>15</w:t>
    </w:r>
    <w:r w:rsidR="007526DA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43FF" w14:textId="77777777" w:rsidR="00153E09" w:rsidRPr="00153E09" w:rsidRDefault="00153E09" w:rsidP="00153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C4B1" w14:textId="77777777" w:rsidR="00711298" w:rsidRDefault="00711298" w:rsidP="00B518C9">
      <w:pPr>
        <w:spacing w:line="240" w:lineRule="auto"/>
      </w:pPr>
      <w:r>
        <w:separator/>
      </w:r>
    </w:p>
  </w:footnote>
  <w:footnote w:type="continuationSeparator" w:id="0">
    <w:p w14:paraId="67149419" w14:textId="77777777" w:rsidR="00711298" w:rsidRDefault="00711298" w:rsidP="00B51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055B" w14:textId="77777777" w:rsidR="00153E09" w:rsidRPr="00153E09" w:rsidRDefault="00153E09" w:rsidP="00153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4852" w14:textId="3FAF7247" w:rsidR="00153E09" w:rsidRPr="00153E09" w:rsidRDefault="00153E09" w:rsidP="00153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D48A" w14:textId="77777777" w:rsidR="00153E09" w:rsidRPr="00153E09" w:rsidRDefault="00153E09" w:rsidP="00153E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52BE" w14:textId="77777777" w:rsidR="00153E09" w:rsidRPr="00153E09" w:rsidRDefault="00153E09" w:rsidP="00153E0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AA39" w14:textId="04F245DB" w:rsidR="00153E09" w:rsidRPr="00153E09" w:rsidRDefault="00153E09" w:rsidP="00153E0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9C97" w14:textId="77777777" w:rsidR="00153E09" w:rsidRPr="00153E09" w:rsidRDefault="00153E09" w:rsidP="0015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ABEA5FC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1D08466C"/>
    <w:lvl w:ilvl="0">
      <w:numFmt w:val="decimal"/>
      <w:lvlText w:val="*"/>
      <w:lvlJc w:val="left"/>
    </w:lvl>
  </w:abstractNum>
  <w:abstractNum w:abstractNumId="2" w15:restartNumberingAfterBreak="0">
    <w:nsid w:val="03A15EA7"/>
    <w:multiLevelType w:val="multilevel"/>
    <w:tmpl w:val="B450D11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F9F7110"/>
    <w:multiLevelType w:val="hybridMultilevel"/>
    <w:tmpl w:val="7E8C5ED6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786E"/>
    <w:multiLevelType w:val="hybridMultilevel"/>
    <w:tmpl w:val="2960A99E"/>
    <w:lvl w:ilvl="0" w:tplc="C7604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76BE"/>
    <w:multiLevelType w:val="hybridMultilevel"/>
    <w:tmpl w:val="20F4A5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3FBA"/>
    <w:multiLevelType w:val="hybridMultilevel"/>
    <w:tmpl w:val="BE9CD944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28EE"/>
    <w:multiLevelType w:val="hybridMultilevel"/>
    <w:tmpl w:val="E7B48E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23B38"/>
    <w:multiLevelType w:val="multilevel"/>
    <w:tmpl w:val="847E4C1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9" w15:restartNumberingAfterBreak="0">
    <w:nsid w:val="274E0DB2"/>
    <w:multiLevelType w:val="hybridMultilevel"/>
    <w:tmpl w:val="CA00EA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A3C5C"/>
    <w:multiLevelType w:val="hybridMultilevel"/>
    <w:tmpl w:val="8F5E944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A6D68"/>
    <w:multiLevelType w:val="multilevel"/>
    <w:tmpl w:val="274C107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362E4D7F"/>
    <w:multiLevelType w:val="hybridMultilevel"/>
    <w:tmpl w:val="8C922762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16355"/>
    <w:multiLevelType w:val="hybridMultilevel"/>
    <w:tmpl w:val="DE10A17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27568"/>
    <w:multiLevelType w:val="hybridMultilevel"/>
    <w:tmpl w:val="F2789A4A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0E2F27"/>
    <w:multiLevelType w:val="hybridMultilevel"/>
    <w:tmpl w:val="C60EBDA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B5BA4"/>
    <w:multiLevelType w:val="multilevel"/>
    <w:tmpl w:val="D22C91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-252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7" w15:restartNumberingAfterBreak="0">
    <w:nsid w:val="48954870"/>
    <w:multiLevelType w:val="hybridMultilevel"/>
    <w:tmpl w:val="718CAA2E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F0D630B"/>
    <w:multiLevelType w:val="hybridMultilevel"/>
    <w:tmpl w:val="C5CCC4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F858A5"/>
    <w:multiLevelType w:val="multilevel"/>
    <w:tmpl w:val="847E4C1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0" w15:restartNumberingAfterBreak="0">
    <w:nsid w:val="54840386"/>
    <w:multiLevelType w:val="hybridMultilevel"/>
    <w:tmpl w:val="9E7C99B6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4B27"/>
    <w:multiLevelType w:val="hybridMultilevel"/>
    <w:tmpl w:val="998C3E8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D7A66"/>
    <w:multiLevelType w:val="hybridMultilevel"/>
    <w:tmpl w:val="DEB8F97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8D16D5B"/>
    <w:multiLevelType w:val="hybridMultilevel"/>
    <w:tmpl w:val="9BE07FF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72323163"/>
    <w:multiLevelType w:val="hybridMultilevel"/>
    <w:tmpl w:val="31FAA7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864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00E4B"/>
    <w:multiLevelType w:val="hybridMultilevel"/>
    <w:tmpl w:val="654ED096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00E66"/>
    <w:multiLevelType w:val="hybridMultilevel"/>
    <w:tmpl w:val="0F0456B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61713230">
    <w:abstractNumId w:val="0"/>
  </w:num>
  <w:num w:numId="2" w16cid:durableId="1740709928">
    <w:abstractNumId w:val="24"/>
  </w:num>
  <w:num w:numId="3" w16cid:durableId="855928043">
    <w:abstractNumId w:val="27"/>
  </w:num>
  <w:num w:numId="4" w16cid:durableId="126650234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5" w16cid:durableId="785268591">
    <w:abstractNumId w:val="18"/>
  </w:num>
  <w:num w:numId="6" w16cid:durableId="168462923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7" w16cid:durableId="1811048308">
    <w:abstractNumId w:val="11"/>
  </w:num>
  <w:num w:numId="8" w16cid:durableId="360476741">
    <w:abstractNumId w:val="8"/>
  </w:num>
  <w:num w:numId="9" w16cid:durableId="616183361">
    <w:abstractNumId w:val="19"/>
  </w:num>
  <w:num w:numId="10" w16cid:durableId="401754773">
    <w:abstractNumId w:val="16"/>
  </w:num>
  <w:num w:numId="11" w16cid:durableId="1491942647">
    <w:abstractNumId w:val="20"/>
  </w:num>
  <w:num w:numId="12" w16cid:durableId="1686782066">
    <w:abstractNumId w:val="4"/>
  </w:num>
  <w:num w:numId="13" w16cid:durableId="325090718">
    <w:abstractNumId w:val="7"/>
  </w:num>
  <w:num w:numId="14" w16cid:durableId="1943343615">
    <w:abstractNumId w:val="14"/>
  </w:num>
  <w:num w:numId="15" w16cid:durableId="2141527943">
    <w:abstractNumId w:val="17"/>
  </w:num>
  <w:num w:numId="16" w16cid:durableId="2092700049">
    <w:abstractNumId w:val="26"/>
  </w:num>
  <w:num w:numId="17" w16cid:durableId="209223577">
    <w:abstractNumId w:val="3"/>
  </w:num>
  <w:num w:numId="18" w16cid:durableId="280570893">
    <w:abstractNumId w:val="25"/>
  </w:num>
  <w:num w:numId="19" w16cid:durableId="1148202470">
    <w:abstractNumId w:val="28"/>
  </w:num>
  <w:num w:numId="20" w16cid:durableId="1755979734">
    <w:abstractNumId w:val="23"/>
  </w:num>
  <w:num w:numId="21" w16cid:durableId="63450303">
    <w:abstractNumId w:val="9"/>
  </w:num>
  <w:num w:numId="22" w16cid:durableId="593562578">
    <w:abstractNumId w:val="15"/>
  </w:num>
  <w:num w:numId="23" w16cid:durableId="1224368443">
    <w:abstractNumId w:val="2"/>
  </w:num>
  <w:num w:numId="24" w16cid:durableId="102044182">
    <w:abstractNumId w:val="6"/>
  </w:num>
  <w:num w:numId="25" w16cid:durableId="836000361">
    <w:abstractNumId w:val="22"/>
  </w:num>
  <w:num w:numId="26" w16cid:durableId="407653955">
    <w:abstractNumId w:val="5"/>
  </w:num>
  <w:num w:numId="27" w16cid:durableId="1723796709">
    <w:abstractNumId w:val="12"/>
  </w:num>
  <w:num w:numId="28" w16cid:durableId="219749237">
    <w:abstractNumId w:val="10"/>
  </w:num>
  <w:num w:numId="29" w16cid:durableId="703822521">
    <w:abstractNumId w:val="13"/>
  </w:num>
  <w:num w:numId="30" w16cid:durableId="4557539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4364"/>
    <w:rsid w:val="00010A4D"/>
    <w:rsid w:val="00043E7B"/>
    <w:rsid w:val="000638B5"/>
    <w:rsid w:val="00063DFF"/>
    <w:rsid w:val="000D394D"/>
    <w:rsid w:val="00100EF9"/>
    <w:rsid w:val="00120A45"/>
    <w:rsid w:val="00124E6A"/>
    <w:rsid w:val="001313E0"/>
    <w:rsid w:val="00153E09"/>
    <w:rsid w:val="001653D7"/>
    <w:rsid w:val="00167743"/>
    <w:rsid w:val="00187E31"/>
    <w:rsid w:val="001A1F1F"/>
    <w:rsid w:val="001A58BD"/>
    <w:rsid w:val="001A7538"/>
    <w:rsid w:val="001E391D"/>
    <w:rsid w:val="00205469"/>
    <w:rsid w:val="00210CBF"/>
    <w:rsid w:val="00250B70"/>
    <w:rsid w:val="00256B74"/>
    <w:rsid w:val="0027149A"/>
    <w:rsid w:val="00274F1A"/>
    <w:rsid w:val="0027678C"/>
    <w:rsid w:val="002A5636"/>
    <w:rsid w:val="002B7981"/>
    <w:rsid w:val="002D77C8"/>
    <w:rsid w:val="002F4AD1"/>
    <w:rsid w:val="00302594"/>
    <w:rsid w:val="003066BE"/>
    <w:rsid w:val="003066E2"/>
    <w:rsid w:val="003227CC"/>
    <w:rsid w:val="00326237"/>
    <w:rsid w:val="00340FA5"/>
    <w:rsid w:val="003452F9"/>
    <w:rsid w:val="003534E0"/>
    <w:rsid w:val="0037319B"/>
    <w:rsid w:val="0037722B"/>
    <w:rsid w:val="003B6923"/>
    <w:rsid w:val="003E1B8B"/>
    <w:rsid w:val="003F326D"/>
    <w:rsid w:val="003F4F92"/>
    <w:rsid w:val="003F66F7"/>
    <w:rsid w:val="003F79EF"/>
    <w:rsid w:val="00416286"/>
    <w:rsid w:val="00426372"/>
    <w:rsid w:val="0043191A"/>
    <w:rsid w:val="00453645"/>
    <w:rsid w:val="00460FC5"/>
    <w:rsid w:val="00462F24"/>
    <w:rsid w:val="004A5CD7"/>
    <w:rsid w:val="004C4CDB"/>
    <w:rsid w:val="004C6DA8"/>
    <w:rsid w:val="004D1319"/>
    <w:rsid w:val="004D7AC0"/>
    <w:rsid w:val="00527B47"/>
    <w:rsid w:val="00532089"/>
    <w:rsid w:val="00532F99"/>
    <w:rsid w:val="00557848"/>
    <w:rsid w:val="00586B4B"/>
    <w:rsid w:val="00594237"/>
    <w:rsid w:val="005A0BDA"/>
    <w:rsid w:val="005A42D9"/>
    <w:rsid w:val="005C2B2F"/>
    <w:rsid w:val="005C357F"/>
    <w:rsid w:val="005C6D36"/>
    <w:rsid w:val="005D3E1C"/>
    <w:rsid w:val="005E7651"/>
    <w:rsid w:val="00621347"/>
    <w:rsid w:val="00625CA3"/>
    <w:rsid w:val="00627FDF"/>
    <w:rsid w:val="00630779"/>
    <w:rsid w:val="00632B12"/>
    <w:rsid w:val="00641262"/>
    <w:rsid w:val="006553ED"/>
    <w:rsid w:val="00660482"/>
    <w:rsid w:val="00662539"/>
    <w:rsid w:val="006B2C49"/>
    <w:rsid w:val="006D2C8A"/>
    <w:rsid w:val="006D2D64"/>
    <w:rsid w:val="006E7051"/>
    <w:rsid w:val="00705489"/>
    <w:rsid w:val="00711298"/>
    <w:rsid w:val="00713CC2"/>
    <w:rsid w:val="007526DA"/>
    <w:rsid w:val="00753B41"/>
    <w:rsid w:val="00754027"/>
    <w:rsid w:val="007652C3"/>
    <w:rsid w:val="00766B1A"/>
    <w:rsid w:val="007E284A"/>
    <w:rsid w:val="007F5784"/>
    <w:rsid w:val="008072FE"/>
    <w:rsid w:val="008402C8"/>
    <w:rsid w:val="00845F24"/>
    <w:rsid w:val="00846483"/>
    <w:rsid w:val="008646BA"/>
    <w:rsid w:val="00881A01"/>
    <w:rsid w:val="0088219D"/>
    <w:rsid w:val="00892105"/>
    <w:rsid w:val="008B1A24"/>
    <w:rsid w:val="008B4127"/>
    <w:rsid w:val="008C53E3"/>
    <w:rsid w:val="008D7FAC"/>
    <w:rsid w:val="009277D3"/>
    <w:rsid w:val="00933300"/>
    <w:rsid w:val="009338FC"/>
    <w:rsid w:val="009348BC"/>
    <w:rsid w:val="00940A7B"/>
    <w:rsid w:val="00950272"/>
    <w:rsid w:val="00974BD0"/>
    <w:rsid w:val="009858F5"/>
    <w:rsid w:val="009A2561"/>
    <w:rsid w:val="009A66B9"/>
    <w:rsid w:val="009B3AED"/>
    <w:rsid w:val="00A05217"/>
    <w:rsid w:val="00A0600A"/>
    <w:rsid w:val="00A20E9D"/>
    <w:rsid w:val="00A22C83"/>
    <w:rsid w:val="00A272B2"/>
    <w:rsid w:val="00A3284F"/>
    <w:rsid w:val="00A43668"/>
    <w:rsid w:val="00A4486C"/>
    <w:rsid w:val="00A50553"/>
    <w:rsid w:val="00AD49F5"/>
    <w:rsid w:val="00AD4D97"/>
    <w:rsid w:val="00AF0EB2"/>
    <w:rsid w:val="00AF2146"/>
    <w:rsid w:val="00B203DA"/>
    <w:rsid w:val="00B241B1"/>
    <w:rsid w:val="00B458B2"/>
    <w:rsid w:val="00B518C9"/>
    <w:rsid w:val="00B55C6C"/>
    <w:rsid w:val="00B81C54"/>
    <w:rsid w:val="00B922EA"/>
    <w:rsid w:val="00BA0232"/>
    <w:rsid w:val="00BA6AA9"/>
    <w:rsid w:val="00BC7ED2"/>
    <w:rsid w:val="00BD64BD"/>
    <w:rsid w:val="00BE54B3"/>
    <w:rsid w:val="00BE5CBC"/>
    <w:rsid w:val="00BF79AB"/>
    <w:rsid w:val="00C008B4"/>
    <w:rsid w:val="00C17ABD"/>
    <w:rsid w:val="00C26C67"/>
    <w:rsid w:val="00C821A5"/>
    <w:rsid w:val="00CC7D10"/>
    <w:rsid w:val="00CC7DEA"/>
    <w:rsid w:val="00CF196A"/>
    <w:rsid w:val="00D05167"/>
    <w:rsid w:val="00D0608D"/>
    <w:rsid w:val="00D33B4E"/>
    <w:rsid w:val="00D43613"/>
    <w:rsid w:val="00D505CF"/>
    <w:rsid w:val="00D66BF5"/>
    <w:rsid w:val="00D7076A"/>
    <w:rsid w:val="00D81F5E"/>
    <w:rsid w:val="00D92269"/>
    <w:rsid w:val="00DE176A"/>
    <w:rsid w:val="00DF392C"/>
    <w:rsid w:val="00DF7590"/>
    <w:rsid w:val="00DF78D0"/>
    <w:rsid w:val="00E00A6B"/>
    <w:rsid w:val="00E2062A"/>
    <w:rsid w:val="00E235D3"/>
    <w:rsid w:val="00E25EB4"/>
    <w:rsid w:val="00E57434"/>
    <w:rsid w:val="00E77899"/>
    <w:rsid w:val="00EE1B31"/>
    <w:rsid w:val="00EF5581"/>
    <w:rsid w:val="00F15673"/>
    <w:rsid w:val="00F172E5"/>
    <w:rsid w:val="00F253CA"/>
    <w:rsid w:val="00F25B2E"/>
    <w:rsid w:val="00F43315"/>
    <w:rsid w:val="00F55F11"/>
    <w:rsid w:val="00F604AD"/>
    <w:rsid w:val="00F83C17"/>
    <w:rsid w:val="00F96D7F"/>
    <w:rsid w:val="00FA7B95"/>
    <w:rsid w:val="00FB4220"/>
    <w:rsid w:val="00FC178B"/>
    <w:rsid w:val="00FC456F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2D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uiPriority w:val="39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1A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27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65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3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5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4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165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353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E25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62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CD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3066E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esc.europa.eu/bg/our-work/opinions-information-reports/plenary-session-summaries" TargetMode="External"/><Relationship Id="rId18" Type="http://schemas.openxmlformats.org/officeDocument/2006/relationships/footer" Target="footer2.xml"/><Relationship Id="rId26" Type="http://schemas.openxmlformats.org/officeDocument/2006/relationships/hyperlink" Target="mailto:Georgios.Meleas@eesc.europa.eu" TargetMode="External"/><Relationship Id="rId39" Type="http://schemas.openxmlformats.org/officeDocument/2006/relationships/hyperlink" Target="mailto:Gaia.Bottoni@eesc.europa.eu" TargetMode="External"/><Relationship Id="rId21" Type="http://schemas.openxmlformats.org/officeDocument/2006/relationships/hyperlink" Target="https://www.eesc.europa.eu/en/our-work/opinions-information-reports/opinions/eppo-and-olaf-access-vat-information-union-level" TargetMode="External"/><Relationship Id="rId34" Type="http://schemas.openxmlformats.org/officeDocument/2006/relationships/hyperlink" Target="https://health.ec.europa.eu/one-health/overview_en" TargetMode="External"/><Relationship Id="rId42" Type="http://schemas.openxmlformats.org/officeDocument/2006/relationships/hyperlink" Target="mailto:Adam.Dorywalski@eesc.europa.eu" TargetMode="External"/><Relationship Id="rId47" Type="http://schemas.openxmlformats.org/officeDocument/2006/relationships/footer" Target="footer4.xml"/><Relationship Id="rId50" Type="http://schemas.openxmlformats.org/officeDocument/2006/relationships/footer" Target="footer6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www.eesc.europa.eu/en/our-work/opinions-information-reports/opinions/union-support-asylum-migration-and-integration-internal-security-and-integrated-border-management-and-visa-policy" TargetMode="External"/><Relationship Id="rId11" Type="http://schemas.openxmlformats.org/officeDocument/2006/relationships/endnotes" Target="endnotes.xml"/><Relationship Id="rId24" Type="http://schemas.openxmlformats.org/officeDocument/2006/relationships/hyperlink" Target="mailto:Anna.Pantazi@eesc.europa.eu" TargetMode="External"/><Relationship Id="rId32" Type="http://schemas.openxmlformats.org/officeDocument/2006/relationships/hyperlink" Target="https://www.europarl.europa.eu/RegData/etudes/ATAG/2025/779215/EPRS_ATA(2025)779215_EN.pdf" TargetMode="External"/><Relationship Id="rId37" Type="http://schemas.openxmlformats.org/officeDocument/2006/relationships/hyperlink" Target="mailto:GiorgiaAndrea.Bordignon@eesc.europa.eu" TargetMode="External"/><Relationship Id="rId40" Type="http://schemas.openxmlformats.org/officeDocument/2006/relationships/hyperlink" Target="https://www.eesc.europa.eu/our-work/opinions-information-reports/opinions/amending-regulation-eu-20241252-critical-raw-materials-act" TargetMode="External"/><Relationship Id="rId45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www.eesc.europa.eu/en/our-work/opinions-information-reports/opinions/2026-european-semester-autumn-package" TargetMode="External"/><Relationship Id="rId28" Type="http://schemas.openxmlformats.org/officeDocument/2006/relationships/hyperlink" Target="mailto:Juri.Soosaar@eesc.europa.eu" TargetMode="External"/><Relationship Id="rId36" Type="http://schemas.openxmlformats.org/officeDocument/2006/relationships/hyperlink" Target="https://www.eesc.europa.eu/en/our-work/opinions-information-reports/opinions/energy-connectivity-electricity-grids" TargetMode="External"/><Relationship Id="rId49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yperlink" Target="https://www.eesc.europa.eu/en/our-work/opinions-information-reports/opinions/european-life-science-strategy-along-strategy-research-and-technology-infrastructures-focus-treatment-rare-diseases" TargetMode="External"/><Relationship Id="rId44" Type="http://schemas.openxmlformats.org/officeDocument/2006/relationships/hyperlink" Target="mailto:Luis.BarbosaESilva@eesc.europa.eu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mailto:Juri.Soosaar@eesc.europa.eu" TargetMode="External"/><Relationship Id="rId27" Type="http://schemas.openxmlformats.org/officeDocument/2006/relationships/hyperlink" Target="https://www.eesc.europa.eu/en/our-work/opinions-information-reports/opinions/revision-tobacco-taxation-directive" TargetMode="External"/><Relationship Id="rId30" Type="http://schemas.openxmlformats.org/officeDocument/2006/relationships/hyperlink" Target="mailto:gemma.amran@eesc.europa.eu" TargetMode="External"/><Relationship Id="rId35" Type="http://schemas.openxmlformats.org/officeDocument/2006/relationships/hyperlink" Target="mailto:Konstantina.Angelopoulou@eesc.europa.eu" TargetMode="External"/><Relationship Id="rId43" Type="http://schemas.openxmlformats.org/officeDocument/2006/relationships/hyperlink" Target="https://www.eesc.europa.eu/en/our-work/opinions-information-reports/opinions/enhancing-eu-strategic-autonomy-and-developing-greener-and-bluer-economy-potential-sodium-battery-manufacturing-sector" TargetMode="External"/><Relationship Id="rId48" Type="http://schemas.openxmlformats.org/officeDocument/2006/relationships/footer" Target="footer5.xml"/><Relationship Id="rId8" Type="http://schemas.openxmlformats.org/officeDocument/2006/relationships/settings" Target="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hyperlink" Target="https://www.eesc.europa.eu/en/our-work/opinions-information-reports/opinions/island-dimension-european-cohesion-competitiveness-and-sustainable-development-policies" TargetMode="External"/><Relationship Id="rId33" Type="http://schemas.openxmlformats.org/officeDocument/2006/relationships/hyperlink" Target="https://health.ec.europa.eu/publications/tartu-call-healthy-lifestyle-joint-actions-promote-healthy-lifestyles_en" TargetMode="External"/><Relationship Id="rId38" Type="http://schemas.openxmlformats.org/officeDocument/2006/relationships/hyperlink" Target="https://www.eesc.europa.eu/en/our-work/opinions-information-reports/opinions/roadmap-towards-nature-credits" TargetMode="External"/><Relationship Id="rId46" Type="http://schemas.openxmlformats.org/officeDocument/2006/relationships/header" Target="header5.xml"/><Relationship Id="rId20" Type="http://schemas.openxmlformats.org/officeDocument/2006/relationships/footer" Target="footer3.xml"/><Relationship Id="rId41" Type="http://schemas.openxmlformats.org/officeDocument/2006/relationships/hyperlink" Target="https://eur-lex.europa.eu/legal-content/EN/TXT/?uri=CELEX%3A52023AE1573&amp;qid=177066864909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VP3JK3XSEPRV-2087481956-3327</_dlc_DocId>
    <_dlc_DocIdUrl xmlns="7d640e6d-779c-472f-a269-6b546787f1c9">
      <Url>http://dm/eesc/2026/_layouts/15/DocIdRedir.aspx?ID=VP3JK3XSEPRV-2087481956-3327</Url>
      <Description>VP3JK3XSEPRV-2087481956-3327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2026-03-04T12:00:00+00:00</ProductionDate>
    <DocumentNumber xmlns="a95533f8-59af-4217-bc7a-c1167744adb0">247</DocumentNumber>
    <FicheYear xmlns="7d640e6d-779c-472f-a269-6b546787f1c9" xsi:nil="true"/>
    <DossierNumbe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7d640e6d-779c-472f-a269-6b546787f1c9">
      <Value>60</Value>
      <Value>59</Value>
      <Value>55</Value>
      <Value>51</Value>
      <Value>46</Value>
      <Value>45</Value>
      <Value>44</Value>
      <Value>43</Value>
      <Value>37</Value>
      <Value>36</Value>
      <Value>34</Value>
      <Value>32</Value>
      <Value>31</Value>
      <Value>30</Value>
      <Value>29</Value>
      <Value>28</Value>
      <Value>27</Value>
      <Value>25</Value>
      <Value>23</Value>
      <Value>19</Value>
      <Value>18</Value>
      <Value>13</Value>
      <Value>12</Value>
      <Value>11</Value>
      <Value>9</Value>
      <Value>7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DocumentLanguage_0>
    <MeetingDate xmlns="7d640e6d-779c-472f-a269-6b546787f1c9">2026-03-18T12:00:00+00:00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300453</FicheNumber>
    <OriginalSender xmlns="7d640e6d-779c-472f-a269-6b546787f1c9">
      <UserInfo>
        <DisplayName>Petrov Yulian</DisplayName>
        <AccountId>1398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604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82D98-2B49-4D8D-9E82-3A196D630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B0471-EE33-4BA9-BB89-D492EFC236E6}">
  <ds:schemaRefs>
    <ds:schemaRef ds:uri="http://schemas.microsoft.com/office/2006/metadata/properties"/>
    <ds:schemaRef ds:uri="http://schemas.microsoft.com/office/infopath/2007/PartnerControls"/>
    <ds:schemaRef ds:uri="bdd5dab9-bfdd-4431-a245-30f3c6677de9"/>
    <ds:schemaRef ds:uri="http://schemas.microsoft.com/sharepoint/v3/fields"/>
    <ds:schemaRef ds:uri="eb21defb-1074-42ca-8d3e-c3f375910b41"/>
  </ds:schemaRefs>
</ds:datastoreItem>
</file>

<file path=customXml/itemProps3.xml><?xml version="1.0" encoding="utf-8"?>
<ds:datastoreItem xmlns:ds="http://schemas.openxmlformats.org/officeDocument/2006/customXml" ds:itemID="{4550B7D9-B944-4719-A93C-2F495E0415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03EBBC-B428-477F-AB6A-163022156F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55B15E-31F7-4B67-9342-B480EE5F5940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4441</Words>
  <Characters>28336</Characters>
  <Application>Microsoft Office Word</Application>
  <DocSecurity>0</DocSecurity>
  <Lines>708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Manager/>
  <Company/>
  <LinksUpToDate>false</LinksUpToDate>
  <CharactersWithSpaces>32480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Обобщение на приетите становища - 603-та пленарна сесия - февруари 2026 г.</dc:title>
  <dc:subject>ADMIN</dc:subject>
  <dc:creator/>
  <cp:keywords>COR-EESC-2022-02583-00-00-ADMIN-TRA-EN</cp:keywords>
  <dc:description>Rapporteur:  - Original language: EN - Date of document: 20/05/2022 - Date of meeting:  - External documents:  - Administrator:  SUCIU Serban</dc:description>
  <cp:lastModifiedBy/>
  <cp:revision>18</cp:revision>
  <dcterms:created xsi:type="dcterms:W3CDTF">2026-02-26T08:13:00Z</dcterms:created>
  <dcterms:modified xsi:type="dcterms:W3CDTF">2026-03-04T08:41:00Z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26/02/2026, 02/05/2022, 02/05/2022, 28/06/2021</vt:lpwstr>
  </property>
  <property fmtid="{D5CDD505-2E9C-101B-9397-08002B2CF9AE}" pid="4" name="Pref_Time">
    <vt:lpwstr>09:12:28, 12:28:29, 12:25:37, 08:41:48</vt:lpwstr>
  </property>
  <property fmtid="{D5CDD505-2E9C-101B-9397-08002B2CF9AE}" pid="5" name="Pref_User">
    <vt:lpwstr>amett, enied, enied, enied</vt:lpwstr>
  </property>
  <property fmtid="{D5CDD505-2E9C-101B-9397-08002B2CF9AE}" pid="6" name="Pref_FileName">
    <vt:lpwstr>EESC-2026-00247-00-00-TCD-ORI.docx,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b81a1e50-7787-4a85-9f12-28f99023ae92</vt:lpwstr>
  </property>
  <property fmtid="{D5CDD505-2E9C-101B-9397-08002B2CF9AE}" pid="9" name="AvailableTranslations">
    <vt:lpwstr>60;#EL|6d4f4d51-af9b-4650-94b4-4276bee85c91;#34;#HR|2f555653-ed1a-4fe6-8362-9082d95989e5;#45;#SV|c2ed69e7-a339-43d7-8f22-d93680a92aa0;#43;#BG|1a1b3951-7821-4e6a-85f5-5673fc08bd2c;#37;#HU|6b229040-c589-4408-b4c1-4285663d20a8;#31;#SL|98a412ae-eb01-49e9-ae3d-585a81724cfc;#4;#EN|f2175f21-25d7-44a3-96da-d6a61b075e1b;#30;#SK|46d9fce0-ef79-4f71-b89b-cd6aa82426b8;#12;#ES|e7a6b05b-ae16-40c8-add9-68b64b03aeba;#46;#DA|5d49c027-8956-412b-aa16-e85a0f96ad0e;#32;#PL|1e03da61-4678-4e07-b136-b5024ca9197b;#29;#CS|72f9705b-0217-4fd3-bea2-cbc7ed80e26e;#11;#DE|f6b31e5a-26fa-4935-b661-318e46daf27e;#44;#LT|a7ff5ce7-6123-4f68-865a-a57c31810414;#25;#FI|87606a43-d45f-42d6-b8c9-e1a3457db5b7;#27;#ET|ff6c3f4c-b02c-4c3c-ab07-2c37995a7a0a;#23;#FR|d2afafd3-4c81-4f60-8f52-ee33f2f54ff3;#51;#LV|46f7e311-5d9f-4663-b433-18aeccb7ace7;#36;#NL|55c6556c-b4f4-441d-9acf-c498d4f838bd;#28;#PT|50ccc04a-eadd-42ae-a0cb-acaf45f812ba;#55;#RO|feb747a2-64cd-4299-af12-4833ddc30497;#13;#IT|0774613c-01ed-4e5d-a25d-11d2388de825</vt:lpwstr>
  </property>
  <property fmtid="{D5CDD505-2E9C-101B-9397-08002B2CF9AE}" pid="10" name="DocumentType_0">
    <vt:lpwstr>TCD|cd9d6eb6-3f4f-424a-b2d1-57c9d450eaaf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2022-05-18T12:00:00Z</vt:filetime>
  </property>
  <property fmtid="{D5CDD505-2E9C-101B-9397-08002B2CF9AE}" pid="13" name="DocumentNumber">
    <vt:i4>247</vt:i4>
  </property>
  <property fmtid="{D5CDD505-2E9C-101B-9397-08002B2CF9AE}" pid="14" name="DocumentVersion">
    <vt:i4>0</vt:i4>
  </property>
  <property fmtid="{D5CDD505-2E9C-101B-9397-08002B2CF9AE}" pid="15" name="DocumentStatus">
    <vt:lpwstr>9;#TRA|150d2a88-1431-44e6-a8ca-0bb753ab8672</vt:lpwstr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19;#Unrestricted|826e22d7-d029-4ec0-a450-0c28ff673572</vt:lpwstr>
  </property>
  <property fmtid="{D5CDD505-2E9C-101B-9397-08002B2CF9AE}" pid="19" name="OriginalLanguage">
    <vt:lpwstr>4;#EN|f2175f21-25d7-44a3-96da-d6a61b075e1b</vt:lpwstr>
  </property>
  <property fmtid="{D5CDD505-2E9C-101B-9397-08002B2CF9AE}" pid="20" name="MeetingName">
    <vt:lpwstr>59;#SPL-CES|32d8cb1f-c9ec-4365-95c7-8385a18618ac</vt:lpwstr>
  </property>
  <property fmtid="{D5CDD505-2E9C-101B-9397-08002B2CF9AE}" pid="21" name="TaxCatchAll">
    <vt:lpwstr>31;#SL|98a412ae-eb01-49e9-ae3d-585a81724cfc;#28;#PT|50ccc04a-eadd-42ae-a0cb-acaf45f812ba;#44;#LT|a7ff5ce7-6123-4f68-865a-a57c31810414;#59;#SPL-CES|32d8cb1f-c9ec-4365-95c7-8385a18618ac;#19;#Unrestricted|826e22d7-d029-4ec0-a450-0c28ff673572;#18;#TCD|cd9d6eb6-3f4f-424a-b2d1-57c9d450eaaf;#13;#IT|0774613c-01ed-4e5d-a25d-11d2388de825;#12;#ES|e7a6b05b-ae16-40c8-add9-68b64b03aeba;#11;#DE|f6b31e5a-26fa-4935-b661-318e46daf27e;#9;#TRA|150d2a88-1431-44e6-a8ca-0bb753ab8672;#7;#Final|ea5e6674-7b27-4bac-b091-73adbb394efe;#4;#EN|f2175f21-25d7-44a3-96da-d6a61b075e1b;#1;#EESC|422833ec-8d7e-4e65-8e4e-8bed07ffb729</vt:lpwstr>
  </property>
  <property fmtid="{D5CDD505-2E9C-101B-9397-08002B2CF9AE}" pid="22" name="DocumentLanguage_0">
    <vt:lpwstr>EN|f2175f21-25d7-44a3-96da-d6a61b075e1b</vt:lpwstr>
  </property>
  <property fmtid="{D5CDD505-2E9C-101B-9397-08002B2CF9AE}" pid="23" name="VersionStatus_0">
    <vt:lpwstr>Final|ea5e6674-7b27-4bac-b091-73adbb394efe</vt:lpwstr>
  </property>
  <property fmtid="{D5CDD505-2E9C-101B-9397-08002B2CF9AE}" pid="24" name="VersionStatus">
    <vt:lpwstr>7;#Final|ea5e6674-7b27-4bac-b091-73adbb394efe</vt:lpwstr>
  </property>
  <property fmtid="{D5CDD505-2E9C-101B-9397-08002B2CF9AE}" pid="25" name="DocumentYear">
    <vt:i4>2026</vt:i4>
  </property>
  <property fmtid="{D5CDD505-2E9C-101B-9397-08002B2CF9AE}" pid="26" name="FicheNumber">
    <vt:i4>300453</vt:i4>
  </property>
  <property fmtid="{D5CDD505-2E9C-101B-9397-08002B2CF9AE}" pid="27" name="OriginalSender">
    <vt:lpwstr>1528;#TDriveSVCUserProd</vt:lpwstr>
  </property>
  <property fmtid="{D5CDD505-2E9C-101B-9397-08002B2CF9AE}" pid="28" name="DocumentPart">
    <vt:i4>0</vt:i4>
  </property>
  <property fmtid="{D5CDD505-2E9C-101B-9397-08002B2CF9AE}" pid="29" name="DocumentSource">
    <vt:lpwstr>1;#EESC|422833ec-8d7e-4e65-8e4e-8bed07ffb729</vt:lpwstr>
  </property>
  <property fmtid="{D5CDD505-2E9C-101B-9397-08002B2CF9AE}" pid="30" name="DocumentType">
    <vt:lpwstr>18;#TCD|cd9d6eb6-3f4f-424a-b2d1-57c9d450eaaf</vt:lpwstr>
  </property>
  <property fmtid="{D5CDD505-2E9C-101B-9397-08002B2CF9AE}" pid="31" name="RequestingService">
    <vt:lpwstr>Greffe</vt:lpwstr>
  </property>
  <property fmtid="{D5CDD505-2E9C-101B-9397-08002B2CF9AE}" pid="32" name="DocumentLanguage">
    <vt:lpwstr>43;#BG|1a1b3951-7821-4e6a-85f5-5673fc08bd2c</vt:lpwstr>
  </property>
  <property fmtid="{D5CDD505-2E9C-101B-9397-08002B2CF9AE}" pid="33" name="AvailableTranslations_0">
    <vt:lpwstr>SL|98a412ae-eb01-49e9-ae3d-585a81724cfc;EN|f2175f21-25d7-44a3-96da-d6a61b075e1b;ES|e7a6b05b-ae16-40c8-add9-68b64b03aeba;DE|f6b31e5a-26fa-4935-b661-318e46daf27e;LT|a7ff5ce7-6123-4f68-865a-a57c31810414;PT|50ccc04a-eadd-42ae-a0cb-acaf45f812ba;IT|0774613c-01ed-4e5d-a25d-11d2388de825</vt:lpwstr>
  </property>
  <property fmtid="{D5CDD505-2E9C-101B-9397-08002B2CF9AE}" pid="34" name="DocumentStatus_0">
    <vt:lpwstr>TRA|150d2a88-1431-44e6-a8ca-0bb753ab8672</vt:lpwstr>
  </property>
  <property fmtid="{D5CDD505-2E9C-101B-9397-08002B2CF9AE}" pid="35" name="OriginalLanguage_0">
    <vt:lpwstr>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MeetingName_0">
    <vt:lpwstr>SPL-CES|32d8cb1f-c9ec-4365-95c7-8385a18618ac</vt:lpwstr>
  </property>
  <property fmtid="{D5CDD505-2E9C-101B-9397-08002B2CF9AE}" pid="38" name="DossierName_0">
    <vt:lpwstr/>
  </property>
  <property fmtid="{D5CDD505-2E9C-101B-9397-08002B2CF9AE}" pid="39" name="MeetingNumber">
    <vt:i4>604</vt:i4>
  </property>
  <property fmtid="{D5CDD505-2E9C-101B-9397-08002B2CF9AE}" pid="40" name="MeetingDate">
    <vt:filetime>2026-03-18T12:00:00Z</vt:filetime>
  </property>
</Properties>
</file>